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6"/>
        <w:jc w:val="both"/>
        <w:rPr>
          <w:rFonts w:ascii="宋体" w:cs="宋体"/>
          <w:kern w:val="0"/>
          <w:sz w:val="52"/>
          <w:szCs w:val="52"/>
          <w:highlight w:val="none"/>
        </w:rPr>
      </w:pPr>
    </w:p>
    <w:p>
      <w:pPr>
        <w:pStyle w:val="4"/>
        <w:jc w:val="center"/>
        <w:rPr>
          <w:rFonts w:hint="eastAsia" w:ascii="黑体" w:hAnsi="黑体" w:eastAsia="黑体" w:cs="黑体"/>
          <w:b/>
          <w:sz w:val="52"/>
          <w:szCs w:val="52"/>
          <w:highlight w:val="none"/>
          <w:lang w:eastAsia="zh-CN"/>
        </w:rPr>
      </w:pPr>
      <w:r>
        <w:rPr>
          <w:rFonts w:hint="eastAsia" w:ascii="黑体" w:hAnsi="黑体" w:eastAsia="黑体" w:cs="黑体"/>
          <w:b/>
          <w:sz w:val="52"/>
          <w:szCs w:val="52"/>
          <w:highlight w:val="none"/>
          <w:lang w:eastAsia="zh-CN"/>
        </w:rPr>
        <w:t>长兴县退役军人事务局军干服务配套电梯工程项目</w:t>
      </w:r>
    </w:p>
    <w:p>
      <w:pPr>
        <w:pStyle w:val="5"/>
        <w:rPr>
          <w:rFonts w:hint="eastAsia" w:ascii="黑体" w:hAnsi="黑体" w:eastAsia="黑体" w:cs="黑体"/>
          <w:b/>
          <w:sz w:val="48"/>
          <w:szCs w:val="48"/>
          <w:highlight w:val="none"/>
          <w:lang w:eastAsia="zh-CN"/>
        </w:rPr>
      </w:pPr>
    </w:p>
    <w:p>
      <w:pPr>
        <w:rPr>
          <w:rFonts w:hint="eastAsia" w:ascii="黑体" w:hAnsi="黑体" w:eastAsia="黑体" w:cs="黑体"/>
          <w:b/>
          <w:sz w:val="48"/>
          <w:szCs w:val="48"/>
          <w:highlight w:val="none"/>
          <w:lang w:eastAsia="zh-CN"/>
        </w:rPr>
      </w:pPr>
    </w:p>
    <w:p>
      <w:pPr>
        <w:pStyle w:val="4"/>
        <w:rPr>
          <w:rFonts w:hint="eastAsia"/>
        </w:rPr>
      </w:pPr>
    </w:p>
    <w:p>
      <w:pPr>
        <w:pStyle w:val="2"/>
      </w:pPr>
    </w:p>
    <w:p>
      <w:pPr>
        <w:ind w:firstLine="566"/>
        <w:jc w:val="center"/>
        <w:rPr>
          <w:rFonts w:hint="eastAsia" w:ascii="黑体" w:eastAsia="黑体"/>
          <w:b/>
          <w:sz w:val="72"/>
          <w:szCs w:val="72"/>
          <w:highlight w:val="none"/>
          <w:lang w:val="zh-CN"/>
        </w:rPr>
      </w:pPr>
      <w:r>
        <w:rPr>
          <w:rFonts w:hint="eastAsia" w:ascii="黑体" w:eastAsia="黑体"/>
          <w:b/>
          <w:sz w:val="72"/>
          <w:szCs w:val="72"/>
          <w:highlight w:val="none"/>
          <w:lang w:val="zh-CN"/>
        </w:rPr>
        <w:t>竞争性磋商文件</w:t>
      </w:r>
    </w:p>
    <w:p>
      <w:pPr>
        <w:pStyle w:val="5"/>
        <w:ind w:firstLine="320"/>
        <w:rPr>
          <w:sz w:val="32"/>
          <w:szCs w:val="32"/>
          <w:highlight w:val="none"/>
          <w:lang w:val="zh-CN"/>
        </w:rPr>
      </w:pPr>
    </w:p>
    <w:p>
      <w:pPr>
        <w:rPr>
          <w:lang w:val="zh-CN"/>
        </w:rPr>
      </w:pPr>
    </w:p>
    <w:p>
      <w:pPr>
        <w:pStyle w:val="3"/>
        <w:rPr>
          <w:lang w:val="zh-CN"/>
        </w:rPr>
      </w:pPr>
    </w:p>
    <w:p>
      <w:pPr>
        <w:pStyle w:val="4"/>
        <w:rPr>
          <w:lang w:val="zh-CN"/>
        </w:rPr>
      </w:pPr>
    </w:p>
    <w:p>
      <w:pPr>
        <w:pStyle w:val="5"/>
        <w:rPr>
          <w:lang w:val="zh-CN"/>
        </w:rPr>
      </w:pPr>
    </w:p>
    <w:p>
      <w:pPr>
        <w:rPr>
          <w:lang w:val="zh-CN"/>
        </w:rPr>
      </w:pPr>
    </w:p>
    <w:p>
      <w:pPr>
        <w:pStyle w:val="3"/>
        <w:rPr>
          <w:lang w:val="zh-CN"/>
        </w:rPr>
      </w:pPr>
    </w:p>
    <w:p>
      <w:pPr>
        <w:pStyle w:val="5"/>
        <w:ind w:left="0" w:leftChars="0" w:firstLine="0" w:firstLineChars="0"/>
        <w:rPr>
          <w:highlight w:val="none"/>
        </w:rPr>
      </w:pPr>
    </w:p>
    <w:p>
      <w:pPr>
        <w:pStyle w:val="5"/>
        <w:ind w:firstLine="280"/>
        <w:rPr>
          <w:highlight w:val="none"/>
        </w:rPr>
      </w:pPr>
    </w:p>
    <w:p>
      <w:pPr>
        <w:ind w:firstLine="566"/>
        <w:rPr>
          <w:rFonts w:ascii="宋体"/>
          <w:highlight w:val="none"/>
        </w:rPr>
      </w:pPr>
    </w:p>
    <w:tbl>
      <w:tblPr>
        <w:tblStyle w:val="35"/>
        <w:tblW w:w="8528" w:type="dxa"/>
        <w:tblInd w:w="0" w:type="dxa"/>
        <w:tblLayout w:type="fixed"/>
        <w:tblCellMar>
          <w:top w:w="0" w:type="dxa"/>
          <w:left w:w="108" w:type="dxa"/>
          <w:bottom w:w="0" w:type="dxa"/>
          <w:right w:w="108" w:type="dxa"/>
        </w:tblCellMar>
      </w:tblPr>
      <w:tblGrid>
        <w:gridCol w:w="8528"/>
      </w:tblGrid>
      <w:tr>
        <w:tc>
          <w:tcPr>
            <w:tcW w:w="8528" w:type="dxa"/>
            <w:shd w:val="clear" w:color="auto" w:fill="auto"/>
          </w:tcPr>
          <w:p>
            <w:pPr>
              <w:jc w:val="left"/>
              <w:rPr>
                <w:rFonts w:hint="default" w:ascii="黑体" w:eastAsia="黑体"/>
                <w:b/>
                <w:sz w:val="36"/>
                <w:szCs w:val="36"/>
                <w:highlight w:val="none"/>
                <w:lang w:val="en-US" w:eastAsia="zh-CN"/>
              </w:rPr>
            </w:pPr>
            <w:r>
              <w:rPr>
                <w:rFonts w:hint="eastAsia" w:ascii="黑体" w:eastAsia="黑体"/>
                <w:b/>
                <w:bCs/>
                <w:sz w:val="36"/>
                <w:szCs w:val="36"/>
                <w:highlight w:val="none"/>
                <w:lang w:eastAsia="zh-CN"/>
              </w:rPr>
              <w:t>项目编号：CXCG20220</w:t>
            </w:r>
            <w:r>
              <w:rPr>
                <w:rFonts w:hint="eastAsia" w:ascii="黑体" w:eastAsia="黑体"/>
                <w:b/>
                <w:bCs/>
                <w:sz w:val="36"/>
                <w:szCs w:val="36"/>
                <w:highlight w:val="none"/>
                <w:lang w:val="en-US" w:eastAsia="zh-CN"/>
              </w:rPr>
              <w:t>7</w:t>
            </w:r>
            <w:r>
              <w:rPr>
                <w:rFonts w:hint="eastAsia" w:ascii="黑体" w:eastAsia="黑体"/>
                <w:b/>
                <w:bCs/>
                <w:sz w:val="36"/>
                <w:szCs w:val="36"/>
                <w:highlight w:val="none"/>
                <w:lang w:eastAsia="zh-CN"/>
              </w:rPr>
              <w:t>00</w:t>
            </w:r>
            <w:r>
              <w:rPr>
                <w:rFonts w:hint="eastAsia" w:ascii="黑体" w:eastAsia="黑体"/>
                <w:b/>
                <w:bCs/>
                <w:sz w:val="36"/>
                <w:szCs w:val="36"/>
                <w:highlight w:val="none"/>
                <w:lang w:val="en-US" w:eastAsia="zh-CN"/>
              </w:rPr>
              <w:t>1</w:t>
            </w:r>
          </w:p>
        </w:tc>
      </w:tr>
      <w:tr>
        <w:tc>
          <w:tcPr>
            <w:tcW w:w="8528" w:type="dxa"/>
            <w:shd w:val="clear" w:color="auto" w:fill="auto"/>
          </w:tcPr>
          <w:p>
            <w:pPr>
              <w:jc w:val="left"/>
              <w:rPr>
                <w:rFonts w:ascii="黑体" w:eastAsia="黑体"/>
                <w:b/>
                <w:sz w:val="36"/>
                <w:szCs w:val="36"/>
                <w:highlight w:val="none"/>
              </w:rPr>
            </w:pPr>
          </w:p>
        </w:tc>
      </w:tr>
      <w:tr>
        <w:tblPrEx>
          <w:tblCellMar>
            <w:top w:w="0" w:type="dxa"/>
            <w:left w:w="108" w:type="dxa"/>
            <w:bottom w:w="0" w:type="dxa"/>
            <w:right w:w="108" w:type="dxa"/>
          </w:tblCellMar>
        </w:tblPrEx>
        <w:tc>
          <w:tcPr>
            <w:tcW w:w="8528" w:type="dxa"/>
            <w:shd w:val="clear" w:color="auto" w:fill="auto"/>
          </w:tcPr>
          <w:p>
            <w:pPr>
              <w:rPr>
                <w:rFonts w:hint="eastAsia" w:ascii="黑体" w:eastAsia="黑体"/>
                <w:b/>
                <w:sz w:val="36"/>
                <w:szCs w:val="36"/>
                <w:highlight w:val="none"/>
                <w:lang w:eastAsia="zh-CN"/>
              </w:rPr>
            </w:pPr>
            <w:r>
              <w:rPr>
                <w:rFonts w:hint="eastAsia" w:ascii="黑体" w:eastAsia="黑体"/>
                <w:b/>
                <w:bCs/>
                <w:sz w:val="36"/>
                <w:szCs w:val="36"/>
                <w:highlight w:val="none"/>
              </w:rPr>
              <w:t>采 购 人：</w:t>
            </w:r>
            <w:r>
              <w:rPr>
                <w:rFonts w:hint="eastAsia" w:ascii="黑体" w:eastAsia="黑体"/>
                <w:b/>
                <w:bCs/>
                <w:sz w:val="36"/>
                <w:szCs w:val="36"/>
                <w:highlight w:val="none"/>
                <w:lang w:eastAsia="zh-CN"/>
              </w:rPr>
              <w:t>长兴县退役军人事务局</w:t>
            </w:r>
          </w:p>
        </w:tc>
      </w:tr>
    </w:tbl>
    <w:p>
      <w:pPr>
        <w:rPr>
          <w:vanish/>
          <w:sz w:val="36"/>
          <w:szCs w:val="36"/>
          <w:highlight w:val="none"/>
        </w:rPr>
      </w:pPr>
    </w:p>
    <w:p>
      <w:pPr>
        <w:ind w:firstLine="566"/>
        <w:rPr>
          <w:rFonts w:ascii="宋体"/>
          <w:sz w:val="36"/>
          <w:szCs w:val="36"/>
          <w:highlight w:val="none"/>
        </w:rPr>
      </w:pPr>
    </w:p>
    <w:p>
      <w:pPr>
        <w:rPr>
          <w:rFonts w:ascii="宋体"/>
          <w:sz w:val="36"/>
          <w:szCs w:val="36"/>
          <w:highlight w:val="none"/>
        </w:rPr>
      </w:pPr>
    </w:p>
    <w:tbl>
      <w:tblPr>
        <w:tblStyle w:val="35"/>
        <w:tblW w:w="8505" w:type="dxa"/>
        <w:jc w:val="center"/>
        <w:tblLayout w:type="fixed"/>
        <w:tblCellMar>
          <w:top w:w="0" w:type="dxa"/>
          <w:left w:w="108" w:type="dxa"/>
          <w:bottom w:w="0" w:type="dxa"/>
          <w:right w:w="108" w:type="dxa"/>
        </w:tblCellMar>
      </w:tblPr>
      <w:tblGrid>
        <w:gridCol w:w="8505"/>
      </w:tblGrid>
      <w:tr>
        <w:tblPrEx>
          <w:tblCellMar>
            <w:top w:w="0" w:type="dxa"/>
            <w:left w:w="108" w:type="dxa"/>
            <w:bottom w:w="0" w:type="dxa"/>
            <w:right w:w="108" w:type="dxa"/>
          </w:tblCellMar>
        </w:tblPrEx>
        <w:trPr>
          <w:jc w:val="center"/>
        </w:trPr>
        <w:tc>
          <w:tcPr>
            <w:tcW w:w="8505" w:type="dxa"/>
            <w:shd w:val="clear" w:color="auto" w:fill="auto"/>
          </w:tcPr>
          <w:p>
            <w:pPr>
              <w:jc w:val="center"/>
              <w:rPr>
                <w:rFonts w:ascii="黑体" w:eastAsia="黑体"/>
                <w:b/>
                <w:sz w:val="36"/>
                <w:szCs w:val="36"/>
                <w:highlight w:val="none"/>
              </w:rPr>
            </w:pPr>
            <w:bookmarkStart w:id="0" w:name="_Hlk468534701"/>
            <w:r>
              <w:rPr>
                <w:rFonts w:hint="eastAsia" w:ascii="黑体" w:eastAsia="黑体"/>
                <w:b/>
                <w:sz w:val="36"/>
                <w:szCs w:val="36"/>
                <w:highlight w:val="none"/>
              </w:rPr>
              <w:t xml:space="preserve"> </w:t>
            </w:r>
            <w:r>
              <w:rPr>
                <w:rFonts w:hint="eastAsia" w:ascii="黑体" w:eastAsia="黑体"/>
                <w:b/>
                <w:sz w:val="36"/>
                <w:szCs w:val="36"/>
                <w:highlight w:val="none"/>
                <w:lang w:val="en-US" w:eastAsia="zh-CN"/>
              </w:rPr>
              <w:t xml:space="preserve">                 </w:t>
            </w:r>
            <w:r>
              <w:rPr>
                <w:rFonts w:hint="eastAsia" w:ascii="黑体" w:eastAsia="黑体"/>
                <w:b/>
                <w:sz w:val="36"/>
                <w:szCs w:val="36"/>
                <w:highlight w:val="none"/>
              </w:rPr>
              <w:t>长兴县政府采购中心</w:t>
            </w:r>
          </w:p>
        </w:tc>
      </w:tr>
      <w:tr>
        <w:tblPrEx>
          <w:tblCellMar>
            <w:top w:w="0" w:type="dxa"/>
            <w:left w:w="108" w:type="dxa"/>
            <w:bottom w:w="0" w:type="dxa"/>
            <w:right w:w="108" w:type="dxa"/>
          </w:tblCellMar>
        </w:tblPrEx>
        <w:trPr>
          <w:jc w:val="center"/>
        </w:trPr>
        <w:tc>
          <w:tcPr>
            <w:tcW w:w="8505" w:type="dxa"/>
            <w:shd w:val="clear" w:color="auto" w:fill="auto"/>
          </w:tcPr>
          <w:p>
            <w:pPr>
              <w:jc w:val="center"/>
              <w:rPr>
                <w:rFonts w:ascii="黑体" w:eastAsia="黑体"/>
                <w:b/>
                <w:color w:val="0000FF"/>
                <w:sz w:val="36"/>
                <w:szCs w:val="36"/>
                <w:highlight w:val="none"/>
              </w:rPr>
            </w:pPr>
            <w:r>
              <w:rPr>
                <w:rFonts w:hint="eastAsia" w:ascii="黑体" w:eastAsia="黑体"/>
                <w:b/>
                <w:sz w:val="36"/>
                <w:szCs w:val="36"/>
                <w:highlight w:val="none"/>
                <w:lang w:val="en-US" w:eastAsia="zh-CN"/>
              </w:rPr>
              <w:t xml:space="preserve">                 </w:t>
            </w:r>
            <w:r>
              <w:rPr>
                <w:rFonts w:hint="eastAsia" w:ascii="黑体" w:eastAsia="黑体"/>
                <w:b/>
                <w:sz w:val="36"/>
                <w:szCs w:val="36"/>
                <w:highlight w:val="none"/>
              </w:rPr>
              <w:t>202</w:t>
            </w:r>
            <w:r>
              <w:rPr>
                <w:rFonts w:hint="eastAsia" w:ascii="黑体" w:eastAsia="黑体"/>
                <w:b/>
                <w:sz w:val="36"/>
                <w:szCs w:val="36"/>
                <w:highlight w:val="none"/>
                <w:lang w:val="en-US" w:eastAsia="zh-CN"/>
              </w:rPr>
              <w:t>2</w:t>
            </w:r>
            <w:r>
              <w:rPr>
                <w:rFonts w:hint="eastAsia" w:ascii="黑体" w:eastAsia="黑体"/>
                <w:b/>
                <w:sz w:val="36"/>
                <w:szCs w:val="36"/>
                <w:highlight w:val="none"/>
              </w:rPr>
              <w:t>年</w:t>
            </w:r>
            <w:r>
              <w:rPr>
                <w:rFonts w:hint="eastAsia" w:ascii="黑体" w:eastAsia="黑体"/>
                <w:b/>
                <w:sz w:val="36"/>
                <w:szCs w:val="36"/>
                <w:highlight w:val="none"/>
                <w:lang w:val="en-US" w:eastAsia="zh-CN"/>
              </w:rPr>
              <w:t>08</w:t>
            </w:r>
            <w:r>
              <w:rPr>
                <w:rFonts w:hint="eastAsia" w:ascii="黑体" w:eastAsia="黑体"/>
                <w:b/>
                <w:sz w:val="36"/>
                <w:szCs w:val="36"/>
                <w:highlight w:val="none"/>
              </w:rPr>
              <w:t>月</w:t>
            </w:r>
          </w:p>
        </w:tc>
      </w:tr>
      <w:bookmarkEnd w:id="0"/>
    </w:tbl>
    <w:p>
      <w:pPr>
        <w:rPr>
          <w:highlight w:val="none"/>
        </w:rPr>
        <w:sectPr>
          <w:headerReference r:id="rId3" w:type="even"/>
          <w:footerReference r:id="rId4" w:type="even"/>
          <w:pgSz w:w="11906" w:h="16838"/>
          <w:pgMar w:top="1440" w:right="1797" w:bottom="1440" w:left="1797" w:header="851" w:footer="992" w:gutter="0"/>
          <w:pgBorders>
            <w:top w:val="none" w:sz="0" w:space="0"/>
            <w:left w:val="none" w:sz="0" w:space="0"/>
            <w:bottom w:val="none" w:sz="0" w:space="0"/>
            <w:right w:val="none" w:sz="0" w:space="0"/>
          </w:pgBorders>
          <w:pgNumType w:start="1"/>
          <w:cols w:equalWidth="0" w:num="1">
            <w:col w:w="8312"/>
          </w:cols>
          <w:titlePg/>
          <w:docGrid w:linePitch="312" w:charSpace="0"/>
        </w:sectPr>
      </w:pPr>
    </w:p>
    <w:p>
      <w:pPr>
        <w:jc w:val="center"/>
        <w:rPr>
          <w:b/>
          <w:sz w:val="32"/>
          <w:szCs w:val="32"/>
          <w:highlight w:val="none"/>
        </w:rPr>
      </w:pPr>
      <w:r>
        <w:rPr>
          <w:b/>
          <w:sz w:val="32"/>
          <w:szCs w:val="32"/>
          <w:highlight w:val="none"/>
        </w:rPr>
        <w:t>目录</w:t>
      </w:r>
    </w:p>
    <w:p>
      <w:pPr>
        <w:jc w:val="center"/>
        <w:rPr>
          <w:b/>
          <w:sz w:val="28"/>
          <w:szCs w:val="28"/>
          <w:highlight w:val="none"/>
        </w:rPr>
      </w:pPr>
    </w:p>
    <w:p>
      <w:pPr>
        <w:pStyle w:val="31"/>
        <w:tabs>
          <w:tab w:val="right" w:leader="dot" w:pos="8302"/>
        </w:tabs>
        <w:spacing w:line="360" w:lineRule="auto"/>
        <w:ind w:left="420"/>
        <w:rPr>
          <w:sz w:val="21"/>
          <w:highlight w:val="none"/>
        </w:rPr>
      </w:pPr>
      <w:r>
        <w:rPr>
          <w:highlight w:val="none"/>
        </w:rPr>
        <w:fldChar w:fldCharType="begin"/>
      </w:r>
      <w:r>
        <w:rPr>
          <w:highlight w:val="none"/>
        </w:rPr>
        <w:instrText xml:space="preserve">TOC \o "1-2" \h \u </w:instrText>
      </w:r>
      <w:r>
        <w:rPr>
          <w:highlight w:val="none"/>
        </w:rPr>
        <w:fldChar w:fldCharType="separate"/>
      </w:r>
      <w:r>
        <w:rPr>
          <w:highlight w:val="none"/>
        </w:rPr>
        <w:fldChar w:fldCharType="begin"/>
      </w:r>
      <w:r>
        <w:rPr>
          <w:highlight w:val="none"/>
        </w:rPr>
        <w:instrText xml:space="preserve"> HYPERLINK \l "_Toc524600080" </w:instrText>
      </w:r>
      <w:r>
        <w:rPr>
          <w:highlight w:val="none"/>
        </w:rPr>
        <w:fldChar w:fldCharType="separate"/>
      </w:r>
      <w:r>
        <w:rPr>
          <w:rFonts w:hint="eastAsia" w:ascii="黑体" w:eastAsia="黑体"/>
          <w:b/>
          <w:highlight w:val="none"/>
        </w:rPr>
        <w:t>第一章</w:t>
      </w:r>
      <w:r>
        <w:rPr>
          <w:rFonts w:hint="eastAsia" w:ascii="黑体" w:eastAsia="黑体"/>
          <w:b/>
          <w:highlight w:val="none"/>
          <w:lang w:val="en-US" w:eastAsia="zh-CN"/>
        </w:rPr>
        <w:t xml:space="preserve"> </w:t>
      </w:r>
      <w:r>
        <w:rPr>
          <w:rFonts w:hint="eastAsia" w:ascii="黑体" w:eastAsia="黑体"/>
          <w:b/>
          <w:highlight w:val="none"/>
        </w:rPr>
        <w:t>竞争性磋商公告</w:t>
      </w:r>
      <w:r>
        <w:rPr>
          <w:highlight w:val="none"/>
        </w:rPr>
        <w:tab/>
      </w:r>
      <w:r>
        <w:rPr>
          <w:highlight w:val="none"/>
        </w:rPr>
        <w:fldChar w:fldCharType="begin"/>
      </w:r>
      <w:r>
        <w:rPr>
          <w:highlight w:val="none"/>
        </w:rPr>
        <w:instrText xml:space="preserve"> PAGEREF _Toc524600080 \h </w:instrText>
      </w:r>
      <w:r>
        <w:rPr>
          <w:highlight w:val="none"/>
        </w:rPr>
        <w:fldChar w:fldCharType="separate"/>
      </w:r>
      <w:r>
        <w:rPr>
          <w:highlight w:val="none"/>
        </w:rPr>
        <w:t>3</w:t>
      </w:r>
      <w:r>
        <w:rPr>
          <w:highlight w:val="none"/>
        </w:rPr>
        <w:fldChar w:fldCharType="end"/>
      </w:r>
      <w:r>
        <w:rPr>
          <w:highlight w:val="none"/>
        </w:rPr>
        <w:fldChar w:fldCharType="end"/>
      </w:r>
    </w:p>
    <w:p>
      <w:pPr>
        <w:pStyle w:val="31"/>
        <w:tabs>
          <w:tab w:val="right" w:leader="dot" w:pos="8302"/>
        </w:tabs>
        <w:spacing w:line="360" w:lineRule="auto"/>
        <w:ind w:left="420"/>
        <w:rPr>
          <w:rFonts w:hint="eastAsia" w:eastAsia="宋体"/>
          <w:sz w:val="21"/>
          <w:highlight w:val="none"/>
          <w:lang w:val="en-US" w:eastAsia="zh-CN"/>
        </w:rPr>
      </w:pPr>
      <w:r>
        <w:rPr>
          <w:highlight w:val="none"/>
        </w:rPr>
        <w:fldChar w:fldCharType="begin"/>
      </w:r>
      <w:r>
        <w:rPr>
          <w:highlight w:val="none"/>
        </w:rPr>
        <w:instrText xml:space="preserve"> HYPERLINK \l "_Toc524600090" </w:instrText>
      </w:r>
      <w:r>
        <w:rPr>
          <w:highlight w:val="none"/>
        </w:rPr>
        <w:fldChar w:fldCharType="separate"/>
      </w:r>
      <w:r>
        <w:rPr>
          <w:rFonts w:hint="eastAsia" w:ascii="黑体" w:eastAsia="黑体"/>
          <w:b/>
          <w:highlight w:val="none"/>
        </w:rPr>
        <w:t>第二章</w:t>
      </w:r>
      <w:r>
        <w:rPr>
          <w:rFonts w:hint="eastAsia" w:ascii="黑体" w:eastAsia="黑体"/>
          <w:b/>
          <w:highlight w:val="none"/>
          <w:lang w:val="en-US" w:eastAsia="zh-CN"/>
        </w:rPr>
        <w:t xml:space="preserve"> </w:t>
      </w:r>
      <w:r>
        <w:rPr>
          <w:rFonts w:hint="eastAsia" w:ascii="黑体" w:eastAsia="黑体"/>
          <w:b/>
          <w:highlight w:val="none"/>
        </w:rPr>
        <w:t>参加磋商须知</w:t>
      </w:r>
      <w:r>
        <w:rPr>
          <w:highlight w:val="none"/>
        </w:rPr>
        <w:tab/>
      </w:r>
      <w:r>
        <w:rPr>
          <w:highlight w:val="none"/>
        </w:rPr>
        <w:fldChar w:fldCharType="end"/>
      </w:r>
      <w:r>
        <w:rPr>
          <w:rFonts w:hint="eastAsia"/>
          <w:highlight w:val="none"/>
          <w:lang w:val="en-US" w:eastAsia="zh-CN"/>
        </w:rPr>
        <w:t>7</w:t>
      </w:r>
    </w:p>
    <w:p>
      <w:pPr>
        <w:pStyle w:val="31"/>
        <w:tabs>
          <w:tab w:val="right" w:leader="dot" w:pos="8302"/>
        </w:tabs>
        <w:spacing w:line="360" w:lineRule="auto"/>
        <w:ind w:left="420"/>
        <w:rPr>
          <w:rFonts w:hint="default" w:eastAsia="宋体"/>
          <w:sz w:val="21"/>
          <w:highlight w:val="none"/>
          <w:lang w:val="en-US" w:eastAsia="zh-CN"/>
        </w:rPr>
      </w:pPr>
      <w:r>
        <w:rPr>
          <w:highlight w:val="none"/>
        </w:rPr>
        <w:fldChar w:fldCharType="begin"/>
      </w:r>
      <w:r>
        <w:rPr>
          <w:highlight w:val="none"/>
        </w:rPr>
        <w:instrText xml:space="preserve"> HYPERLINK \l "_Toc524600105" </w:instrText>
      </w:r>
      <w:r>
        <w:rPr>
          <w:highlight w:val="none"/>
        </w:rPr>
        <w:fldChar w:fldCharType="separate"/>
      </w:r>
      <w:r>
        <w:rPr>
          <w:rFonts w:hint="eastAsia" w:ascii="黑体" w:eastAsia="黑体"/>
          <w:b/>
          <w:highlight w:val="none"/>
        </w:rPr>
        <w:t>第三章</w:t>
      </w:r>
      <w:r>
        <w:rPr>
          <w:rFonts w:hint="eastAsia" w:ascii="黑体" w:eastAsia="黑体"/>
          <w:b/>
          <w:highlight w:val="none"/>
          <w:lang w:val="en-US" w:eastAsia="zh-CN"/>
        </w:rPr>
        <w:t xml:space="preserve"> </w:t>
      </w:r>
      <w:r>
        <w:rPr>
          <w:rFonts w:hint="eastAsia" w:ascii="黑体" w:eastAsia="黑体"/>
          <w:b/>
          <w:highlight w:val="none"/>
        </w:rPr>
        <w:t>采购需求</w:t>
      </w:r>
      <w:r>
        <w:rPr>
          <w:highlight w:val="none"/>
        </w:rPr>
        <w:tab/>
      </w:r>
      <w:r>
        <w:rPr>
          <w:highlight w:val="none"/>
        </w:rPr>
        <w:fldChar w:fldCharType="end"/>
      </w:r>
      <w:r>
        <w:rPr>
          <w:rFonts w:hint="eastAsia"/>
          <w:highlight w:val="none"/>
          <w:lang w:val="en-US" w:eastAsia="zh-CN"/>
        </w:rPr>
        <w:t>27</w:t>
      </w:r>
    </w:p>
    <w:p>
      <w:pPr>
        <w:pStyle w:val="31"/>
        <w:tabs>
          <w:tab w:val="right" w:leader="dot" w:pos="8302"/>
        </w:tabs>
        <w:spacing w:line="360" w:lineRule="auto"/>
        <w:ind w:left="420"/>
        <w:rPr>
          <w:rFonts w:hint="default" w:eastAsia="宋体"/>
          <w:sz w:val="21"/>
          <w:highlight w:val="none"/>
          <w:lang w:val="en-US" w:eastAsia="zh-CN"/>
        </w:rPr>
      </w:pPr>
      <w:r>
        <w:rPr>
          <w:highlight w:val="none"/>
        </w:rPr>
        <w:fldChar w:fldCharType="begin"/>
      </w:r>
      <w:r>
        <w:rPr>
          <w:highlight w:val="none"/>
        </w:rPr>
        <w:instrText xml:space="preserve"> HYPERLINK \l "_Toc524600107" </w:instrText>
      </w:r>
      <w:r>
        <w:rPr>
          <w:highlight w:val="none"/>
        </w:rPr>
        <w:fldChar w:fldCharType="separate"/>
      </w:r>
      <w:r>
        <w:rPr>
          <w:rFonts w:hint="eastAsia" w:ascii="黑体" w:eastAsia="黑体"/>
          <w:b/>
          <w:highlight w:val="none"/>
        </w:rPr>
        <w:t>第四章</w:t>
      </w:r>
      <w:r>
        <w:rPr>
          <w:rFonts w:hint="eastAsia" w:ascii="黑体" w:eastAsia="黑体"/>
          <w:b/>
          <w:highlight w:val="none"/>
          <w:lang w:val="en-US" w:eastAsia="zh-CN"/>
        </w:rPr>
        <w:t xml:space="preserve"> </w:t>
      </w:r>
      <w:r>
        <w:rPr>
          <w:rFonts w:hint="eastAsia" w:ascii="黑体" w:eastAsia="黑体"/>
          <w:b/>
          <w:highlight w:val="none"/>
        </w:rPr>
        <w:t>磋商办法和评分标准</w:t>
      </w:r>
      <w:r>
        <w:rPr>
          <w:highlight w:val="none"/>
        </w:rPr>
        <w:tab/>
      </w:r>
      <w:r>
        <w:rPr>
          <w:highlight w:val="none"/>
        </w:rPr>
        <w:fldChar w:fldCharType="end"/>
      </w:r>
      <w:r>
        <w:rPr>
          <w:rFonts w:hint="eastAsia"/>
          <w:highlight w:val="none"/>
          <w:lang w:val="en-US" w:eastAsia="zh-CN"/>
        </w:rPr>
        <w:t>46</w:t>
      </w:r>
    </w:p>
    <w:p>
      <w:pPr>
        <w:pStyle w:val="31"/>
        <w:tabs>
          <w:tab w:val="right" w:leader="dot" w:pos="8302"/>
        </w:tabs>
        <w:spacing w:line="360" w:lineRule="auto"/>
        <w:ind w:left="420"/>
        <w:rPr>
          <w:rFonts w:hint="default" w:eastAsia="宋体"/>
          <w:sz w:val="21"/>
          <w:highlight w:val="none"/>
          <w:lang w:val="en-US" w:eastAsia="zh-CN"/>
        </w:rPr>
      </w:pPr>
      <w:r>
        <w:rPr>
          <w:highlight w:val="none"/>
        </w:rPr>
        <w:fldChar w:fldCharType="begin"/>
      </w:r>
      <w:r>
        <w:rPr>
          <w:highlight w:val="none"/>
        </w:rPr>
        <w:instrText xml:space="preserve"> HYPERLINK \l "_Toc524600111" </w:instrText>
      </w:r>
      <w:r>
        <w:rPr>
          <w:highlight w:val="none"/>
        </w:rPr>
        <w:fldChar w:fldCharType="separate"/>
      </w:r>
      <w:r>
        <w:rPr>
          <w:rFonts w:hint="eastAsia" w:ascii="黑体" w:eastAsia="黑体"/>
          <w:b/>
          <w:highlight w:val="none"/>
        </w:rPr>
        <w:t>第五章</w:t>
      </w:r>
      <w:r>
        <w:rPr>
          <w:rFonts w:hint="eastAsia" w:ascii="黑体" w:eastAsia="黑体"/>
          <w:b/>
          <w:highlight w:val="none"/>
          <w:lang w:val="en-US" w:eastAsia="zh-CN"/>
        </w:rPr>
        <w:t xml:space="preserve"> </w:t>
      </w:r>
      <w:r>
        <w:rPr>
          <w:rFonts w:hint="eastAsia" w:ascii="黑体" w:eastAsia="黑体"/>
          <w:b/>
          <w:highlight w:val="none"/>
        </w:rPr>
        <w:t>合同主要条款</w:t>
      </w:r>
      <w:r>
        <w:rPr>
          <w:highlight w:val="none"/>
        </w:rPr>
        <w:tab/>
      </w:r>
      <w:r>
        <w:rPr>
          <w:highlight w:val="none"/>
        </w:rPr>
        <w:fldChar w:fldCharType="end"/>
      </w:r>
      <w:r>
        <w:rPr>
          <w:rFonts w:hint="eastAsia"/>
          <w:highlight w:val="none"/>
          <w:lang w:val="en-US" w:eastAsia="zh-CN"/>
        </w:rPr>
        <w:t>53</w:t>
      </w:r>
    </w:p>
    <w:p>
      <w:pPr>
        <w:pStyle w:val="31"/>
        <w:tabs>
          <w:tab w:val="right" w:leader="dot" w:pos="8302"/>
        </w:tabs>
        <w:spacing w:line="360" w:lineRule="auto"/>
        <w:ind w:left="420"/>
        <w:rPr>
          <w:rFonts w:hint="default" w:eastAsia="宋体"/>
          <w:sz w:val="21"/>
          <w:highlight w:val="none"/>
          <w:lang w:val="en-US" w:eastAsia="zh-CN"/>
        </w:rPr>
      </w:pPr>
      <w:r>
        <w:rPr>
          <w:highlight w:val="none"/>
        </w:rPr>
        <w:fldChar w:fldCharType="begin"/>
      </w:r>
      <w:r>
        <w:rPr>
          <w:highlight w:val="none"/>
        </w:rPr>
        <w:instrText xml:space="preserve"> HYPERLINK \l "_Toc524600112" </w:instrText>
      </w:r>
      <w:r>
        <w:rPr>
          <w:highlight w:val="none"/>
        </w:rPr>
        <w:fldChar w:fldCharType="separate"/>
      </w:r>
      <w:r>
        <w:rPr>
          <w:rFonts w:hint="eastAsia" w:ascii="黑体" w:eastAsia="黑体"/>
          <w:b/>
          <w:highlight w:val="none"/>
        </w:rPr>
        <w:t>第六章</w:t>
      </w:r>
      <w:r>
        <w:rPr>
          <w:rFonts w:hint="eastAsia" w:ascii="黑体" w:eastAsia="黑体"/>
          <w:b/>
          <w:highlight w:val="none"/>
          <w:lang w:val="en-US" w:eastAsia="zh-CN"/>
        </w:rPr>
        <w:t xml:space="preserve"> </w:t>
      </w:r>
      <w:r>
        <w:rPr>
          <w:rFonts w:hint="eastAsia" w:ascii="黑体" w:eastAsia="黑体"/>
          <w:b/>
          <w:highlight w:val="none"/>
        </w:rPr>
        <w:t>磋商响应文件的组成和格式</w:t>
      </w:r>
      <w:r>
        <w:rPr>
          <w:highlight w:val="none"/>
        </w:rPr>
        <w:tab/>
      </w:r>
      <w:r>
        <w:rPr>
          <w:highlight w:val="none"/>
        </w:rPr>
        <w:fldChar w:fldCharType="end"/>
      </w:r>
      <w:r>
        <w:rPr>
          <w:rFonts w:hint="eastAsia"/>
          <w:highlight w:val="none"/>
          <w:lang w:val="en-US" w:eastAsia="zh-CN"/>
        </w:rPr>
        <w:t>59</w:t>
      </w:r>
    </w:p>
    <w:p>
      <w:pPr>
        <w:spacing w:line="360" w:lineRule="auto"/>
        <w:rPr>
          <w:b/>
          <w:bCs/>
          <w:highlight w:val="none"/>
          <w:lang w:val="zh-CN"/>
        </w:rPr>
      </w:pPr>
      <w:r>
        <w:rPr>
          <w:highlight w:val="none"/>
        </w:rPr>
        <w:fldChar w:fldCharType="end"/>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center"/>
        <w:rPr>
          <w:b/>
          <w:sz w:val="28"/>
          <w:szCs w:val="28"/>
          <w:highlight w:val="none"/>
        </w:rPr>
      </w:pPr>
    </w:p>
    <w:p>
      <w:pPr>
        <w:keepNext/>
        <w:keepLines/>
        <w:pageBreakBefore/>
        <w:jc w:val="center"/>
        <w:outlineLvl w:val="1"/>
        <w:rPr>
          <w:rFonts w:ascii="宋体"/>
          <w:kern w:val="0"/>
          <w:sz w:val="24"/>
          <w:highlight w:val="none"/>
          <w:lang w:val="zh-CN"/>
        </w:rPr>
      </w:pPr>
      <w:bookmarkStart w:id="1" w:name="_Toc7565"/>
      <w:bookmarkStart w:id="2" w:name="_Toc7194"/>
      <w:bookmarkStart w:id="3" w:name="_Toc15879"/>
      <w:bookmarkStart w:id="4" w:name="_Toc25264"/>
      <w:bookmarkStart w:id="5" w:name="_Toc8822"/>
      <w:bookmarkStart w:id="6" w:name="_Toc30786"/>
      <w:bookmarkStart w:id="7" w:name="_Toc17227"/>
      <w:bookmarkStart w:id="8" w:name="_Toc6211"/>
      <w:bookmarkStart w:id="9" w:name="_Toc8457"/>
      <w:bookmarkStart w:id="10" w:name="_Toc27042"/>
      <w:bookmarkStart w:id="11" w:name="_Toc524600080"/>
      <w:bookmarkStart w:id="12" w:name="EB990f5db0bf9045d4bd918736151372ae"/>
      <w:bookmarkStart w:id="13" w:name="_Toc459226622"/>
      <w:bookmarkStart w:id="14" w:name="_Toc459223846"/>
      <w:bookmarkStart w:id="15" w:name="_Toc459227372"/>
      <w:bookmarkStart w:id="16" w:name="_Toc468535458"/>
      <w:bookmarkStart w:id="17" w:name="_Toc459227605"/>
      <w:bookmarkStart w:id="18" w:name="_Toc459297212"/>
      <w:r>
        <w:rPr>
          <w:rFonts w:hint="eastAsia" w:ascii="黑体" w:eastAsia="黑体"/>
          <w:b/>
          <w:sz w:val="32"/>
          <w:szCs w:val="32"/>
          <w:highlight w:val="none"/>
        </w:rPr>
        <w:t xml:space="preserve">第一章  </w:t>
      </w:r>
      <w:bookmarkEnd w:id="1"/>
      <w:bookmarkEnd w:id="2"/>
      <w:bookmarkEnd w:id="3"/>
      <w:bookmarkEnd w:id="4"/>
      <w:bookmarkEnd w:id="5"/>
      <w:bookmarkEnd w:id="6"/>
      <w:bookmarkEnd w:id="7"/>
      <w:bookmarkEnd w:id="8"/>
      <w:bookmarkEnd w:id="9"/>
      <w:bookmarkEnd w:id="10"/>
      <w:bookmarkStart w:id="19" w:name="_Toc439920033"/>
      <w:r>
        <w:rPr>
          <w:rFonts w:hint="eastAsia" w:ascii="黑体" w:eastAsia="黑体"/>
          <w:b/>
          <w:sz w:val="32"/>
          <w:szCs w:val="32"/>
          <w:highlight w:val="none"/>
        </w:rPr>
        <w:t>竞争性磋商公告</w:t>
      </w:r>
      <w:bookmarkEnd w:id="11"/>
      <w:bookmarkEnd w:id="19"/>
    </w:p>
    <w:bookmarkEnd w:id="12"/>
    <w:p>
      <w:pPr>
        <w:pStyle w:val="32"/>
        <w:keepNext w:val="0"/>
        <w:keepLines w:val="0"/>
        <w:widowControl/>
        <w:suppressLineNumbers w:val="0"/>
        <w:spacing w:before="75" w:beforeAutospacing="0" w:after="150" w:afterAutospacing="0"/>
        <w:ind w:left="0" w:right="0" w:firstLine="0"/>
        <w:rPr>
          <w:rFonts w:ascii="仿宋" w:hAnsi="仿宋" w:eastAsia="仿宋" w:cs="仿宋"/>
          <w:i w:val="0"/>
          <w:iCs w:val="0"/>
          <w:caps w:val="0"/>
          <w:color w:val="000000"/>
          <w:spacing w:val="0"/>
          <w:sz w:val="24"/>
          <w:szCs w:val="24"/>
        </w:rPr>
      </w:pPr>
      <w:bookmarkStart w:id="20" w:name="_Toc256000002"/>
      <w:bookmarkStart w:id="21" w:name="_Toc9963"/>
      <w:bookmarkStart w:id="22" w:name="_Toc2570"/>
      <w:bookmarkStart w:id="23" w:name="_Toc32055"/>
      <w:bookmarkStart w:id="24" w:name="_Toc15274"/>
      <w:bookmarkStart w:id="25" w:name="_Toc9612"/>
      <w:bookmarkStart w:id="26" w:name="_Toc3719"/>
      <w:bookmarkStart w:id="27" w:name="_Toc11946"/>
      <w:bookmarkStart w:id="28" w:name="_Toc491794609"/>
      <w:bookmarkStart w:id="29" w:name="_Toc524600090"/>
      <w:bookmarkStart w:id="30" w:name="_Toc19477"/>
      <w:bookmarkStart w:id="31" w:name="_Toc28051"/>
      <w:bookmarkStart w:id="32" w:name="_Toc22894"/>
      <w:bookmarkStart w:id="33" w:name="_Toc491790092"/>
      <w:bookmarkStart w:id="34" w:name="_Toc491789528"/>
      <w:bookmarkStart w:id="35" w:name="_Toc3953"/>
      <w:r>
        <w:rPr>
          <w:rFonts w:hint="eastAsia" w:ascii="仿宋" w:hAnsi="仿宋" w:eastAsia="仿宋" w:cs="仿宋"/>
          <w:b/>
          <w:bCs/>
          <w:i w:val="0"/>
          <w:iCs w:val="0"/>
          <w:caps w:val="0"/>
          <w:color w:val="000000"/>
          <w:spacing w:val="0"/>
          <w:sz w:val="27"/>
          <w:szCs w:val="27"/>
        </w:rPr>
        <w:t>项目概况</w:t>
      </w:r>
      <w:r>
        <w:rPr>
          <w:rFonts w:hint="eastAsia" w:ascii="仿宋" w:hAnsi="仿宋" w:eastAsia="仿宋" w:cs="仿宋"/>
          <w:b/>
          <w:bCs/>
          <w:i w:val="0"/>
          <w:iCs w:val="0"/>
          <w:caps w:val="0"/>
          <w:color w:val="000000"/>
          <w:spacing w:val="0"/>
          <w:sz w:val="24"/>
          <w:szCs w:val="24"/>
        </w:rPr>
        <w:t>  </w:t>
      </w:r>
      <w:r>
        <w:rPr>
          <w:rFonts w:hint="eastAsia" w:ascii="仿宋" w:hAnsi="仿宋" w:eastAsia="仿宋" w:cs="仿宋"/>
          <w:i w:val="0"/>
          <w:iCs w:val="0"/>
          <w:caps w:val="0"/>
          <w:color w:val="000000"/>
          <w:spacing w:val="0"/>
          <w:sz w:val="24"/>
          <w:szCs w:val="24"/>
        </w:rPr>
        <w:t xml:space="preserve">                                                  </w:t>
      </w:r>
    </w:p>
    <w:p>
      <w:pPr>
        <w:pStyle w:val="32"/>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27"/>
          <w:szCs w:val="27"/>
        </w:rPr>
        <w:t>   </w:t>
      </w:r>
      <w:r>
        <w:rPr>
          <w:rFonts w:hint="eastAsia" w:ascii="宋体" w:hAnsi="宋体" w:eastAsia="宋体" w:cs="宋体"/>
          <w:i w:val="0"/>
          <w:iCs w:val="0"/>
          <w:caps w:val="0"/>
          <w:color w:val="000000"/>
          <w:spacing w:val="0"/>
          <w:sz w:val="27"/>
          <w:szCs w:val="27"/>
        </w:rPr>
        <w:t> </w:t>
      </w:r>
      <w:r>
        <w:rPr>
          <w:rFonts w:hint="eastAsia" w:ascii="宋体" w:hAnsi="宋体" w:eastAsia="宋体" w:cs="宋体"/>
          <w:i w:val="0"/>
          <w:iCs w:val="0"/>
          <w:caps w:val="0"/>
          <w:color w:val="000000"/>
          <w:spacing w:val="0"/>
          <w:sz w:val="24"/>
          <w:szCs w:val="24"/>
        </w:rPr>
        <w:t>长兴县退役军人事务局军干服务配套电梯工程项目采购项目的潜在供应商应在政采云平台（http://www.zcygov.cn） 获取（下载）采购文件，并于2022年08月30日 09:30（北京时间）前提交（上传）响应文件。 </w:t>
      </w:r>
    </w:p>
    <w:p>
      <w:pPr>
        <w:pStyle w:val="32"/>
        <w:keepNext w:val="0"/>
        <w:keepLines w:val="0"/>
        <w:widowControl/>
        <w:suppressLineNumbers w:val="0"/>
        <w:spacing w:before="75" w:beforeAutospacing="0" w:after="75" w:afterAutospacing="0"/>
        <w:ind w:left="0" w:right="0"/>
        <w:rPr>
          <w:rFonts w:hint="eastAsia" w:ascii="宋体" w:hAnsi="宋体" w:eastAsia="宋体" w:cs="宋体"/>
          <w:highlight w:val="none"/>
        </w:rPr>
      </w:pPr>
      <w:r>
        <w:rPr>
          <w:rFonts w:hint="eastAsia" w:ascii="宋体" w:hAnsi="宋体" w:eastAsia="宋体" w:cs="宋体"/>
          <w:i w:val="0"/>
          <w:iCs w:val="0"/>
          <w:caps w:val="0"/>
          <w:color w:val="000000"/>
          <w:spacing w:val="0"/>
          <w:sz w:val="24"/>
          <w:szCs w:val="24"/>
          <w:highlight w:val="none"/>
          <w:u w:val="none"/>
          <w:lang w:bidi="ar"/>
        </w:rPr>
        <w:t xml:space="preserve">  </w:t>
      </w:r>
      <w:r>
        <w:rPr>
          <w:rFonts w:hint="eastAsia" w:ascii="宋体" w:hAnsi="宋体" w:eastAsia="宋体" w:cs="宋体"/>
          <w:i w:val="0"/>
          <w:iCs w:val="0"/>
          <w:caps w:val="0"/>
          <w:color w:val="000000"/>
          <w:spacing w:val="0"/>
          <w:sz w:val="24"/>
          <w:szCs w:val="24"/>
          <w:highlight w:val="none"/>
        </w:rPr>
        <w:t xml:space="preserve">                 </w:t>
      </w:r>
    </w:p>
    <w:p>
      <w:pPr>
        <w:pStyle w:val="32"/>
        <w:keepNext w:val="0"/>
        <w:keepLines w:val="0"/>
        <w:widowControl/>
        <w:suppressLineNumbers w:val="0"/>
        <w:spacing w:before="255" w:beforeAutospacing="0" w:after="255" w:afterAutospacing="0" w:line="450" w:lineRule="atLeast"/>
        <w:ind w:left="0" w:right="0"/>
        <w:jc w:val="both"/>
        <w:rPr>
          <w:rFonts w:hint="eastAsia" w:ascii="宋体" w:hAnsi="宋体" w:eastAsia="宋体" w:cs="宋体"/>
          <w:sz w:val="24"/>
          <w:szCs w:val="24"/>
        </w:rPr>
      </w:pPr>
      <w:r>
        <w:rPr>
          <w:rStyle w:val="38"/>
          <w:rFonts w:hint="eastAsia" w:ascii="宋体" w:hAnsi="宋体" w:eastAsia="宋体" w:cs="宋体"/>
          <w:i w:val="0"/>
          <w:iCs w:val="0"/>
          <w:caps w:val="0"/>
          <w:color w:val="000000"/>
          <w:spacing w:val="0"/>
          <w:sz w:val="24"/>
          <w:szCs w:val="24"/>
        </w:rPr>
        <w:t>一、项目基本情况</w:t>
      </w:r>
    </w:p>
    <w:p>
      <w:pPr>
        <w:pStyle w:val="32"/>
        <w:keepNext w:val="0"/>
        <w:keepLines w:val="0"/>
        <w:widowControl/>
        <w:suppressLineNumbers w:val="0"/>
        <w:spacing w:before="75" w:beforeAutospacing="0" w:after="75" w:afterAutospacing="0" w:line="300" w:lineRule="atLeast"/>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    项目编号：CXCG202207001 </w:t>
      </w:r>
    </w:p>
    <w:p>
      <w:pPr>
        <w:pStyle w:val="32"/>
        <w:keepNext w:val="0"/>
        <w:keepLines w:val="0"/>
        <w:widowControl/>
        <w:suppressLineNumbers w:val="0"/>
        <w:spacing w:before="75" w:beforeAutospacing="0" w:after="75" w:afterAutospacing="0" w:line="300" w:lineRule="atLeast"/>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    项目名称：长兴县退役军人事务局军干服务配套电梯工程项目 </w:t>
      </w:r>
    </w:p>
    <w:p>
      <w:pPr>
        <w:pStyle w:val="32"/>
        <w:keepNext w:val="0"/>
        <w:keepLines w:val="0"/>
        <w:widowControl/>
        <w:suppressLineNumbers w:val="0"/>
        <w:spacing w:before="75" w:beforeAutospacing="0" w:after="75" w:afterAutospacing="0" w:line="300" w:lineRule="atLeast"/>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    采购方式：竞争性磋商 </w:t>
      </w:r>
    </w:p>
    <w:p>
      <w:pPr>
        <w:pStyle w:val="32"/>
        <w:keepNext w:val="0"/>
        <w:keepLines w:val="0"/>
        <w:widowControl/>
        <w:suppressLineNumbers w:val="0"/>
        <w:spacing w:before="75" w:beforeAutospacing="0" w:after="75" w:afterAutospacing="0" w:line="300" w:lineRule="atLeast"/>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    预算金额（元）：500000  </w:t>
      </w:r>
    </w:p>
    <w:p>
      <w:pPr>
        <w:pStyle w:val="32"/>
        <w:keepNext w:val="0"/>
        <w:keepLines w:val="0"/>
        <w:widowControl/>
        <w:suppressLineNumbers w:val="0"/>
        <w:spacing w:before="75" w:beforeAutospacing="0" w:after="75" w:afterAutospacing="0" w:line="300" w:lineRule="atLeast"/>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    最高限价（元）：500000  </w:t>
      </w:r>
    </w:p>
    <w:p>
      <w:pPr>
        <w:pStyle w:val="32"/>
        <w:keepNext w:val="0"/>
        <w:keepLines w:val="0"/>
        <w:widowControl/>
        <w:suppressLineNumbers w:val="0"/>
        <w:spacing w:before="75" w:beforeAutospacing="0" w:after="75" w:afterAutospacing="0" w:line="300" w:lineRule="atLeast"/>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    采购需求：</w:t>
      </w:r>
    </w:p>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数量：1           </w:t>
      </w:r>
    </w:p>
    <w:p>
      <w:pPr>
        <w:pStyle w:val="32"/>
        <w:keepNext w:val="0"/>
        <w:keepLines w:val="0"/>
        <w:widowControl/>
        <w:suppressLineNumbers w:val="0"/>
        <w:spacing w:before="75" w:beforeAutospacing="0" w:after="75" w:afterAutospacing="0" w:line="300" w:lineRule="atLeast"/>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   预算金额（元）：500000 </w:t>
      </w:r>
    </w:p>
    <w:p>
      <w:pPr>
        <w:pStyle w:val="32"/>
        <w:keepNext w:val="0"/>
        <w:keepLines w:val="0"/>
        <w:widowControl/>
        <w:suppressLineNumbers w:val="0"/>
        <w:spacing w:before="75" w:beforeAutospacing="0" w:after="75" w:afterAutospacing="0" w:line="300" w:lineRule="atLeast"/>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   单位：项 </w:t>
      </w:r>
    </w:p>
    <w:p>
      <w:pPr>
        <w:pStyle w:val="32"/>
        <w:keepNext w:val="0"/>
        <w:keepLines w:val="0"/>
        <w:widowControl/>
        <w:suppressLineNumbers w:val="0"/>
        <w:spacing w:before="75" w:beforeAutospacing="0" w:after="75" w:afterAutospacing="0" w:line="300" w:lineRule="atLeast"/>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   简要规格描述：无机房观光电梯1台（含电梯井架、电梯配套土建），详见磋商文件。  </w:t>
      </w:r>
    </w:p>
    <w:p>
      <w:pPr>
        <w:pStyle w:val="32"/>
        <w:keepNext w:val="0"/>
        <w:keepLines w:val="0"/>
        <w:widowControl/>
        <w:suppressLineNumbers w:val="0"/>
        <w:spacing w:before="75" w:beforeAutospacing="0" w:after="75" w:afterAutospacing="0" w:line="300" w:lineRule="atLeast"/>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   备注： </w:t>
      </w:r>
    </w:p>
    <w:p>
      <w:pPr>
        <w:pStyle w:val="32"/>
        <w:keepNext w:val="0"/>
        <w:keepLines w:val="0"/>
        <w:widowControl/>
        <w:suppressLineNumbers w:val="0"/>
        <w:spacing w:before="75" w:beforeAutospacing="0" w:after="75" w:afterAutospacing="0" w:line="300" w:lineRule="atLeast"/>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    合同履约期限：标项 1，在接到业主供货通知后60日历天内完成所有设备的安装调试工作并通过验收。   </w:t>
      </w:r>
    </w:p>
    <w:p>
      <w:pPr>
        <w:pStyle w:val="32"/>
        <w:keepNext w:val="0"/>
        <w:keepLines w:val="0"/>
        <w:widowControl/>
        <w:suppressLineNumbers w:val="0"/>
        <w:spacing w:before="75" w:beforeAutospacing="0" w:after="75" w:afterAutospacing="0" w:line="300" w:lineRule="atLeast"/>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    本项目（否）接受联合体投标。  </w:t>
      </w:r>
    </w:p>
    <w:p>
      <w:pPr>
        <w:pStyle w:val="32"/>
        <w:keepNext w:val="0"/>
        <w:keepLines w:val="0"/>
        <w:widowControl/>
        <w:suppressLineNumbers w:val="0"/>
        <w:spacing w:before="255" w:beforeAutospacing="0" w:after="255" w:afterAutospacing="0" w:line="450" w:lineRule="atLeast"/>
        <w:ind w:left="0" w:right="0"/>
        <w:jc w:val="both"/>
        <w:rPr>
          <w:rFonts w:hint="eastAsia" w:ascii="宋体" w:hAnsi="宋体" w:eastAsia="宋体" w:cs="宋体"/>
          <w:sz w:val="24"/>
          <w:szCs w:val="24"/>
        </w:rPr>
      </w:pPr>
      <w:r>
        <w:rPr>
          <w:rStyle w:val="38"/>
          <w:rFonts w:hint="eastAsia" w:ascii="宋体" w:hAnsi="宋体" w:eastAsia="宋体" w:cs="宋体"/>
          <w:i w:val="0"/>
          <w:iCs w:val="0"/>
          <w:caps w:val="0"/>
          <w:color w:val="000000"/>
          <w:spacing w:val="0"/>
          <w:sz w:val="24"/>
          <w:szCs w:val="24"/>
        </w:rPr>
        <w:t>二、申请人的资格要求：</w:t>
      </w:r>
    </w:p>
    <w:p>
      <w:pPr>
        <w:pStyle w:val="32"/>
        <w:keepNext w:val="0"/>
        <w:keepLines w:val="0"/>
        <w:widowControl/>
        <w:suppressLineNumbers w:val="0"/>
        <w:spacing w:before="75" w:beforeAutospacing="0" w:after="75" w:afterAutospacing="0" w:line="300" w:lineRule="atLeast"/>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32"/>
        <w:keepNext w:val="0"/>
        <w:keepLines w:val="0"/>
        <w:widowControl/>
        <w:suppressLineNumbers w:val="0"/>
        <w:spacing w:before="75" w:beforeAutospacing="0" w:after="75" w:afterAutospacing="0" w:line="300" w:lineRule="atLeast"/>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    2.落实政府采购政策需满足的资格要求：标项1：详见本磋商文件。 </w:t>
      </w:r>
    </w:p>
    <w:p>
      <w:pPr>
        <w:pStyle w:val="32"/>
        <w:keepNext w:val="0"/>
        <w:keepLines w:val="0"/>
        <w:widowControl/>
        <w:suppressLineNumbers w:val="0"/>
        <w:spacing w:before="75" w:beforeAutospacing="0" w:after="75" w:afterAutospacing="0" w:line="300" w:lineRule="atLeast"/>
        <w:ind w:left="0" w:right="0"/>
        <w:rPr>
          <w:rFonts w:hint="eastAsia" w:ascii="宋体" w:hAnsi="宋体" w:eastAsia="宋体" w:cs="宋体"/>
          <w:b/>
          <w:bCs/>
        </w:rPr>
      </w:pPr>
      <w:r>
        <w:rPr>
          <w:rFonts w:hint="eastAsia" w:ascii="宋体" w:hAnsi="宋体" w:eastAsia="宋体" w:cs="宋体"/>
          <w:i w:val="0"/>
          <w:iCs w:val="0"/>
          <w:caps w:val="0"/>
          <w:color w:val="000000"/>
          <w:spacing w:val="0"/>
          <w:sz w:val="24"/>
          <w:szCs w:val="24"/>
        </w:rPr>
        <w:t>    3.本项目的特定资格要求：</w:t>
      </w:r>
      <w:r>
        <w:rPr>
          <w:rFonts w:hint="eastAsia" w:ascii="宋体" w:hAnsi="宋体" w:eastAsia="宋体" w:cs="宋体"/>
          <w:b/>
          <w:bCs/>
          <w:i w:val="0"/>
          <w:iCs w:val="0"/>
          <w:caps w:val="0"/>
          <w:color w:val="000000"/>
          <w:spacing w:val="0"/>
          <w:sz w:val="24"/>
          <w:szCs w:val="24"/>
        </w:rPr>
        <w:t>标项1：具有国内独立法人资格的电梯设备生产制造商，电梯制造商具有《中华人民共和国特种设备制造许可证(电梯)》(曳引式客梯A级)、《中华人民共和国特种设备安装改造维修许可证(电梯)》(乘客电梯A级)资质。 </w:t>
      </w:r>
    </w:p>
    <w:p>
      <w:pPr>
        <w:pStyle w:val="32"/>
        <w:keepNext w:val="0"/>
        <w:keepLines w:val="0"/>
        <w:widowControl/>
        <w:suppressLineNumbers w:val="0"/>
        <w:spacing w:before="255" w:beforeAutospacing="0" w:after="255" w:afterAutospacing="0" w:line="450" w:lineRule="atLeast"/>
        <w:ind w:left="0" w:right="0"/>
        <w:jc w:val="both"/>
        <w:rPr>
          <w:rFonts w:hint="eastAsia" w:ascii="宋体" w:hAnsi="宋体" w:eastAsia="宋体" w:cs="宋体"/>
          <w:sz w:val="24"/>
          <w:szCs w:val="24"/>
        </w:rPr>
      </w:pPr>
      <w:r>
        <w:rPr>
          <w:rStyle w:val="38"/>
          <w:rFonts w:hint="eastAsia" w:ascii="宋体" w:hAnsi="宋体" w:eastAsia="宋体" w:cs="宋体"/>
          <w:i w:val="0"/>
          <w:iCs w:val="0"/>
          <w:caps w:val="0"/>
          <w:color w:val="000000"/>
          <w:spacing w:val="0"/>
          <w:sz w:val="24"/>
          <w:szCs w:val="24"/>
        </w:rPr>
        <w:t>三、获取（下载）采购文件</w:t>
      </w:r>
    </w:p>
    <w:p>
      <w:pPr>
        <w:pStyle w:val="32"/>
        <w:keepNext w:val="0"/>
        <w:keepLines w:val="0"/>
        <w:widowControl/>
        <w:suppressLineNumbers w:val="0"/>
        <w:spacing w:before="75" w:beforeAutospacing="0" w:after="75" w:afterAutospacing="0" w:line="300" w:lineRule="atLeast"/>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u w:val="none"/>
        </w:rPr>
        <w:t>时间：/至2022年08月30日，每天上午00:00至12:00，下午12:00至23:59（北京时间，线上获取法定节假日均可，线下获取文件法定节假日除外）</w:t>
      </w:r>
    </w:p>
    <w:p>
      <w:pPr>
        <w:pStyle w:val="32"/>
        <w:keepNext w:val="0"/>
        <w:keepLines w:val="0"/>
        <w:widowControl/>
        <w:suppressLineNumbers w:val="0"/>
        <w:spacing w:before="75" w:beforeAutospacing="0" w:after="75" w:afterAutospacing="0" w:line="300" w:lineRule="atLeast"/>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    地点（网址）：政采云平台（http://www.zcygov.cn）  </w:t>
      </w:r>
    </w:p>
    <w:p>
      <w:pPr>
        <w:pStyle w:val="32"/>
        <w:keepNext w:val="0"/>
        <w:keepLines w:val="0"/>
        <w:widowControl/>
        <w:suppressLineNumbers w:val="0"/>
        <w:spacing w:before="75" w:beforeAutospacing="0" w:after="75" w:afterAutospacing="0" w:line="300" w:lineRule="atLeast"/>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    方式：供应商登录政采云平台https://www.zcygov.cn/在线申请获取采购文件（进入“项目采购”应用，在获取采购文件菜单中选择项目，申请获取采购文件） </w:t>
      </w:r>
    </w:p>
    <w:p>
      <w:pPr>
        <w:pStyle w:val="32"/>
        <w:keepNext w:val="0"/>
        <w:keepLines w:val="0"/>
        <w:widowControl/>
        <w:suppressLineNumbers w:val="0"/>
        <w:spacing w:before="75" w:beforeAutospacing="0" w:after="75" w:afterAutospacing="0" w:line="300" w:lineRule="atLeast"/>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    售价（元）：0 </w:t>
      </w:r>
    </w:p>
    <w:p>
      <w:pPr>
        <w:pStyle w:val="32"/>
        <w:keepNext w:val="0"/>
        <w:keepLines w:val="0"/>
        <w:widowControl/>
        <w:suppressLineNumbers w:val="0"/>
        <w:spacing w:before="255" w:beforeAutospacing="0" w:after="255" w:afterAutospacing="0" w:line="450" w:lineRule="atLeast"/>
        <w:ind w:left="0" w:right="0"/>
        <w:jc w:val="both"/>
        <w:rPr>
          <w:rFonts w:hint="eastAsia" w:ascii="宋体" w:hAnsi="宋体" w:eastAsia="宋体" w:cs="宋体"/>
          <w:sz w:val="24"/>
          <w:szCs w:val="24"/>
        </w:rPr>
      </w:pPr>
      <w:r>
        <w:rPr>
          <w:rStyle w:val="38"/>
          <w:rFonts w:hint="eastAsia" w:ascii="宋体" w:hAnsi="宋体" w:eastAsia="宋体" w:cs="宋体"/>
          <w:i w:val="0"/>
          <w:iCs w:val="0"/>
          <w:caps w:val="0"/>
          <w:color w:val="000000"/>
          <w:spacing w:val="0"/>
          <w:sz w:val="24"/>
          <w:szCs w:val="24"/>
        </w:rPr>
        <w:t>四、响应文件提交（上传）</w:t>
      </w:r>
      <w:r>
        <w:rPr>
          <w:rFonts w:hint="eastAsia" w:ascii="宋体" w:hAnsi="宋体" w:eastAsia="宋体" w:cs="宋体"/>
          <w:i w:val="0"/>
          <w:iCs w:val="0"/>
          <w:caps w:val="0"/>
          <w:color w:val="000000"/>
          <w:spacing w:val="0"/>
          <w:sz w:val="24"/>
          <w:szCs w:val="24"/>
        </w:rPr>
        <w:t> </w:t>
      </w:r>
    </w:p>
    <w:p>
      <w:pPr>
        <w:pStyle w:val="32"/>
        <w:keepNext w:val="0"/>
        <w:keepLines w:val="0"/>
        <w:widowControl/>
        <w:suppressLineNumbers w:val="0"/>
        <w:spacing w:before="75" w:beforeAutospacing="0" w:after="75" w:afterAutospacing="0" w:line="300" w:lineRule="atLeast"/>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    截止时间：2022年08月30日 09:30（北京时间）</w:t>
      </w:r>
    </w:p>
    <w:p>
      <w:pPr>
        <w:pStyle w:val="32"/>
        <w:keepNext w:val="0"/>
        <w:keepLines w:val="0"/>
        <w:widowControl/>
        <w:suppressLineNumbers w:val="0"/>
        <w:spacing w:before="75" w:beforeAutospacing="0" w:after="75" w:afterAutospacing="0" w:line="300" w:lineRule="atLeast"/>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    地点（网址）：通过“政府采购云平台（http:// www.zcygov.cn /）”在线响应。  </w:t>
      </w:r>
    </w:p>
    <w:p>
      <w:pPr>
        <w:pStyle w:val="32"/>
        <w:keepNext w:val="0"/>
        <w:keepLines w:val="0"/>
        <w:widowControl/>
        <w:suppressLineNumbers w:val="0"/>
        <w:spacing w:before="255" w:beforeAutospacing="0" w:after="255" w:afterAutospacing="0" w:line="450" w:lineRule="atLeast"/>
        <w:ind w:left="0" w:right="0"/>
        <w:jc w:val="both"/>
        <w:rPr>
          <w:rFonts w:hint="eastAsia" w:ascii="宋体" w:hAnsi="宋体" w:eastAsia="宋体" w:cs="宋体"/>
          <w:sz w:val="24"/>
          <w:szCs w:val="24"/>
        </w:rPr>
      </w:pPr>
      <w:r>
        <w:rPr>
          <w:rStyle w:val="38"/>
          <w:rFonts w:hint="eastAsia" w:ascii="宋体" w:hAnsi="宋体" w:eastAsia="宋体" w:cs="宋体"/>
          <w:i w:val="0"/>
          <w:iCs w:val="0"/>
          <w:caps w:val="0"/>
          <w:color w:val="000000"/>
          <w:spacing w:val="0"/>
          <w:sz w:val="24"/>
          <w:szCs w:val="24"/>
        </w:rPr>
        <w:t>五、响应文件开启</w:t>
      </w:r>
      <w:r>
        <w:rPr>
          <w:rFonts w:hint="eastAsia" w:ascii="宋体" w:hAnsi="宋体" w:eastAsia="宋体" w:cs="宋体"/>
          <w:i w:val="0"/>
          <w:iCs w:val="0"/>
          <w:caps w:val="0"/>
          <w:color w:val="000000"/>
          <w:spacing w:val="0"/>
          <w:sz w:val="24"/>
          <w:szCs w:val="24"/>
        </w:rPr>
        <w:t> </w:t>
      </w:r>
    </w:p>
    <w:p>
      <w:pPr>
        <w:pStyle w:val="32"/>
        <w:keepNext w:val="0"/>
        <w:keepLines w:val="0"/>
        <w:widowControl/>
        <w:suppressLineNumbers w:val="0"/>
        <w:spacing w:before="75" w:beforeAutospacing="0" w:after="75" w:afterAutospacing="0" w:line="300" w:lineRule="atLeast"/>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    开启时间：2022年08月30日 09:30 （北京时间）</w:t>
      </w:r>
    </w:p>
    <w:p>
      <w:pPr>
        <w:pStyle w:val="32"/>
        <w:keepNext w:val="0"/>
        <w:keepLines w:val="0"/>
        <w:widowControl/>
        <w:suppressLineNumbers w:val="0"/>
        <w:spacing w:before="75" w:beforeAutospacing="0" w:after="75" w:afterAutospacing="0" w:line="300" w:lineRule="atLeast"/>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    地点（网址）：长兴县公共资源交易中心（长兴县锦绣路8号）4楼三号开标室（具体以电子屏幕今日交易场地安排为准） </w:t>
      </w:r>
    </w:p>
    <w:p>
      <w:pPr>
        <w:pStyle w:val="32"/>
        <w:keepNext w:val="0"/>
        <w:keepLines w:val="0"/>
        <w:widowControl/>
        <w:suppressLineNumbers w:val="0"/>
        <w:spacing w:before="255" w:beforeAutospacing="0" w:after="255" w:afterAutospacing="0" w:line="450" w:lineRule="atLeast"/>
        <w:ind w:left="0" w:right="0"/>
        <w:jc w:val="both"/>
        <w:rPr>
          <w:rFonts w:hint="eastAsia" w:ascii="宋体" w:hAnsi="宋体" w:eastAsia="宋体" w:cs="宋体"/>
          <w:sz w:val="24"/>
          <w:szCs w:val="24"/>
        </w:rPr>
      </w:pPr>
      <w:r>
        <w:rPr>
          <w:rStyle w:val="38"/>
          <w:rFonts w:hint="eastAsia" w:ascii="宋体" w:hAnsi="宋体" w:eastAsia="宋体" w:cs="宋体"/>
          <w:i w:val="0"/>
          <w:iCs w:val="0"/>
          <w:caps w:val="0"/>
          <w:color w:val="000000"/>
          <w:spacing w:val="0"/>
          <w:sz w:val="24"/>
          <w:szCs w:val="24"/>
        </w:rPr>
        <w:t>六、公告期限</w:t>
      </w:r>
    </w:p>
    <w:p>
      <w:pPr>
        <w:pStyle w:val="32"/>
        <w:keepNext w:val="0"/>
        <w:keepLines w:val="0"/>
        <w:widowControl/>
        <w:suppressLineNumbers w:val="0"/>
        <w:spacing w:before="75" w:beforeAutospacing="0" w:after="75" w:afterAutospacing="0"/>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    自本公告发布之日起3个工作日。</w:t>
      </w:r>
    </w:p>
    <w:p>
      <w:pPr>
        <w:pStyle w:val="32"/>
        <w:keepNext w:val="0"/>
        <w:keepLines w:val="0"/>
        <w:widowControl/>
        <w:suppressLineNumbers w:val="0"/>
        <w:spacing w:before="255" w:beforeAutospacing="0" w:after="255" w:afterAutospacing="0" w:line="450" w:lineRule="atLeast"/>
        <w:ind w:left="0" w:right="0"/>
        <w:jc w:val="both"/>
        <w:rPr>
          <w:rFonts w:hint="eastAsia" w:ascii="宋体" w:hAnsi="宋体" w:eastAsia="宋体" w:cs="宋体"/>
          <w:sz w:val="24"/>
          <w:szCs w:val="24"/>
        </w:rPr>
      </w:pPr>
      <w:r>
        <w:rPr>
          <w:rStyle w:val="38"/>
          <w:rFonts w:hint="eastAsia" w:ascii="宋体" w:hAnsi="宋体" w:eastAsia="宋体" w:cs="宋体"/>
          <w:i w:val="0"/>
          <w:iCs w:val="0"/>
          <w:caps w:val="0"/>
          <w:color w:val="000000"/>
          <w:spacing w:val="0"/>
          <w:sz w:val="24"/>
          <w:szCs w:val="24"/>
        </w:rPr>
        <w:t>七、其他补充事宜</w:t>
      </w:r>
      <w:r>
        <w:rPr>
          <w:rFonts w:hint="eastAsia" w:ascii="宋体" w:hAnsi="宋体" w:eastAsia="宋体" w:cs="宋体"/>
          <w:i w:val="0"/>
          <w:iCs w:val="0"/>
          <w:caps w:val="0"/>
          <w:color w:val="000000"/>
          <w:spacing w:val="0"/>
          <w:sz w:val="24"/>
          <w:szCs w:val="24"/>
        </w:rPr>
        <w:t> </w:t>
      </w:r>
    </w:p>
    <w:p>
      <w:pPr>
        <w:pStyle w:val="32"/>
        <w:keepNext w:val="0"/>
        <w:keepLines w:val="0"/>
        <w:widowControl/>
        <w:suppressLineNumbers w:val="0"/>
        <w:spacing w:before="75" w:beforeAutospacing="0" w:after="75" w:afterAutospacing="0" w:line="315" w:lineRule="atLeast"/>
        <w:ind w:left="0" w:right="0"/>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    1.供应商认为采购文件使自己的权益受到损害的，可以自获取采购文件之日或者采购文件公告期限届满之日（公告期限届满后获取采购文件的，以公告期限届满之日为准）起7个工作日内，</w:t>
      </w:r>
      <w:r>
        <w:rPr>
          <w:rFonts w:hint="eastAsia" w:ascii="宋体" w:hAnsi="宋体" w:eastAsia="宋体" w:cs="宋体"/>
          <w:i w:val="0"/>
          <w:iCs w:val="0"/>
          <w:caps w:val="0"/>
          <w:color w:val="000000"/>
          <w:spacing w:val="0"/>
          <w:sz w:val="24"/>
          <w:szCs w:val="24"/>
          <w:shd w:val="clear" w:fill="FFFFFF"/>
        </w:rPr>
        <w:t>对采购文件需求的以书面形式向采购人提出质疑，对其他内容的以书面形式向采购人和采购代理机构提出质疑。</w:t>
      </w:r>
      <w:r>
        <w:rPr>
          <w:rFonts w:hint="eastAsia" w:ascii="宋体" w:hAnsi="宋体" w:eastAsia="宋体" w:cs="宋体"/>
          <w:i w:val="0"/>
          <w:iCs w:val="0"/>
          <w:caps w:val="0"/>
          <w:color w:val="000000"/>
          <w:spacing w:val="0"/>
          <w:sz w:val="24"/>
          <w:szCs w:val="24"/>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2"/>
        <w:keepNext w:val="0"/>
        <w:keepLines w:val="0"/>
        <w:widowControl/>
        <w:suppressLineNumbers w:val="0"/>
        <w:spacing w:before="75" w:beforeAutospacing="0" w:after="75" w:afterAutospacing="0" w:line="315" w:lineRule="atLeast"/>
        <w:ind w:left="0" w:right="0"/>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    2.其他事项：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助力扎实稳住经济的通知》（浙财采监〔2022〕8号）已分别于2022年1月29日、2022年2月1日和2022年7月1日起开始实施，此前有关规定与上述文件内容不一致的，按上述文件要求执行。</w:t>
      </w:r>
    </w:p>
    <w:p>
      <w:pPr>
        <w:pStyle w:val="32"/>
        <w:keepNext w:val="0"/>
        <w:keepLines w:val="0"/>
        <w:widowControl/>
        <w:suppressLineNumbers w:val="0"/>
        <w:spacing w:before="75" w:beforeAutospacing="0" w:after="75" w:afterAutospacing="0" w:line="315" w:lineRule="atLeast"/>
        <w:ind w:left="0" w:right="0"/>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32"/>
        <w:keepNext w:val="0"/>
        <w:keepLines w:val="0"/>
        <w:widowControl/>
        <w:suppressLineNumbers w:val="0"/>
        <w:spacing w:before="75" w:beforeAutospacing="0" w:after="75" w:afterAutospacing="0" w:line="315" w:lineRule="atLeast"/>
        <w:ind w:left="0" w:right="0"/>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2"/>
        <w:keepNext w:val="0"/>
        <w:keepLines w:val="0"/>
        <w:widowControl/>
        <w:suppressLineNumbers w:val="0"/>
        <w:spacing w:before="75" w:beforeAutospacing="0" w:after="75" w:afterAutospacing="0" w:line="315" w:lineRule="atLeast"/>
        <w:ind w:left="0" w:right="0"/>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    4.其他事项：（1）说明：</w:t>
      </w:r>
    </w:p>
    <w:p>
      <w:pPr>
        <w:pStyle w:val="32"/>
        <w:keepNext w:val="0"/>
        <w:keepLines w:val="0"/>
        <w:widowControl/>
        <w:suppressLineNumbers w:val="0"/>
        <w:spacing w:before="75" w:beforeAutospacing="0" w:after="75" w:afterAutospacing="0" w:line="315" w:lineRule="atLeast"/>
        <w:ind w:left="0" w:right="0"/>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A.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允许参加本次采购活动。</w:t>
      </w:r>
    </w:p>
    <w:p>
      <w:pPr>
        <w:pStyle w:val="32"/>
        <w:keepNext w:val="0"/>
        <w:keepLines w:val="0"/>
        <w:widowControl/>
        <w:suppressLineNumbers w:val="0"/>
        <w:spacing w:before="75" w:beforeAutospacing="0" w:after="75" w:afterAutospacing="0" w:line="315" w:lineRule="atLeast"/>
        <w:ind w:left="0" w:right="0"/>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B.单位负责人为同一人或者存在直接控股、管理关系的不同供应商，不得同时参加同一合同项下的投标。</w:t>
      </w:r>
    </w:p>
    <w:p>
      <w:pPr>
        <w:pStyle w:val="32"/>
        <w:keepNext w:val="0"/>
        <w:keepLines w:val="0"/>
        <w:widowControl/>
        <w:suppressLineNumbers w:val="0"/>
        <w:spacing w:before="75" w:beforeAutospacing="0" w:after="75" w:afterAutospacing="0" w:line="315" w:lineRule="atLeast"/>
        <w:ind w:left="0" w:right="0"/>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（2）本项目采取电子招投标，电子招投标有关事项说明：</w:t>
      </w:r>
    </w:p>
    <w:p>
      <w:pPr>
        <w:pStyle w:val="32"/>
        <w:keepNext w:val="0"/>
        <w:keepLines w:val="0"/>
        <w:widowControl/>
        <w:suppressLineNumbers w:val="0"/>
        <w:spacing w:before="75" w:beforeAutospacing="0" w:after="75" w:afterAutospacing="0" w:line="315" w:lineRule="atLeast"/>
        <w:ind w:left="0" w:right="0"/>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A.本项目通过“浙江政府采购网（http://zfcg.czt.zj.gov.cn）”实行电子投标，</w:t>
      </w:r>
      <w:bookmarkStart w:id="908" w:name="_GoBack"/>
      <w:bookmarkEnd w:id="908"/>
      <w:r>
        <w:rPr>
          <w:rFonts w:hint="eastAsia" w:ascii="宋体" w:hAnsi="宋体" w:eastAsia="宋体" w:cs="宋体"/>
          <w:i w:val="0"/>
          <w:iCs w:val="0"/>
          <w:caps w:val="0"/>
          <w:color w:val="000000"/>
          <w:spacing w:val="0"/>
          <w:sz w:val="24"/>
          <w:szCs w:val="24"/>
        </w:rPr>
        <w:t>供应商须安装客户端软件，并按照采购文件和电子交易平台的要求制作响应文件。</w:t>
      </w:r>
    </w:p>
    <w:p>
      <w:pPr>
        <w:pStyle w:val="32"/>
        <w:keepNext w:val="0"/>
        <w:keepLines w:val="0"/>
        <w:widowControl/>
        <w:suppressLineNumbers w:val="0"/>
        <w:spacing w:before="75" w:beforeAutospacing="0" w:after="75" w:afterAutospacing="0" w:line="315" w:lineRule="atLeast"/>
        <w:ind w:left="0" w:right="0"/>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客户端软件下载方式：供应商可通过“浙江政府采购网-下载专区-电子交易客户端”进行下载。</w:t>
      </w:r>
    </w:p>
    <w:p>
      <w:pPr>
        <w:pStyle w:val="32"/>
        <w:keepNext w:val="0"/>
        <w:keepLines w:val="0"/>
        <w:widowControl/>
        <w:suppressLineNumbers w:val="0"/>
        <w:spacing w:before="75" w:beforeAutospacing="0" w:after="75" w:afterAutospacing="0" w:line="315" w:lineRule="atLeast"/>
        <w:ind w:left="0" w:right="0"/>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B.供应商须申领CA，并在浙江政府采购网完成绑定方可进行响应文件的编制，CA相关操作可参考“浙江政府采购网-下载专区-电子交易客户端-CA驱动和申领流程”。</w:t>
      </w:r>
    </w:p>
    <w:p>
      <w:pPr>
        <w:pStyle w:val="32"/>
        <w:keepNext w:val="0"/>
        <w:keepLines w:val="0"/>
        <w:widowControl/>
        <w:suppressLineNumbers w:val="0"/>
        <w:spacing w:before="75" w:beforeAutospacing="0" w:after="75" w:afterAutospacing="0" w:line="315" w:lineRule="atLeast"/>
        <w:ind w:left="0" w:right="0"/>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C.本项目是否专门面向中小企业采购：否。</w:t>
      </w:r>
    </w:p>
    <w:p>
      <w:pPr>
        <w:pStyle w:val="32"/>
        <w:keepNext w:val="0"/>
        <w:keepLines w:val="0"/>
        <w:widowControl/>
        <w:suppressLineNumbers w:val="0"/>
        <w:spacing w:before="75" w:beforeAutospacing="0" w:after="75" w:afterAutospacing="0" w:line="315" w:lineRule="atLeast"/>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D.本项目落实《政府采购促进中小企业发展管理办法》（财库【2020】46号）。  </w:t>
      </w:r>
    </w:p>
    <w:p>
      <w:pPr>
        <w:pStyle w:val="32"/>
        <w:keepNext w:val="0"/>
        <w:keepLines w:val="0"/>
        <w:widowControl/>
        <w:suppressLineNumbers w:val="0"/>
        <w:spacing w:before="255" w:beforeAutospacing="0" w:after="255" w:afterAutospacing="0" w:line="480" w:lineRule="atLeast"/>
        <w:ind w:left="0" w:right="0"/>
        <w:jc w:val="both"/>
        <w:rPr>
          <w:rFonts w:hint="eastAsia" w:ascii="宋体" w:hAnsi="宋体" w:eastAsia="宋体" w:cs="宋体"/>
          <w:sz w:val="24"/>
          <w:szCs w:val="24"/>
        </w:rPr>
      </w:pPr>
      <w:r>
        <w:rPr>
          <w:rStyle w:val="38"/>
          <w:rFonts w:hint="eastAsia" w:ascii="宋体" w:hAnsi="宋体" w:eastAsia="宋体" w:cs="宋体"/>
          <w:i w:val="0"/>
          <w:iCs w:val="0"/>
          <w:caps w:val="0"/>
          <w:color w:val="000000"/>
          <w:spacing w:val="0"/>
          <w:sz w:val="24"/>
          <w:szCs w:val="24"/>
        </w:rPr>
        <w:t>八、凡对本次招标提出询问、质疑、投诉，请按以下方式联系</w:t>
      </w:r>
    </w:p>
    <w:p>
      <w:pPr>
        <w:pStyle w:val="32"/>
        <w:keepNext w:val="0"/>
        <w:keepLines w:val="0"/>
        <w:widowControl/>
        <w:suppressLineNumbers w:val="0"/>
        <w:spacing w:before="75" w:beforeAutospacing="0" w:after="75"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    1.采购人信息</w:t>
      </w:r>
    </w:p>
    <w:p>
      <w:pPr>
        <w:pStyle w:val="32"/>
        <w:keepNext w:val="0"/>
        <w:keepLines w:val="0"/>
        <w:widowControl/>
        <w:suppressLineNumbers w:val="0"/>
        <w:spacing w:before="75" w:beforeAutospacing="0" w:after="75"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    名    称：长兴县退役军人事务局 </w:t>
      </w:r>
    </w:p>
    <w:p>
      <w:pPr>
        <w:pStyle w:val="32"/>
        <w:keepNext w:val="0"/>
        <w:keepLines w:val="0"/>
        <w:widowControl/>
        <w:suppressLineNumbers w:val="0"/>
        <w:spacing w:before="75" w:beforeAutospacing="0" w:after="75"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    地    址：长兴县金陵中路506号 </w:t>
      </w:r>
    </w:p>
    <w:p>
      <w:pPr>
        <w:pStyle w:val="32"/>
        <w:keepNext w:val="0"/>
        <w:keepLines w:val="0"/>
        <w:widowControl/>
        <w:suppressLineNumbers w:val="0"/>
        <w:spacing w:before="75" w:beforeAutospacing="0" w:after="75"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    传    真： </w:t>
      </w:r>
    </w:p>
    <w:p>
      <w:pPr>
        <w:pStyle w:val="32"/>
        <w:keepNext w:val="0"/>
        <w:keepLines w:val="0"/>
        <w:widowControl/>
        <w:suppressLineNumbers w:val="0"/>
        <w:spacing w:before="75" w:beforeAutospacing="0" w:after="75"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    项目联系人（询问）：屈星辰 </w:t>
      </w:r>
    </w:p>
    <w:p>
      <w:pPr>
        <w:pStyle w:val="32"/>
        <w:keepNext w:val="0"/>
        <w:keepLines w:val="0"/>
        <w:widowControl/>
        <w:suppressLineNumbers w:val="0"/>
        <w:spacing w:before="75" w:beforeAutospacing="0" w:after="75"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    项目联系方式（询问）：0572-6292176  </w:t>
      </w:r>
    </w:p>
    <w:p>
      <w:pPr>
        <w:pStyle w:val="32"/>
        <w:keepNext w:val="0"/>
        <w:keepLines w:val="0"/>
        <w:widowControl/>
        <w:suppressLineNumbers w:val="0"/>
        <w:spacing w:before="75" w:beforeAutospacing="0" w:after="75"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    质疑联系人：沈宏浪 </w:t>
      </w:r>
    </w:p>
    <w:p>
      <w:pPr>
        <w:pStyle w:val="32"/>
        <w:keepNext w:val="0"/>
        <w:keepLines w:val="0"/>
        <w:widowControl/>
        <w:suppressLineNumbers w:val="0"/>
        <w:spacing w:before="75" w:beforeAutospacing="0" w:after="75"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    质疑联系方式：13665757532 </w:t>
      </w:r>
    </w:p>
    <w:p>
      <w:pPr>
        <w:pStyle w:val="32"/>
        <w:keepNext w:val="0"/>
        <w:keepLines w:val="0"/>
        <w:widowControl/>
        <w:suppressLineNumbers w:val="0"/>
        <w:spacing w:before="75" w:beforeAutospacing="0" w:after="75" w:afterAutospacing="0" w:line="240" w:lineRule="auto"/>
        <w:ind w:left="0" w:right="0"/>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   </w:t>
      </w:r>
    </w:p>
    <w:p>
      <w:pPr>
        <w:pStyle w:val="32"/>
        <w:keepNext w:val="0"/>
        <w:keepLines w:val="0"/>
        <w:widowControl/>
        <w:suppressLineNumbers w:val="0"/>
        <w:spacing w:before="75" w:beforeAutospacing="0" w:after="75"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    2.采购代理机构信息</w:t>
      </w:r>
    </w:p>
    <w:p>
      <w:pPr>
        <w:pStyle w:val="32"/>
        <w:keepNext w:val="0"/>
        <w:keepLines w:val="0"/>
        <w:widowControl/>
        <w:suppressLineNumbers w:val="0"/>
        <w:spacing w:before="75" w:beforeAutospacing="0" w:after="75"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    名    称：长兴县政府采购中心 </w:t>
      </w:r>
    </w:p>
    <w:p>
      <w:pPr>
        <w:pStyle w:val="32"/>
        <w:keepNext w:val="0"/>
        <w:keepLines w:val="0"/>
        <w:widowControl/>
        <w:suppressLineNumbers w:val="0"/>
        <w:spacing w:before="75" w:beforeAutospacing="0" w:after="75"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    地    址：长兴县锦绣路8号 </w:t>
      </w:r>
    </w:p>
    <w:p>
      <w:pPr>
        <w:pStyle w:val="32"/>
        <w:keepNext w:val="0"/>
        <w:keepLines w:val="0"/>
        <w:widowControl/>
        <w:suppressLineNumbers w:val="0"/>
        <w:spacing w:before="75" w:beforeAutospacing="0" w:after="75"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    传    真：0572-6558023  </w:t>
      </w:r>
    </w:p>
    <w:p>
      <w:pPr>
        <w:pStyle w:val="32"/>
        <w:keepNext w:val="0"/>
        <w:keepLines w:val="0"/>
        <w:widowControl/>
        <w:suppressLineNumbers w:val="0"/>
        <w:spacing w:before="75" w:beforeAutospacing="0" w:after="75"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    项目联系人（询问）：陈芳媛 </w:t>
      </w:r>
    </w:p>
    <w:p>
      <w:pPr>
        <w:pStyle w:val="32"/>
        <w:keepNext w:val="0"/>
        <w:keepLines w:val="0"/>
        <w:widowControl/>
        <w:suppressLineNumbers w:val="0"/>
        <w:spacing w:before="75" w:beforeAutospacing="0" w:after="75"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    项目联系方式（询问）：0572-6265653  </w:t>
      </w:r>
    </w:p>
    <w:p>
      <w:pPr>
        <w:pStyle w:val="32"/>
        <w:keepNext w:val="0"/>
        <w:keepLines w:val="0"/>
        <w:widowControl/>
        <w:suppressLineNumbers w:val="0"/>
        <w:spacing w:before="75" w:beforeAutospacing="0" w:after="75"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    质疑联系人：姚国强 </w:t>
      </w:r>
    </w:p>
    <w:p>
      <w:pPr>
        <w:pStyle w:val="32"/>
        <w:keepNext w:val="0"/>
        <w:keepLines w:val="0"/>
        <w:widowControl/>
        <w:suppressLineNumbers w:val="0"/>
        <w:spacing w:before="75" w:beforeAutospacing="0" w:after="75"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    质疑联系方式：0572-6558023  </w:t>
      </w:r>
    </w:p>
    <w:p>
      <w:pPr>
        <w:pStyle w:val="32"/>
        <w:keepNext w:val="0"/>
        <w:keepLines w:val="0"/>
        <w:widowControl/>
        <w:suppressLineNumbers w:val="0"/>
        <w:spacing w:before="75" w:beforeAutospacing="0" w:after="75" w:afterAutospacing="0" w:line="240" w:lineRule="auto"/>
        <w:ind w:left="0" w:right="0"/>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   </w:t>
      </w:r>
    </w:p>
    <w:p>
      <w:pPr>
        <w:pStyle w:val="32"/>
        <w:keepNext w:val="0"/>
        <w:keepLines w:val="0"/>
        <w:widowControl/>
        <w:suppressLineNumbers w:val="0"/>
        <w:spacing w:before="75" w:beforeAutospacing="0" w:after="75"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    3.同级政府采购监督管理部门</w:t>
      </w:r>
    </w:p>
    <w:p>
      <w:pPr>
        <w:pStyle w:val="32"/>
        <w:keepNext w:val="0"/>
        <w:keepLines w:val="0"/>
        <w:widowControl/>
        <w:suppressLineNumbers w:val="0"/>
        <w:spacing w:before="75" w:beforeAutospacing="0" w:after="75"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    名    称：长兴县财政局政府采购监管科 </w:t>
      </w:r>
    </w:p>
    <w:p>
      <w:pPr>
        <w:pStyle w:val="32"/>
        <w:keepNext w:val="0"/>
        <w:keepLines w:val="0"/>
        <w:widowControl/>
        <w:suppressLineNumbers w:val="0"/>
        <w:spacing w:before="75" w:beforeAutospacing="0" w:after="75"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    地    址：长兴县建设商务楼五楼  </w:t>
      </w:r>
    </w:p>
    <w:p>
      <w:pPr>
        <w:pStyle w:val="32"/>
        <w:keepNext w:val="0"/>
        <w:keepLines w:val="0"/>
        <w:widowControl/>
        <w:suppressLineNumbers w:val="0"/>
        <w:spacing w:before="75" w:beforeAutospacing="0" w:after="75"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    传    真：/ </w:t>
      </w:r>
    </w:p>
    <w:p>
      <w:pPr>
        <w:pStyle w:val="32"/>
        <w:keepNext w:val="0"/>
        <w:keepLines w:val="0"/>
        <w:widowControl/>
        <w:suppressLineNumbers w:val="0"/>
        <w:spacing w:before="75" w:beforeAutospacing="0" w:after="75"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    联系人 ：佘志印 </w:t>
      </w:r>
    </w:p>
    <w:p>
      <w:pPr>
        <w:pStyle w:val="32"/>
        <w:keepNext w:val="0"/>
        <w:keepLines w:val="0"/>
        <w:widowControl/>
        <w:suppressLineNumbers w:val="0"/>
        <w:spacing w:before="75" w:beforeAutospacing="0" w:after="75"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    监督投诉电话：0572-6027789</w:t>
      </w:r>
    </w:p>
    <w:p>
      <w:pPr>
        <w:keepNext w:val="0"/>
        <w:keepLines w:val="0"/>
        <w:widowControl/>
        <w:suppressLineNumbers w:val="0"/>
        <w:jc w:val="left"/>
        <w:rPr>
          <w:rFonts w:hint="eastAsia" w:ascii="宋体" w:hAnsi="宋体" w:eastAsia="宋体" w:cs="宋体"/>
          <w:i w:val="0"/>
          <w:iCs w:val="0"/>
          <w:caps w:val="0"/>
          <w:color w:val="000000"/>
          <w:spacing w:val="0"/>
          <w:kern w:val="0"/>
          <w:sz w:val="24"/>
          <w:szCs w:val="24"/>
          <w:lang w:val="en-US" w:eastAsia="zh-CN" w:bidi="ar"/>
        </w:rPr>
      </w:pPr>
    </w:p>
    <w:p>
      <w:pPr>
        <w:keepNext w:val="0"/>
        <w:keepLines w:val="0"/>
        <w:widowControl/>
        <w:suppressLineNumbers w:val="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     </w:t>
      </w:r>
    </w:p>
    <w:p>
      <w:pPr>
        <w:pStyle w:val="32"/>
        <w:keepNext w:val="0"/>
        <w:keepLines w:val="0"/>
        <w:widowControl/>
        <w:suppressLineNumbers w:val="0"/>
        <w:spacing w:before="75" w:beforeAutospacing="0" w:after="75" w:afterAutospacing="0"/>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若对项目采购电子交易系统操作有疑问，可登录政采云（https://www.zcygov.cn/），点击右侧咨询小采，获取采小蜜智能服务管家帮助，或拨打政采云服务热线400-881-7190获取热线服务帮助。        </w:t>
      </w:r>
    </w:p>
    <w:p>
      <w:pPr>
        <w:pStyle w:val="32"/>
        <w:keepNext w:val="0"/>
        <w:keepLines w:val="0"/>
        <w:widowControl/>
        <w:suppressLineNumbers w:val="0"/>
        <w:spacing w:before="75" w:beforeAutospacing="0" w:after="75" w:afterAutospacing="0"/>
        <w:ind w:left="0" w:right="0"/>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CA问题联系电话（人工）：汇信CA 400-888-4636；天谷CA 400-087-8198。</w:t>
      </w:r>
    </w:p>
    <w:p>
      <w:pPr>
        <w:pStyle w:val="32"/>
        <w:keepNext w:val="0"/>
        <w:keepLines w:val="0"/>
        <w:widowControl/>
        <w:suppressLineNumbers w:val="0"/>
        <w:spacing w:before="75" w:beforeAutospacing="0" w:after="75" w:afterAutospacing="0"/>
        <w:ind w:left="0" w:right="0"/>
        <w:rPr>
          <w:rFonts w:hint="eastAsia" w:ascii="宋体" w:hAnsi="宋体" w:eastAsia="宋体" w:cs="宋体"/>
        </w:rPr>
      </w:pPr>
      <w:r>
        <w:rPr>
          <w:rFonts w:hint="eastAsia" w:ascii="宋体" w:hAnsi="宋体" w:eastAsia="宋体" w:cs="宋体"/>
          <w:i w:val="0"/>
          <w:iCs w:val="0"/>
          <w:caps w:val="0"/>
          <w:color w:val="000000"/>
          <w:spacing w:val="0"/>
          <w:sz w:val="24"/>
          <w:szCs w:val="24"/>
        </w:rPr>
        <w:t> </w:t>
      </w:r>
    </w:p>
    <w:p>
      <w:pPr>
        <w:pStyle w:val="32"/>
        <w:keepNext w:val="0"/>
        <w:keepLines w:val="0"/>
        <w:widowControl/>
        <w:suppressLineNumbers w:val="0"/>
        <w:spacing w:before="75" w:beforeAutospacing="0" w:after="75" w:afterAutospacing="0"/>
        <w:ind w:left="0" w:right="0"/>
        <w:rPr>
          <w:highlight w:val="none"/>
        </w:rPr>
      </w:pPr>
      <w:r>
        <w:rPr>
          <w:rFonts w:hint="eastAsia" w:ascii="仿宋" w:hAnsi="仿宋" w:eastAsia="仿宋" w:cs="仿宋"/>
          <w:i w:val="0"/>
          <w:iCs w:val="0"/>
          <w:caps w:val="0"/>
          <w:color w:val="000000"/>
          <w:spacing w:val="0"/>
          <w:sz w:val="24"/>
          <w:szCs w:val="24"/>
          <w:highlight w:val="none"/>
        </w:rPr>
        <w:t> </w:t>
      </w:r>
    </w:p>
    <w:p>
      <w:pPr>
        <w:pStyle w:val="32"/>
        <w:keepNext w:val="0"/>
        <w:keepLines w:val="0"/>
        <w:widowControl/>
        <w:suppressLineNumbers w:val="0"/>
        <w:spacing w:before="75" w:beforeAutospacing="0" w:after="75" w:afterAutospacing="0" w:line="240" w:lineRule="auto"/>
        <w:ind w:left="0" w:right="0"/>
        <w:rPr>
          <w:sz w:val="24"/>
          <w:szCs w:val="24"/>
          <w:highlight w:val="none"/>
        </w:rPr>
      </w:pPr>
      <w:r>
        <w:rPr>
          <w:rFonts w:hint="eastAsia" w:ascii="仿宋" w:hAnsi="仿宋" w:eastAsia="仿宋" w:cs="仿宋"/>
          <w:i w:val="0"/>
          <w:iCs w:val="0"/>
          <w:caps w:val="0"/>
          <w:color w:val="000000"/>
          <w:spacing w:val="0"/>
          <w:sz w:val="24"/>
          <w:szCs w:val="24"/>
          <w:highlight w:val="none"/>
        </w:rPr>
        <w:t> </w:t>
      </w:r>
    </w:p>
    <w:p>
      <w:pPr>
        <w:keepNext/>
        <w:keepLines/>
        <w:pageBreakBefore/>
        <w:jc w:val="center"/>
        <w:outlineLvl w:val="1"/>
        <w:rPr>
          <w:rFonts w:ascii="黑体" w:eastAsia="黑体"/>
          <w:b/>
          <w:sz w:val="32"/>
          <w:szCs w:val="32"/>
          <w:highlight w:val="none"/>
        </w:rPr>
      </w:pPr>
      <w:r>
        <w:rPr>
          <w:rFonts w:hint="eastAsia" w:ascii="黑体" w:eastAsia="黑体"/>
          <w:b/>
          <w:sz w:val="32"/>
          <w:szCs w:val="32"/>
          <w:highlight w:val="none"/>
        </w:rPr>
        <w:t>第二章  参加磋商须知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rPr>
          <w:highlight w:val="none"/>
        </w:rPr>
      </w:pPr>
      <w:bookmarkStart w:id="36" w:name="EBd97264735beb4764bbcaafb4116046b1"/>
      <w:bookmarkEnd w:id="36"/>
      <w:bookmarkStart w:id="37" w:name="EB9034c46d7d964a8a87f0998975b54e0b"/>
      <w:bookmarkEnd w:id="37"/>
    </w:p>
    <w:p>
      <w:pPr>
        <w:jc w:val="center"/>
        <w:outlineLvl w:val="2"/>
        <w:rPr>
          <w:rFonts w:ascii="黑体" w:eastAsia="黑体"/>
          <w:sz w:val="28"/>
          <w:szCs w:val="28"/>
          <w:highlight w:val="none"/>
        </w:rPr>
      </w:pPr>
      <w:bookmarkStart w:id="38" w:name="_Toc491794610"/>
      <w:bookmarkStart w:id="39" w:name="_Toc491789529"/>
      <w:bookmarkStart w:id="40" w:name="_Toc256000003"/>
      <w:bookmarkStart w:id="41" w:name="_Toc2648"/>
      <w:bookmarkStart w:id="42" w:name="_Toc491790093"/>
      <w:r>
        <w:rPr>
          <w:rFonts w:hint="eastAsia" w:ascii="黑体" w:eastAsia="黑体"/>
          <w:sz w:val="28"/>
          <w:szCs w:val="28"/>
          <w:highlight w:val="none"/>
        </w:rPr>
        <w:t>供应商须知前附表</w:t>
      </w:r>
      <w:bookmarkEnd w:id="38"/>
      <w:bookmarkEnd w:id="39"/>
      <w:bookmarkEnd w:id="40"/>
      <w:bookmarkEnd w:id="41"/>
      <w:bookmarkEnd w:id="42"/>
    </w:p>
    <w:p>
      <w:pPr>
        <w:jc w:val="left"/>
        <w:rPr>
          <w:rFonts w:ascii="宋体"/>
          <w:szCs w:val="21"/>
          <w:highlight w:val="none"/>
        </w:rPr>
      </w:pPr>
    </w:p>
    <w:tbl>
      <w:tblPr>
        <w:tblStyle w:val="3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717"/>
        <w:gridCol w:w="4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194" w:type="dxa"/>
            <w:vAlign w:val="center"/>
          </w:tcPr>
          <w:p>
            <w:pPr>
              <w:jc w:val="center"/>
              <w:rPr>
                <w:rFonts w:ascii="宋体"/>
                <w:b/>
                <w:sz w:val="28"/>
                <w:szCs w:val="28"/>
                <w:highlight w:val="none"/>
              </w:rPr>
            </w:pPr>
            <w:r>
              <w:rPr>
                <w:rFonts w:hint="eastAsia" w:ascii="宋体"/>
                <w:b/>
                <w:sz w:val="28"/>
                <w:szCs w:val="28"/>
                <w:highlight w:val="none"/>
              </w:rPr>
              <w:t>条款号</w:t>
            </w:r>
          </w:p>
        </w:tc>
        <w:tc>
          <w:tcPr>
            <w:tcW w:w="2717" w:type="dxa"/>
            <w:vAlign w:val="center"/>
          </w:tcPr>
          <w:p>
            <w:pPr>
              <w:jc w:val="center"/>
              <w:rPr>
                <w:rFonts w:ascii="宋体"/>
                <w:b/>
                <w:sz w:val="28"/>
                <w:szCs w:val="28"/>
                <w:highlight w:val="none"/>
              </w:rPr>
            </w:pPr>
            <w:r>
              <w:rPr>
                <w:rFonts w:hint="eastAsia" w:ascii="宋体"/>
                <w:b/>
                <w:sz w:val="28"/>
                <w:szCs w:val="28"/>
                <w:highlight w:val="none"/>
              </w:rPr>
              <w:t>条 款 名 称</w:t>
            </w:r>
          </w:p>
        </w:tc>
        <w:tc>
          <w:tcPr>
            <w:tcW w:w="4986" w:type="dxa"/>
            <w:vAlign w:val="center"/>
          </w:tcPr>
          <w:p>
            <w:pPr>
              <w:jc w:val="center"/>
              <w:rPr>
                <w:rFonts w:ascii="宋体"/>
                <w:b/>
                <w:sz w:val="28"/>
                <w:szCs w:val="28"/>
                <w:highlight w:val="none"/>
              </w:rPr>
            </w:pPr>
            <w:r>
              <w:rPr>
                <w:rFonts w:hint="eastAsia" w:ascii="宋体"/>
                <w:b/>
                <w:sz w:val="28"/>
                <w:szCs w:val="28"/>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194" w:type="dxa"/>
            <w:vAlign w:val="center"/>
          </w:tcPr>
          <w:p>
            <w:pPr>
              <w:autoSpaceDE w:val="0"/>
              <w:autoSpaceDN w:val="0"/>
              <w:spacing w:line="400" w:lineRule="exact"/>
              <w:jc w:val="center"/>
              <w:rPr>
                <w:rFonts w:ascii="宋体"/>
                <w:sz w:val="24"/>
                <w:szCs w:val="24"/>
                <w:highlight w:val="none"/>
              </w:rPr>
            </w:pPr>
            <w:r>
              <w:rPr>
                <w:rFonts w:hint="eastAsia" w:ascii="宋体"/>
                <w:sz w:val="24"/>
                <w:szCs w:val="24"/>
                <w:highlight w:val="none"/>
              </w:rPr>
              <w:t>1.1.4</w:t>
            </w:r>
          </w:p>
        </w:tc>
        <w:tc>
          <w:tcPr>
            <w:tcW w:w="2717" w:type="dxa"/>
            <w:vAlign w:val="center"/>
          </w:tcPr>
          <w:p>
            <w:pPr>
              <w:autoSpaceDE w:val="0"/>
              <w:autoSpaceDN w:val="0"/>
              <w:spacing w:line="400" w:lineRule="exact"/>
              <w:ind w:firstLine="480" w:firstLineChars="200"/>
              <w:rPr>
                <w:rFonts w:ascii="宋体"/>
                <w:sz w:val="24"/>
                <w:szCs w:val="24"/>
                <w:highlight w:val="none"/>
              </w:rPr>
            </w:pPr>
            <w:r>
              <w:rPr>
                <w:rFonts w:hint="eastAsia" w:ascii="宋体"/>
                <w:sz w:val="24"/>
                <w:szCs w:val="24"/>
                <w:highlight w:val="none"/>
              </w:rPr>
              <w:t>采购人</w:t>
            </w:r>
          </w:p>
        </w:tc>
        <w:tc>
          <w:tcPr>
            <w:tcW w:w="4986" w:type="dxa"/>
            <w:vAlign w:val="center"/>
          </w:tcPr>
          <w:p>
            <w:pPr>
              <w:spacing w:line="360" w:lineRule="exact"/>
              <w:rPr>
                <w:rFonts w:ascii="Times New Roman" w:hAnsi="Times New Roman"/>
                <w:sz w:val="24"/>
                <w:szCs w:val="24"/>
                <w:highlight w:val="none"/>
              </w:rPr>
            </w:pPr>
            <w:r>
              <w:rPr>
                <w:rFonts w:ascii="Times New Roman" w:hAnsi="Times New Roman"/>
                <w:sz w:val="24"/>
                <w:szCs w:val="24"/>
                <w:highlight w:val="none"/>
              </w:rPr>
              <w:t>名称：</w:t>
            </w:r>
            <w:r>
              <w:rPr>
                <w:rFonts w:hint="eastAsia" w:ascii="Times New Roman" w:hAnsi="Times New Roman"/>
                <w:sz w:val="24"/>
                <w:szCs w:val="24"/>
                <w:highlight w:val="none"/>
                <w:lang w:eastAsia="zh-CN"/>
              </w:rPr>
              <w:t>长兴县退役军人事务局</w:t>
            </w:r>
          </w:p>
          <w:p>
            <w:pPr>
              <w:spacing w:line="360" w:lineRule="exact"/>
              <w:rPr>
                <w:rFonts w:hint="default" w:ascii="Times New Roman" w:hAnsi="Times New Roman" w:eastAsia="宋体"/>
                <w:sz w:val="24"/>
                <w:szCs w:val="24"/>
                <w:highlight w:val="none"/>
                <w:lang w:val="en-US" w:eastAsia="zh-CN"/>
              </w:rPr>
            </w:pPr>
            <w:r>
              <w:rPr>
                <w:rFonts w:ascii="Times New Roman" w:hAnsi="Times New Roman"/>
                <w:sz w:val="24"/>
                <w:szCs w:val="24"/>
                <w:highlight w:val="none"/>
              </w:rPr>
              <w:t>地址：</w:t>
            </w:r>
            <w:r>
              <w:rPr>
                <w:rFonts w:hint="eastAsia" w:ascii="宋体" w:hAnsi="宋体" w:eastAsia="宋体" w:cs="宋体"/>
                <w:i w:val="0"/>
                <w:iCs w:val="0"/>
                <w:caps w:val="0"/>
                <w:color w:val="000000"/>
                <w:spacing w:val="0"/>
                <w:sz w:val="24"/>
                <w:szCs w:val="24"/>
                <w:highlight w:val="none"/>
                <w:lang w:eastAsia="zh-CN"/>
              </w:rPr>
              <w:t>长兴县退役军人事务局</w:t>
            </w:r>
          </w:p>
          <w:p>
            <w:pPr>
              <w:spacing w:line="360" w:lineRule="exact"/>
              <w:rPr>
                <w:rFonts w:hint="default" w:ascii="Times New Roman" w:hAnsi="Times New Roman"/>
                <w:sz w:val="24"/>
                <w:szCs w:val="24"/>
                <w:highlight w:val="none"/>
                <w:lang w:val="en-US" w:eastAsia="zh-CN"/>
              </w:rPr>
            </w:pPr>
            <w:r>
              <w:rPr>
                <w:rFonts w:ascii="Times New Roman" w:hAnsi="Times New Roman"/>
                <w:sz w:val="24"/>
                <w:szCs w:val="24"/>
                <w:highlight w:val="none"/>
              </w:rPr>
              <w:t>联系</w:t>
            </w:r>
            <w:r>
              <w:rPr>
                <w:rFonts w:hint="eastAsia" w:ascii="Times New Roman" w:hAnsi="Times New Roman"/>
                <w:sz w:val="24"/>
                <w:szCs w:val="24"/>
                <w:highlight w:val="none"/>
                <w:lang w:val="en-US" w:eastAsia="zh-CN"/>
              </w:rPr>
              <w:t>人：</w:t>
            </w:r>
            <w:r>
              <w:rPr>
                <w:rFonts w:hint="eastAsia" w:ascii="宋体" w:hAnsi="宋体" w:eastAsia="宋体" w:cs="宋体"/>
                <w:i w:val="0"/>
                <w:iCs w:val="0"/>
                <w:caps w:val="0"/>
                <w:color w:val="000000"/>
                <w:spacing w:val="0"/>
                <w:sz w:val="24"/>
                <w:szCs w:val="24"/>
                <w:highlight w:val="none"/>
              </w:rPr>
              <w:t>屈星辰</w:t>
            </w:r>
          </w:p>
          <w:p>
            <w:pPr>
              <w:spacing w:line="360" w:lineRule="exact"/>
              <w:rPr>
                <w:rFonts w:hint="default" w:ascii="宋体" w:eastAsia="宋体" w:cs="宋体"/>
                <w:sz w:val="24"/>
                <w:szCs w:val="24"/>
                <w:highlight w:val="none"/>
                <w:lang w:val="en-US" w:eastAsia="zh-CN"/>
              </w:rPr>
            </w:pPr>
            <w:r>
              <w:rPr>
                <w:rFonts w:hint="eastAsia" w:ascii="Times New Roman" w:hAnsi="Times New Roman"/>
                <w:sz w:val="24"/>
                <w:szCs w:val="24"/>
                <w:highlight w:val="none"/>
                <w:lang w:val="en-US" w:eastAsia="zh-CN"/>
              </w:rPr>
              <w:t>电话：</w:t>
            </w:r>
            <w:r>
              <w:rPr>
                <w:rFonts w:hint="eastAsia" w:ascii="宋体" w:hAnsi="宋体" w:eastAsia="宋体" w:cs="宋体"/>
                <w:i w:val="0"/>
                <w:iCs w:val="0"/>
                <w:caps w:val="0"/>
                <w:color w:val="000000"/>
                <w:spacing w:val="0"/>
                <w:sz w:val="24"/>
                <w:szCs w:val="24"/>
                <w:highlight w:val="none"/>
              </w:rPr>
              <w:t>15157253952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autoSpaceDE w:val="0"/>
              <w:autoSpaceDN w:val="0"/>
              <w:spacing w:line="400" w:lineRule="exact"/>
              <w:jc w:val="center"/>
              <w:rPr>
                <w:rFonts w:ascii="宋体"/>
                <w:sz w:val="24"/>
                <w:szCs w:val="24"/>
                <w:highlight w:val="none"/>
              </w:rPr>
            </w:pPr>
            <w:r>
              <w:rPr>
                <w:rFonts w:hint="eastAsia" w:ascii="宋体"/>
                <w:sz w:val="24"/>
                <w:szCs w:val="24"/>
                <w:highlight w:val="none"/>
              </w:rPr>
              <w:t>1.1.5</w:t>
            </w:r>
          </w:p>
        </w:tc>
        <w:tc>
          <w:tcPr>
            <w:tcW w:w="2717" w:type="dxa"/>
            <w:vAlign w:val="center"/>
          </w:tcPr>
          <w:p>
            <w:pPr>
              <w:autoSpaceDE w:val="0"/>
              <w:autoSpaceDN w:val="0"/>
              <w:spacing w:line="400" w:lineRule="exact"/>
              <w:ind w:firstLine="480" w:firstLineChars="200"/>
              <w:rPr>
                <w:rFonts w:ascii="宋体"/>
                <w:sz w:val="24"/>
                <w:szCs w:val="24"/>
                <w:highlight w:val="none"/>
              </w:rPr>
            </w:pPr>
            <w:r>
              <w:rPr>
                <w:rFonts w:hint="eastAsia" w:ascii="宋体"/>
                <w:sz w:val="24"/>
                <w:szCs w:val="24"/>
                <w:highlight w:val="none"/>
              </w:rPr>
              <w:t>集中采购机构</w:t>
            </w:r>
          </w:p>
        </w:tc>
        <w:tc>
          <w:tcPr>
            <w:tcW w:w="4986" w:type="dxa"/>
            <w:vAlign w:val="center"/>
          </w:tcPr>
          <w:p>
            <w:pPr>
              <w:autoSpaceDE w:val="0"/>
              <w:autoSpaceDN w:val="0"/>
              <w:spacing w:line="400" w:lineRule="exact"/>
              <w:rPr>
                <w:rFonts w:ascii="宋体" w:cs="宋体"/>
                <w:sz w:val="24"/>
                <w:szCs w:val="24"/>
                <w:highlight w:val="none"/>
              </w:rPr>
            </w:pPr>
            <w:r>
              <w:rPr>
                <w:rFonts w:hint="eastAsia" w:ascii="宋体" w:cs="宋体"/>
                <w:sz w:val="24"/>
                <w:szCs w:val="24"/>
                <w:highlight w:val="none"/>
              </w:rPr>
              <w:t>名称：</w:t>
            </w:r>
            <w:bookmarkStart w:id="43" w:name="EBf290cbf8262949ecaed341bde87c321e"/>
            <w:r>
              <w:rPr>
                <w:rFonts w:hint="eastAsia" w:ascii="宋体" w:cs="宋体"/>
                <w:sz w:val="24"/>
                <w:szCs w:val="24"/>
                <w:highlight w:val="none"/>
              </w:rPr>
              <w:t>长兴县政府</w:t>
            </w:r>
            <w:bookmarkEnd w:id="43"/>
            <w:r>
              <w:rPr>
                <w:rFonts w:hint="eastAsia" w:ascii="宋体" w:cs="宋体"/>
                <w:sz w:val="24"/>
                <w:szCs w:val="24"/>
                <w:highlight w:val="none"/>
              </w:rPr>
              <w:t>采购中心</w:t>
            </w:r>
          </w:p>
          <w:p>
            <w:pPr>
              <w:autoSpaceDE w:val="0"/>
              <w:autoSpaceDN w:val="0"/>
              <w:spacing w:line="400" w:lineRule="exact"/>
              <w:rPr>
                <w:rFonts w:ascii="宋体" w:cs="宋体"/>
                <w:sz w:val="24"/>
                <w:szCs w:val="24"/>
                <w:highlight w:val="none"/>
              </w:rPr>
            </w:pPr>
            <w:r>
              <w:rPr>
                <w:rFonts w:hint="eastAsia" w:ascii="宋体" w:cs="宋体"/>
                <w:sz w:val="24"/>
                <w:szCs w:val="24"/>
                <w:highlight w:val="none"/>
              </w:rPr>
              <w:t>地址：</w:t>
            </w:r>
            <w:bookmarkStart w:id="44" w:name="EBeed373867e234ca48ad55d087d123e42"/>
            <w:r>
              <w:rPr>
                <w:rFonts w:hint="eastAsia" w:ascii="宋体" w:cs="宋体"/>
                <w:sz w:val="24"/>
                <w:szCs w:val="24"/>
                <w:highlight w:val="none"/>
              </w:rPr>
              <w:t>长兴县龙山街道锦绣路8号市民服务中心4楼</w:t>
            </w:r>
            <w:bookmarkEnd w:id="44"/>
          </w:p>
          <w:p>
            <w:pPr>
              <w:autoSpaceDE w:val="0"/>
              <w:autoSpaceDN w:val="0"/>
              <w:spacing w:line="400" w:lineRule="exact"/>
              <w:rPr>
                <w:rFonts w:ascii="宋体" w:cs="宋体"/>
                <w:sz w:val="24"/>
                <w:szCs w:val="24"/>
                <w:highlight w:val="none"/>
              </w:rPr>
            </w:pPr>
            <w:r>
              <w:rPr>
                <w:rFonts w:hint="eastAsia" w:ascii="宋体" w:cs="宋体"/>
                <w:sz w:val="24"/>
                <w:szCs w:val="24"/>
                <w:highlight w:val="none"/>
              </w:rPr>
              <w:t>联系人：</w:t>
            </w:r>
            <w:r>
              <w:rPr>
                <w:rFonts w:hint="eastAsia" w:ascii="Times New Roman" w:hAnsi="Times New Roman"/>
                <w:sz w:val="24"/>
                <w:szCs w:val="24"/>
                <w:highlight w:val="none"/>
                <w:lang w:eastAsia="zh-CN"/>
              </w:rPr>
              <w:t>陈芳媛</w:t>
            </w:r>
          </w:p>
          <w:p>
            <w:pPr>
              <w:autoSpaceDE w:val="0"/>
              <w:autoSpaceDN w:val="0"/>
              <w:spacing w:line="400" w:lineRule="exact"/>
              <w:rPr>
                <w:rFonts w:ascii="宋体" w:cs="宋体"/>
                <w:sz w:val="24"/>
                <w:szCs w:val="24"/>
                <w:highlight w:val="none"/>
              </w:rPr>
            </w:pPr>
            <w:r>
              <w:rPr>
                <w:rFonts w:hint="eastAsia" w:ascii="宋体" w:cs="宋体"/>
                <w:sz w:val="24"/>
                <w:szCs w:val="24"/>
                <w:highlight w:val="none"/>
              </w:rPr>
              <w:t>电话：</w:t>
            </w:r>
            <w:r>
              <w:rPr>
                <w:rFonts w:hint="eastAsia" w:ascii="宋体" w:hAnsi="宋体" w:cs="宋体"/>
                <w:color w:val="000000"/>
                <w:sz w:val="24"/>
                <w:szCs w:val="24"/>
                <w:highlight w:val="none"/>
              </w:rPr>
              <w:t>0572-6265653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4" w:type="dxa"/>
            <w:vAlign w:val="center"/>
          </w:tcPr>
          <w:p>
            <w:pPr>
              <w:autoSpaceDE w:val="0"/>
              <w:autoSpaceDN w:val="0"/>
              <w:spacing w:line="400" w:lineRule="exact"/>
              <w:jc w:val="center"/>
              <w:rPr>
                <w:rFonts w:ascii="宋体"/>
                <w:sz w:val="24"/>
                <w:szCs w:val="24"/>
                <w:highlight w:val="none"/>
              </w:rPr>
            </w:pPr>
            <w:r>
              <w:rPr>
                <w:rFonts w:hint="eastAsia" w:ascii="宋体"/>
                <w:sz w:val="24"/>
                <w:szCs w:val="24"/>
                <w:highlight w:val="none"/>
              </w:rPr>
              <w:t>1.1.6</w:t>
            </w:r>
          </w:p>
        </w:tc>
        <w:tc>
          <w:tcPr>
            <w:tcW w:w="2717" w:type="dxa"/>
            <w:vAlign w:val="center"/>
          </w:tcPr>
          <w:p>
            <w:pPr>
              <w:autoSpaceDE w:val="0"/>
              <w:autoSpaceDN w:val="0"/>
              <w:spacing w:line="400" w:lineRule="exact"/>
              <w:ind w:firstLine="480" w:firstLineChars="200"/>
              <w:rPr>
                <w:rFonts w:ascii="宋体"/>
                <w:sz w:val="24"/>
                <w:szCs w:val="24"/>
                <w:highlight w:val="none"/>
              </w:rPr>
            </w:pPr>
            <w:r>
              <w:rPr>
                <w:rFonts w:hint="eastAsia" w:ascii="宋体"/>
                <w:sz w:val="24"/>
                <w:szCs w:val="24"/>
                <w:highlight w:val="none"/>
              </w:rPr>
              <w:t>项目名称</w:t>
            </w:r>
          </w:p>
        </w:tc>
        <w:tc>
          <w:tcPr>
            <w:tcW w:w="4986" w:type="dxa"/>
            <w:vAlign w:val="center"/>
          </w:tcPr>
          <w:p>
            <w:pPr>
              <w:autoSpaceDE w:val="0"/>
              <w:autoSpaceDN w:val="0"/>
              <w:spacing w:line="400" w:lineRule="exact"/>
              <w:rPr>
                <w:rFonts w:ascii="宋体" w:cs="宋体"/>
                <w:sz w:val="24"/>
                <w:szCs w:val="24"/>
                <w:highlight w:val="none"/>
              </w:rPr>
            </w:pPr>
            <w:r>
              <w:rPr>
                <w:rFonts w:hint="eastAsia" w:ascii="宋体" w:cs="宋体"/>
                <w:sz w:val="24"/>
                <w:szCs w:val="24"/>
                <w:highlight w:val="none"/>
                <w:lang w:eastAsia="zh-CN"/>
              </w:rPr>
              <w:t>长兴县退役军人事务局军干服务配套电梯工程项目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autoSpaceDE w:val="0"/>
              <w:autoSpaceDN w:val="0"/>
              <w:spacing w:line="400" w:lineRule="exact"/>
              <w:jc w:val="center"/>
              <w:rPr>
                <w:rFonts w:ascii="宋体"/>
                <w:sz w:val="24"/>
                <w:szCs w:val="24"/>
                <w:highlight w:val="none"/>
              </w:rPr>
            </w:pPr>
            <w:r>
              <w:rPr>
                <w:rFonts w:hint="eastAsia" w:ascii="宋体"/>
                <w:sz w:val="24"/>
                <w:szCs w:val="24"/>
                <w:highlight w:val="none"/>
              </w:rPr>
              <w:t>1.1.7</w:t>
            </w:r>
          </w:p>
        </w:tc>
        <w:tc>
          <w:tcPr>
            <w:tcW w:w="2717" w:type="dxa"/>
            <w:vAlign w:val="center"/>
          </w:tcPr>
          <w:p>
            <w:pPr>
              <w:autoSpaceDE w:val="0"/>
              <w:autoSpaceDN w:val="0"/>
              <w:spacing w:line="400" w:lineRule="exact"/>
              <w:ind w:firstLine="480" w:firstLineChars="200"/>
              <w:rPr>
                <w:rFonts w:ascii="宋体"/>
                <w:sz w:val="24"/>
                <w:szCs w:val="24"/>
                <w:highlight w:val="none"/>
              </w:rPr>
            </w:pPr>
            <w:r>
              <w:rPr>
                <w:rFonts w:hint="eastAsia" w:ascii="宋体"/>
                <w:sz w:val="24"/>
                <w:szCs w:val="24"/>
                <w:highlight w:val="none"/>
              </w:rPr>
              <w:t>磋商方式</w:t>
            </w:r>
          </w:p>
        </w:tc>
        <w:tc>
          <w:tcPr>
            <w:tcW w:w="4986" w:type="dxa"/>
            <w:vAlign w:val="center"/>
          </w:tcPr>
          <w:p>
            <w:pPr>
              <w:autoSpaceDE w:val="0"/>
              <w:autoSpaceDN w:val="0"/>
              <w:spacing w:line="400" w:lineRule="exact"/>
              <w:rPr>
                <w:rFonts w:ascii="宋体" w:cs="宋体"/>
                <w:sz w:val="24"/>
                <w:szCs w:val="24"/>
                <w:highlight w:val="none"/>
              </w:rPr>
            </w:pPr>
            <w:r>
              <w:rPr>
                <w:rFonts w:hint="eastAsia" w:ascii="宋体" w:cs="宋体"/>
                <w:sz w:val="24"/>
                <w:szCs w:val="24"/>
                <w:highlight w:val="none"/>
              </w:rPr>
              <w:t>本次采购采用竞争性磋商（全流程电子化）的方式进行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autoSpaceDE w:val="0"/>
              <w:autoSpaceDN w:val="0"/>
              <w:spacing w:line="400" w:lineRule="exact"/>
              <w:jc w:val="center"/>
              <w:rPr>
                <w:rFonts w:ascii="宋体"/>
                <w:sz w:val="24"/>
                <w:szCs w:val="24"/>
                <w:highlight w:val="none"/>
              </w:rPr>
            </w:pPr>
            <w:r>
              <w:rPr>
                <w:rFonts w:hint="eastAsia" w:ascii="宋体"/>
                <w:sz w:val="24"/>
                <w:szCs w:val="24"/>
                <w:highlight w:val="none"/>
              </w:rPr>
              <w:t>1.2.1</w:t>
            </w:r>
          </w:p>
        </w:tc>
        <w:tc>
          <w:tcPr>
            <w:tcW w:w="2717" w:type="dxa"/>
            <w:vAlign w:val="center"/>
          </w:tcPr>
          <w:p>
            <w:pPr>
              <w:autoSpaceDE w:val="0"/>
              <w:autoSpaceDN w:val="0"/>
              <w:spacing w:line="400" w:lineRule="exact"/>
              <w:rPr>
                <w:rFonts w:ascii="宋体"/>
                <w:sz w:val="24"/>
                <w:szCs w:val="24"/>
                <w:highlight w:val="none"/>
              </w:rPr>
            </w:pPr>
            <w:r>
              <w:rPr>
                <w:rFonts w:hint="eastAsia" w:ascii="宋体" w:hAnsi="宋体"/>
                <w:color w:val="000000"/>
                <w:kern w:val="0"/>
                <w:sz w:val="24"/>
                <w:highlight w:val="none"/>
              </w:rPr>
              <w:t>项目资金来源及预算</w:t>
            </w:r>
          </w:p>
        </w:tc>
        <w:tc>
          <w:tcPr>
            <w:tcW w:w="4986" w:type="dxa"/>
            <w:vAlign w:val="center"/>
          </w:tcPr>
          <w:p>
            <w:pPr>
              <w:autoSpaceDE w:val="0"/>
              <w:autoSpaceDN w:val="0"/>
              <w:spacing w:line="400" w:lineRule="exact"/>
              <w:rPr>
                <w:rFonts w:ascii="宋体" w:cs="宋体"/>
                <w:sz w:val="24"/>
                <w:szCs w:val="24"/>
                <w:highlight w:val="none"/>
              </w:rPr>
            </w:pPr>
            <w:r>
              <w:rPr>
                <w:rFonts w:hint="eastAsia" w:ascii="宋体" w:cs="宋体"/>
                <w:sz w:val="24"/>
                <w:szCs w:val="24"/>
                <w:highlight w:val="none"/>
              </w:rPr>
              <w:t>资金来源为：财政预算资金；</w:t>
            </w:r>
          </w:p>
          <w:p>
            <w:pPr>
              <w:pStyle w:val="32"/>
              <w:keepNext w:val="0"/>
              <w:keepLines w:val="0"/>
              <w:widowControl/>
              <w:suppressLineNumbers w:val="0"/>
              <w:spacing w:before="75" w:beforeAutospacing="0" w:after="75" w:afterAutospacing="0" w:line="300" w:lineRule="atLeast"/>
              <w:ind w:right="0"/>
              <w:rPr>
                <w:rFonts w:ascii="宋体" w:cs="宋体"/>
                <w:sz w:val="24"/>
                <w:szCs w:val="24"/>
                <w:highlight w:val="none"/>
              </w:rPr>
            </w:pPr>
            <w:r>
              <w:rPr>
                <w:rFonts w:hint="eastAsia" w:ascii="宋体" w:cs="宋体"/>
                <w:sz w:val="24"/>
                <w:szCs w:val="24"/>
                <w:highlight w:val="none"/>
              </w:rPr>
              <w:t>预算金额：</w:t>
            </w:r>
            <w:r>
              <w:rPr>
                <w:rFonts w:hint="eastAsia" w:asciiTheme="minorEastAsia" w:hAnsiTheme="minorEastAsia" w:eastAsiaTheme="minorEastAsia" w:cstheme="minorEastAsia"/>
                <w:sz w:val="24"/>
                <w:szCs w:val="24"/>
                <w:highlight w:val="none"/>
              </w:rPr>
              <w:t>人民币</w:t>
            </w:r>
            <w:r>
              <w:rPr>
                <w:rFonts w:hint="eastAsia" w:asciiTheme="minorEastAsia" w:hAnsiTheme="minorEastAsia" w:cstheme="minorEastAsia"/>
                <w:sz w:val="24"/>
                <w:szCs w:val="24"/>
                <w:highlight w:val="none"/>
                <w:u w:val="single"/>
                <w:lang w:val="en-US" w:eastAsia="zh-CN"/>
              </w:rPr>
              <w:t>500000</w:t>
            </w:r>
            <w:r>
              <w:rPr>
                <w:rFonts w:hint="eastAsia" w:asciiTheme="minorEastAsia" w:hAnsiTheme="minorEastAsia" w:eastAsiaTheme="minorEastAsia" w:cstheme="minorEastAsia"/>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autoSpaceDE w:val="0"/>
              <w:autoSpaceDN w:val="0"/>
              <w:spacing w:line="400" w:lineRule="exact"/>
              <w:jc w:val="center"/>
              <w:rPr>
                <w:rFonts w:ascii="宋体"/>
                <w:sz w:val="24"/>
                <w:szCs w:val="24"/>
                <w:highlight w:val="none"/>
              </w:rPr>
            </w:pPr>
            <w:r>
              <w:rPr>
                <w:rFonts w:hint="eastAsia" w:ascii="宋体"/>
                <w:sz w:val="24"/>
                <w:szCs w:val="24"/>
                <w:highlight w:val="none"/>
              </w:rPr>
              <w:t>1.2.2</w:t>
            </w:r>
          </w:p>
        </w:tc>
        <w:tc>
          <w:tcPr>
            <w:tcW w:w="2717" w:type="dxa"/>
            <w:vAlign w:val="center"/>
          </w:tcPr>
          <w:p>
            <w:pPr>
              <w:autoSpaceDE w:val="0"/>
              <w:autoSpaceDN w:val="0"/>
              <w:spacing w:line="400" w:lineRule="exact"/>
              <w:ind w:firstLine="480" w:firstLineChars="200"/>
              <w:rPr>
                <w:rFonts w:ascii="宋体" w:hAnsi="宋体"/>
                <w:sz w:val="24"/>
                <w:szCs w:val="24"/>
                <w:highlight w:val="none"/>
              </w:rPr>
            </w:pPr>
            <w:r>
              <w:rPr>
                <w:rFonts w:hint="eastAsia" w:ascii="宋体" w:hAnsi="宋体"/>
                <w:sz w:val="24"/>
                <w:szCs w:val="24"/>
                <w:highlight w:val="none"/>
              </w:rPr>
              <w:t>最高限价</w:t>
            </w:r>
          </w:p>
        </w:tc>
        <w:tc>
          <w:tcPr>
            <w:tcW w:w="4986" w:type="dxa"/>
            <w:vAlign w:val="center"/>
          </w:tcPr>
          <w:p>
            <w:pPr>
              <w:autoSpaceDE w:val="0"/>
              <w:autoSpaceDN w:val="0"/>
              <w:spacing w:line="400" w:lineRule="exact"/>
              <w:rPr>
                <w:rFonts w:ascii="宋体" w:hAnsi="宋体" w:cs="宋体"/>
                <w:sz w:val="24"/>
                <w:szCs w:val="24"/>
                <w:highlight w:val="none"/>
              </w:rPr>
            </w:pPr>
            <w:r>
              <w:rPr>
                <w:rFonts w:hint="eastAsia" w:ascii="宋体" w:cs="宋体"/>
                <w:sz w:val="24"/>
                <w:szCs w:val="24"/>
                <w:highlight w:val="none"/>
              </w:rPr>
              <w:t>金额：</w:t>
            </w:r>
            <w:r>
              <w:rPr>
                <w:rFonts w:hint="eastAsia" w:asciiTheme="minorEastAsia" w:hAnsiTheme="minorEastAsia" w:eastAsiaTheme="minorEastAsia" w:cstheme="minorEastAsia"/>
                <w:sz w:val="24"/>
                <w:szCs w:val="24"/>
                <w:highlight w:val="none"/>
              </w:rPr>
              <w:t>人民币</w:t>
            </w:r>
            <w:r>
              <w:rPr>
                <w:rFonts w:hint="eastAsia" w:asciiTheme="minorEastAsia" w:hAnsiTheme="minorEastAsia" w:cstheme="minorEastAsia"/>
                <w:sz w:val="24"/>
                <w:szCs w:val="24"/>
                <w:highlight w:val="none"/>
                <w:u w:val="single"/>
                <w:lang w:val="en-US" w:eastAsia="zh-CN"/>
              </w:rPr>
              <w:t>500000</w:t>
            </w:r>
            <w:r>
              <w:rPr>
                <w:rFonts w:hint="eastAsia" w:asciiTheme="minorEastAsia" w:hAnsiTheme="minorEastAsia" w:eastAsiaTheme="minorEastAsia" w:cstheme="minorEastAsia"/>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autoSpaceDE w:val="0"/>
              <w:autoSpaceDN w:val="0"/>
              <w:spacing w:line="400" w:lineRule="exact"/>
              <w:jc w:val="center"/>
              <w:rPr>
                <w:rFonts w:ascii="宋体"/>
                <w:sz w:val="24"/>
                <w:szCs w:val="24"/>
                <w:highlight w:val="none"/>
              </w:rPr>
            </w:pPr>
            <w:r>
              <w:rPr>
                <w:rFonts w:hint="eastAsia" w:ascii="宋体"/>
                <w:sz w:val="24"/>
                <w:szCs w:val="24"/>
                <w:highlight w:val="none"/>
              </w:rPr>
              <w:t>1.3.1</w:t>
            </w:r>
          </w:p>
        </w:tc>
        <w:tc>
          <w:tcPr>
            <w:tcW w:w="2717" w:type="dxa"/>
            <w:vAlign w:val="center"/>
          </w:tcPr>
          <w:p>
            <w:pPr>
              <w:autoSpaceDE w:val="0"/>
              <w:autoSpaceDN w:val="0"/>
              <w:spacing w:line="400" w:lineRule="exact"/>
              <w:ind w:firstLine="480" w:firstLineChars="200"/>
              <w:rPr>
                <w:rFonts w:hint="eastAsia" w:ascii="宋体" w:eastAsia="宋体"/>
                <w:sz w:val="24"/>
                <w:szCs w:val="24"/>
                <w:highlight w:val="none"/>
                <w:lang w:eastAsia="zh-CN"/>
              </w:rPr>
            </w:pPr>
            <w:r>
              <w:rPr>
                <w:rFonts w:hint="eastAsia" w:ascii="宋体"/>
                <w:sz w:val="24"/>
                <w:szCs w:val="24"/>
                <w:highlight w:val="none"/>
              </w:rPr>
              <w:t>交货期</w:t>
            </w:r>
            <w:r>
              <w:rPr>
                <w:rFonts w:hint="eastAsia" w:ascii="宋体"/>
                <w:sz w:val="24"/>
                <w:szCs w:val="24"/>
                <w:highlight w:val="none"/>
                <w:lang w:eastAsia="zh-CN"/>
              </w:rPr>
              <w:t>限</w:t>
            </w:r>
          </w:p>
        </w:tc>
        <w:tc>
          <w:tcPr>
            <w:tcW w:w="4986" w:type="dxa"/>
            <w:vAlign w:val="center"/>
          </w:tcPr>
          <w:p>
            <w:pPr>
              <w:autoSpaceDE w:val="0"/>
              <w:autoSpaceDN w:val="0"/>
              <w:spacing w:line="400" w:lineRule="exact"/>
              <w:rPr>
                <w:rFonts w:hint="eastAsia" w:ascii="宋体" w:eastAsia="宋体" w:cs="宋体"/>
                <w:b/>
                <w:sz w:val="24"/>
                <w:szCs w:val="24"/>
                <w:highlight w:val="none"/>
                <w:lang w:val="en-US" w:eastAsia="zh-CN"/>
              </w:rPr>
            </w:pPr>
            <w:r>
              <w:rPr>
                <w:rFonts w:hint="eastAsia" w:ascii="宋体" w:hAnsi="宋体"/>
                <w:sz w:val="24"/>
                <w:highlight w:val="none"/>
                <w:lang w:eastAsia="zh-CN"/>
              </w:rPr>
              <w:t>在接到业主供货通知后</w:t>
            </w:r>
            <w:r>
              <w:rPr>
                <w:rFonts w:hint="eastAsia" w:ascii="宋体" w:hAnsi="宋体"/>
                <w:sz w:val="24"/>
                <w:highlight w:val="none"/>
                <w:lang w:val="en-US" w:eastAsia="zh-CN"/>
              </w:rPr>
              <w:t>60</w:t>
            </w:r>
            <w:r>
              <w:rPr>
                <w:rFonts w:hint="eastAsia" w:ascii="宋体" w:hAnsi="宋体"/>
                <w:sz w:val="24"/>
                <w:highlight w:val="none"/>
                <w:lang w:eastAsia="zh-CN"/>
              </w:rPr>
              <w:t>日历天内完成所有设备的安装调试工作并通过验收。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194" w:type="dxa"/>
            <w:vAlign w:val="center"/>
          </w:tcPr>
          <w:p>
            <w:pPr>
              <w:autoSpaceDE w:val="0"/>
              <w:autoSpaceDN w:val="0"/>
              <w:spacing w:line="400" w:lineRule="exact"/>
              <w:jc w:val="center"/>
              <w:rPr>
                <w:rFonts w:ascii="宋体"/>
                <w:sz w:val="24"/>
                <w:szCs w:val="24"/>
                <w:highlight w:val="none"/>
              </w:rPr>
            </w:pPr>
            <w:r>
              <w:rPr>
                <w:rFonts w:hint="eastAsia" w:ascii="宋体"/>
                <w:sz w:val="24"/>
                <w:szCs w:val="24"/>
                <w:highlight w:val="none"/>
              </w:rPr>
              <w:t>1.3.2</w:t>
            </w:r>
          </w:p>
        </w:tc>
        <w:tc>
          <w:tcPr>
            <w:tcW w:w="2717" w:type="dxa"/>
            <w:vAlign w:val="center"/>
          </w:tcPr>
          <w:p>
            <w:pPr>
              <w:autoSpaceDE w:val="0"/>
              <w:autoSpaceDN w:val="0"/>
              <w:spacing w:line="400" w:lineRule="exact"/>
              <w:ind w:firstLine="480" w:firstLineChars="200"/>
              <w:rPr>
                <w:rFonts w:ascii="宋体"/>
                <w:sz w:val="24"/>
                <w:szCs w:val="24"/>
                <w:highlight w:val="none"/>
              </w:rPr>
            </w:pPr>
            <w:r>
              <w:rPr>
                <w:rFonts w:hint="eastAsia" w:ascii="宋体"/>
                <w:sz w:val="24"/>
                <w:szCs w:val="24"/>
                <w:highlight w:val="none"/>
              </w:rPr>
              <w:t>交货地点</w:t>
            </w:r>
          </w:p>
        </w:tc>
        <w:tc>
          <w:tcPr>
            <w:tcW w:w="4986" w:type="dxa"/>
            <w:vAlign w:val="center"/>
          </w:tcPr>
          <w:p>
            <w:pPr>
              <w:autoSpaceDE w:val="0"/>
              <w:autoSpaceDN w:val="0"/>
              <w:spacing w:line="400" w:lineRule="exact"/>
              <w:rPr>
                <w:rFonts w:hint="eastAsia" w:ascii="宋体" w:eastAsia="宋体" w:cs="宋体"/>
                <w:sz w:val="24"/>
                <w:szCs w:val="24"/>
                <w:highlight w:val="none"/>
                <w:lang w:eastAsia="zh-CN"/>
              </w:rPr>
            </w:pPr>
            <w:r>
              <w:rPr>
                <w:rFonts w:hint="eastAsia" w:ascii="宋体" w:cs="宋体"/>
                <w:color w:val="auto"/>
                <w:sz w:val="24"/>
                <w:szCs w:val="24"/>
                <w:highlight w:val="none"/>
              </w:rPr>
              <w:t>采购人指定地点：</w:t>
            </w:r>
            <w:r>
              <w:rPr>
                <w:rFonts w:hint="eastAsia" w:ascii="宋体" w:cs="宋体"/>
                <w:color w:val="auto"/>
                <w:sz w:val="24"/>
                <w:highlight w:val="none"/>
                <w:lang w:eastAsia="zh-CN"/>
              </w:rPr>
              <w:t>长兴县退役军人事务局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94" w:type="dxa"/>
            <w:vAlign w:val="center"/>
          </w:tcPr>
          <w:p>
            <w:pPr>
              <w:autoSpaceDE w:val="0"/>
              <w:autoSpaceDN w:val="0"/>
              <w:spacing w:line="400" w:lineRule="exact"/>
              <w:jc w:val="center"/>
              <w:rPr>
                <w:rFonts w:ascii="宋体"/>
                <w:sz w:val="24"/>
                <w:szCs w:val="24"/>
                <w:highlight w:val="none"/>
              </w:rPr>
            </w:pPr>
            <w:r>
              <w:rPr>
                <w:rFonts w:hint="eastAsia" w:ascii="宋体"/>
                <w:sz w:val="24"/>
                <w:szCs w:val="24"/>
                <w:highlight w:val="none"/>
              </w:rPr>
              <w:t>1.4</w:t>
            </w:r>
          </w:p>
        </w:tc>
        <w:tc>
          <w:tcPr>
            <w:tcW w:w="2717" w:type="dxa"/>
            <w:vAlign w:val="center"/>
          </w:tcPr>
          <w:p>
            <w:pPr>
              <w:autoSpaceDE w:val="0"/>
              <w:autoSpaceDN w:val="0"/>
              <w:spacing w:line="400" w:lineRule="exact"/>
              <w:rPr>
                <w:rFonts w:ascii="宋体"/>
                <w:sz w:val="24"/>
                <w:szCs w:val="24"/>
                <w:highlight w:val="none"/>
              </w:rPr>
            </w:pPr>
            <w:r>
              <w:rPr>
                <w:rFonts w:hint="eastAsia" w:ascii="宋体"/>
                <w:sz w:val="24"/>
                <w:szCs w:val="24"/>
                <w:highlight w:val="none"/>
              </w:rPr>
              <w:t>采购需求及性能指标</w:t>
            </w:r>
          </w:p>
        </w:tc>
        <w:tc>
          <w:tcPr>
            <w:tcW w:w="4986" w:type="dxa"/>
            <w:vAlign w:val="center"/>
          </w:tcPr>
          <w:p>
            <w:pPr>
              <w:autoSpaceDE w:val="0"/>
              <w:autoSpaceDN w:val="0"/>
              <w:spacing w:line="400" w:lineRule="exact"/>
              <w:rPr>
                <w:rFonts w:ascii="宋体" w:cs="宋体"/>
                <w:sz w:val="24"/>
                <w:szCs w:val="24"/>
                <w:highlight w:val="none"/>
              </w:rPr>
            </w:pPr>
            <w:r>
              <w:rPr>
                <w:rFonts w:hint="eastAsia" w:ascii="宋体" w:cs="宋体"/>
                <w:sz w:val="24"/>
                <w:szCs w:val="24"/>
                <w:highlight w:val="none"/>
              </w:rPr>
              <w:t>详见第三章采购需求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autoSpaceDE w:val="0"/>
              <w:autoSpaceDN w:val="0"/>
              <w:spacing w:line="400" w:lineRule="exact"/>
              <w:jc w:val="center"/>
              <w:rPr>
                <w:highlight w:val="none"/>
              </w:rPr>
            </w:pPr>
            <w:r>
              <w:rPr>
                <w:rFonts w:hint="eastAsia" w:ascii="宋体"/>
                <w:sz w:val="24"/>
                <w:szCs w:val="24"/>
                <w:highlight w:val="none"/>
              </w:rPr>
              <w:t>1.5.1</w:t>
            </w:r>
          </w:p>
        </w:tc>
        <w:tc>
          <w:tcPr>
            <w:tcW w:w="2717" w:type="dxa"/>
            <w:vAlign w:val="center"/>
          </w:tcPr>
          <w:p>
            <w:pPr>
              <w:autoSpaceDE w:val="0"/>
              <w:autoSpaceDN w:val="0"/>
              <w:spacing w:line="400" w:lineRule="exact"/>
              <w:rPr>
                <w:rFonts w:ascii="宋体"/>
                <w:szCs w:val="21"/>
                <w:highlight w:val="none"/>
              </w:rPr>
            </w:pPr>
            <w:r>
              <w:rPr>
                <w:rFonts w:hint="eastAsia" w:ascii="宋体"/>
                <w:sz w:val="24"/>
                <w:szCs w:val="24"/>
                <w:highlight w:val="none"/>
              </w:rPr>
              <w:t>供应商资格条件、要求</w:t>
            </w:r>
          </w:p>
        </w:tc>
        <w:tc>
          <w:tcPr>
            <w:tcW w:w="4986" w:type="dxa"/>
            <w:vAlign w:val="center"/>
          </w:tcPr>
          <w:p>
            <w:pPr>
              <w:numPr>
                <w:ilvl w:val="255"/>
                <w:numId w:val="0"/>
              </w:numPr>
              <w:adjustRightInd w:val="0"/>
              <w:spacing w:line="400" w:lineRule="exact"/>
              <w:jc w:val="left"/>
              <w:rPr>
                <w:rFonts w:ascii="宋体" w:hAnsi="宋体" w:cs="宋体"/>
                <w:sz w:val="24"/>
                <w:highlight w:val="none"/>
                <w:lang w:val="zh-CN"/>
              </w:rPr>
            </w:pPr>
            <w:r>
              <w:rPr>
                <w:rFonts w:hint="eastAsia" w:ascii="宋体"/>
                <w:sz w:val="24"/>
                <w:szCs w:val="24"/>
                <w:highlight w:val="none"/>
              </w:rPr>
              <w:t>资格要求：</w:t>
            </w:r>
            <w:r>
              <w:rPr>
                <w:rFonts w:hint="eastAsia" w:ascii="宋体" w:hAnsi="宋体" w:cs="Arial"/>
                <w:color w:val="auto"/>
                <w:kern w:val="2"/>
                <w:sz w:val="24"/>
                <w:szCs w:val="24"/>
                <w:highlight w:val="none"/>
                <w:lang w:val="en-US" w:eastAsia="zh-CN" w:bidi="ar-SA"/>
              </w:rPr>
              <w:t>1.</w:t>
            </w:r>
            <w:r>
              <w:rPr>
                <w:rFonts w:hint="eastAsia" w:ascii="宋体" w:hAnsi="宋体" w:cs="宋体"/>
                <w:sz w:val="24"/>
                <w:highlight w:val="none"/>
                <w:lang w:val="zh-CN"/>
              </w:rPr>
              <w:t>供应商符合参加政府采购活动资格条件，满足《中华人民共和国政府采购法》第二十二条规定</w:t>
            </w:r>
            <w:r>
              <w:rPr>
                <w:rFonts w:hint="eastAsia" w:ascii="宋体" w:hAnsi="宋体" w:cs="Arial"/>
                <w:color w:val="auto"/>
                <w:kern w:val="2"/>
                <w:sz w:val="24"/>
                <w:szCs w:val="24"/>
                <w:highlight w:val="none"/>
                <w:lang w:val="en-US" w:eastAsia="zh-CN" w:bidi="ar-SA"/>
              </w:rPr>
              <w:t>（</w:t>
            </w:r>
            <w:r>
              <w:rPr>
                <w:rFonts w:hint="eastAsia" w:ascii="宋体" w:hAnsi="宋体" w:cs="宋体"/>
                <w:sz w:val="24"/>
                <w:lang w:val="zh-CN"/>
              </w:rPr>
              <w:t>即</w:t>
            </w:r>
            <w:r>
              <w:rPr>
                <w:rFonts w:hint="eastAsia" w:ascii="宋体" w:hAnsi="宋体" w:cs="Arial"/>
                <w:color w:val="auto"/>
                <w:kern w:val="2"/>
                <w:sz w:val="24"/>
                <w:szCs w:val="24"/>
                <w:highlight w:val="none"/>
                <w:lang w:val="en-US" w:eastAsia="zh-CN" w:bidi="ar-SA"/>
              </w:rPr>
              <w:t>磋商声明书）</w:t>
            </w:r>
            <w:r>
              <w:rPr>
                <w:rFonts w:hint="eastAsia" w:ascii="宋体" w:hAnsi="宋体" w:cs="宋体"/>
                <w:sz w:val="24"/>
                <w:highlight w:val="none"/>
                <w:lang w:val="zh-CN"/>
              </w:rPr>
              <w:t>；</w:t>
            </w:r>
          </w:p>
          <w:p>
            <w:pPr>
              <w:numPr>
                <w:ilvl w:val="0"/>
                <w:numId w:val="0"/>
              </w:numPr>
              <w:adjustRightInd w:val="0"/>
              <w:spacing w:line="400" w:lineRule="exact"/>
              <w:jc w:val="left"/>
              <w:rPr>
                <w:rFonts w:hint="eastAsia" w:eastAsia="宋体"/>
                <w:lang w:val="en-US" w:eastAsia="zh-CN"/>
              </w:rPr>
            </w:pPr>
            <w:r>
              <w:rPr>
                <w:rFonts w:hint="eastAsia" w:ascii="宋体" w:hAnsi="宋体" w:eastAsia="宋体" w:cs="Arial"/>
                <w:color w:val="auto"/>
                <w:kern w:val="2"/>
                <w:sz w:val="24"/>
                <w:szCs w:val="24"/>
                <w:highlight w:val="none"/>
                <w:lang w:val="en-US" w:eastAsia="zh-CN" w:bidi="ar-SA"/>
              </w:rPr>
              <w:t>2.</w:t>
            </w:r>
            <w:r>
              <w:rPr>
                <w:rFonts w:hint="eastAsia" w:ascii="宋体" w:hAnsi="宋体" w:eastAsia="宋体" w:cs="Arial"/>
                <w:color w:val="auto"/>
                <w:kern w:val="2"/>
                <w:sz w:val="24"/>
                <w:szCs w:val="24"/>
                <w:highlight w:val="none"/>
                <w:lang w:val="zh-CN" w:eastAsia="zh-CN" w:bidi="ar-SA"/>
              </w:rPr>
              <w:t>未被</w:t>
            </w:r>
            <w:r>
              <w:rPr>
                <w:rFonts w:hint="eastAsia" w:ascii="宋体" w:hAnsi="宋体" w:eastAsia="宋体" w:cs="Arial"/>
                <w:color w:val="auto"/>
                <w:kern w:val="2"/>
                <w:sz w:val="24"/>
                <w:szCs w:val="24"/>
                <w:highlight w:val="none"/>
                <w:lang w:val="en-US" w:eastAsia="zh-CN" w:bidi="ar-SA"/>
              </w:rPr>
              <w:t>“</w:t>
            </w:r>
            <w:r>
              <w:rPr>
                <w:rFonts w:hint="eastAsia" w:ascii="宋体" w:hAnsi="宋体" w:eastAsia="宋体" w:cs="Arial"/>
                <w:color w:val="auto"/>
                <w:kern w:val="2"/>
                <w:sz w:val="24"/>
                <w:szCs w:val="24"/>
                <w:highlight w:val="none"/>
                <w:lang w:val="zh-CN" w:eastAsia="zh-CN" w:bidi="ar-SA"/>
              </w:rPr>
              <w:t>信用中国</w:t>
            </w:r>
            <w:r>
              <w:rPr>
                <w:rFonts w:hint="eastAsia" w:ascii="宋体" w:hAnsi="宋体" w:eastAsia="宋体" w:cs="Arial"/>
                <w:color w:val="auto"/>
                <w:kern w:val="2"/>
                <w:sz w:val="24"/>
                <w:szCs w:val="24"/>
                <w:highlight w:val="none"/>
                <w:lang w:val="en-US" w:eastAsia="zh-CN" w:bidi="ar-SA"/>
              </w:rPr>
              <w:t>”（www.creditchina.gov.cn）</w:t>
            </w:r>
            <w:r>
              <w:rPr>
                <w:rFonts w:hint="eastAsia" w:ascii="宋体" w:hAnsi="宋体" w:eastAsia="宋体" w:cs="Arial"/>
                <w:color w:val="auto"/>
                <w:kern w:val="2"/>
                <w:sz w:val="24"/>
                <w:szCs w:val="24"/>
                <w:highlight w:val="none"/>
                <w:lang w:val="zh-CN" w:eastAsia="zh-CN" w:bidi="ar-SA"/>
              </w:rPr>
              <w:t>、中国政府采购网</w:t>
            </w:r>
            <w:r>
              <w:rPr>
                <w:rFonts w:hint="eastAsia" w:ascii="宋体" w:hAnsi="宋体" w:eastAsia="宋体" w:cs="Arial"/>
                <w:color w:val="auto"/>
                <w:kern w:val="2"/>
                <w:sz w:val="24"/>
                <w:szCs w:val="24"/>
                <w:highlight w:val="none"/>
                <w:lang w:val="en-US" w:eastAsia="zh-CN" w:bidi="ar-SA"/>
              </w:rPr>
              <w:t>（www.ccgp.gov.cn）</w:t>
            </w:r>
            <w:r>
              <w:rPr>
                <w:rFonts w:hint="eastAsia" w:ascii="宋体" w:hAnsi="宋体" w:eastAsia="宋体" w:cs="Arial"/>
                <w:color w:val="auto"/>
                <w:kern w:val="2"/>
                <w:sz w:val="24"/>
                <w:szCs w:val="24"/>
                <w:highlight w:val="none"/>
                <w:lang w:val="zh-CN" w:eastAsia="zh-CN" w:bidi="ar-SA"/>
              </w:rPr>
              <w:t>列入失信被执行人、重大税收违法案件当事人名单、政府采购严重违法失信行为记录名单情况的磋商声明书</w:t>
            </w:r>
            <w:r>
              <w:rPr>
                <w:rFonts w:hint="eastAsia" w:ascii="宋体" w:hAnsi="宋体" w:cs="Arial"/>
                <w:color w:val="auto"/>
                <w:kern w:val="2"/>
                <w:sz w:val="24"/>
                <w:szCs w:val="24"/>
                <w:highlight w:val="none"/>
                <w:lang w:val="en-US" w:eastAsia="zh-CN" w:bidi="ar-SA"/>
              </w:rPr>
              <w:t>（</w:t>
            </w:r>
            <w:r>
              <w:rPr>
                <w:rFonts w:hint="eastAsia" w:ascii="宋体" w:hAnsi="宋体" w:cs="宋体"/>
                <w:sz w:val="24"/>
                <w:lang w:val="zh-CN"/>
              </w:rPr>
              <w:t>即</w:t>
            </w:r>
            <w:r>
              <w:rPr>
                <w:rFonts w:hint="eastAsia" w:ascii="宋体" w:hAnsi="宋体" w:cs="Arial"/>
                <w:color w:val="auto"/>
                <w:kern w:val="2"/>
                <w:sz w:val="24"/>
                <w:szCs w:val="24"/>
                <w:highlight w:val="none"/>
                <w:lang w:val="en-US" w:eastAsia="zh-CN" w:bidi="ar-SA"/>
              </w:rPr>
              <w:t>磋商声明书）；</w:t>
            </w:r>
          </w:p>
          <w:p>
            <w:pPr>
              <w:adjustRightInd w:val="0"/>
              <w:spacing w:line="400" w:lineRule="exact"/>
              <w:jc w:val="left"/>
              <w:rPr>
                <w:rFonts w:hint="eastAsia" w:ascii="宋体" w:hAnsi="宋体" w:eastAsia="宋体" w:cs="Arial"/>
                <w:color w:val="auto"/>
                <w:kern w:val="2"/>
                <w:sz w:val="24"/>
                <w:szCs w:val="24"/>
                <w:highlight w:val="none"/>
                <w:lang w:val="zh-CN" w:eastAsia="zh-CN" w:bidi="ar-SA"/>
              </w:rPr>
            </w:pPr>
            <w:r>
              <w:rPr>
                <w:rFonts w:hint="eastAsia" w:ascii="宋体" w:hAnsi="宋体" w:eastAsia="宋体" w:cs="Arial"/>
                <w:color w:val="auto"/>
                <w:kern w:val="2"/>
                <w:sz w:val="24"/>
                <w:szCs w:val="24"/>
                <w:highlight w:val="none"/>
                <w:lang w:val="en-US" w:eastAsia="zh-CN" w:bidi="ar-SA"/>
              </w:rPr>
              <w:t>3.</w:t>
            </w:r>
            <w:r>
              <w:rPr>
                <w:rFonts w:hint="eastAsia" w:ascii="宋体" w:hAnsi="宋体" w:eastAsia="宋体" w:cs="Arial"/>
                <w:color w:val="auto"/>
                <w:kern w:val="2"/>
                <w:sz w:val="24"/>
                <w:szCs w:val="24"/>
                <w:highlight w:val="none"/>
                <w:lang w:val="zh-CN" w:eastAsia="zh-CN" w:bidi="ar-SA"/>
              </w:rPr>
              <w:t>如无独立法人资格的分公司（如金融、保险、通讯等特定行业的全国性企业所设立的区域性分支机构）参加磋商的，应提供具有法人资格的总公司授权的授权书；</w:t>
            </w:r>
          </w:p>
          <w:p>
            <w:pPr>
              <w:adjustRightInd w:val="0"/>
              <w:spacing w:line="400" w:lineRule="exact"/>
              <w:jc w:val="left"/>
              <w:rPr>
                <w:rFonts w:hint="eastAsia" w:ascii="宋体" w:hAnsi="宋体" w:eastAsia="宋体" w:cs="Arial"/>
                <w:color w:val="auto"/>
                <w:kern w:val="2"/>
                <w:sz w:val="24"/>
                <w:szCs w:val="24"/>
                <w:highlight w:val="none"/>
                <w:lang w:val="zh-CN" w:eastAsia="zh-CN" w:bidi="ar-SA"/>
              </w:rPr>
            </w:pPr>
            <w:r>
              <w:rPr>
                <w:rFonts w:hint="eastAsia" w:ascii="宋体" w:hAnsi="宋体" w:eastAsia="宋体" w:cs="Arial"/>
                <w:color w:val="auto"/>
                <w:kern w:val="2"/>
                <w:sz w:val="24"/>
                <w:szCs w:val="24"/>
                <w:highlight w:val="none"/>
                <w:lang w:val="en-US" w:eastAsia="zh-CN" w:bidi="ar-SA"/>
              </w:rPr>
              <w:t>4.</w:t>
            </w:r>
            <w:r>
              <w:rPr>
                <w:rFonts w:hint="eastAsia" w:ascii="宋体" w:hAnsi="宋体" w:eastAsia="宋体" w:cs="Arial"/>
                <w:color w:val="auto"/>
                <w:kern w:val="2"/>
                <w:sz w:val="24"/>
                <w:szCs w:val="24"/>
                <w:highlight w:val="none"/>
                <w:lang w:val="zh-CN" w:eastAsia="zh-CN" w:bidi="ar-SA"/>
              </w:rPr>
              <w:t>如个体工商户、个人独资企业、合伙企业，应提供房产权证或其他有效财产证明材料，证明其具备实际承担责任的能力和法定的缔结合同能力。</w:t>
            </w:r>
          </w:p>
          <w:p>
            <w:pPr>
              <w:autoSpaceDE w:val="0"/>
              <w:autoSpaceDN w:val="0"/>
              <w:spacing w:line="400" w:lineRule="exact"/>
              <w:rPr>
                <w:rFonts w:ascii="宋体"/>
                <w:sz w:val="24"/>
                <w:szCs w:val="24"/>
                <w:highlight w:val="none"/>
              </w:rPr>
            </w:pPr>
            <w:r>
              <w:rPr>
                <w:rFonts w:hint="eastAsia" w:ascii="宋体" w:hAnsi="宋体" w:eastAsia="宋体" w:cs="Arial"/>
                <w:color w:val="auto"/>
                <w:kern w:val="2"/>
                <w:sz w:val="24"/>
                <w:szCs w:val="24"/>
                <w:highlight w:val="none"/>
                <w:lang w:val="zh-CN" w:eastAsia="zh-CN" w:bidi="ar-SA"/>
              </w:rPr>
              <w:t>5.</w:t>
            </w:r>
            <w:r>
              <w:rPr>
                <w:rFonts w:hint="eastAsia" w:ascii="宋体" w:hAnsi="宋体" w:eastAsia="宋体" w:cs="Arial"/>
                <w:color w:val="auto"/>
                <w:kern w:val="2"/>
                <w:sz w:val="24"/>
                <w:szCs w:val="24"/>
                <w:highlight w:val="none"/>
                <w:lang w:val="en-US" w:eastAsia="zh-CN" w:bidi="ar-SA"/>
              </w:rPr>
              <w:t>单位负责人为同一人或者存在直接控股、管理关系的不同供应商，不得同时参加同一合同项下的</w:t>
            </w:r>
            <w:r>
              <w:rPr>
                <w:rFonts w:hint="eastAsia" w:ascii="宋体" w:hAnsi="宋体" w:cs="Arial"/>
                <w:color w:val="auto"/>
                <w:kern w:val="2"/>
                <w:sz w:val="24"/>
                <w:szCs w:val="24"/>
                <w:highlight w:val="none"/>
                <w:lang w:val="en-US" w:eastAsia="zh-CN" w:bidi="ar-SA"/>
              </w:rPr>
              <w:t>响应</w:t>
            </w:r>
            <w:r>
              <w:rPr>
                <w:rFonts w:hint="eastAsia" w:ascii="宋体" w:hAnsi="宋体" w:eastAsia="宋体" w:cs="Arial"/>
                <w:color w:val="auto"/>
                <w:kern w:val="2"/>
                <w:sz w:val="24"/>
                <w:szCs w:val="24"/>
                <w:highlight w:val="none"/>
                <w:lang w:val="zh-CN" w:eastAsia="zh-CN" w:bidi="ar-SA"/>
              </w:rPr>
              <w:t>。</w:t>
            </w:r>
          </w:p>
          <w:p>
            <w:pPr>
              <w:autoSpaceDE w:val="0"/>
              <w:autoSpaceDN w:val="0"/>
              <w:spacing w:line="400" w:lineRule="exact"/>
              <w:rPr>
                <w:rFonts w:hint="eastAsia" w:ascii="宋体" w:eastAsia="宋体"/>
                <w:color w:val="000000"/>
                <w:sz w:val="24"/>
                <w:highlight w:val="none"/>
                <w:lang w:val="en-US" w:eastAsia="zh-CN"/>
              </w:rPr>
            </w:pPr>
            <w:r>
              <w:rPr>
                <w:rFonts w:hint="eastAsia" w:ascii="宋体"/>
                <w:sz w:val="24"/>
                <w:szCs w:val="24"/>
                <w:highlight w:val="none"/>
              </w:rPr>
              <w:t>其他要求：</w:t>
            </w:r>
            <w:r>
              <w:rPr>
                <w:rFonts w:hint="eastAsia" w:ascii="宋体" w:hAnsi="宋体" w:eastAsia="宋体" w:cs="宋体"/>
                <w:b/>
                <w:bCs/>
                <w:i w:val="0"/>
                <w:iCs w:val="0"/>
                <w:caps w:val="0"/>
                <w:color w:val="000000"/>
                <w:spacing w:val="0"/>
                <w:sz w:val="24"/>
                <w:szCs w:val="24"/>
                <w:highlight w:val="none"/>
                <w:u w:val="none"/>
                <w:lang w:val="en-US" w:eastAsia="zh-CN"/>
              </w:rPr>
              <w:t>具有国内独立法人资格的电梯设备生产制造商，</w:t>
            </w:r>
            <w:r>
              <w:rPr>
                <w:rFonts w:hint="eastAsia" w:ascii="宋体" w:hAnsi="宋体" w:eastAsia="宋体" w:cs="宋体"/>
                <w:b/>
                <w:bCs/>
                <w:color w:val="000000"/>
                <w:sz w:val="24"/>
                <w:szCs w:val="24"/>
                <w:highlight w:val="none"/>
                <w:u w:val="none"/>
              </w:rPr>
              <w:t>电梯制造商具有《中华人民共和国特种设备制造许可证(电梯)》(曳引式客梯</w:t>
            </w:r>
            <w:r>
              <w:rPr>
                <w:rFonts w:hint="eastAsia" w:ascii="宋体" w:hAnsi="宋体" w:eastAsia="宋体" w:cs="宋体"/>
                <w:b/>
                <w:bCs/>
                <w:color w:val="000000"/>
                <w:sz w:val="24"/>
                <w:szCs w:val="24"/>
                <w:highlight w:val="none"/>
                <w:u w:val="none"/>
                <w:lang w:val="en-US" w:eastAsia="zh-CN"/>
              </w:rPr>
              <w:t>A</w:t>
            </w:r>
            <w:r>
              <w:rPr>
                <w:rFonts w:hint="eastAsia" w:ascii="宋体" w:hAnsi="宋体" w:eastAsia="宋体" w:cs="宋体"/>
                <w:b/>
                <w:bCs/>
                <w:color w:val="000000"/>
                <w:sz w:val="24"/>
                <w:szCs w:val="24"/>
                <w:highlight w:val="none"/>
                <w:u w:val="none"/>
              </w:rPr>
              <w:t>级)、《中华人民共和国特种设备安装改造维修许可证(电梯)》(乘客电梯</w:t>
            </w:r>
            <w:r>
              <w:rPr>
                <w:rFonts w:hint="eastAsia" w:ascii="宋体" w:hAnsi="宋体" w:eastAsia="宋体" w:cs="宋体"/>
                <w:b/>
                <w:bCs/>
                <w:color w:val="000000"/>
                <w:sz w:val="24"/>
                <w:szCs w:val="24"/>
                <w:highlight w:val="none"/>
                <w:u w:val="none"/>
                <w:lang w:val="en-US" w:eastAsia="zh-CN"/>
              </w:rPr>
              <w:t>A</w:t>
            </w:r>
            <w:r>
              <w:rPr>
                <w:rFonts w:hint="eastAsia" w:ascii="宋体" w:hAnsi="宋体" w:eastAsia="宋体" w:cs="宋体"/>
                <w:b/>
                <w:bCs/>
                <w:color w:val="000000"/>
                <w:sz w:val="24"/>
                <w:szCs w:val="24"/>
                <w:highlight w:val="none"/>
                <w:u w:val="none"/>
              </w:rPr>
              <w:t>级)</w:t>
            </w:r>
            <w:r>
              <w:rPr>
                <w:rFonts w:hint="eastAsia" w:ascii="宋体" w:hAnsi="宋体" w:eastAsia="宋体" w:cs="宋体"/>
                <w:b/>
                <w:bCs/>
                <w:i w:val="0"/>
                <w:iCs w:val="0"/>
                <w:caps w:val="0"/>
                <w:color w:val="000000"/>
                <w:spacing w:val="0"/>
                <w:sz w:val="24"/>
                <w:szCs w:val="24"/>
                <w:highlight w:val="none"/>
                <w:u w:val="none"/>
              </w:rPr>
              <w:t>资质</w:t>
            </w:r>
            <w:r>
              <w:rPr>
                <w:rFonts w:hint="eastAsia" w:ascii="宋体" w:hAnsi="宋体" w:eastAsia="宋体" w:cs="宋体"/>
                <w:b/>
                <w:bCs/>
                <w:i w:val="0"/>
                <w:iCs w:val="0"/>
                <w:caps w:val="0"/>
                <w:color w:val="000000"/>
                <w:spacing w:val="0"/>
                <w:sz w:val="24"/>
                <w:szCs w:val="24"/>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4" w:type="dxa"/>
            <w:vAlign w:val="center"/>
          </w:tcPr>
          <w:p>
            <w:pPr>
              <w:autoSpaceDE w:val="0"/>
              <w:autoSpaceDN w:val="0"/>
              <w:spacing w:line="400" w:lineRule="exact"/>
              <w:jc w:val="center"/>
              <w:rPr>
                <w:highlight w:val="none"/>
              </w:rPr>
            </w:pPr>
            <w:r>
              <w:rPr>
                <w:rFonts w:ascii="宋体" w:hAnsi="宋体"/>
                <w:sz w:val="24"/>
                <w:szCs w:val="24"/>
                <w:highlight w:val="none"/>
              </w:rPr>
              <w:t>1.5.2</w:t>
            </w:r>
          </w:p>
        </w:tc>
        <w:tc>
          <w:tcPr>
            <w:tcW w:w="2717" w:type="dxa"/>
            <w:vAlign w:val="center"/>
          </w:tcPr>
          <w:p>
            <w:pPr>
              <w:autoSpaceDE w:val="0"/>
              <w:autoSpaceDN w:val="0"/>
              <w:spacing w:line="400" w:lineRule="exact"/>
              <w:rPr>
                <w:rFonts w:ascii="宋体"/>
                <w:szCs w:val="21"/>
                <w:highlight w:val="none"/>
              </w:rPr>
            </w:pPr>
            <w:r>
              <w:rPr>
                <w:rFonts w:hint="eastAsia" w:ascii="宋体" w:hAnsi="宋体"/>
                <w:sz w:val="24"/>
                <w:szCs w:val="24"/>
                <w:highlight w:val="none"/>
              </w:rPr>
              <w:t>是否接受联合体投标</w:t>
            </w:r>
          </w:p>
        </w:tc>
        <w:tc>
          <w:tcPr>
            <w:tcW w:w="4986" w:type="dxa"/>
            <w:vAlign w:val="center"/>
          </w:tcPr>
          <w:p>
            <w:pPr>
              <w:autoSpaceDE w:val="0"/>
              <w:autoSpaceDN w:val="0"/>
              <w:spacing w:line="400" w:lineRule="exact"/>
              <w:rPr>
                <w:rFonts w:ascii="宋体"/>
                <w:sz w:val="24"/>
                <w:szCs w:val="24"/>
                <w:highlight w:val="none"/>
              </w:rPr>
            </w:pPr>
            <w:r>
              <w:rPr>
                <w:rFonts w:hint="eastAsia" w:ascii="宋体"/>
                <w:sz w:val="24"/>
                <w:highlight w:val="none"/>
                <w:lang w:val="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194" w:type="dxa"/>
            <w:vAlign w:val="center"/>
          </w:tcPr>
          <w:p>
            <w:pPr>
              <w:autoSpaceDE w:val="0"/>
              <w:autoSpaceDN w:val="0"/>
              <w:spacing w:line="400" w:lineRule="exact"/>
              <w:jc w:val="center"/>
              <w:rPr>
                <w:rFonts w:hint="eastAsia" w:eastAsia="宋体"/>
                <w:highlight w:val="none"/>
                <w:lang w:eastAsia="zh-CN"/>
              </w:rPr>
            </w:pPr>
            <w:r>
              <w:rPr>
                <w:rFonts w:hint="eastAsia" w:ascii="宋体"/>
                <w:sz w:val="24"/>
                <w:szCs w:val="24"/>
                <w:highlight w:val="none"/>
              </w:rPr>
              <w:t>1.5.</w:t>
            </w:r>
            <w:r>
              <w:rPr>
                <w:rFonts w:hint="eastAsia" w:ascii="宋体"/>
                <w:sz w:val="24"/>
                <w:szCs w:val="24"/>
                <w:highlight w:val="none"/>
                <w:lang w:val="en-US" w:eastAsia="zh-CN"/>
              </w:rPr>
              <w:t>4</w:t>
            </w:r>
          </w:p>
        </w:tc>
        <w:tc>
          <w:tcPr>
            <w:tcW w:w="2717" w:type="dxa"/>
            <w:vAlign w:val="center"/>
          </w:tcPr>
          <w:p>
            <w:pPr>
              <w:autoSpaceDE w:val="0"/>
              <w:autoSpaceDN w:val="0"/>
              <w:spacing w:line="400" w:lineRule="exact"/>
              <w:jc w:val="center"/>
              <w:rPr>
                <w:rFonts w:ascii="宋体"/>
                <w:szCs w:val="21"/>
                <w:highlight w:val="none"/>
              </w:rPr>
            </w:pPr>
            <w:r>
              <w:rPr>
                <w:rFonts w:hint="eastAsia" w:ascii="宋体"/>
                <w:sz w:val="24"/>
                <w:szCs w:val="24"/>
                <w:highlight w:val="none"/>
              </w:rPr>
              <w:t>供应商存在以下情形会造成磋商响应文件无效</w:t>
            </w:r>
          </w:p>
        </w:tc>
        <w:tc>
          <w:tcPr>
            <w:tcW w:w="4986" w:type="dxa"/>
            <w:vAlign w:val="center"/>
          </w:tcPr>
          <w:p>
            <w:pPr>
              <w:autoSpaceDE w:val="0"/>
              <w:autoSpaceDN w:val="0"/>
              <w:spacing w:line="400" w:lineRule="exact"/>
              <w:rPr>
                <w:rFonts w:ascii="宋体"/>
                <w:sz w:val="24"/>
                <w:szCs w:val="24"/>
                <w:highlight w:val="none"/>
              </w:rPr>
            </w:pPr>
            <w:r>
              <w:rPr>
                <w:rFonts w:hint="eastAsia" w:ascii="宋体"/>
                <w:sz w:val="24"/>
                <w:szCs w:val="24"/>
                <w:highlight w:val="none"/>
                <w:lang w:val="zh-CN"/>
              </w:rPr>
              <w:t>存在该款规定的，采购人有权拒绝。</w:t>
            </w:r>
            <w:r>
              <w:rPr>
                <w:rFonts w:hint="eastAsia" w:ascii="宋体"/>
                <w:sz w:val="24"/>
                <w:szCs w:val="24"/>
                <w:highlight w:val="none"/>
              </w:rPr>
              <w:t>如在磋商后查实存在该款规定情形的，作磋商无效处理，并按相关政府采购相关规定进行处罚。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autoSpaceDE w:val="0"/>
              <w:autoSpaceDN w:val="0"/>
              <w:spacing w:line="400" w:lineRule="exact"/>
              <w:jc w:val="center"/>
              <w:rPr>
                <w:highlight w:val="none"/>
              </w:rPr>
            </w:pPr>
            <w:r>
              <w:rPr>
                <w:rFonts w:hint="eastAsia" w:ascii="宋体"/>
                <w:sz w:val="24"/>
                <w:szCs w:val="24"/>
                <w:highlight w:val="none"/>
              </w:rPr>
              <w:t>2.2.1</w:t>
            </w:r>
          </w:p>
        </w:tc>
        <w:tc>
          <w:tcPr>
            <w:tcW w:w="2717" w:type="dxa"/>
            <w:vAlign w:val="center"/>
          </w:tcPr>
          <w:p>
            <w:pPr>
              <w:autoSpaceDE w:val="0"/>
              <w:autoSpaceDN w:val="0"/>
              <w:spacing w:line="400" w:lineRule="exact"/>
              <w:jc w:val="center"/>
              <w:rPr>
                <w:rFonts w:ascii="宋体"/>
                <w:szCs w:val="21"/>
                <w:highlight w:val="none"/>
              </w:rPr>
            </w:pPr>
            <w:r>
              <w:rPr>
                <w:rFonts w:hint="eastAsia" w:ascii="宋体"/>
                <w:sz w:val="24"/>
                <w:szCs w:val="24"/>
                <w:highlight w:val="none"/>
              </w:rPr>
              <w:t>实质性要求和条件</w:t>
            </w:r>
          </w:p>
        </w:tc>
        <w:tc>
          <w:tcPr>
            <w:tcW w:w="4986" w:type="dxa"/>
            <w:vAlign w:val="center"/>
          </w:tcPr>
          <w:p>
            <w:pPr>
              <w:autoSpaceDE w:val="0"/>
              <w:autoSpaceDN w:val="0"/>
              <w:spacing w:line="400" w:lineRule="exact"/>
              <w:rPr>
                <w:rFonts w:ascii="宋体"/>
                <w:sz w:val="24"/>
                <w:szCs w:val="24"/>
                <w:highlight w:val="none"/>
              </w:rPr>
            </w:pPr>
            <w:r>
              <w:rPr>
                <w:rFonts w:hint="eastAsia" w:ascii="宋体"/>
                <w:sz w:val="24"/>
                <w:szCs w:val="24"/>
                <w:highlight w:val="none"/>
                <w:lang w:val="zh-CN"/>
              </w:rPr>
              <w:t>磋商文件规定的实质性条款内容不满足的，会造成磋商失败。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194" w:type="dxa"/>
            <w:vAlign w:val="center"/>
          </w:tcPr>
          <w:p>
            <w:pPr>
              <w:autoSpaceDE w:val="0"/>
              <w:autoSpaceDN w:val="0"/>
              <w:spacing w:line="400" w:lineRule="exact"/>
              <w:jc w:val="center"/>
              <w:rPr>
                <w:highlight w:val="none"/>
              </w:rPr>
            </w:pPr>
            <w:r>
              <w:rPr>
                <w:rFonts w:hint="eastAsia" w:ascii="宋体"/>
                <w:sz w:val="24"/>
                <w:szCs w:val="24"/>
                <w:highlight w:val="none"/>
              </w:rPr>
              <w:t>2.3.1</w:t>
            </w:r>
          </w:p>
        </w:tc>
        <w:tc>
          <w:tcPr>
            <w:tcW w:w="2717" w:type="dxa"/>
            <w:vAlign w:val="center"/>
          </w:tcPr>
          <w:p>
            <w:pPr>
              <w:autoSpaceDE w:val="0"/>
              <w:autoSpaceDN w:val="0"/>
              <w:spacing w:line="400" w:lineRule="exact"/>
              <w:ind w:firstLine="480" w:firstLineChars="200"/>
              <w:rPr>
                <w:highlight w:val="none"/>
              </w:rPr>
            </w:pPr>
            <w:r>
              <w:rPr>
                <w:rFonts w:hint="eastAsia" w:ascii="宋体"/>
                <w:sz w:val="24"/>
                <w:szCs w:val="24"/>
                <w:highlight w:val="none"/>
              </w:rPr>
              <w:t>答疑和澄清</w:t>
            </w:r>
          </w:p>
        </w:tc>
        <w:tc>
          <w:tcPr>
            <w:tcW w:w="4986" w:type="dxa"/>
            <w:vAlign w:val="center"/>
          </w:tcPr>
          <w:p>
            <w:pPr>
              <w:autoSpaceDE w:val="0"/>
              <w:autoSpaceDN w:val="0"/>
              <w:adjustRightInd w:val="0"/>
              <w:spacing w:line="400" w:lineRule="exact"/>
              <w:rPr>
                <w:rFonts w:ascii="宋体"/>
                <w:color w:val="000000"/>
                <w:sz w:val="24"/>
                <w:szCs w:val="24"/>
                <w:highlight w:val="none"/>
              </w:rPr>
            </w:pPr>
            <w:r>
              <w:rPr>
                <w:rFonts w:hint="eastAsia" w:ascii="宋体"/>
                <w:color w:val="000000"/>
                <w:sz w:val="24"/>
                <w:szCs w:val="24"/>
                <w:highlight w:val="none"/>
              </w:rPr>
              <w:t>供应商如认为磋商文件表述不清晰、存在歧视性、排他性或者其他违法内容的，应当于</w:t>
            </w:r>
            <w:r>
              <w:rPr>
                <w:rFonts w:hint="eastAsia" w:ascii="宋体"/>
                <w:sz w:val="24"/>
                <w:szCs w:val="24"/>
                <w:highlight w:val="none"/>
                <w:u w:val="single"/>
                <w:lang w:eastAsia="zh-CN"/>
              </w:rPr>
              <w:t>2022年</w:t>
            </w:r>
            <w:r>
              <w:rPr>
                <w:rFonts w:hint="eastAsia" w:ascii="宋体"/>
                <w:sz w:val="24"/>
                <w:szCs w:val="24"/>
                <w:highlight w:val="none"/>
                <w:u w:val="single"/>
                <w:lang w:val="en-US" w:eastAsia="zh-CN"/>
              </w:rPr>
              <w:t>08</w:t>
            </w:r>
            <w:r>
              <w:rPr>
                <w:rFonts w:hint="eastAsia" w:ascii="宋体"/>
                <w:sz w:val="24"/>
                <w:szCs w:val="24"/>
                <w:highlight w:val="none"/>
                <w:u w:val="single"/>
                <w:lang w:eastAsia="zh-CN"/>
              </w:rPr>
              <w:t>月</w:t>
            </w:r>
            <w:r>
              <w:rPr>
                <w:rFonts w:hint="eastAsia" w:ascii="宋体"/>
                <w:sz w:val="24"/>
                <w:szCs w:val="24"/>
                <w:highlight w:val="none"/>
                <w:u w:val="single"/>
                <w:lang w:val="en-US" w:eastAsia="zh-CN"/>
              </w:rPr>
              <w:t>23</w:t>
            </w:r>
            <w:r>
              <w:rPr>
                <w:rFonts w:hint="eastAsia" w:ascii="宋体"/>
                <w:sz w:val="24"/>
                <w:szCs w:val="24"/>
                <w:highlight w:val="none"/>
                <w:u w:val="single"/>
                <w:lang w:eastAsia="zh-CN"/>
              </w:rPr>
              <w:t>日</w:t>
            </w:r>
            <w:r>
              <w:rPr>
                <w:rFonts w:hint="eastAsia" w:ascii="宋体"/>
                <w:sz w:val="24"/>
                <w:szCs w:val="24"/>
                <w:highlight w:val="none"/>
              </w:rPr>
              <w:t>下午</w:t>
            </w:r>
            <w:r>
              <w:rPr>
                <w:rFonts w:hint="eastAsia" w:ascii="宋体"/>
                <w:sz w:val="24"/>
                <w:szCs w:val="24"/>
                <w:highlight w:val="none"/>
                <w:u w:val="single"/>
              </w:rPr>
              <w:t>17</w:t>
            </w:r>
            <w:r>
              <w:rPr>
                <w:rFonts w:hint="eastAsia" w:ascii="宋体"/>
                <w:sz w:val="24"/>
                <w:szCs w:val="24"/>
                <w:highlight w:val="none"/>
              </w:rPr>
              <w:t>时前，以书面形式(电子稿发送至cxxzfcg@163.com)向</w:t>
            </w:r>
            <w:r>
              <w:rPr>
                <w:rFonts w:hint="eastAsia" w:ascii="宋体"/>
                <w:color w:val="000000"/>
                <w:sz w:val="24"/>
                <w:szCs w:val="24"/>
                <w:highlight w:val="none"/>
              </w:rPr>
              <w:t>集中</w:t>
            </w:r>
            <w:r>
              <w:rPr>
                <w:rFonts w:ascii="宋体"/>
                <w:color w:val="000000"/>
                <w:sz w:val="24"/>
                <w:szCs w:val="24"/>
                <w:highlight w:val="none"/>
              </w:rPr>
              <w:t>采购</w:t>
            </w:r>
            <w:r>
              <w:rPr>
                <w:rFonts w:hint="eastAsia" w:ascii="宋体"/>
                <w:color w:val="000000"/>
                <w:sz w:val="24"/>
                <w:szCs w:val="24"/>
                <w:highlight w:val="none"/>
              </w:rPr>
              <w:t>机构提出书面质疑</w:t>
            </w:r>
            <w:r>
              <w:rPr>
                <w:rFonts w:hint="eastAsia" w:ascii="宋体" w:eastAsia="宋体"/>
                <w:b/>
                <w:color w:val="000000"/>
                <w:sz w:val="24"/>
                <w:szCs w:val="24"/>
                <w:highlight w:val="none"/>
              </w:rPr>
              <w:t>（供应商</w:t>
            </w:r>
            <w:r>
              <w:rPr>
                <w:rFonts w:hint="eastAsia" w:ascii="宋体"/>
                <w:b/>
                <w:color w:val="000000"/>
                <w:sz w:val="24"/>
                <w:szCs w:val="24"/>
                <w:highlight w:val="none"/>
              </w:rPr>
              <w:t>应把握所提疑问是否确需澄清或质疑，相关非实质性问题可以沟通解决的请及时电话联系，以免答疑后影响用户的正常采购进程）</w:t>
            </w:r>
            <w:r>
              <w:rPr>
                <w:rFonts w:hint="eastAsia" w:ascii="宋体"/>
                <w:color w:val="000000"/>
                <w:sz w:val="24"/>
                <w:szCs w:val="24"/>
                <w:highlight w:val="none"/>
              </w:rPr>
              <w:t>；</w:t>
            </w:r>
          </w:p>
          <w:p>
            <w:pPr>
              <w:autoSpaceDE w:val="0"/>
              <w:autoSpaceDN w:val="0"/>
              <w:adjustRightInd w:val="0"/>
              <w:spacing w:line="400" w:lineRule="exact"/>
              <w:ind w:firstLine="480"/>
              <w:rPr>
                <w:highlight w:val="none"/>
              </w:rPr>
            </w:pPr>
            <w:bookmarkStart w:id="45" w:name="EB0454a628309d4512bbc503a24844ff65"/>
            <w:r>
              <w:rPr>
                <w:rFonts w:hint="eastAsia" w:ascii="宋体"/>
                <w:sz w:val="24"/>
                <w:szCs w:val="24"/>
                <w:highlight w:val="none"/>
              </w:rPr>
              <w:t>答疑和澄清修改的内容在3个工作日内作出答复，如答疑和澄清修改的内容影响磋商响应文件编制的，集中采购机构将在磋商截止时间5日前，在</w:t>
            </w:r>
            <w:r>
              <w:rPr>
                <w:rFonts w:hint="eastAsia" w:ascii="宋体"/>
                <w:sz w:val="24"/>
                <w:szCs w:val="24"/>
                <w:highlight w:val="none"/>
                <w:lang w:val="zh-CN"/>
              </w:rPr>
              <w:t xml:space="preserve">浙江省政府采购网    </w:t>
            </w:r>
            <w:r>
              <w:rPr>
                <w:rFonts w:hint="eastAsia" w:ascii="宋体"/>
                <w:sz w:val="24"/>
                <w:szCs w:val="24"/>
                <w:highlight w:val="none"/>
              </w:rPr>
              <w:t>(</w:t>
            </w:r>
            <w:r>
              <w:rPr>
                <w:rFonts w:hint="eastAsia" w:ascii="宋体"/>
                <w:sz w:val="24"/>
                <w:szCs w:val="24"/>
                <w:highlight w:val="none"/>
                <w:lang w:val="zh-CN"/>
              </w:rPr>
              <w:t>http://www.zjzfcg.gov.cn/</w:t>
            </w:r>
            <w:r>
              <w:rPr>
                <w:rFonts w:hint="eastAsia" w:ascii="宋体"/>
                <w:sz w:val="24"/>
                <w:szCs w:val="24"/>
                <w:highlight w:val="none"/>
              </w:rPr>
              <w:t>)</w:t>
            </w:r>
            <w:r>
              <w:rPr>
                <w:rFonts w:hint="eastAsia" w:ascii="宋体"/>
                <w:sz w:val="24"/>
                <w:szCs w:val="24"/>
                <w:highlight w:val="none"/>
                <w:lang w:val="zh-CN"/>
              </w:rPr>
              <w:t>和长兴县公共资源交易中心网</w:t>
            </w:r>
            <w:r>
              <w:rPr>
                <w:rFonts w:hint="eastAsia" w:ascii="宋体"/>
                <w:color w:val="000000"/>
                <w:sz w:val="24"/>
                <w:szCs w:val="24"/>
                <w:highlight w:val="none"/>
              </w:rPr>
              <w:t>（</w:t>
            </w:r>
            <w:r>
              <w:rPr>
                <w:rStyle w:val="40"/>
                <w:rFonts w:ascii="宋体"/>
                <w:sz w:val="24"/>
                <w:highlight w:val="none"/>
              </w:rPr>
              <w:t>http://</w:t>
            </w:r>
            <w:r>
              <w:rPr>
                <w:rStyle w:val="40"/>
                <w:rFonts w:hint="eastAsia" w:ascii="宋体"/>
                <w:sz w:val="24"/>
                <w:highlight w:val="none"/>
              </w:rPr>
              <w:t>ggzy</w:t>
            </w:r>
            <w:r>
              <w:rPr>
                <w:rStyle w:val="40"/>
                <w:rFonts w:ascii="宋体"/>
                <w:sz w:val="24"/>
                <w:highlight w:val="none"/>
              </w:rPr>
              <w:t>.</w:t>
            </w:r>
            <w:r>
              <w:rPr>
                <w:rStyle w:val="40"/>
                <w:rFonts w:hint="eastAsia" w:ascii="宋体"/>
                <w:sz w:val="24"/>
                <w:highlight w:val="none"/>
              </w:rPr>
              <w:t>zjcx</w:t>
            </w:r>
            <w:r>
              <w:rPr>
                <w:rStyle w:val="40"/>
                <w:rFonts w:ascii="宋体"/>
                <w:sz w:val="24"/>
                <w:highlight w:val="none"/>
              </w:rPr>
              <w:t>.gov.cn:8081</w:t>
            </w:r>
            <w:r>
              <w:rPr>
                <w:rFonts w:ascii="宋体"/>
                <w:color w:val="000000"/>
                <w:sz w:val="24"/>
                <w:szCs w:val="24"/>
                <w:highlight w:val="none"/>
              </w:rPr>
              <w:t>）</w:t>
            </w:r>
            <w:r>
              <w:rPr>
                <w:rFonts w:hint="eastAsia" w:ascii="宋体"/>
                <w:color w:val="000000"/>
                <w:sz w:val="24"/>
                <w:szCs w:val="24"/>
                <w:highlight w:val="none"/>
                <w:lang w:eastAsia="zh-CN"/>
              </w:rPr>
              <w:t>（</w:t>
            </w:r>
            <w:r>
              <w:rPr>
                <w:rFonts w:hint="eastAsia" w:ascii="宋体"/>
                <w:color w:val="000000"/>
                <w:sz w:val="24"/>
                <w:szCs w:val="24"/>
                <w:highlight w:val="none"/>
                <w:u w:val="single"/>
                <w:lang w:eastAsia="zh-CN"/>
              </w:rPr>
              <w:t>https://ggzy.zjcx.gov.cn/cxweb/</w:t>
            </w:r>
            <w:r>
              <w:rPr>
                <w:rFonts w:hint="eastAsia" w:ascii="宋体"/>
                <w:color w:val="000000"/>
                <w:sz w:val="24"/>
                <w:szCs w:val="24"/>
                <w:highlight w:val="none"/>
                <w:lang w:eastAsia="zh-CN"/>
              </w:rPr>
              <w:t>）</w:t>
            </w:r>
            <w:r>
              <w:rPr>
                <w:rFonts w:hint="eastAsia" w:ascii="宋体"/>
                <w:sz w:val="24"/>
                <w:szCs w:val="24"/>
                <w:highlight w:val="none"/>
                <w:lang w:val="zh-CN"/>
              </w:rPr>
              <w:t>相应</w:t>
            </w:r>
            <w:r>
              <w:rPr>
                <w:rFonts w:hint="eastAsia" w:ascii="宋体"/>
                <w:sz w:val="24"/>
                <w:szCs w:val="24"/>
                <w:highlight w:val="none"/>
              </w:rPr>
              <w:t>栏目发布答疑和澄清。</w:t>
            </w:r>
            <w:r>
              <w:rPr>
                <w:rFonts w:hint="eastAsia" w:ascii="宋体" w:hAnsi="宋体"/>
                <w:color w:val="000000"/>
                <w:sz w:val="24"/>
                <w:highlight w:val="none"/>
              </w:rPr>
              <w:t>不足5天的，采购人将顺延递交磋商响应文件的截止时间。</w:t>
            </w:r>
            <w:bookmarkEnd w:id="45"/>
            <w:r>
              <w:rPr>
                <w:rFonts w:hint="eastAsia" w:ascii="宋体"/>
                <w:color w:val="000000" w:themeColor="text1"/>
                <w:sz w:val="24"/>
                <w:szCs w:val="24"/>
                <w:highlight w:val="none"/>
                <w:lang w:val="zh-CN"/>
                <w14:textFill>
                  <w14:solidFill>
                    <w14:schemeClr w14:val="tx1"/>
                  </w14:solidFill>
                </w14:textFill>
              </w:rPr>
              <w:t>质疑函范本、投诉书范本请到浙江政府采购网下载专区下载。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94" w:type="dxa"/>
            <w:vAlign w:val="center"/>
          </w:tcPr>
          <w:p>
            <w:pPr>
              <w:autoSpaceDE w:val="0"/>
              <w:autoSpaceDN w:val="0"/>
              <w:spacing w:line="400" w:lineRule="exact"/>
              <w:jc w:val="center"/>
              <w:rPr>
                <w:rFonts w:ascii="宋体"/>
                <w:sz w:val="24"/>
                <w:szCs w:val="24"/>
                <w:highlight w:val="none"/>
              </w:rPr>
            </w:pPr>
            <w:r>
              <w:rPr>
                <w:rFonts w:hint="eastAsia" w:ascii="宋体"/>
                <w:sz w:val="24"/>
                <w:szCs w:val="24"/>
                <w:highlight w:val="none"/>
              </w:rPr>
              <w:t>2.3.2</w:t>
            </w:r>
          </w:p>
        </w:tc>
        <w:tc>
          <w:tcPr>
            <w:tcW w:w="2717" w:type="dxa"/>
            <w:vAlign w:val="center"/>
          </w:tcPr>
          <w:p>
            <w:pPr>
              <w:autoSpaceDE w:val="0"/>
              <w:autoSpaceDN w:val="0"/>
              <w:spacing w:line="400" w:lineRule="exact"/>
              <w:rPr>
                <w:rFonts w:ascii="宋体"/>
                <w:szCs w:val="21"/>
                <w:highlight w:val="none"/>
              </w:rPr>
            </w:pPr>
            <w:r>
              <w:rPr>
                <w:rFonts w:hint="eastAsia" w:ascii="宋体"/>
                <w:color w:val="000000"/>
                <w:sz w:val="24"/>
                <w:szCs w:val="24"/>
                <w:highlight w:val="none"/>
              </w:rPr>
              <w:t>供应商确认收到磋商文件澄清、修改的时间</w:t>
            </w:r>
          </w:p>
        </w:tc>
        <w:tc>
          <w:tcPr>
            <w:tcW w:w="4986" w:type="dxa"/>
            <w:vAlign w:val="center"/>
          </w:tcPr>
          <w:p>
            <w:pPr>
              <w:rPr>
                <w:rFonts w:ascii="宋体"/>
                <w:color w:val="0000FF"/>
                <w:szCs w:val="21"/>
                <w:highlight w:val="none"/>
              </w:rPr>
            </w:pPr>
            <w:r>
              <w:rPr>
                <w:rFonts w:hint="eastAsia" w:ascii="宋体"/>
                <w:color w:val="000000"/>
                <w:sz w:val="24"/>
                <w:szCs w:val="24"/>
                <w:highlight w:val="none"/>
              </w:rPr>
              <w:t>潜在供应商应自行关注浙江省政府采购网或长兴县公共资源交易网站“政府采购-集中采购-采购公告”栏的公告，采购人不再一一通知。供应商因自身贻误行为导致磋商失败的，责任自负。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94" w:type="dxa"/>
            <w:vAlign w:val="center"/>
          </w:tcPr>
          <w:p>
            <w:pPr>
              <w:autoSpaceDE w:val="0"/>
              <w:autoSpaceDN w:val="0"/>
              <w:spacing w:line="400" w:lineRule="exact"/>
              <w:jc w:val="center"/>
              <w:rPr>
                <w:rFonts w:ascii="宋体"/>
                <w:sz w:val="24"/>
                <w:szCs w:val="24"/>
                <w:highlight w:val="none"/>
              </w:rPr>
            </w:pPr>
            <w:r>
              <w:rPr>
                <w:rFonts w:hint="eastAsia" w:ascii="宋体"/>
                <w:sz w:val="24"/>
                <w:szCs w:val="24"/>
                <w:highlight w:val="none"/>
              </w:rPr>
              <w:t>3.1</w:t>
            </w:r>
          </w:p>
        </w:tc>
        <w:tc>
          <w:tcPr>
            <w:tcW w:w="2717" w:type="dxa"/>
            <w:vAlign w:val="center"/>
          </w:tcPr>
          <w:p>
            <w:pPr>
              <w:autoSpaceDE w:val="0"/>
              <w:autoSpaceDN w:val="0"/>
              <w:spacing w:line="400" w:lineRule="exact"/>
              <w:rPr>
                <w:rFonts w:ascii="宋体"/>
                <w:sz w:val="24"/>
                <w:szCs w:val="24"/>
                <w:highlight w:val="none"/>
              </w:rPr>
            </w:pPr>
            <w:r>
              <w:rPr>
                <w:rFonts w:hint="eastAsia" w:ascii="宋体"/>
                <w:sz w:val="24"/>
                <w:szCs w:val="24"/>
                <w:highlight w:val="none"/>
              </w:rPr>
              <w:t>磋商响应文件形式</w:t>
            </w:r>
          </w:p>
        </w:tc>
        <w:tc>
          <w:tcPr>
            <w:tcW w:w="4986" w:type="dxa"/>
            <w:vAlign w:val="center"/>
          </w:tcPr>
          <w:p>
            <w:pPr>
              <w:autoSpaceDE w:val="0"/>
              <w:autoSpaceDN w:val="0"/>
              <w:spacing w:line="400" w:lineRule="exact"/>
              <w:rPr>
                <w:rFonts w:ascii="宋体"/>
                <w:sz w:val="24"/>
                <w:szCs w:val="24"/>
                <w:highlight w:val="none"/>
              </w:rPr>
            </w:pPr>
            <w:r>
              <w:rPr>
                <w:rFonts w:ascii="宋体"/>
                <w:sz w:val="24"/>
                <w:szCs w:val="24"/>
                <w:highlight w:val="none"/>
              </w:rPr>
              <w:t>本项目实行</w:t>
            </w:r>
            <w:r>
              <w:rPr>
                <w:rFonts w:hint="eastAsia" w:ascii="宋体"/>
                <w:sz w:val="24"/>
                <w:szCs w:val="24"/>
                <w:highlight w:val="none"/>
              </w:rPr>
              <w:t>全流程</w:t>
            </w:r>
            <w:r>
              <w:rPr>
                <w:rFonts w:ascii="宋体"/>
                <w:sz w:val="24"/>
                <w:szCs w:val="24"/>
                <w:highlight w:val="none"/>
              </w:rPr>
              <w:t>网上</w:t>
            </w:r>
            <w:r>
              <w:rPr>
                <w:rFonts w:hint="eastAsia" w:ascii="宋体"/>
                <w:sz w:val="24"/>
                <w:szCs w:val="24"/>
                <w:highlight w:val="none"/>
              </w:rPr>
              <w:t>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94" w:type="dxa"/>
            <w:vAlign w:val="center"/>
          </w:tcPr>
          <w:p>
            <w:pPr>
              <w:autoSpaceDE w:val="0"/>
              <w:autoSpaceDN w:val="0"/>
              <w:spacing w:line="400" w:lineRule="exact"/>
              <w:jc w:val="center"/>
              <w:rPr>
                <w:rFonts w:ascii="宋体"/>
                <w:sz w:val="24"/>
                <w:szCs w:val="24"/>
                <w:highlight w:val="none"/>
              </w:rPr>
            </w:pPr>
            <w:r>
              <w:rPr>
                <w:rFonts w:hint="eastAsia" w:ascii="宋体"/>
                <w:sz w:val="24"/>
                <w:szCs w:val="24"/>
                <w:highlight w:val="none"/>
              </w:rPr>
              <w:t>3.3</w:t>
            </w:r>
          </w:p>
        </w:tc>
        <w:tc>
          <w:tcPr>
            <w:tcW w:w="2717" w:type="dxa"/>
            <w:vAlign w:val="center"/>
          </w:tcPr>
          <w:p>
            <w:pPr>
              <w:autoSpaceDE w:val="0"/>
              <w:autoSpaceDN w:val="0"/>
              <w:spacing w:line="400" w:lineRule="exact"/>
              <w:rPr>
                <w:rFonts w:ascii="宋体"/>
                <w:sz w:val="24"/>
                <w:szCs w:val="24"/>
                <w:highlight w:val="none"/>
              </w:rPr>
            </w:pPr>
            <w:r>
              <w:rPr>
                <w:rFonts w:hint="eastAsia" w:ascii="宋体"/>
                <w:color w:val="000000"/>
                <w:sz w:val="24"/>
                <w:szCs w:val="24"/>
                <w:highlight w:val="none"/>
              </w:rPr>
              <w:t>磋商响应文件的形式和效力</w:t>
            </w:r>
          </w:p>
        </w:tc>
        <w:tc>
          <w:tcPr>
            <w:tcW w:w="4986" w:type="dxa"/>
            <w:vAlign w:val="center"/>
          </w:tcPr>
          <w:p>
            <w:pPr>
              <w:spacing w:line="460" w:lineRule="exact"/>
              <w:rPr>
                <w:rFonts w:ascii="宋体"/>
                <w:sz w:val="24"/>
                <w:szCs w:val="24"/>
                <w:highlight w:val="none"/>
              </w:rPr>
            </w:pPr>
            <w:r>
              <w:rPr>
                <w:rFonts w:hint="eastAsia" w:ascii="宋体"/>
                <w:sz w:val="24"/>
                <w:szCs w:val="24"/>
                <w:highlight w:val="none"/>
              </w:rPr>
              <w:t>1.电子磋商响应文件部分：供应商应根据“政采云供应商项目采购-电子招投标操作指南”及本磋商文件规定的格式和顺序编制，按电子磋商响应文件要求</w:t>
            </w:r>
            <w:r>
              <w:rPr>
                <w:rFonts w:hint="eastAsia" w:ascii="宋体"/>
                <w:color w:val="000000"/>
                <w:sz w:val="24"/>
                <w:highlight w:val="none"/>
              </w:rPr>
              <w:t>制作、加密并递交</w:t>
            </w:r>
            <w:r>
              <w:rPr>
                <w:rFonts w:hint="eastAsia" w:ascii="宋体"/>
                <w:sz w:val="24"/>
                <w:szCs w:val="24"/>
                <w:highlight w:val="none"/>
              </w:rPr>
              <w:t>，进行关联定位。</w:t>
            </w:r>
          </w:p>
          <w:p>
            <w:pPr>
              <w:spacing w:line="460" w:lineRule="exact"/>
              <w:rPr>
                <w:rFonts w:hint="eastAsia"/>
                <w:highlight w:val="none"/>
                <w:lang w:eastAsia="zh-CN"/>
              </w:rPr>
            </w:pPr>
            <w:r>
              <w:rPr>
                <w:rFonts w:hint="eastAsia" w:asciiTheme="minorEastAsia" w:hAnsiTheme="minorEastAsia" w:eastAsiaTheme="minorEastAsia" w:cstheme="minorEastAsia"/>
                <w:color w:val="000000"/>
                <w:sz w:val="24"/>
                <w:szCs w:val="24"/>
                <w:highlight w:val="none"/>
              </w:rPr>
              <w:t>2.</w:t>
            </w:r>
            <w:r>
              <w:rPr>
                <w:rFonts w:hint="eastAsia" w:ascii="宋体"/>
                <w:sz w:val="24"/>
                <w:szCs w:val="24"/>
                <w:highlight w:val="none"/>
              </w:rPr>
              <w:t xml:space="preserve"> 磋商响应文件</w:t>
            </w:r>
            <w:r>
              <w:rPr>
                <w:rFonts w:hint="eastAsia" w:asciiTheme="minorEastAsia" w:hAnsiTheme="minorEastAsia" w:eastAsiaTheme="minorEastAsia" w:cstheme="minorEastAsia"/>
                <w:color w:val="000000"/>
                <w:sz w:val="24"/>
                <w:szCs w:val="24"/>
                <w:highlight w:val="none"/>
              </w:rPr>
              <w:t>的效力：</w:t>
            </w:r>
            <w:r>
              <w:rPr>
                <w:rFonts w:hint="eastAsia" w:asciiTheme="minorEastAsia" w:hAnsiTheme="minorEastAsia" w:eastAsiaTheme="minorEastAsia" w:cstheme="minorEastAsia"/>
                <w:b/>
                <w:bCs/>
                <w:color w:val="000000"/>
                <w:sz w:val="24"/>
                <w:szCs w:val="24"/>
                <w:highlight w:val="none"/>
              </w:rPr>
              <w:t>磋商响应文件以供应商解密成功的上传电子磋商响应文件为准。备注：（以供应商解密成功的上传电子</w:t>
            </w:r>
            <w:r>
              <w:rPr>
                <w:rFonts w:hint="eastAsia" w:ascii="宋体"/>
                <w:b/>
                <w:sz w:val="24"/>
                <w:szCs w:val="24"/>
                <w:highlight w:val="none"/>
              </w:rPr>
              <w:t>磋商响应文件</w:t>
            </w:r>
            <w:r>
              <w:rPr>
                <w:rFonts w:hint="eastAsia" w:asciiTheme="minorEastAsia" w:hAnsiTheme="minorEastAsia" w:eastAsiaTheme="minorEastAsia" w:cstheme="minorEastAsia"/>
                <w:b/>
                <w:bCs/>
                <w:color w:val="000000"/>
                <w:sz w:val="24"/>
                <w:szCs w:val="24"/>
                <w:highlight w:val="none"/>
              </w:rPr>
              <w:t>为准，因政采云系统原因导致的电子</w:t>
            </w:r>
            <w:r>
              <w:rPr>
                <w:rFonts w:hint="eastAsia" w:ascii="宋体"/>
                <w:b/>
                <w:sz w:val="24"/>
                <w:szCs w:val="24"/>
                <w:highlight w:val="none"/>
              </w:rPr>
              <w:t>磋商响应文件</w:t>
            </w:r>
            <w:r>
              <w:rPr>
                <w:rFonts w:hint="eastAsia" w:asciiTheme="minorEastAsia" w:hAnsiTheme="minorEastAsia" w:eastAsiaTheme="minorEastAsia" w:cstheme="minorEastAsia"/>
                <w:b/>
                <w:bCs/>
                <w:color w:val="000000"/>
                <w:sz w:val="24"/>
                <w:szCs w:val="24"/>
                <w:highlight w:val="none"/>
              </w:rPr>
              <w:t>上传不全、无法打开、显示缺陷等才进行第二效力文件的启用，一旦启用（U盘或光盘）介质存储文件，电子磋商响应文件自动失效）</w:t>
            </w:r>
          </w:p>
          <w:p>
            <w:pPr>
              <w:pStyle w:val="9"/>
              <w:spacing w:line="400" w:lineRule="exact"/>
              <w:ind w:firstLine="0" w:firstLineChars="0"/>
              <w:rPr>
                <w:highlight w:val="none"/>
              </w:rPr>
            </w:pPr>
            <w:r>
              <w:rPr>
                <w:rFonts w:hint="eastAsia" w:asciiTheme="minorEastAsia" w:hAnsiTheme="minorEastAsia" w:eastAsiaTheme="minorEastAsia" w:cstheme="minorEastAsia"/>
                <w:sz w:val="24"/>
                <w:szCs w:val="24"/>
                <w:highlight w:val="none"/>
              </w:rPr>
              <w:t>介质存储的数据电文形式的备份</w:t>
            </w:r>
            <w:r>
              <w:rPr>
                <w:rFonts w:hint="eastAsia" w:ascii="宋体"/>
                <w:sz w:val="24"/>
                <w:szCs w:val="24"/>
                <w:highlight w:val="none"/>
              </w:rPr>
              <w:t>磋商响应文件</w:t>
            </w:r>
            <w:r>
              <w:rPr>
                <w:rFonts w:hint="eastAsia" w:asciiTheme="minorEastAsia" w:hAnsiTheme="minorEastAsia" w:eastAsiaTheme="minorEastAsia" w:cstheme="minorEastAsia"/>
                <w:sz w:val="24"/>
                <w:szCs w:val="24"/>
                <w:highlight w:val="none"/>
                <w:lang w:val="zh-CN"/>
              </w:rPr>
              <w:t>（</w:t>
            </w:r>
            <w:r>
              <w:rPr>
                <w:rFonts w:hint="eastAsia" w:asciiTheme="minorEastAsia" w:hAnsiTheme="minorEastAsia" w:eastAsiaTheme="minorEastAsia" w:cstheme="minorEastAsia"/>
                <w:b/>
                <w:sz w:val="24"/>
                <w:szCs w:val="24"/>
                <w:highlight w:val="none"/>
              </w:rPr>
              <w:t>以签收时间为准，如在规定时间内未收到</w:t>
            </w:r>
            <w:r>
              <w:rPr>
                <w:rFonts w:hint="eastAsia" w:ascii="宋体"/>
                <w:b/>
                <w:sz w:val="24"/>
                <w:szCs w:val="24"/>
                <w:highlight w:val="none"/>
              </w:rPr>
              <w:t>磋商响应文件</w:t>
            </w:r>
            <w:r>
              <w:rPr>
                <w:rFonts w:hint="eastAsia" w:asciiTheme="minorEastAsia" w:hAnsiTheme="minorEastAsia" w:eastAsiaTheme="minorEastAsia" w:cstheme="minorEastAsia"/>
                <w:b/>
                <w:sz w:val="24"/>
                <w:szCs w:val="24"/>
                <w:highlight w:val="none"/>
              </w:rPr>
              <w:t>，则作自动放弃投标处理，由投标供应商自行承担责任</w:t>
            </w:r>
            <w:r>
              <w:rPr>
                <w:rFonts w:hint="eastAsia" w:asciiTheme="minorEastAsia" w:hAnsiTheme="minorEastAsia" w:eastAsiaTheme="minorEastAsia" w:cstheme="minorEastAsia"/>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94" w:type="dxa"/>
            <w:vAlign w:val="center"/>
          </w:tcPr>
          <w:p>
            <w:pPr>
              <w:autoSpaceDE w:val="0"/>
              <w:autoSpaceDN w:val="0"/>
              <w:spacing w:line="400" w:lineRule="exact"/>
              <w:jc w:val="center"/>
              <w:rPr>
                <w:highlight w:val="none"/>
              </w:rPr>
            </w:pPr>
            <w:r>
              <w:rPr>
                <w:rFonts w:hint="eastAsia" w:ascii="宋体"/>
                <w:sz w:val="24"/>
                <w:szCs w:val="24"/>
                <w:highlight w:val="none"/>
              </w:rPr>
              <w:t>3.4</w:t>
            </w:r>
          </w:p>
        </w:tc>
        <w:tc>
          <w:tcPr>
            <w:tcW w:w="2717" w:type="dxa"/>
            <w:vAlign w:val="center"/>
          </w:tcPr>
          <w:p>
            <w:pPr>
              <w:autoSpaceDE w:val="0"/>
              <w:autoSpaceDN w:val="0"/>
              <w:spacing w:line="400" w:lineRule="exact"/>
              <w:jc w:val="center"/>
              <w:rPr>
                <w:rFonts w:ascii="宋体"/>
                <w:szCs w:val="21"/>
                <w:highlight w:val="none"/>
              </w:rPr>
            </w:pPr>
            <w:r>
              <w:rPr>
                <w:rFonts w:hint="eastAsia" w:ascii="宋体"/>
                <w:color w:val="000000"/>
                <w:sz w:val="24"/>
                <w:szCs w:val="24"/>
                <w:highlight w:val="none"/>
              </w:rPr>
              <w:t>磋商报价</w:t>
            </w:r>
          </w:p>
        </w:tc>
        <w:tc>
          <w:tcPr>
            <w:tcW w:w="4986" w:type="dxa"/>
            <w:vAlign w:val="center"/>
          </w:tcPr>
          <w:p>
            <w:pPr>
              <w:autoSpaceDE w:val="0"/>
              <w:autoSpaceDN w:val="0"/>
              <w:spacing w:line="400" w:lineRule="exact"/>
              <w:rPr>
                <w:rFonts w:ascii="宋体"/>
                <w:color w:val="000000"/>
                <w:sz w:val="24"/>
                <w:szCs w:val="24"/>
                <w:highlight w:val="none"/>
              </w:rPr>
            </w:pPr>
            <w:r>
              <w:rPr>
                <w:rFonts w:hint="eastAsia" w:ascii="宋体"/>
                <w:color w:val="000000"/>
                <w:sz w:val="24"/>
                <w:szCs w:val="24"/>
                <w:highlight w:val="none"/>
              </w:rPr>
              <w:t>1.本次磋商应以人民币报价；</w:t>
            </w:r>
          </w:p>
          <w:p>
            <w:pPr>
              <w:autoSpaceDE w:val="0"/>
              <w:autoSpaceDN w:val="0"/>
              <w:spacing w:line="400" w:lineRule="exact"/>
              <w:rPr>
                <w:rFonts w:ascii="宋体"/>
                <w:color w:val="000000"/>
                <w:sz w:val="24"/>
                <w:szCs w:val="24"/>
                <w:highlight w:val="none"/>
              </w:rPr>
            </w:pPr>
            <w:r>
              <w:rPr>
                <w:rFonts w:hint="eastAsia" w:ascii="宋体"/>
                <w:color w:val="000000"/>
                <w:sz w:val="24"/>
                <w:szCs w:val="24"/>
                <w:highlight w:val="none"/>
              </w:rPr>
              <w:t>2.磋商分二轮或多轮进行。</w:t>
            </w:r>
          </w:p>
          <w:p>
            <w:pPr>
              <w:autoSpaceDE w:val="0"/>
              <w:autoSpaceDN w:val="0"/>
              <w:spacing w:line="400" w:lineRule="exact"/>
              <w:rPr>
                <w:rFonts w:ascii="宋体"/>
                <w:color w:val="000000"/>
                <w:sz w:val="24"/>
                <w:szCs w:val="24"/>
                <w:highlight w:val="none"/>
              </w:rPr>
            </w:pPr>
            <w:r>
              <w:rPr>
                <w:rFonts w:hint="eastAsia" w:ascii="宋体"/>
                <w:color w:val="000000"/>
                <w:sz w:val="24"/>
                <w:szCs w:val="24"/>
                <w:highlight w:val="none"/>
              </w:rPr>
              <w:t>3.不论</w:t>
            </w:r>
            <w:r>
              <w:rPr>
                <w:rFonts w:hint="eastAsia" w:ascii="宋体"/>
                <w:color w:val="000000"/>
                <w:sz w:val="24"/>
                <w:szCs w:val="24"/>
                <w:highlight w:val="none"/>
                <w:lang w:eastAsia="zh-CN"/>
              </w:rPr>
              <w:t>磋商</w:t>
            </w:r>
            <w:r>
              <w:rPr>
                <w:rFonts w:hint="eastAsia" w:ascii="宋体"/>
                <w:color w:val="000000"/>
                <w:sz w:val="24"/>
                <w:szCs w:val="24"/>
                <w:highlight w:val="none"/>
              </w:rPr>
              <w:t>结果如何，供应商均应自行承担所有与</w:t>
            </w:r>
            <w:r>
              <w:rPr>
                <w:rFonts w:hint="eastAsia" w:ascii="宋体"/>
                <w:color w:val="000000"/>
                <w:sz w:val="24"/>
                <w:szCs w:val="24"/>
                <w:highlight w:val="none"/>
                <w:lang w:eastAsia="zh-CN"/>
              </w:rPr>
              <w:t>磋商</w:t>
            </w:r>
            <w:r>
              <w:rPr>
                <w:rFonts w:hint="eastAsia" w:ascii="宋体"/>
                <w:color w:val="000000"/>
                <w:sz w:val="24"/>
                <w:szCs w:val="24"/>
                <w:highlight w:val="none"/>
              </w:rPr>
              <w:t>有关的全部费用；</w:t>
            </w:r>
          </w:p>
          <w:p>
            <w:pPr>
              <w:autoSpaceDE w:val="0"/>
              <w:autoSpaceDN w:val="0"/>
              <w:spacing w:line="400" w:lineRule="exact"/>
              <w:rPr>
                <w:rFonts w:ascii="宋体"/>
                <w:color w:val="000000"/>
                <w:sz w:val="24"/>
                <w:szCs w:val="24"/>
                <w:highlight w:val="none"/>
              </w:rPr>
            </w:pPr>
            <w:r>
              <w:rPr>
                <w:rFonts w:hint="eastAsia" w:ascii="宋体"/>
                <w:color w:val="000000"/>
                <w:sz w:val="24"/>
                <w:szCs w:val="24"/>
                <w:highlight w:val="none"/>
              </w:rPr>
              <w:t>4.本项目免收代理服务费。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94" w:type="dxa"/>
            <w:vAlign w:val="center"/>
          </w:tcPr>
          <w:p>
            <w:pPr>
              <w:autoSpaceDE w:val="0"/>
              <w:autoSpaceDN w:val="0"/>
              <w:spacing w:line="400" w:lineRule="exact"/>
              <w:jc w:val="center"/>
              <w:rPr>
                <w:highlight w:val="none"/>
              </w:rPr>
            </w:pPr>
            <w:r>
              <w:rPr>
                <w:rFonts w:hint="eastAsia" w:ascii="宋体"/>
                <w:sz w:val="24"/>
                <w:szCs w:val="24"/>
                <w:highlight w:val="none"/>
              </w:rPr>
              <w:t>3.5.1</w:t>
            </w:r>
          </w:p>
        </w:tc>
        <w:tc>
          <w:tcPr>
            <w:tcW w:w="2717" w:type="dxa"/>
            <w:vAlign w:val="center"/>
          </w:tcPr>
          <w:p>
            <w:pPr>
              <w:autoSpaceDE w:val="0"/>
              <w:autoSpaceDN w:val="0"/>
              <w:spacing w:line="400" w:lineRule="exact"/>
              <w:ind w:firstLine="480" w:firstLineChars="200"/>
              <w:rPr>
                <w:rFonts w:ascii="宋体"/>
                <w:szCs w:val="21"/>
                <w:highlight w:val="none"/>
              </w:rPr>
            </w:pPr>
            <w:r>
              <w:rPr>
                <w:rFonts w:hint="eastAsia" w:ascii="宋体"/>
                <w:sz w:val="24"/>
                <w:szCs w:val="24"/>
                <w:highlight w:val="none"/>
              </w:rPr>
              <w:t>磋商有效期</w:t>
            </w:r>
          </w:p>
        </w:tc>
        <w:tc>
          <w:tcPr>
            <w:tcW w:w="4986" w:type="dxa"/>
            <w:vAlign w:val="center"/>
          </w:tcPr>
          <w:p>
            <w:pPr>
              <w:autoSpaceDE w:val="0"/>
              <w:autoSpaceDN w:val="0"/>
              <w:spacing w:line="400" w:lineRule="exact"/>
              <w:rPr>
                <w:highlight w:val="none"/>
              </w:rPr>
            </w:pPr>
            <w:r>
              <w:rPr>
                <w:rFonts w:hint="eastAsia" w:ascii="宋体"/>
                <w:sz w:val="24"/>
                <w:szCs w:val="24"/>
                <w:highlight w:val="none"/>
              </w:rPr>
              <w:t>60</w:t>
            </w:r>
            <w:r>
              <w:rPr>
                <w:rFonts w:hint="eastAsia" w:ascii="宋体"/>
                <w:sz w:val="24"/>
                <w:szCs w:val="24"/>
                <w:highlight w:val="none"/>
                <w:lang w:val="zh-CN"/>
              </w:rPr>
              <w:t>日（日历日）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autoSpaceDE w:val="0"/>
              <w:autoSpaceDN w:val="0"/>
              <w:spacing w:line="400" w:lineRule="exact"/>
              <w:jc w:val="center"/>
              <w:rPr>
                <w:highlight w:val="none"/>
              </w:rPr>
            </w:pPr>
            <w:r>
              <w:rPr>
                <w:rFonts w:hint="eastAsia" w:ascii="宋体"/>
                <w:sz w:val="24"/>
                <w:szCs w:val="24"/>
                <w:highlight w:val="none"/>
              </w:rPr>
              <w:t>4.1</w:t>
            </w:r>
          </w:p>
        </w:tc>
        <w:tc>
          <w:tcPr>
            <w:tcW w:w="2717" w:type="dxa"/>
            <w:vAlign w:val="center"/>
          </w:tcPr>
          <w:p>
            <w:pPr>
              <w:autoSpaceDE w:val="0"/>
              <w:autoSpaceDN w:val="0"/>
              <w:spacing w:line="400" w:lineRule="exact"/>
              <w:jc w:val="center"/>
              <w:rPr>
                <w:rFonts w:ascii="宋体"/>
                <w:szCs w:val="21"/>
                <w:highlight w:val="none"/>
              </w:rPr>
            </w:pPr>
            <w:r>
              <w:rPr>
                <w:rFonts w:hint="eastAsia" w:ascii="宋体"/>
                <w:sz w:val="24"/>
                <w:szCs w:val="24"/>
                <w:highlight w:val="none"/>
              </w:rPr>
              <w:t>磋商响应文件的签署、密封、标记和盖章</w:t>
            </w:r>
          </w:p>
        </w:tc>
        <w:tc>
          <w:tcPr>
            <w:tcW w:w="4986" w:type="dxa"/>
            <w:vAlign w:val="center"/>
          </w:tcPr>
          <w:p>
            <w:pPr>
              <w:autoSpaceDE w:val="0"/>
              <w:autoSpaceDN w:val="0"/>
              <w:spacing w:line="400" w:lineRule="exact"/>
              <w:rPr>
                <w:highlight w:val="none"/>
              </w:rPr>
            </w:pPr>
            <w:r>
              <w:rPr>
                <w:rFonts w:hint="eastAsia" w:ascii="宋体"/>
                <w:sz w:val="24"/>
                <w:szCs w:val="24"/>
                <w:highlight w:val="none"/>
              </w:rPr>
              <w:t>磋商响应文件签字或盖章要求：</w:t>
            </w:r>
            <w:r>
              <w:rPr>
                <w:rFonts w:hint="eastAsia" w:hAnsi="宋体"/>
                <w:b/>
                <w:bCs/>
                <w:sz w:val="24"/>
                <w:szCs w:val="24"/>
                <w:highlight w:val="none"/>
              </w:rPr>
              <w:t>上传的电子磋商响应文件的盖章可采用</w:t>
            </w:r>
            <w:r>
              <w:rPr>
                <w:rFonts w:hAnsi="宋体"/>
                <w:b/>
                <w:bCs/>
                <w:sz w:val="24"/>
                <w:szCs w:val="24"/>
                <w:highlight w:val="none"/>
              </w:rPr>
              <w:t>CA</w:t>
            </w:r>
            <w:r>
              <w:rPr>
                <w:rFonts w:hint="eastAsia" w:hAnsi="宋体"/>
                <w:b/>
                <w:bCs/>
                <w:sz w:val="24"/>
                <w:szCs w:val="24"/>
                <w:highlight w:val="none"/>
              </w:rPr>
              <w:t>锁电子签章进行，如办理了法人电子锁，法人签字也可以进行电子签章</w:t>
            </w:r>
            <w:r>
              <w:rPr>
                <w:rFonts w:hint="eastAsia" w:hAnsi="宋体"/>
                <w:sz w:val="24"/>
                <w:szCs w:val="24"/>
                <w:highlight w:val="none"/>
              </w:rPr>
              <w:t>。</w:t>
            </w:r>
            <w:r>
              <w:rPr>
                <w:rFonts w:hint="eastAsia" w:ascii="宋体" w:hAnsi="宋体"/>
                <w:sz w:val="24"/>
                <w:szCs w:val="24"/>
                <w:highlight w:val="none"/>
              </w:rPr>
              <w:t>磋商响应文件非法定代表人签署的，应出具授权委托书并按要求签字和盖章。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autoSpaceDE w:val="0"/>
              <w:autoSpaceDN w:val="0"/>
              <w:spacing w:line="400" w:lineRule="exact"/>
              <w:jc w:val="center"/>
              <w:rPr>
                <w:rFonts w:ascii="宋体"/>
                <w:sz w:val="24"/>
                <w:szCs w:val="24"/>
                <w:highlight w:val="none"/>
              </w:rPr>
            </w:pPr>
            <w:r>
              <w:rPr>
                <w:rFonts w:hint="eastAsia" w:ascii="宋体"/>
                <w:sz w:val="24"/>
                <w:szCs w:val="24"/>
                <w:highlight w:val="none"/>
              </w:rPr>
              <w:t>4.2.3</w:t>
            </w:r>
          </w:p>
        </w:tc>
        <w:tc>
          <w:tcPr>
            <w:tcW w:w="2717" w:type="dxa"/>
            <w:vAlign w:val="center"/>
          </w:tcPr>
          <w:p>
            <w:pPr>
              <w:autoSpaceDE w:val="0"/>
              <w:autoSpaceDN w:val="0"/>
              <w:spacing w:line="400" w:lineRule="exact"/>
              <w:ind w:firstLine="240" w:firstLineChars="100"/>
              <w:rPr>
                <w:rFonts w:ascii="宋体" w:hAnsi="宋体"/>
                <w:sz w:val="24"/>
                <w:szCs w:val="24"/>
                <w:highlight w:val="none"/>
                <w:lang w:val="zh-CN"/>
              </w:rPr>
            </w:pPr>
            <w:r>
              <w:rPr>
                <w:rFonts w:hint="eastAsia" w:ascii="宋体" w:hAnsi="宋体"/>
                <w:sz w:val="24"/>
                <w:szCs w:val="24"/>
                <w:highlight w:val="none"/>
                <w:lang w:val="zh-CN"/>
              </w:rPr>
              <w:t>磋商响应文件的截止时间、提交方式</w:t>
            </w:r>
          </w:p>
        </w:tc>
        <w:tc>
          <w:tcPr>
            <w:tcW w:w="4986" w:type="dxa"/>
            <w:vAlign w:val="center"/>
          </w:tcPr>
          <w:p>
            <w:pPr>
              <w:autoSpaceDE w:val="0"/>
              <w:autoSpaceDN w:val="0"/>
              <w:adjustRightInd/>
              <w:spacing w:line="400" w:lineRule="exact"/>
              <w:jc w:val="left"/>
              <w:rPr>
                <w:rFonts w:ascii="宋体"/>
                <w:sz w:val="24"/>
                <w:highlight w:val="none"/>
              </w:rPr>
            </w:pPr>
            <w:r>
              <w:rPr>
                <w:rFonts w:hint="eastAsia" w:ascii="宋体"/>
                <w:sz w:val="24"/>
                <w:szCs w:val="24"/>
                <w:highlight w:val="none"/>
                <w:lang w:val="zh-CN"/>
              </w:rPr>
              <w:t>1.磋商响应截止时间：</w:t>
            </w:r>
            <w:r>
              <w:rPr>
                <w:rFonts w:hint="eastAsia" w:cs="宋体" w:asciiTheme="minorEastAsia" w:hAnsiTheme="minorEastAsia" w:eastAsiaTheme="minorEastAsia"/>
                <w:color w:val="000000"/>
                <w:kern w:val="0"/>
                <w:sz w:val="24"/>
                <w:szCs w:val="24"/>
                <w:highlight w:val="none"/>
                <w:lang w:eastAsia="zh-CN"/>
              </w:rPr>
              <w:t>2022年08月30日</w:t>
            </w:r>
            <w:r>
              <w:rPr>
                <w:rFonts w:hint="eastAsia" w:ascii="宋体" w:cs="宋体"/>
                <w:sz w:val="24"/>
                <w:szCs w:val="24"/>
                <w:highlight w:val="none"/>
                <w:lang w:val="zh-CN"/>
              </w:rPr>
              <w:t>9时30分</w:t>
            </w:r>
            <w:r>
              <w:rPr>
                <w:rFonts w:hint="eastAsia" w:ascii="宋体"/>
                <w:sz w:val="24"/>
                <w:highlight w:val="none"/>
              </w:rPr>
              <w:t>。</w:t>
            </w:r>
          </w:p>
          <w:p>
            <w:pPr>
              <w:autoSpaceDE w:val="0"/>
              <w:autoSpaceDN w:val="0"/>
              <w:adjustRightInd/>
              <w:spacing w:line="400" w:lineRule="exact"/>
              <w:jc w:val="left"/>
              <w:rPr>
                <w:rFonts w:ascii="宋体" w:cs="宋体"/>
                <w:color w:val="000000"/>
                <w:sz w:val="24"/>
                <w:szCs w:val="24"/>
                <w:highlight w:val="none"/>
                <w:lang w:val="zh-CN"/>
              </w:rPr>
            </w:pPr>
            <w:r>
              <w:rPr>
                <w:rFonts w:hint="eastAsia" w:ascii="宋体" w:cs="宋体"/>
                <w:sz w:val="24"/>
                <w:szCs w:val="24"/>
                <w:highlight w:val="none"/>
                <w:lang w:val="zh-CN"/>
              </w:rPr>
              <w:t>2.</w:t>
            </w:r>
            <w:r>
              <w:rPr>
                <w:rFonts w:hint="eastAsia" w:ascii="宋体" w:cs="宋体"/>
                <w:color w:val="000000"/>
                <w:sz w:val="24"/>
                <w:szCs w:val="24"/>
                <w:highlight w:val="none"/>
                <w:lang w:val="zh-CN"/>
              </w:rPr>
              <w:t>供应商应当在磋商响应截止时间前</w:t>
            </w:r>
            <w:r>
              <w:rPr>
                <w:rFonts w:hint="eastAsia" w:ascii="宋体" w:hAnsi="宋体" w:cs="宋体"/>
                <w:color w:val="000000"/>
                <w:kern w:val="0"/>
                <w:sz w:val="24"/>
                <w:szCs w:val="24"/>
                <w:highlight w:val="none"/>
              </w:rPr>
              <w:t>通过“政府采购云平台（http:// www.zcygov.cn /）”在线完成电子</w:t>
            </w:r>
            <w:r>
              <w:rPr>
                <w:rFonts w:hint="eastAsia" w:ascii="宋体" w:cs="宋体"/>
                <w:color w:val="000000"/>
                <w:sz w:val="24"/>
                <w:szCs w:val="24"/>
                <w:highlight w:val="none"/>
                <w:lang w:val="zh-CN"/>
              </w:rPr>
              <w:t>磋商</w:t>
            </w:r>
            <w:r>
              <w:rPr>
                <w:rFonts w:hint="eastAsia" w:ascii="宋体" w:hAnsi="宋体" w:cs="宋体"/>
                <w:color w:val="000000"/>
                <w:kern w:val="0"/>
                <w:sz w:val="24"/>
                <w:szCs w:val="24"/>
                <w:highlight w:val="none"/>
                <w:lang w:eastAsia="zh-CN"/>
              </w:rPr>
              <w:t>响应</w:t>
            </w:r>
            <w:r>
              <w:rPr>
                <w:rFonts w:hint="eastAsia" w:ascii="宋体" w:hAnsi="宋体" w:cs="宋体"/>
                <w:color w:val="000000"/>
                <w:kern w:val="0"/>
                <w:sz w:val="24"/>
                <w:szCs w:val="24"/>
                <w:highlight w:val="none"/>
              </w:rPr>
              <w:t>文件的传输提交，并可以补充、修改或者撤回电子</w:t>
            </w:r>
            <w:r>
              <w:rPr>
                <w:rFonts w:hint="eastAsia" w:ascii="宋体" w:cs="宋体"/>
                <w:color w:val="000000"/>
                <w:sz w:val="24"/>
                <w:szCs w:val="24"/>
                <w:highlight w:val="none"/>
                <w:lang w:val="zh-CN"/>
              </w:rPr>
              <w:t>磋商响应</w:t>
            </w:r>
            <w:r>
              <w:rPr>
                <w:rFonts w:hint="eastAsia" w:ascii="宋体" w:hAnsi="宋体" w:cs="宋体"/>
                <w:color w:val="000000"/>
                <w:kern w:val="0"/>
                <w:sz w:val="24"/>
                <w:szCs w:val="24"/>
                <w:highlight w:val="none"/>
              </w:rPr>
              <w:t>文件。</w:t>
            </w:r>
            <w:r>
              <w:rPr>
                <w:rFonts w:hint="eastAsia" w:ascii="宋体" w:cs="宋体"/>
                <w:color w:val="000000"/>
                <w:sz w:val="24"/>
                <w:szCs w:val="24"/>
                <w:highlight w:val="none"/>
                <w:lang w:val="zh-CN"/>
              </w:rPr>
              <w:t>补充或者修改电子磋商响应文件的，应当先行撤回原文件，补充、修改后重新传输递交。磋商响应截止时间前未完成传输的，视为撤回磋商响应文件。磋商响应截止时间后传输提交的磋商响应文件，将被政采云平台拒收。</w:t>
            </w:r>
          </w:p>
          <w:p>
            <w:pPr>
              <w:rPr>
                <w:highlight w:val="none"/>
                <w:lang w:val="zh-CN"/>
              </w:rPr>
            </w:pPr>
            <w:r>
              <w:rPr>
                <w:rFonts w:hint="eastAsia" w:ascii="宋体" w:cs="宋体"/>
                <w:color w:val="000000"/>
                <w:sz w:val="24"/>
                <w:szCs w:val="24"/>
                <w:highlight w:val="none"/>
                <w:lang w:val="zh-CN"/>
              </w:rPr>
              <w:t>3.</w:t>
            </w:r>
            <w:r>
              <w:rPr>
                <w:rFonts w:hint="eastAsia" w:asciiTheme="minorEastAsia" w:hAnsiTheme="minorEastAsia" w:eastAsiaTheme="minorEastAsia" w:cstheme="minorEastAsia"/>
                <w:color w:val="000000"/>
                <w:kern w:val="0"/>
                <w:sz w:val="24"/>
                <w:szCs w:val="24"/>
                <w:highlight w:val="none"/>
              </w:rPr>
              <w:t xml:space="preserve"> 若供应商需要递交“备份磋商响应文件”的，以介质存储的数据电文形式的备份磋商响应文件，按政采云平台项目采购-电子招投标操作指南中上传的电子磋商响应文件的组成和格式，以密封的U盘或光盘形式提供。“备份磋商响应文件”应当密封包装并在包装上标注磋商项目名称、响应单位名称并加盖公章，磋商响应截止时间前采用邮递形式送达，收件地点为长兴县锦绣路8号4楼长兴县</w:t>
            </w:r>
            <w:r>
              <w:rPr>
                <w:rFonts w:hint="eastAsia" w:asciiTheme="minorEastAsia" w:hAnsiTheme="minorEastAsia" w:eastAsiaTheme="minorEastAsia" w:cstheme="minorEastAsia"/>
                <w:color w:val="000000"/>
                <w:kern w:val="0"/>
                <w:sz w:val="24"/>
                <w:szCs w:val="24"/>
                <w:highlight w:val="none"/>
                <w:lang w:val="en-US" w:eastAsia="zh-CN"/>
              </w:rPr>
              <w:t>政府采购中心</w:t>
            </w:r>
            <w:r>
              <w:rPr>
                <w:rFonts w:hint="eastAsia" w:asciiTheme="minorEastAsia" w:hAnsiTheme="minorEastAsia" w:eastAsiaTheme="minorEastAsia" w:cstheme="minorEastAsia"/>
                <w:color w:val="000000"/>
                <w:kern w:val="0"/>
                <w:sz w:val="24"/>
                <w:szCs w:val="24"/>
                <w:highlight w:val="none"/>
              </w:rPr>
              <w:t>4016室，接收人：</w:t>
            </w:r>
            <w:r>
              <w:rPr>
                <w:rFonts w:hint="eastAsia" w:asciiTheme="minorEastAsia" w:hAnsiTheme="minorEastAsia" w:eastAsiaTheme="minorEastAsia" w:cstheme="minorEastAsia"/>
                <w:color w:val="000000"/>
                <w:kern w:val="0"/>
                <w:sz w:val="24"/>
                <w:szCs w:val="24"/>
                <w:highlight w:val="none"/>
                <w:lang w:eastAsia="zh-CN"/>
              </w:rPr>
              <w:t>陈芳媛</w:t>
            </w:r>
            <w:r>
              <w:rPr>
                <w:rFonts w:hint="eastAsia" w:asciiTheme="minorEastAsia" w:hAnsiTheme="minorEastAsia" w:eastAsiaTheme="minorEastAsia" w:cstheme="minorEastAsia"/>
                <w:color w:val="000000"/>
                <w:kern w:val="0"/>
                <w:sz w:val="24"/>
                <w:szCs w:val="24"/>
                <w:highlight w:val="none"/>
              </w:rPr>
              <w:t>，电话：0572-6265653。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autoSpaceDE w:val="0"/>
              <w:autoSpaceDN w:val="0"/>
              <w:spacing w:line="400" w:lineRule="exact"/>
              <w:jc w:val="center"/>
              <w:rPr>
                <w:rFonts w:ascii="宋体"/>
                <w:sz w:val="24"/>
                <w:szCs w:val="24"/>
                <w:highlight w:val="none"/>
              </w:rPr>
            </w:pPr>
            <w:r>
              <w:rPr>
                <w:rFonts w:hint="eastAsia" w:ascii="宋体"/>
                <w:sz w:val="24"/>
                <w:szCs w:val="24"/>
                <w:highlight w:val="none"/>
              </w:rPr>
              <w:t>4.2.4</w:t>
            </w:r>
          </w:p>
        </w:tc>
        <w:tc>
          <w:tcPr>
            <w:tcW w:w="2717" w:type="dxa"/>
            <w:vAlign w:val="center"/>
          </w:tcPr>
          <w:p>
            <w:pPr>
              <w:autoSpaceDE w:val="0"/>
              <w:autoSpaceDN w:val="0"/>
              <w:spacing w:line="400" w:lineRule="exact"/>
              <w:rPr>
                <w:rFonts w:ascii="宋体"/>
                <w:sz w:val="24"/>
                <w:szCs w:val="24"/>
                <w:highlight w:val="none"/>
              </w:rPr>
            </w:pPr>
            <w:r>
              <w:rPr>
                <w:rFonts w:hint="eastAsia" w:asciiTheme="minorEastAsia" w:hAnsiTheme="minorEastAsia" w:eastAsiaTheme="minorEastAsia" w:cstheme="minorEastAsia"/>
                <w:sz w:val="24"/>
                <w:szCs w:val="24"/>
                <w:highlight w:val="none"/>
              </w:rPr>
              <w:t>成交供应商提交磋商响应文件和装订要求</w:t>
            </w:r>
          </w:p>
        </w:tc>
        <w:tc>
          <w:tcPr>
            <w:tcW w:w="4986" w:type="dxa"/>
            <w:vAlign w:val="center"/>
          </w:tcPr>
          <w:p>
            <w:pPr>
              <w:pStyle w:val="22"/>
              <w:autoSpaceDE w:val="0"/>
              <w:autoSpaceDN w:val="0"/>
              <w:spacing w:line="400" w:lineRule="exact"/>
              <w:contextualSpacing/>
              <w:jc w:val="left"/>
              <w:outlineLvl w:val="2"/>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1、成交供应商在领取成交通知书前下载磋商响应文件并装订成册。纸质磋商响应文件装订应牢固、不易拆散和换页，不得采用活页装订。建议正反面打印。</w:t>
            </w:r>
          </w:p>
          <w:p>
            <w:pPr>
              <w:pStyle w:val="22"/>
              <w:autoSpaceDE w:val="0"/>
              <w:autoSpaceDN w:val="0"/>
              <w:spacing w:line="400" w:lineRule="exact"/>
              <w:contextualSpacing/>
              <w:jc w:val="left"/>
              <w:outlineLvl w:val="2"/>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2、成交供应商</w:t>
            </w:r>
            <w:r>
              <w:rPr>
                <w:rFonts w:hint="eastAsia" w:hAnsi="宋体" w:cs="宋体"/>
                <w:b/>
                <w:bCs/>
                <w:sz w:val="24"/>
                <w:szCs w:val="24"/>
                <w:highlight w:val="none"/>
              </w:rPr>
              <w:t>在领取中标通知书时提交纸质文件一份（采购中心备案），签订合同时提交纸质文件一份（采购人备案）。</w:t>
            </w:r>
            <w:r>
              <w:rPr>
                <w:rFonts w:hint="eastAsia" w:hAnsi="宋体" w:cs="宋体"/>
                <w:b/>
                <w:bCs/>
                <w:sz w:val="24"/>
                <w:szCs w:val="24"/>
                <w:highlight w:val="none"/>
                <w:lang w:eastAsia="zh-CN"/>
              </w:rPr>
              <w:t>纸质文件</w:t>
            </w:r>
            <w:r>
              <w:rPr>
                <w:rFonts w:hint="eastAsia" w:asciiTheme="minorEastAsia" w:hAnsiTheme="minorEastAsia" w:eastAsiaTheme="minorEastAsia" w:cstheme="minorEastAsia"/>
                <w:b/>
                <w:bCs/>
                <w:sz w:val="24"/>
                <w:szCs w:val="24"/>
                <w:highlight w:val="none"/>
              </w:rPr>
              <w:t>必须与线上电子磋商响应文件一致，如采购人或其他监管部门发现不一致，记入不良行为档案。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autoSpaceDE w:val="0"/>
              <w:autoSpaceDN w:val="0"/>
              <w:spacing w:line="400" w:lineRule="exact"/>
              <w:jc w:val="center"/>
              <w:rPr>
                <w:highlight w:val="none"/>
              </w:rPr>
            </w:pPr>
            <w:r>
              <w:rPr>
                <w:rFonts w:hint="eastAsia" w:ascii="宋体"/>
                <w:sz w:val="24"/>
                <w:szCs w:val="24"/>
                <w:highlight w:val="none"/>
              </w:rPr>
              <w:t>5.1</w:t>
            </w:r>
          </w:p>
        </w:tc>
        <w:tc>
          <w:tcPr>
            <w:tcW w:w="2717" w:type="dxa"/>
            <w:vAlign w:val="center"/>
          </w:tcPr>
          <w:p>
            <w:pPr>
              <w:autoSpaceDE w:val="0"/>
              <w:autoSpaceDN w:val="0"/>
              <w:spacing w:line="400" w:lineRule="exact"/>
              <w:jc w:val="center"/>
              <w:rPr>
                <w:rFonts w:ascii="宋体"/>
                <w:szCs w:val="21"/>
                <w:highlight w:val="none"/>
              </w:rPr>
            </w:pPr>
            <w:r>
              <w:rPr>
                <w:rFonts w:hint="eastAsia" w:ascii="宋体"/>
                <w:sz w:val="24"/>
                <w:szCs w:val="24"/>
                <w:highlight w:val="none"/>
                <w:lang w:val="zh-CN"/>
              </w:rPr>
              <w:t>磋商时间、地点</w:t>
            </w:r>
          </w:p>
        </w:tc>
        <w:tc>
          <w:tcPr>
            <w:tcW w:w="4986" w:type="dxa"/>
            <w:vAlign w:val="center"/>
          </w:tcPr>
          <w:p>
            <w:pPr>
              <w:autoSpaceDE w:val="0"/>
              <w:autoSpaceDN w:val="0"/>
              <w:spacing w:line="400" w:lineRule="exact"/>
              <w:rPr>
                <w:rFonts w:ascii="宋体"/>
                <w:sz w:val="24"/>
                <w:szCs w:val="24"/>
                <w:highlight w:val="none"/>
                <w:lang w:val="zh-CN"/>
              </w:rPr>
            </w:pPr>
            <w:r>
              <w:rPr>
                <w:rFonts w:hint="eastAsia" w:ascii="宋体"/>
                <w:sz w:val="24"/>
                <w:szCs w:val="24"/>
                <w:highlight w:val="none"/>
                <w:lang w:val="zh-CN"/>
              </w:rPr>
              <w:t>磋商时间：</w:t>
            </w:r>
            <w:r>
              <w:rPr>
                <w:rFonts w:hint="eastAsia" w:ascii="宋体"/>
                <w:color w:val="000000"/>
                <w:sz w:val="24"/>
                <w:highlight w:val="none"/>
                <w:lang w:eastAsia="zh-CN"/>
              </w:rPr>
              <w:t>2022年08月30日</w:t>
            </w:r>
            <w:r>
              <w:rPr>
                <w:rFonts w:hint="eastAsia" w:ascii="宋体"/>
                <w:color w:val="000000"/>
                <w:sz w:val="24"/>
                <w:highlight w:val="none"/>
              </w:rPr>
              <w:t>9时30分</w:t>
            </w:r>
            <w:r>
              <w:rPr>
                <w:rFonts w:hint="eastAsia" w:ascii="宋体"/>
                <w:sz w:val="24"/>
                <w:szCs w:val="24"/>
                <w:highlight w:val="none"/>
                <w:lang w:val="zh-CN"/>
              </w:rPr>
              <w:t>（</w:t>
            </w:r>
            <w:r>
              <w:rPr>
                <w:rFonts w:hint="eastAsia" w:ascii="宋体"/>
                <w:sz w:val="24"/>
                <w:szCs w:val="24"/>
                <w:highlight w:val="none"/>
              </w:rPr>
              <w:t>同磋商响应截止时间</w:t>
            </w:r>
            <w:r>
              <w:rPr>
                <w:rFonts w:hint="eastAsia" w:ascii="宋体"/>
                <w:sz w:val="24"/>
                <w:szCs w:val="24"/>
                <w:highlight w:val="none"/>
                <w:lang w:val="zh-CN"/>
              </w:rPr>
              <w:t>）</w:t>
            </w:r>
          </w:p>
          <w:p>
            <w:pPr>
              <w:pStyle w:val="5"/>
              <w:ind w:firstLine="241"/>
              <w:rPr>
                <w:highlight w:val="none"/>
                <w:lang w:val="zh-CN"/>
              </w:rPr>
            </w:pPr>
            <w:r>
              <w:rPr>
                <w:rFonts w:hint="eastAsia" w:ascii="宋体"/>
                <w:b/>
                <w:bCs/>
                <w:sz w:val="24"/>
                <w:szCs w:val="24"/>
                <w:highlight w:val="none"/>
                <w:lang w:val="zh-CN"/>
              </w:rPr>
              <w:t>磋商响应截止时间后</w:t>
            </w:r>
            <w:r>
              <w:rPr>
                <w:rFonts w:hint="eastAsia" w:ascii="宋体"/>
                <w:b/>
                <w:sz w:val="24"/>
                <w:highlight w:val="none"/>
              </w:rPr>
              <w:t>半小时内（</w:t>
            </w:r>
            <w:r>
              <w:rPr>
                <w:rFonts w:hint="eastAsia" w:ascii="宋体"/>
                <w:b/>
                <w:sz w:val="24"/>
                <w:highlight w:val="none"/>
                <w:lang w:eastAsia="zh-CN"/>
              </w:rPr>
              <w:t>2022年08月30日</w:t>
            </w:r>
            <w:r>
              <w:rPr>
                <w:rFonts w:hint="eastAsia" w:ascii="宋体"/>
                <w:b/>
                <w:sz w:val="24"/>
                <w:highlight w:val="none"/>
              </w:rPr>
              <w:t>10时00分前）供应商可以登录“政采云”平台，用“项目采购-开标评标”功能进行解密磋商响应文件。若供应商在规定时间内（</w:t>
            </w:r>
            <w:r>
              <w:rPr>
                <w:rFonts w:hint="eastAsia" w:ascii="宋体"/>
                <w:b/>
                <w:sz w:val="24"/>
                <w:highlight w:val="none"/>
                <w:lang w:eastAsia="zh-CN"/>
              </w:rPr>
              <w:t>2022年08月30日</w:t>
            </w:r>
            <w:r>
              <w:rPr>
                <w:rFonts w:ascii="宋体"/>
                <w:b/>
                <w:sz w:val="24"/>
                <w:highlight w:val="none"/>
              </w:rPr>
              <w:t>10</w:t>
            </w:r>
            <w:r>
              <w:rPr>
                <w:rFonts w:hint="eastAsia" w:ascii="宋体"/>
                <w:b/>
                <w:sz w:val="24"/>
                <w:highlight w:val="none"/>
              </w:rPr>
              <w:t>时0</w:t>
            </w:r>
            <w:r>
              <w:rPr>
                <w:rFonts w:ascii="宋体"/>
                <w:b/>
                <w:sz w:val="24"/>
                <w:highlight w:val="none"/>
              </w:rPr>
              <w:t>0</w:t>
            </w:r>
            <w:r>
              <w:rPr>
                <w:rFonts w:hint="eastAsia" w:ascii="宋体"/>
                <w:b/>
                <w:sz w:val="24"/>
                <w:highlight w:val="none"/>
              </w:rPr>
              <w:t>分前）无法解密或解密失败，视为供应商放弃投标。</w:t>
            </w:r>
          </w:p>
          <w:p>
            <w:pPr>
              <w:autoSpaceDE w:val="0"/>
              <w:autoSpaceDN w:val="0"/>
              <w:spacing w:line="400" w:lineRule="exact"/>
              <w:rPr>
                <w:rFonts w:ascii="宋体"/>
                <w:szCs w:val="21"/>
                <w:highlight w:val="none"/>
                <w:u w:val="single"/>
              </w:rPr>
            </w:pPr>
            <w:r>
              <w:rPr>
                <w:rFonts w:hint="eastAsia" w:ascii="宋体"/>
                <w:sz w:val="24"/>
                <w:szCs w:val="24"/>
                <w:highlight w:val="none"/>
                <w:lang w:val="zh-CN"/>
              </w:rPr>
              <w:t>磋商地点：</w:t>
            </w:r>
            <w:r>
              <w:rPr>
                <w:rFonts w:hint="eastAsia" w:asciiTheme="minorEastAsia" w:hAnsiTheme="minorEastAsia" w:eastAsiaTheme="minorEastAsia" w:cstheme="minorEastAsia"/>
                <w:sz w:val="24"/>
                <w:szCs w:val="24"/>
                <w:highlight w:val="none"/>
                <w:lang w:val="zh-CN"/>
              </w:rPr>
              <w:t>浙江省长兴县龙山街道锦绣路8号4楼长兴县公共资源交易中心本项目开标室，</w:t>
            </w:r>
            <w:r>
              <w:rPr>
                <w:rFonts w:hint="eastAsia" w:asciiTheme="minorEastAsia" w:hAnsiTheme="minorEastAsia" w:eastAsiaTheme="minorEastAsia" w:cstheme="minorEastAsia"/>
                <w:color w:val="000000"/>
                <w:kern w:val="0"/>
                <w:sz w:val="24"/>
                <w:szCs w:val="24"/>
                <w:highlight w:val="none"/>
              </w:rPr>
              <w:t>通过“政府采购云平台（http:// www.zcygov.cn /）”在线</w:t>
            </w:r>
            <w:r>
              <w:rPr>
                <w:rFonts w:hint="eastAsia" w:asciiTheme="minorEastAsia" w:hAnsiTheme="minorEastAsia" w:eastAsiaTheme="minorEastAsia" w:cstheme="minorEastAsia"/>
                <w:color w:val="000000"/>
                <w:kern w:val="0"/>
                <w:sz w:val="24"/>
                <w:szCs w:val="24"/>
                <w:highlight w:val="none"/>
                <w:lang w:eastAsia="zh-CN"/>
              </w:rPr>
              <w:t>磋商</w:t>
            </w:r>
            <w:r>
              <w:rPr>
                <w:rFonts w:hint="eastAsia" w:asciiTheme="minorEastAsia" w:hAnsiTheme="minorEastAsia" w:eastAsiaTheme="minorEastAsia" w:cstheme="minorEastAsia"/>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autoSpaceDE w:val="0"/>
              <w:autoSpaceDN w:val="0"/>
              <w:spacing w:line="400" w:lineRule="exact"/>
              <w:jc w:val="center"/>
              <w:rPr>
                <w:highlight w:val="none"/>
              </w:rPr>
            </w:pPr>
            <w:r>
              <w:rPr>
                <w:rFonts w:hint="eastAsia" w:ascii="宋体"/>
                <w:sz w:val="24"/>
                <w:szCs w:val="24"/>
                <w:highlight w:val="none"/>
              </w:rPr>
              <w:t>6.1.1</w:t>
            </w:r>
          </w:p>
        </w:tc>
        <w:tc>
          <w:tcPr>
            <w:tcW w:w="2717" w:type="dxa"/>
            <w:vAlign w:val="center"/>
          </w:tcPr>
          <w:p>
            <w:pPr>
              <w:autoSpaceDE w:val="0"/>
              <w:autoSpaceDN w:val="0"/>
              <w:spacing w:line="400" w:lineRule="exact"/>
              <w:jc w:val="center"/>
              <w:rPr>
                <w:rFonts w:ascii="宋体"/>
                <w:szCs w:val="21"/>
                <w:highlight w:val="none"/>
              </w:rPr>
            </w:pPr>
            <w:r>
              <w:rPr>
                <w:rFonts w:hint="eastAsia" w:ascii="宋体"/>
                <w:sz w:val="24"/>
                <w:szCs w:val="24"/>
                <w:highlight w:val="none"/>
                <w:lang w:val="zh-CN"/>
              </w:rPr>
              <w:t>磋商小组的组建及磋商专家的确定方式</w:t>
            </w:r>
          </w:p>
        </w:tc>
        <w:tc>
          <w:tcPr>
            <w:tcW w:w="4986" w:type="dxa"/>
            <w:vAlign w:val="center"/>
          </w:tcPr>
          <w:p>
            <w:pPr>
              <w:autoSpaceDE w:val="0"/>
              <w:autoSpaceDN w:val="0"/>
              <w:spacing w:line="400" w:lineRule="exact"/>
              <w:rPr>
                <w:rFonts w:ascii="宋体"/>
                <w:sz w:val="24"/>
                <w:szCs w:val="24"/>
                <w:highlight w:val="none"/>
                <w:lang w:val="zh-CN"/>
              </w:rPr>
            </w:pPr>
            <w:r>
              <w:rPr>
                <w:rFonts w:hint="eastAsia" w:ascii="宋体"/>
                <w:sz w:val="24"/>
                <w:szCs w:val="24"/>
                <w:highlight w:val="none"/>
                <w:lang w:val="zh-CN"/>
              </w:rPr>
              <w:t>采购人（</w:t>
            </w:r>
            <w:r>
              <w:rPr>
                <w:rFonts w:hint="eastAsia"/>
                <w:sz w:val="24"/>
                <w:szCs w:val="24"/>
                <w:highlight w:val="none"/>
              </w:rPr>
              <w:t>集中采购机构</w:t>
            </w:r>
            <w:r>
              <w:rPr>
                <w:rFonts w:hint="eastAsia" w:ascii="宋体"/>
                <w:sz w:val="24"/>
                <w:szCs w:val="24"/>
                <w:highlight w:val="none"/>
                <w:lang w:val="zh-CN"/>
              </w:rPr>
              <w:t>）依法组建磋商小组，共</w:t>
            </w:r>
            <w:r>
              <w:rPr>
                <w:rFonts w:hint="eastAsia" w:ascii="宋体"/>
                <w:sz w:val="24"/>
                <w:szCs w:val="24"/>
                <w:highlight w:val="none"/>
                <w:u w:val="single"/>
                <w:lang w:val="en-US" w:eastAsia="zh-CN"/>
              </w:rPr>
              <w:t xml:space="preserve"> 3</w:t>
            </w:r>
            <w:r>
              <w:rPr>
                <w:rFonts w:hint="eastAsia" w:ascii="宋体"/>
                <w:sz w:val="24"/>
                <w:szCs w:val="24"/>
                <w:highlight w:val="none"/>
                <w:u w:val="single"/>
              </w:rPr>
              <w:t xml:space="preserve"> </w:t>
            </w:r>
            <w:r>
              <w:rPr>
                <w:rFonts w:hint="eastAsia" w:ascii="宋体"/>
                <w:sz w:val="24"/>
                <w:szCs w:val="24"/>
                <w:highlight w:val="none"/>
                <w:lang w:val="zh-CN"/>
              </w:rPr>
              <w:t>人组成，其中采购人代表</w:t>
            </w:r>
            <w:r>
              <w:rPr>
                <w:rFonts w:hint="eastAsia" w:ascii="宋体"/>
                <w:sz w:val="24"/>
                <w:szCs w:val="24"/>
                <w:highlight w:val="none"/>
                <w:u w:val="single"/>
                <w:lang w:val="en-US" w:eastAsia="zh-CN"/>
              </w:rPr>
              <w:t xml:space="preserve">  </w:t>
            </w:r>
            <w:r>
              <w:rPr>
                <w:rFonts w:hint="eastAsia" w:ascii="宋体"/>
                <w:sz w:val="24"/>
                <w:szCs w:val="24"/>
                <w:highlight w:val="none"/>
                <w:u w:val="single"/>
              </w:rPr>
              <w:t>1</w:t>
            </w:r>
            <w:r>
              <w:rPr>
                <w:rFonts w:hint="eastAsia" w:ascii="宋体"/>
                <w:sz w:val="24"/>
                <w:szCs w:val="24"/>
                <w:highlight w:val="none"/>
                <w:u w:val="single"/>
                <w:lang w:val="en-US" w:eastAsia="zh-CN"/>
              </w:rPr>
              <w:t xml:space="preserve"> </w:t>
            </w:r>
            <w:r>
              <w:rPr>
                <w:rFonts w:hint="eastAsia" w:ascii="宋体"/>
                <w:sz w:val="24"/>
                <w:szCs w:val="24"/>
                <w:highlight w:val="none"/>
                <w:lang w:val="zh-CN"/>
              </w:rPr>
              <w:t>人和专家评委</w:t>
            </w:r>
            <w:r>
              <w:rPr>
                <w:rFonts w:hint="eastAsia" w:ascii="宋体"/>
                <w:sz w:val="24"/>
                <w:szCs w:val="24"/>
                <w:highlight w:val="none"/>
                <w:u w:val="single"/>
              </w:rPr>
              <w:t xml:space="preserve">  </w:t>
            </w:r>
            <w:r>
              <w:rPr>
                <w:rFonts w:hint="eastAsia" w:ascii="宋体"/>
                <w:sz w:val="24"/>
                <w:szCs w:val="24"/>
                <w:highlight w:val="none"/>
                <w:u w:val="single"/>
                <w:lang w:val="en-US" w:eastAsia="zh-CN"/>
              </w:rPr>
              <w:t>2</w:t>
            </w:r>
            <w:r>
              <w:rPr>
                <w:rFonts w:hint="eastAsia" w:ascii="宋体"/>
                <w:sz w:val="24"/>
                <w:szCs w:val="24"/>
                <w:highlight w:val="none"/>
                <w:u w:val="single"/>
              </w:rPr>
              <w:t xml:space="preserve">  </w:t>
            </w:r>
            <w:r>
              <w:rPr>
                <w:rFonts w:hint="eastAsia" w:ascii="宋体"/>
                <w:sz w:val="24"/>
                <w:szCs w:val="24"/>
                <w:highlight w:val="none"/>
                <w:lang w:val="zh-CN"/>
              </w:rPr>
              <w:t>人。</w:t>
            </w:r>
          </w:p>
          <w:p>
            <w:pPr>
              <w:autoSpaceDE w:val="0"/>
              <w:autoSpaceDN w:val="0"/>
              <w:spacing w:line="400" w:lineRule="exact"/>
              <w:rPr>
                <w:rFonts w:ascii="宋体"/>
                <w:sz w:val="24"/>
                <w:szCs w:val="24"/>
                <w:highlight w:val="none"/>
                <w:lang w:val="zh-CN"/>
              </w:rPr>
            </w:pPr>
            <w:r>
              <w:rPr>
                <w:rFonts w:hint="eastAsia" w:ascii="宋体"/>
                <w:sz w:val="24"/>
                <w:szCs w:val="24"/>
                <w:highlight w:val="none"/>
                <w:lang w:val="zh-CN"/>
              </w:rPr>
              <w:t>磋商专家确定方式：</w:t>
            </w:r>
            <w:r>
              <w:rPr>
                <w:rFonts w:hint="eastAsia" w:ascii="宋体" w:hAnsi="宋体" w:cs="宋体"/>
                <w:sz w:val="24"/>
                <w:szCs w:val="24"/>
                <w:highlight w:val="none"/>
                <w:lang w:val="zh-CN"/>
              </w:rPr>
              <w:t>计算机随机抽取语音通知方式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autoSpaceDE w:val="0"/>
              <w:autoSpaceDN w:val="0"/>
              <w:spacing w:line="400" w:lineRule="exact"/>
              <w:jc w:val="center"/>
              <w:rPr>
                <w:highlight w:val="none"/>
              </w:rPr>
            </w:pPr>
            <w:r>
              <w:rPr>
                <w:rFonts w:hint="eastAsia" w:ascii="宋体"/>
                <w:sz w:val="24"/>
                <w:szCs w:val="24"/>
                <w:highlight w:val="none"/>
              </w:rPr>
              <w:t>6.1.3</w:t>
            </w:r>
          </w:p>
        </w:tc>
        <w:tc>
          <w:tcPr>
            <w:tcW w:w="2717" w:type="dxa"/>
            <w:vAlign w:val="center"/>
          </w:tcPr>
          <w:p>
            <w:pPr>
              <w:autoSpaceDE w:val="0"/>
              <w:autoSpaceDN w:val="0"/>
              <w:spacing w:line="400" w:lineRule="exact"/>
              <w:ind w:firstLine="600" w:firstLineChars="250"/>
              <w:rPr>
                <w:rFonts w:ascii="宋体"/>
                <w:szCs w:val="21"/>
                <w:highlight w:val="none"/>
              </w:rPr>
            </w:pPr>
            <w:r>
              <w:rPr>
                <w:rFonts w:hint="eastAsia" w:ascii="宋体"/>
                <w:sz w:val="24"/>
                <w:szCs w:val="24"/>
                <w:highlight w:val="none"/>
              </w:rPr>
              <w:t>磋商标准</w:t>
            </w:r>
          </w:p>
        </w:tc>
        <w:tc>
          <w:tcPr>
            <w:tcW w:w="4986" w:type="dxa"/>
            <w:vAlign w:val="center"/>
          </w:tcPr>
          <w:p>
            <w:pPr>
              <w:autoSpaceDE w:val="0"/>
              <w:autoSpaceDN w:val="0"/>
              <w:spacing w:line="400" w:lineRule="exact"/>
              <w:rPr>
                <w:rFonts w:ascii="宋体"/>
                <w:bCs/>
                <w:szCs w:val="21"/>
                <w:highlight w:val="none"/>
              </w:rPr>
            </w:pPr>
            <w:r>
              <w:rPr>
                <w:rFonts w:hint="eastAsia" w:ascii="宋体"/>
                <w:sz w:val="24"/>
                <w:szCs w:val="24"/>
                <w:highlight w:val="none"/>
              </w:rPr>
              <w:t>具体标准见本磋商文件第四章磋商办法及标准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194" w:type="dxa"/>
            <w:vAlign w:val="center"/>
          </w:tcPr>
          <w:p>
            <w:pPr>
              <w:autoSpaceDE w:val="0"/>
              <w:autoSpaceDN w:val="0"/>
              <w:spacing w:line="400" w:lineRule="exact"/>
              <w:jc w:val="center"/>
              <w:rPr>
                <w:highlight w:val="none"/>
              </w:rPr>
            </w:pPr>
            <w:r>
              <w:rPr>
                <w:rFonts w:hint="eastAsia" w:ascii="宋体"/>
                <w:sz w:val="24"/>
                <w:szCs w:val="24"/>
                <w:highlight w:val="none"/>
              </w:rPr>
              <w:t>6.7.2</w:t>
            </w:r>
          </w:p>
        </w:tc>
        <w:tc>
          <w:tcPr>
            <w:tcW w:w="2717" w:type="dxa"/>
            <w:vAlign w:val="center"/>
          </w:tcPr>
          <w:p>
            <w:pPr>
              <w:autoSpaceDE w:val="0"/>
              <w:autoSpaceDN w:val="0"/>
              <w:spacing w:line="400" w:lineRule="exact"/>
              <w:ind w:firstLine="480" w:firstLineChars="200"/>
              <w:rPr>
                <w:rFonts w:ascii="宋体"/>
                <w:szCs w:val="21"/>
                <w:highlight w:val="none"/>
              </w:rPr>
            </w:pPr>
            <w:r>
              <w:rPr>
                <w:rFonts w:hint="eastAsia" w:ascii="宋体"/>
                <w:sz w:val="24"/>
                <w:szCs w:val="24"/>
                <w:highlight w:val="none"/>
              </w:rPr>
              <w:t>确定成交供应商</w:t>
            </w:r>
          </w:p>
        </w:tc>
        <w:tc>
          <w:tcPr>
            <w:tcW w:w="4986" w:type="dxa"/>
            <w:vAlign w:val="center"/>
          </w:tcPr>
          <w:p>
            <w:pPr>
              <w:autoSpaceDE w:val="0"/>
              <w:autoSpaceDN w:val="0"/>
              <w:spacing w:line="400" w:lineRule="exact"/>
              <w:rPr>
                <w:rFonts w:ascii="宋体"/>
                <w:szCs w:val="21"/>
                <w:highlight w:val="none"/>
              </w:rPr>
            </w:pPr>
            <w:r>
              <w:rPr>
                <w:rFonts w:hint="eastAsia" w:ascii="宋体"/>
                <w:sz w:val="24"/>
                <w:szCs w:val="24"/>
                <w:highlight w:val="none"/>
              </w:rPr>
              <w:t>磋商小组推荐成交候选人后，采购人在磋商结束后5个工作日内确定成交供应商。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restart"/>
            <w:vAlign w:val="center"/>
          </w:tcPr>
          <w:p>
            <w:pPr>
              <w:autoSpaceDE w:val="0"/>
              <w:autoSpaceDN w:val="0"/>
              <w:spacing w:line="400" w:lineRule="exact"/>
              <w:jc w:val="center"/>
              <w:rPr>
                <w:highlight w:val="none"/>
              </w:rPr>
            </w:pPr>
            <w:r>
              <w:rPr>
                <w:rFonts w:hint="eastAsia" w:ascii="宋体"/>
                <w:sz w:val="24"/>
                <w:szCs w:val="24"/>
                <w:highlight w:val="none"/>
              </w:rPr>
              <w:t>6.7.5</w:t>
            </w:r>
          </w:p>
        </w:tc>
        <w:tc>
          <w:tcPr>
            <w:tcW w:w="2717" w:type="dxa"/>
            <w:vAlign w:val="center"/>
          </w:tcPr>
          <w:p>
            <w:pPr>
              <w:autoSpaceDE w:val="0"/>
              <w:autoSpaceDN w:val="0"/>
              <w:snapToGrid w:val="0"/>
              <w:spacing w:line="400" w:lineRule="exact"/>
              <w:jc w:val="center"/>
              <w:textAlignment w:val="bottom"/>
              <w:rPr>
                <w:rFonts w:ascii="宋体"/>
                <w:szCs w:val="21"/>
                <w:highlight w:val="none"/>
              </w:rPr>
            </w:pPr>
            <w:r>
              <w:rPr>
                <w:rFonts w:hint="eastAsia" w:ascii="宋体"/>
                <w:color w:val="000000"/>
                <w:sz w:val="24"/>
                <w:szCs w:val="24"/>
                <w:highlight w:val="none"/>
              </w:rPr>
              <w:t>成交公告</w:t>
            </w:r>
          </w:p>
        </w:tc>
        <w:tc>
          <w:tcPr>
            <w:tcW w:w="4986" w:type="dxa"/>
            <w:vAlign w:val="center"/>
          </w:tcPr>
          <w:p>
            <w:pPr>
              <w:autoSpaceDE w:val="0"/>
              <w:autoSpaceDN w:val="0"/>
              <w:snapToGrid w:val="0"/>
              <w:spacing w:line="400" w:lineRule="exact"/>
              <w:textAlignment w:val="bottom"/>
              <w:rPr>
                <w:rFonts w:ascii="宋体"/>
                <w:color w:val="000000"/>
                <w:sz w:val="24"/>
                <w:szCs w:val="24"/>
                <w:highlight w:val="none"/>
              </w:rPr>
            </w:pPr>
            <w:r>
              <w:rPr>
                <w:rFonts w:hint="eastAsia" w:ascii="宋体"/>
                <w:color w:val="000000"/>
                <w:sz w:val="24"/>
                <w:szCs w:val="24"/>
                <w:highlight w:val="none"/>
              </w:rPr>
              <w:t>磋商结束后</w:t>
            </w:r>
            <w:r>
              <w:rPr>
                <w:rFonts w:ascii="宋体"/>
                <w:color w:val="000000"/>
                <w:sz w:val="24"/>
                <w:szCs w:val="24"/>
                <w:highlight w:val="none"/>
              </w:rPr>
              <w:t>5</w:t>
            </w:r>
            <w:r>
              <w:rPr>
                <w:rFonts w:hint="eastAsia" w:ascii="宋体"/>
                <w:color w:val="000000"/>
                <w:sz w:val="24"/>
                <w:szCs w:val="24"/>
                <w:highlight w:val="none"/>
              </w:rPr>
              <w:t>个工作日内，公告于浙江省政府采购网</w:t>
            </w:r>
            <w:r>
              <w:rPr>
                <w:rFonts w:ascii="宋体"/>
                <w:color w:val="000000"/>
                <w:sz w:val="24"/>
                <w:szCs w:val="24"/>
                <w:highlight w:val="none"/>
              </w:rPr>
              <w:t>(</w:t>
            </w:r>
            <w:r>
              <w:rPr>
                <w:highlight w:val="none"/>
              </w:rPr>
              <w:fldChar w:fldCharType="begin"/>
            </w:r>
            <w:r>
              <w:rPr>
                <w:highlight w:val="none"/>
              </w:rPr>
              <w:instrText xml:space="preserve"> HYPERLINK "http://www.zjzfcg.gov.cn/" </w:instrText>
            </w:r>
            <w:r>
              <w:rPr>
                <w:highlight w:val="none"/>
              </w:rPr>
              <w:fldChar w:fldCharType="separate"/>
            </w:r>
            <w:r>
              <w:rPr>
                <w:rStyle w:val="40"/>
                <w:rFonts w:ascii="宋体"/>
                <w:color w:val="000000"/>
                <w:sz w:val="24"/>
                <w:szCs w:val="24"/>
                <w:highlight w:val="none"/>
              </w:rPr>
              <w:t>http://www.zjzfcg.gov.cn</w:t>
            </w:r>
            <w:r>
              <w:rPr>
                <w:rStyle w:val="40"/>
                <w:rFonts w:ascii="宋体"/>
                <w:color w:val="000000"/>
                <w:sz w:val="24"/>
                <w:szCs w:val="24"/>
                <w:highlight w:val="none"/>
              </w:rPr>
              <w:fldChar w:fldCharType="end"/>
            </w:r>
            <w:r>
              <w:rPr>
                <w:rFonts w:ascii="宋体"/>
                <w:color w:val="000000"/>
                <w:sz w:val="24"/>
                <w:szCs w:val="24"/>
                <w:highlight w:val="none"/>
              </w:rPr>
              <w:t>)</w:t>
            </w:r>
            <w:r>
              <w:rPr>
                <w:rFonts w:hint="eastAsia" w:ascii="宋体"/>
                <w:color w:val="000000"/>
                <w:sz w:val="24"/>
                <w:szCs w:val="24"/>
                <w:highlight w:val="none"/>
              </w:rPr>
              <w:t>、长兴县公共资源交易中心网 （</w:t>
            </w:r>
            <w:r>
              <w:rPr>
                <w:rStyle w:val="40"/>
                <w:rFonts w:ascii="宋体"/>
                <w:sz w:val="24"/>
                <w:highlight w:val="none"/>
              </w:rPr>
              <w:t>http://</w:t>
            </w:r>
            <w:r>
              <w:rPr>
                <w:rStyle w:val="40"/>
                <w:rFonts w:hint="eastAsia" w:ascii="宋体"/>
                <w:sz w:val="24"/>
                <w:highlight w:val="none"/>
              </w:rPr>
              <w:t>ggzy</w:t>
            </w:r>
            <w:r>
              <w:rPr>
                <w:rStyle w:val="40"/>
                <w:rFonts w:ascii="宋体"/>
                <w:sz w:val="24"/>
                <w:highlight w:val="none"/>
              </w:rPr>
              <w:t>.</w:t>
            </w:r>
            <w:r>
              <w:rPr>
                <w:rStyle w:val="40"/>
                <w:rFonts w:hint="eastAsia" w:ascii="宋体"/>
                <w:sz w:val="24"/>
                <w:highlight w:val="none"/>
              </w:rPr>
              <w:t>zjcx</w:t>
            </w:r>
            <w:r>
              <w:rPr>
                <w:rStyle w:val="40"/>
                <w:rFonts w:ascii="宋体"/>
                <w:sz w:val="24"/>
                <w:highlight w:val="none"/>
              </w:rPr>
              <w:t>.gov.cn:8081</w:t>
            </w:r>
            <w:r>
              <w:rPr>
                <w:rFonts w:ascii="宋体"/>
                <w:color w:val="000000"/>
                <w:sz w:val="24"/>
                <w:szCs w:val="24"/>
                <w:highlight w:val="none"/>
              </w:rPr>
              <w:t>）</w:t>
            </w:r>
            <w:r>
              <w:rPr>
                <w:rFonts w:hint="eastAsia" w:ascii="宋体"/>
                <w:color w:val="000000"/>
                <w:sz w:val="24"/>
                <w:szCs w:val="24"/>
                <w:highlight w:val="none"/>
                <w:lang w:eastAsia="zh-CN"/>
              </w:rPr>
              <w:t>（</w:t>
            </w:r>
            <w:r>
              <w:rPr>
                <w:rFonts w:hint="eastAsia" w:ascii="宋体"/>
                <w:color w:val="000000"/>
                <w:sz w:val="24"/>
                <w:szCs w:val="24"/>
                <w:highlight w:val="none"/>
                <w:u w:val="single"/>
                <w:lang w:eastAsia="zh-CN"/>
              </w:rPr>
              <w:t>https://ggzy.zjcx.gov.cn/cxweb/</w:t>
            </w:r>
            <w:r>
              <w:rPr>
                <w:rFonts w:hint="eastAsia" w:ascii="宋体"/>
                <w:color w:val="000000"/>
                <w:sz w:val="24"/>
                <w:szCs w:val="24"/>
                <w:highlight w:val="none"/>
                <w:lang w:eastAsia="zh-CN"/>
              </w:rPr>
              <w:t>）</w:t>
            </w:r>
            <w:r>
              <w:rPr>
                <w:rFonts w:hint="eastAsia" w:ascii="宋体"/>
                <w:color w:val="000000"/>
                <w:sz w:val="24"/>
                <w:szCs w:val="24"/>
                <w:highlight w:val="none"/>
              </w:rPr>
              <w:t>。</w:t>
            </w:r>
          </w:p>
          <w:p>
            <w:pPr>
              <w:autoSpaceDE w:val="0"/>
              <w:autoSpaceDN w:val="0"/>
              <w:snapToGrid w:val="0"/>
              <w:spacing w:line="400" w:lineRule="exact"/>
              <w:textAlignment w:val="bottom"/>
              <w:rPr>
                <w:rFonts w:ascii="宋体"/>
                <w:szCs w:val="21"/>
                <w:highlight w:val="none"/>
              </w:rPr>
            </w:pPr>
            <w:r>
              <w:rPr>
                <w:rFonts w:hint="eastAsia" w:ascii="宋体"/>
                <w:color w:val="000000"/>
                <w:sz w:val="24"/>
                <w:szCs w:val="24"/>
                <w:highlight w:val="none"/>
              </w:rPr>
              <w:t>公告期限：1个工作日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vAlign w:val="center"/>
          </w:tcPr>
          <w:p>
            <w:pPr>
              <w:rPr>
                <w:highlight w:val="none"/>
              </w:rPr>
            </w:pPr>
          </w:p>
        </w:tc>
        <w:tc>
          <w:tcPr>
            <w:tcW w:w="2717" w:type="dxa"/>
            <w:vAlign w:val="center"/>
          </w:tcPr>
          <w:p>
            <w:pPr>
              <w:autoSpaceDE w:val="0"/>
              <w:autoSpaceDN w:val="0"/>
              <w:snapToGrid w:val="0"/>
              <w:spacing w:line="400" w:lineRule="exact"/>
              <w:jc w:val="center"/>
              <w:textAlignment w:val="bottom"/>
              <w:rPr>
                <w:rFonts w:ascii="宋体"/>
                <w:szCs w:val="21"/>
                <w:highlight w:val="none"/>
              </w:rPr>
            </w:pPr>
            <w:r>
              <w:rPr>
                <w:rFonts w:hint="eastAsia" w:ascii="宋体"/>
                <w:color w:val="000000"/>
                <w:sz w:val="24"/>
                <w:szCs w:val="24"/>
                <w:highlight w:val="none"/>
              </w:rPr>
              <w:t>成交通知书</w:t>
            </w:r>
          </w:p>
        </w:tc>
        <w:tc>
          <w:tcPr>
            <w:tcW w:w="4986" w:type="dxa"/>
            <w:vAlign w:val="center"/>
          </w:tcPr>
          <w:p>
            <w:pPr>
              <w:autoSpaceDE w:val="0"/>
              <w:autoSpaceDN w:val="0"/>
              <w:snapToGrid w:val="0"/>
              <w:spacing w:line="400" w:lineRule="exact"/>
              <w:textAlignment w:val="bottom"/>
              <w:rPr>
                <w:color w:val="0000FF"/>
                <w:highlight w:val="none"/>
              </w:rPr>
            </w:pPr>
            <w:r>
              <w:rPr>
                <w:rFonts w:hint="eastAsia" w:ascii="宋体"/>
                <w:color w:val="000000"/>
                <w:sz w:val="24"/>
                <w:highlight w:val="none"/>
              </w:rPr>
              <w:t>成交公告期届满之日起7个工作日内无质疑的，集中采购机构向成交供应商发出《成交通知书》。《成交通知书》是合同的组成部分,对成交供应商和采购人具有同等法律效力。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autoSpaceDE w:val="0"/>
              <w:autoSpaceDN w:val="0"/>
              <w:spacing w:line="400" w:lineRule="exact"/>
              <w:jc w:val="center"/>
              <w:rPr>
                <w:highlight w:val="none"/>
              </w:rPr>
            </w:pPr>
            <w:r>
              <w:rPr>
                <w:rFonts w:hint="eastAsia" w:ascii="宋体"/>
                <w:sz w:val="24"/>
                <w:szCs w:val="24"/>
                <w:highlight w:val="none"/>
              </w:rPr>
              <w:t>7.1</w:t>
            </w:r>
          </w:p>
        </w:tc>
        <w:tc>
          <w:tcPr>
            <w:tcW w:w="2717" w:type="dxa"/>
            <w:vAlign w:val="center"/>
          </w:tcPr>
          <w:p>
            <w:pPr>
              <w:autoSpaceDE w:val="0"/>
              <w:autoSpaceDN w:val="0"/>
              <w:snapToGrid w:val="0"/>
              <w:spacing w:line="400" w:lineRule="exact"/>
              <w:jc w:val="center"/>
              <w:textAlignment w:val="bottom"/>
              <w:rPr>
                <w:highlight w:val="none"/>
              </w:rPr>
            </w:pPr>
            <w:r>
              <w:rPr>
                <w:rFonts w:hint="eastAsia" w:ascii="宋体"/>
                <w:color w:val="000000"/>
                <w:sz w:val="24"/>
                <w:szCs w:val="24"/>
                <w:highlight w:val="none"/>
              </w:rPr>
              <w:t>履约保证金</w:t>
            </w:r>
          </w:p>
        </w:tc>
        <w:tc>
          <w:tcPr>
            <w:tcW w:w="4986" w:type="dxa"/>
            <w:vAlign w:val="center"/>
          </w:tcPr>
          <w:p>
            <w:pPr>
              <w:pStyle w:val="22"/>
              <w:autoSpaceDE w:val="0"/>
              <w:autoSpaceDN w:val="0"/>
              <w:snapToGrid w:val="0"/>
              <w:spacing w:before="120" w:after="120"/>
              <w:jc w:val="left"/>
              <w:textAlignment w:val="bottom"/>
              <w:rPr>
                <w:color w:val="000000"/>
                <w:sz w:val="24"/>
                <w:szCs w:val="22"/>
                <w:highlight w:val="none"/>
              </w:rPr>
            </w:pPr>
            <w:r>
              <w:rPr>
                <w:rFonts w:hint="eastAsia"/>
                <w:color w:val="000000"/>
                <w:sz w:val="24"/>
                <w:szCs w:val="22"/>
                <w:highlight w:val="none"/>
              </w:rPr>
              <w:t>是否要求成交供应商提交履约保证金：要求。</w:t>
            </w:r>
          </w:p>
          <w:p>
            <w:pPr>
              <w:pStyle w:val="22"/>
              <w:autoSpaceDE w:val="0"/>
              <w:autoSpaceDN w:val="0"/>
              <w:snapToGrid w:val="0"/>
              <w:spacing w:before="120" w:after="120"/>
              <w:jc w:val="left"/>
              <w:textAlignment w:val="bottom"/>
              <w:rPr>
                <w:sz w:val="24"/>
                <w:szCs w:val="24"/>
                <w:highlight w:val="none"/>
              </w:rPr>
            </w:pPr>
            <w:r>
              <w:rPr>
                <w:rFonts w:hint="eastAsia"/>
                <w:color w:val="000000"/>
                <w:sz w:val="24"/>
                <w:szCs w:val="22"/>
                <w:highlight w:val="none"/>
              </w:rPr>
              <w:t>履约保证金的形式：成交供应商签订合同前必须向采购人提交合同金额的</w:t>
            </w:r>
            <w:r>
              <w:rPr>
                <w:rFonts w:hint="eastAsia"/>
                <w:b/>
                <w:bCs/>
                <w:color w:val="auto"/>
                <w:sz w:val="24"/>
                <w:szCs w:val="22"/>
                <w:highlight w:val="none"/>
                <w:lang w:val="en-US" w:eastAsia="zh-CN"/>
              </w:rPr>
              <w:t>1</w:t>
            </w:r>
            <w:r>
              <w:rPr>
                <w:rFonts w:hint="eastAsia"/>
                <w:b/>
                <w:bCs/>
                <w:color w:val="auto"/>
                <w:sz w:val="24"/>
                <w:szCs w:val="22"/>
                <w:highlight w:val="none"/>
              </w:rPr>
              <w:t>%</w:t>
            </w:r>
            <w:r>
              <w:rPr>
                <w:rFonts w:hint="eastAsia"/>
                <w:color w:val="auto"/>
                <w:sz w:val="24"/>
                <w:szCs w:val="22"/>
                <w:highlight w:val="none"/>
              </w:rPr>
              <w:t>作为本合同的履约保证金，合同履行完毕</w:t>
            </w:r>
            <w:r>
              <w:rPr>
                <w:rFonts w:hint="eastAsia"/>
                <w:color w:val="000000"/>
                <w:sz w:val="24"/>
                <w:szCs w:val="22"/>
                <w:highlight w:val="none"/>
              </w:rPr>
              <w:t>后，</w:t>
            </w:r>
            <w:r>
              <w:rPr>
                <w:rFonts w:hint="eastAsia"/>
                <w:color w:val="000000"/>
                <w:sz w:val="24"/>
                <w:szCs w:val="22"/>
                <w:highlight w:val="none"/>
                <w:lang w:eastAsia="zh-CN"/>
              </w:rPr>
              <w:t>采购人</w:t>
            </w:r>
            <w:r>
              <w:rPr>
                <w:rFonts w:hint="eastAsia"/>
                <w:color w:val="000000"/>
                <w:sz w:val="24"/>
                <w:szCs w:val="22"/>
                <w:highlight w:val="none"/>
              </w:rPr>
              <w:t>根据</w:t>
            </w:r>
            <w:r>
              <w:rPr>
                <w:rFonts w:hint="eastAsia"/>
                <w:color w:val="000000"/>
                <w:sz w:val="24"/>
                <w:szCs w:val="22"/>
                <w:highlight w:val="none"/>
                <w:lang w:eastAsia="zh-CN"/>
              </w:rPr>
              <w:t>成交供应商</w:t>
            </w:r>
            <w:r>
              <w:rPr>
                <w:rFonts w:hint="eastAsia"/>
                <w:color w:val="000000"/>
                <w:sz w:val="24"/>
                <w:szCs w:val="22"/>
                <w:highlight w:val="none"/>
              </w:rPr>
              <w:t>履约情况，按原汇款路径无息返还履约保证金。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94" w:type="dxa"/>
            <w:vMerge w:val="restart"/>
            <w:vAlign w:val="center"/>
          </w:tcPr>
          <w:p>
            <w:pPr>
              <w:autoSpaceDE w:val="0"/>
              <w:autoSpaceDN w:val="0"/>
              <w:spacing w:line="400" w:lineRule="exact"/>
              <w:jc w:val="center"/>
              <w:rPr>
                <w:highlight w:val="none"/>
              </w:rPr>
            </w:pPr>
            <w:r>
              <w:rPr>
                <w:rFonts w:hint="eastAsia" w:ascii="宋体"/>
                <w:sz w:val="24"/>
                <w:szCs w:val="24"/>
                <w:highlight w:val="none"/>
              </w:rPr>
              <w:t>8.2</w:t>
            </w:r>
          </w:p>
        </w:tc>
        <w:tc>
          <w:tcPr>
            <w:tcW w:w="2717" w:type="dxa"/>
            <w:vAlign w:val="center"/>
          </w:tcPr>
          <w:p>
            <w:pPr>
              <w:autoSpaceDE w:val="0"/>
              <w:autoSpaceDN w:val="0"/>
              <w:snapToGrid w:val="0"/>
              <w:spacing w:line="400" w:lineRule="exact"/>
              <w:jc w:val="center"/>
              <w:textAlignment w:val="bottom"/>
              <w:rPr>
                <w:rFonts w:ascii="宋体"/>
                <w:szCs w:val="21"/>
                <w:highlight w:val="none"/>
              </w:rPr>
            </w:pPr>
            <w:r>
              <w:rPr>
                <w:rFonts w:hint="eastAsia" w:ascii="宋体"/>
                <w:color w:val="000000"/>
                <w:sz w:val="24"/>
                <w:szCs w:val="24"/>
                <w:highlight w:val="none"/>
              </w:rPr>
              <w:t>签订合同时间</w:t>
            </w:r>
          </w:p>
        </w:tc>
        <w:tc>
          <w:tcPr>
            <w:tcW w:w="4986" w:type="dxa"/>
            <w:vAlign w:val="center"/>
          </w:tcPr>
          <w:p>
            <w:pPr>
              <w:autoSpaceDE w:val="0"/>
              <w:autoSpaceDN w:val="0"/>
              <w:snapToGrid w:val="0"/>
              <w:spacing w:line="400" w:lineRule="exact"/>
              <w:textAlignment w:val="bottom"/>
              <w:rPr>
                <w:rFonts w:ascii="宋体"/>
                <w:szCs w:val="21"/>
                <w:highlight w:val="none"/>
              </w:rPr>
            </w:pPr>
            <w:r>
              <w:rPr>
                <w:rFonts w:hint="eastAsia" w:ascii="宋体"/>
                <w:color w:val="000000"/>
                <w:sz w:val="24"/>
                <w:szCs w:val="24"/>
                <w:highlight w:val="none"/>
              </w:rPr>
              <w:t>成交通知书发出后30日内。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94" w:type="dxa"/>
            <w:vMerge w:val="continue"/>
            <w:vAlign w:val="center"/>
          </w:tcPr>
          <w:p>
            <w:pPr>
              <w:rPr>
                <w:highlight w:val="none"/>
              </w:rPr>
            </w:pPr>
          </w:p>
        </w:tc>
        <w:tc>
          <w:tcPr>
            <w:tcW w:w="2717" w:type="dxa"/>
            <w:vAlign w:val="center"/>
          </w:tcPr>
          <w:p>
            <w:pPr>
              <w:autoSpaceDE w:val="0"/>
              <w:autoSpaceDN w:val="0"/>
              <w:snapToGrid w:val="0"/>
              <w:spacing w:line="400" w:lineRule="exact"/>
              <w:jc w:val="center"/>
              <w:textAlignment w:val="bottom"/>
              <w:rPr>
                <w:rFonts w:ascii="宋体"/>
                <w:szCs w:val="21"/>
                <w:highlight w:val="none"/>
              </w:rPr>
            </w:pPr>
            <w:r>
              <w:rPr>
                <w:rFonts w:hint="eastAsia" w:ascii="宋体"/>
                <w:sz w:val="24"/>
                <w:szCs w:val="24"/>
                <w:highlight w:val="none"/>
              </w:rPr>
              <w:t>合同备案</w:t>
            </w:r>
          </w:p>
        </w:tc>
        <w:tc>
          <w:tcPr>
            <w:tcW w:w="4986" w:type="dxa"/>
            <w:vAlign w:val="center"/>
          </w:tcPr>
          <w:p>
            <w:pPr>
              <w:autoSpaceDE w:val="0"/>
              <w:autoSpaceDN w:val="0"/>
              <w:snapToGrid w:val="0"/>
              <w:spacing w:line="400" w:lineRule="exact"/>
              <w:textAlignment w:val="bottom"/>
              <w:rPr>
                <w:rFonts w:ascii="宋体"/>
                <w:szCs w:val="21"/>
                <w:highlight w:val="none"/>
              </w:rPr>
            </w:pPr>
            <w:r>
              <w:rPr>
                <w:rFonts w:hint="eastAsia" w:ascii="宋体"/>
                <w:color w:val="000000"/>
                <w:sz w:val="24"/>
                <w:highlight w:val="none"/>
              </w:rPr>
              <w:t>签订政府采购合同后7个工作日内，采购人应及时在政采云平台进行合同备案。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autoSpaceDE w:val="0"/>
              <w:autoSpaceDN w:val="0"/>
              <w:spacing w:line="400" w:lineRule="exact"/>
              <w:jc w:val="center"/>
              <w:rPr>
                <w:highlight w:val="none"/>
              </w:rPr>
            </w:pPr>
            <w:r>
              <w:rPr>
                <w:rFonts w:hint="eastAsia" w:ascii="宋体"/>
                <w:sz w:val="24"/>
                <w:szCs w:val="24"/>
                <w:highlight w:val="none"/>
              </w:rPr>
              <w:t>10.1</w:t>
            </w:r>
          </w:p>
        </w:tc>
        <w:tc>
          <w:tcPr>
            <w:tcW w:w="2717" w:type="dxa"/>
            <w:vAlign w:val="center"/>
          </w:tcPr>
          <w:p>
            <w:pPr>
              <w:autoSpaceDE w:val="0"/>
              <w:autoSpaceDN w:val="0"/>
              <w:spacing w:line="400" w:lineRule="exact"/>
              <w:rPr>
                <w:rFonts w:ascii="宋体"/>
                <w:szCs w:val="21"/>
                <w:highlight w:val="none"/>
              </w:rPr>
            </w:pPr>
            <w:r>
              <w:rPr>
                <w:rFonts w:hint="eastAsia" w:ascii="宋体"/>
                <w:sz w:val="24"/>
                <w:szCs w:val="24"/>
                <w:highlight w:val="none"/>
                <w:lang w:val="zh-CN"/>
              </w:rPr>
              <w:t>政府采购项目验收</w:t>
            </w:r>
          </w:p>
        </w:tc>
        <w:tc>
          <w:tcPr>
            <w:tcW w:w="4986" w:type="dxa"/>
            <w:vAlign w:val="center"/>
          </w:tcPr>
          <w:p>
            <w:pPr>
              <w:autoSpaceDE w:val="0"/>
              <w:autoSpaceDN w:val="0"/>
              <w:spacing w:line="400" w:lineRule="exact"/>
              <w:rPr>
                <w:rFonts w:ascii="宋体"/>
                <w:szCs w:val="21"/>
                <w:highlight w:val="none"/>
              </w:rPr>
            </w:pPr>
            <w:r>
              <w:rPr>
                <w:rFonts w:hint="eastAsia" w:ascii="宋体"/>
                <w:sz w:val="24"/>
                <w:szCs w:val="24"/>
                <w:highlight w:val="none"/>
              </w:rPr>
              <w:t>采购人应按照磋商文件及政府采购合同规定的技术、服务、安全标准对供应商履约情况进行验收，并出具验收书。验收书包括每一项技术、服务、安全标准的履约情况。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jc w:val="center"/>
              <w:rPr>
                <w:highlight w:val="none"/>
              </w:rPr>
            </w:pPr>
            <w:r>
              <w:rPr>
                <w:rFonts w:hint="eastAsia" w:ascii="宋体"/>
                <w:sz w:val="24"/>
                <w:szCs w:val="24"/>
                <w:highlight w:val="none"/>
              </w:rPr>
              <w:t>13</w:t>
            </w:r>
          </w:p>
        </w:tc>
        <w:tc>
          <w:tcPr>
            <w:tcW w:w="7703" w:type="dxa"/>
            <w:gridSpan w:val="2"/>
            <w:vAlign w:val="center"/>
          </w:tcPr>
          <w:p>
            <w:pPr>
              <w:rPr>
                <w:rFonts w:ascii="宋体"/>
                <w:szCs w:val="21"/>
                <w:highlight w:val="none"/>
              </w:rPr>
            </w:pPr>
            <w:r>
              <w:rPr>
                <w:rFonts w:hint="eastAsia" w:ascii="宋体"/>
                <w:sz w:val="24"/>
                <w:szCs w:val="24"/>
                <w:highlight w:val="none"/>
                <w:lang w:val="zh-CN"/>
              </w:rPr>
              <w:t>采购人认为应该补充的其他内容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5" w:hRule="atLeast"/>
        </w:trPr>
        <w:tc>
          <w:tcPr>
            <w:tcW w:w="1194" w:type="dxa"/>
            <w:vAlign w:val="center"/>
          </w:tcPr>
          <w:p>
            <w:pPr>
              <w:autoSpaceDE w:val="0"/>
              <w:autoSpaceDN w:val="0"/>
              <w:spacing w:line="400" w:lineRule="exact"/>
              <w:jc w:val="center"/>
              <w:rPr>
                <w:highlight w:val="none"/>
              </w:rPr>
            </w:pPr>
            <w:r>
              <w:rPr>
                <w:rFonts w:hint="eastAsia" w:ascii="宋体"/>
                <w:sz w:val="24"/>
                <w:szCs w:val="24"/>
                <w:highlight w:val="none"/>
              </w:rPr>
              <w:t>13.1</w:t>
            </w:r>
          </w:p>
        </w:tc>
        <w:tc>
          <w:tcPr>
            <w:tcW w:w="2717" w:type="dxa"/>
            <w:vAlign w:val="center"/>
          </w:tcPr>
          <w:p>
            <w:pPr>
              <w:autoSpaceDE w:val="0"/>
              <w:autoSpaceDN w:val="0"/>
              <w:spacing w:line="400" w:lineRule="exact"/>
              <w:jc w:val="center"/>
              <w:rPr>
                <w:rFonts w:ascii="宋体"/>
                <w:szCs w:val="21"/>
                <w:highlight w:val="none"/>
              </w:rPr>
            </w:pPr>
            <w:r>
              <w:rPr>
                <w:rFonts w:hint="eastAsia" w:ascii="宋体"/>
                <w:sz w:val="24"/>
                <w:szCs w:val="24"/>
                <w:highlight w:val="none"/>
              </w:rPr>
              <w:t>特别说明</w:t>
            </w:r>
          </w:p>
        </w:tc>
        <w:tc>
          <w:tcPr>
            <w:tcW w:w="4986" w:type="dxa"/>
            <w:vAlign w:val="center"/>
          </w:tcPr>
          <w:p>
            <w:pPr>
              <w:pStyle w:val="22"/>
              <w:snapToGrid w:val="0"/>
              <w:spacing w:line="400" w:lineRule="exact"/>
              <w:rPr>
                <w:rFonts w:hAnsi="宋体"/>
                <w:color w:val="000000"/>
                <w:sz w:val="24"/>
                <w:szCs w:val="22"/>
                <w:highlight w:val="none"/>
              </w:rPr>
            </w:pPr>
            <w:r>
              <w:rPr>
                <w:rFonts w:hint="eastAsia" w:hAnsi="宋体"/>
                <w:color w:val="000000"/>
                <w:sz w:val="24"/>
                <w:szCs w:val="22"/>
                <w:highlight w:val="none"/>
                <w:lang w:val="en-US" w:eastAsia="zh-CN"/>
              </w:rPr>
              <w:t>1</w:t>
            </w:r>
            <w:r>
              <w:rPr>
                <w:rFonts w:hint="eastAsia" w:hAnsi="宋体"/>
                <w:color w:val="000000"/>
                <w:sz w:val="24"/>
                <w:szCs w:val="22"/>
                <w:highlight w:val="none"/>
              </w:rPr>
              <w:t>.供应商</w:t>
            </w:r>
            <w:r>
              <w:rPr>
                <w:rFonts w:hint="eastAsia" w:hAnsi="宋体"/>
                <w:color w:val="000000"/>
                <w:sz w:val="24"/>
                <w:szCs w:val="22"/>
                <w:highlight w:val="none"/>
                <w:lang w:eastAsia="zh-CN"/>
              </w:rPr>
              <w:t>在</w:t>
            </w:r>
            <w:r>
              <w:rPr>
                <w:rFonts w:hint="eastAsia" w:hAnsi="宋体" w:cs="宋体"/>
                <w:color w:val="000000"/>
                <w:kern w:val="0"/>
                <w:sz w:val="24"/>
                <w:szCs w:val="22"/>
                <w:highlight w:val="none"/>
                <w:lang w:eastAsia="zh-CN"/>
              </w:rPr>
              <w:t>响应</w:t>
            </w:r>
            <w:r>
              <w:rPr>
                <w:rFonts w:hint="eastAsia" w:hAnsi="宋体" w:cs="宋体"/>
                <w:color w:val="000000"/>
                <w:kern w:val="0"/>
                <w:sz w:val="24"/>
                <w:szCs w:val="22"/>
                <w:highlight w:val="none"/>
              </w:rPr>
              <w:t>活动中</w:t>
            </w:r>
            <w:r>
              <w:rPr>
                <w:rFonts w:hint="eastAsia" w:hAnsi="宋体"/>
                <w:color w:val="000000"/>
                <w:sz w:val="24"/>
                <w:szCs w:val="22"/>
                <w:highlight w:val="none"/>
              </w:rPr>
              <w:t>所使用的资格、信誉、荣誉、业绩与企业认证必须为本法人所拥有。供应商</w:t>
            </w:r>
            <w:r>
              <w:rPr>
                <w:rFonts w:hint="eastAsia" w:hAnsi="宋体"/>
                <w:color w:val="000000"/>
                <w:sz w:val="24"/>
                <w:szCs w:val="22"/>
                <w:highlight w:val="none"/>
                <w:lang w:eastAsia="zh-CN"/>
              </w:rPr>
              <w:t>在</w:t>
            </w:r>
            <w:r>
              <w:rPr>
                <w:rFonts w:hint="eastAsia" w:hAnsi="宋体" w:cs="宋体"/>
                <w:color w:val="000000"/>
                <w:kern w:val="0"/>
                <w:sz w:val="24"/>
                <w:szCs w:val="22"/>
                <w:highlight w:val="none"/>
                <w:lang w:eastAsia="zh-CN"/>
              </w:rPr>
              <w:t>响应</w:t>
            </w:r>
            <w:r>
              <w:rPr>
                <w:rFonts w:hint="eastAsia" w:hAnsi="宋体" w:cs="宋体"/>
                <w:color w:val="000000"/>
                <w:kern w:val="0"/>
                <w:sz w:val="24"/>
                <w:szCs w:val="22"/>
                <w:highlight w:val="none"/>
              </w:rPr>
              <w:t>活动中</w:t>
            </w:r>
            <w:r>
              <w:rPr>
                <w:rFonts w:hint="eastAsia" w:hAnsi="宋体"/>
                <w:color w:val="000000"/>
                <w:sz w:val="24"/>
                <w:szCs w:val="22"/>
                <w:highlight w:val="none"/>
              </w:rPr>
              <w:t>所使用的采购项目实施人员必须为本法人员工（或必须为本法人或控股公司正式员工）。</w:t>
            </w:r>
          </w:p>
          <w:p>
            <w:pPr>
              <w:pStyle w:val="22"/>
              <w:snapToGrid w:val="0"/>
              <w:spacing w:line="400" w:lineRule="exact"/>
              <w:rPr>
                <w:rFonts w:hAnsi="宋体"/>
                <w:color w:val="000000"/>
                <w:highlight w:val="none"/>
              </w:rPr>
            </w:pPr>
            <w:r>
              <w:rPr>
                <w:rFonts w:hint="eastAsia" w:hAnsi="宋体" w:cs="宋体"/>
                <w:color w:val="000000"/>
                <w:kern w:val="0"/>
                <w:sz w:val="24"/>
                <w:szCs w:val="22"/>
                <w:highlight w:val="none"/>
                <w:lang w:val="en-US" w:eastAsia="zh-CN"/>
              </w:rPr>
              <w:t>2</w:t>
            </w:r>
            <w:r>
              <w:rPr>
                <w:rFonts w:hint="eastAsia" w:hAnsi="宋体" w:cs="宋体"/>
                <w:color w:val="000000"/>
                <w:kern w:val="0"/>
                <w:sz w:val="24"/>
                <w:szCs w:val="22"/>
                <w:highlight w:val="none"/>
              </w:rPr>
              <w:t>.供应商应仔细阅读磋商文件的所有内容，按照磋商文件的要求提交磋商响应文件，并对所提供的全部资料的真实性承担法律责任</w:t>
            </w:r>
            <w:r>
              <w:rPr>
                <w:rFonts w:hAnsi="宋体"/>
                <w:color w:val="000000"/>
                <w:highlight w:val="none"/>
              </w:rPr>
              <w:t>。</w:t>
            </w:r>
          </w:p>
          <w:p>
            <w:pPr>
              <w:pStyle w:val="22"/>
              <w:snapToGrid w:val="0"/>
              <w:spacing w:line="400" w:lineRule="exact"/>
              <w:rPr>
                <w:rFonts w:hAnsi="宋体"/>
                <w:color w:val="000000"/>
                <w:highlight w:val="none"/>
              </w:rPr>
            </w:pPr>
            <w:r>
              <w:rPr>
                <w:rFonts w:hint="eastAsia" w:hAnsi="宋体" w:cs="宋体"/>
                <w:color w:val="000000"/>
                <w:kern w:val="0"/>
                <w:sz w:val="24"/>
                <w:szCs w:val="22"/>
                <w:highlight w:val="none"/>
                <w:lang w:val="en-US" w:eastAsia="zh-CN"/>
              </w:rPr>
              <w:t>3</w:t>
            </w:r>
            <w:r>
              <w:rPr>
                <w:rFonts w:hint="eastAsia" w:hAnsi="宋体" w:cs="宋体"/>
                <w:color w:val="000000"/>
                <w:kern w:val="0"/>
                <w:sz w:val="24"/>
                <w:szCs w:val="22"/>
                <w:highlight w:val="none"/>
              </w:rPr>
              <w:t>.供应商在</w:t>
            </w:r>
            <w:r>
              <w:rPr>
                <w:rFonts w:hint="eastAsia" w:hAnsi="宋体" w:cs="宋体"/>
                <w:color w:val="000000"/>
                <w:kern w:val="0"/>
                <w:sz w:val="24"/>
                <w:szCs w:val="22"/>
                <w:highlight w:val="none"/>
                <w:lang w:eastAsia="zh-CN"/>
              </w:rPr>
              <w:t>响应</w:t>
            </w:r>
            <w:r>
              <w:rPr>
                <w:rFonts w:hint="eastAsia" w:hAnsi="宋体" w:cs="宋体"/>
                <w:color w:val="000000"/>
                <w:kern w:val="0"/>
                <w:sz w:val="24"/>
                <w:szCs w:val="22"/>
                <w:highlight w:val="none"/>
              </w:rPr>
              <w:t>活动中提供任何虚假材料,其投标无效，并报监管部门查处；中标后发现的,成交供应商须依照《中华人民共和国消费者权益保护法》相关规定赔偿采购人，且民事赔偿并不免除违法供应商的行政与刑事责任</w:t>
            </w:r>
            <w:r>
              <w:rPr>
                <w:rFonts w:hAnsi="宋体"/>
                <w:color w:val="00000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94" w:type="dxa"/>
            <w:vAlign w:val="center"/>
          </w:tcPr>
          <w:p>
            <w:pPr>
              <w:autoSpaceDE w:val="0"/>
              <w:autoSpaceDN w:val="0"/>
              <w:spacing w:line="400" w:lineRule="exact"/>
              <w:jc w:val="center"/>
              <w:rPr>
                <w:rFonts w:ascii="宋体"/>
                <w:sz w:val="24"/>
                <w:szCs w:val="24"/>
                <w:highlight w:val="none"/>
              </w:rPr>
            </w:pPr>
            <w:r>
              <w:rPr>
                <w:rFonts w:hint="eastAsia" w:ascii="宋体"/>
                <w:sz w:val="24"/>
                <w:szCs w:val="24"/>
                <w:highlight w:val="none"/>
              </w:rPr>
              <w:t>13.2</w:t>
            </w:r>
          </w:p>
        </w:tc>
        <w:tc>
          <w:tcPr>
            <w:tcW w:w="2717" w:type="dxa"/>
            <w:vAlign w:val="center"/>
          </w:tcPr>
          <w:p>
            <w:pPr>
              <w:pStyle w:val="5"/>
              <w:spacing w:line="320" w:lineRule="exact"/>
              <w:ind w:firstLine="0" w:firstLineChars="0"/>
              <w:rPr>
                <w:rFonts w:ascii="宋体" w:hAnsi="宋体" w:cs="宋体"/>
                <w:color w:val="000000"/>
                <w:kern w:val="0"/>
                <w:sz w:val="24"/>
                <w:highlight w:val="none"/>
              </w:rPr>
            </w:pPr>
            <w:r>
              <w:rPr>
                <w:rFonts w:hint="eastAsia" w:ascii="宋体" w:hAnsi="宋体" w:cs="宋体"/>
                <w:color w:val="000000"/>
                <w:kern w:val="0"/>
                <w:sz w:val="24"/>
                <w:highlight w:val="none"/>
              </w:rPr>
              <w:t>为落实政府采购政策需满足的要求</w:t>
            </w:r>
          </w:p>
          <w:p>
            <w:pPr>
              <w:autoSpaceDE w:val="0"/>
              <w:autoSpaceDN w:val="0"/>
              <w:spacing w:line="400" w:lineRule="exact"/>
              <w:jc w:val="center"/>
              <w:rPr>
                <w:rFonts w:ascii="宋体"/>
                <w:sz w:val="24"/>
                <w:szCs w:val="24"/>
                <w:highlight w:val="none"/>
              </w:rPr>
            </w:pPr>
          </w:p>
        </w:tc>
        <w:tc>
          <w:tcPr>
            <w:tcW w:w="4986" w:type="dxa"/>
            <w:vAlign w:val="center"/>
          </w:tcPr>
          <w:p>
            <w:pPr>
              <w:pStyle w:val="5"/>
              <w:spacing w:line="320" w:lineRule="exact"/>
              <w:ind w:firstLine="0" w:firstLineChars="0"/>
              <w:rPr>
                <w:rFonts w:hint="eastAsia" w:ascii="宋体" w:hAnsi="Calibri" w:eastAsia="宋体" w:cs="宋体"/>
                <w:kern w:val="0"/>
                <w:sz w:val="24"/>
                <w:szCs w:val="22"/>
                <w:highlight w:val="none"/>
                <w:lang w:val="en-US" w:eastAsia="zh-CN" w:bidi="ar-SA"/>
              </w:rPr>
            </w:pPr>
            <w:r>
              <w:rPr>
                <w:rFonts w:hint="eastAsia" w:ascii="宋体" w:hAnsi="Calibri" w:eastAsia="宋体" w:cs="宋体"/>
                <w:kern w:val="0"/>
                <w:sz w:val="24"/>
                <w:szCs w:val="22"/>
                <w:highlight w:val="none"/>
                <w:lang w:val="en-US" w:eastAsia="zh-CN" w:bidi="ar-SA"/>
              </w:rPr>
              <w:t>1.文件依据</w:t>
            </w:r>
          </w:p>
          <w:p>
            <w:pPr>
              <w:pStyle w:val="5"/>
              <w:spacing w:line="320" w:lineRule="exact"/>
              <w:ind w:firstLine="0" w:firstLineChars="0"/>
              <w:rPr>
                <w:rFonts w:hint="eastAsia" w:ascii="宋体" w:hAnsi="Calibri" w:eastAsia="宋体" w:cs="宋体"/>
                <w:kern w:val="0"/>
                <w:sz w:val="24"/>
                <w:szCs w:val="22"/>
                <w:highlight w:val="none"/>
                <w:lang w:val="en-US" w:eastAsia="zh-CN" w:bidi="ar-SA"/>
              </w:rPr>
            </w:pPr>
            <w:r>
              <w:rPr>
                <w:rFonts w:hint="eastAsia" w:ascii="宋体" w:hAnsi="Calibri" w:eastAsia="宋体" w:cs="宋体"/>
                <w:kern w:val="0"/>
                <w:sz w:val="24"/>
                <w:szCs w:val="22"/>
                <w:highlight w:val="none"/>
                <w:lang w:val="en-US" w:eastAsia="zh-CN" w:bidi="ar-SA"/>
              </w:rPr>
              <w:t>（1）扶持中小企业</w:t>
            </w:r>
          </w:p>
          <w:p>
            <w:pPr>
              <w:pStyle w:val="5"/>
              <w:spacing w:line="320" w:lineRule="exact"/>
              <w:ind w:firstLine="480" w:firstLineChars="200"/>
              <w:rPr>
                <w:rFonts w:ascii="宋体" w:cs="宋体"/>
                <w:kern w:val="0"/>
                <w:sz w:val="24"/>
              </w:rPr>
            </w:pPr>
            <w:r>
              <w:rPr>
                <w:rFonts w:hint="eastAsia" w:ascii="宋体" w:hAnsi="Calibri" w:eastAsia="宋体" w:cs="宋体"/>
                <w:kern w:val="0"/>
                <w:sz w:val="24"/>
                <w:szCs w:val="22"/>
                <w:highlight w:val="none"/>
                <w:lang w:val="en-US" w:eastAsia="zh-CN" w:bidi="ar-SA"/>
              </w:rPr>
              <w:t>①《政府采购促进中小企业发展管理办法》（财库〔2020〕46号）、</w:t>
            </w:r>
            <w:r>
              <w:rPr>
                <w:rFonts w:hint="eastAsia" w:ascii="宋体" w:cs="宋体"/>
                <w:kern w:val="0"/>
                <w:sz w:val="24"/>
              </w:rPr>
              <w:t>浙江省财政厅《关于进一步发挥政府采购政策功能全力推动经济稳进提质的通知》（浙财采监〔</w:t>
            </w:r>
            <w:r>
              <w:rPr>
                <w:rFonts w:ascii="宋体" w:cs="宋体"/>
                <w:kern w:val="0"/>
                <w:sz w:val="24"/>
              </w:rPr>
              <w:t>20</w:t>
            </w:r>
            <w:r>
              <w:rPr>
                <w:rFonts w:hint="eastAsia" w:ascii="宋体" w:cs="宋体"/>
                <w:kern w:val="0"/>
                <w:sz w:val="24"/>
              </w:rPr>
              <w:t>22〕3号）</w:t>
            </w:r>
          </w:p>
          <w:p>
            <w:pPr>
              <w:pStyle w:val="5"/>
              <w:spacing w:line="320" w:lineRule="exact"/>
              <w:ind w:left="0" w:leftChars="0" w:firstLine="0" w:firstLineChars="0"/>
              <w:rPr>
                <w:rFonts w:hint="eastAsia" w:ascii="宋体" w:hAnsi="Calibri" w:eastAsia="宋体" w:cs="宋体"/>
                <w:kern w:val="0"/>
                <w:sz w:val="24"/>
                <w:szCs w:val="22"/>
                <w:highlight w:val="none"/>
                <w:lang w:val="en-US" w:eastAsia="zh-CN" w:bidi="ar-SA"/>
              </w:rPr>
            </w:pPr>
            <w:r>
              <w:rPr>
                <w:rFonts w:hint="eastAsia" w:cs="宋体" w:asciiTheme="minorEastAsia" w:hAnsiTheme="minorEastAsia"/>
                <w:color w:val="000000"/>
                <w:kern w:val="0"/>
                <w:sz w:val="24"/>
                <w:szCs w:val="24"/>
                <w:lang w:eastAsia="zh-CN"/>
              </w:rPr>
              <w:t>、</w:t>
            </w:r>
            <w:r>
              <w:rPr>
                <w:rFonts w:cs="宋体" w:asciiTheme="minorEastAsia" w:hAnsiTheme="minorEastAsia"/>
                <w:color w:val="000000"/>
                <w:kern w:val="0"/>
                <w:sz w:val="24"/>
                <w:szCs w:val="24"/>
              </w:rPr>
              <w:t>《</w:t>
            </w:r>
            <w:r>
              <w:rPr>
                <w:rFonts w:hint="eastAsia" w:cs="宋体" w:asciiTheme="minorEastAsia" w:hAnsiTheme="minorEastAsia"/>
                <w:color w:val="000000"/>
                <w:kern w:val="0"/>
                <w:sz w:val="24"/>
                <w:szCs w:val="24"/>
              </w:rPr>
              <w:t>浙江省财政厅关于进一步加大政府采购支持中小企业力度 助力扎实稳住经济的通知</w:t>
            </w:r>
            <w:r>
              <w:rPr>
                <w:rFonts w:cs="宋体" w:asciiTheme="minorEastAsia" w:hAnsiTheme="minorEastAsia"/>
                <w:color w:val="000000"/>
                <w:kern w:val="0"/>
                <w:sz w:val="24"/>
                <w:szCs w:val="24"/>
              </w:rPr>
              <w:t>》（</w:t>
            </w:r>
            <w:r>
              <w:rPr>
                <w:rFonts w:hint="eastAsia" w:cs="宋体" w:asciiTheme="minorEastAsia" w:hAnsiTheme="minorEastAsia"/>
                <w:color w:val="000000"/>
                <w:kern w:val="0"/>
                <w:sz w:val="24"/>
                <w:szCs w:val="24"/>
              </w:rPr>
              <w:t>浙财采监〔2022〕8号</w:t>
            </w:r>
            <w:r>
              <w:rPr>
                <w:rFonts w:cs="宋体" w:asciiTheme="minorEastAsia" w:hAnsiTheme="minorEastAsia"/>
                <w:color w:val="000000"/>
                <w:kern w:val="0"/>
                <w:sz w:val="24"/>
                <w:szCs w:val="24"/>
              </w:rPr>
              <w:t>）</w:t>
            </w:r>
          </w:p>
          <w:p>
            <w:pPr>
              <w:pStyle w:val="5"/>
              <w:spacing w:line="320" w:lineRule="exact"/>
              <w:ind w:firstLine="480" w:firstLineChars="200"/>
              <w:rPr>
                <w:rFonts w:hint="eastAsia" w:ascii="宋体" w:hAnsi="Calibri" w:eastAsia="宋体" w:cs="宋体"/>
                <w:kern w:val="0"/>
                <w:sz w:val="24"/>
                <w:szCs w:val="22"/>
                <w:highlight w:val="none"/>
                <w:lang w:val="en-US" w:eastAsia="zh-CN" w:bidi="ar-SA"/>
              </w:rPr>
            </w:pPr>
            <w:r>
              <w:rPr>
                <w:rFonts w:hint="eastAsia" w:ascii="宋体" w:hAnsi="Calibri" w:eastAsia="宋体" w:cs="宋体"/>
                <w:kern w:val="0"/>
                <w:sz w:val="24"/>
                <w:szCs w:val="22"/>
                <w:highlight w:val="none"/>
                <w:lang w:val="en-US" w:eastAsia="zh-CN" w:bidi="ar-SA"/>
              </w:rPr>
              <w:t>②财政部、司法部《关于政府采购支持监狱企业发展有关问题的通知》（财库〔2014〕68号）</w:t>
            </w:r>
          </w:p>
          <w:p>
            <w:pPr>
              <w:pStyle w:val="5"/>
              <w:spacing w:line="320" w:lineRule="exact"/>
              <w:ind w:firstLine="480" w:firstLineChars="200"/>
              <w:rPr>
                <w:rFonts w:hint="eastAsia" w:ascii="宋体" w:hAnsi="Calibri" w:eastAsia="宋体" w:cs="宋体"/>
                <w:kern w:val="0"/>
                <w:sz w:val="24"/>
                <w:szCs w:val="22"/>
                <w:highlight w:val="none"/>
                <w:lang w:val="en-US" w:eastAsia="zh-CN" w:bidi="ar-SA"/>
              </w:rPr>
            </w:pPr>
            <w:r>
              <w:rPr>
                <w:rFonts w:hint="eastAsia" w:ascii="宋体" w:hAnsi="Calibri" w:eastAsia="宋体" w:cs="宋体"/>
                <w:kern w:val="0"/>
                <w:sz w:val="24"/>
                <w:szCs w:val="22"/>
                <w:highlight w:val="none"/>
                <w:lang w:val="en-US" w:eastAsia="zh-CN" w:bidi="ar-SA"/>
              </w:rPr>
              <w:t>③财政部民政部中国残疾人联合会《关于促进残疾人就业政府采购政策的通知》（财库〔2017〕 141号）</w:t>
            </w:r>
          </w:p>
          <w:p>
            <w:pPr>
              <w:pStyle w:val="5"/>
              <w:spacing w:line="320" w:lineRule="exact"/>
              <w:ind w:firstLine="480" w:firstLineChars="200"/>
              <w:rPr>
                <w:rFonts w:hint="eastAsia" w:ascii="宋体" w:hAnsi="Calibri" w:eastAsia="宋体" w:cs="宋体"/>
                <w:kern w:val="0"/>
                <w:sz w:val="24"/>
                <w:szCs w:val="22"/>
                <w:highlight w:val="none"/>
                <w:lang w:val="en-US" w:eastAsia="zh-CN" w:bidi="ar-SA"/>
              </w:rPr>
            </w:pPr>
            <w:r>
              <w:rPr>
                <w:rFonts w:hint="eastAsia" w:ascii="宋体" w:hAnsi="Calibri" w:eastAsia="宋体" w:cs="宋体"/>
                <w:kern w:val="0"/>
                <w:sz w:val="24"/>
                <w:szCs w:val="22"/>
                <w:highlight w:val="none"/>
                <w:lang w:val="en-US" w:eastAsia="zh-CN" w:bidi="ar-SA"/>
              </w:rPr>
              <w:t>④浙江省财政厅 浙江省经济和信息化委员会《关于简化中小企业类别确认流程有关事项的通知》（浙财采监〔2018〕2号）</w:t>
            </w:r>
          </w:p>
          <w:p>
            <w:pPr>
              <w:pStyle w:val="5"/>
              <w:spacing w:line="320" w:lineRule="exact"/>
              <w:ind w:firstLine="0" w:firstLineChars="0"/>
              <w:rPr>
                <w:rFonts w:hint="eastAsia" w:ascii="宋体" w:hAnsi="Calibri" w:eastAsia="宋体" w:cs="宋体"/>
                <w:kern w:val="0"/>
                <w:sz w:val="24"/>
                <w:szCs w:val="22"/>
                <w:highlight w:val="none"/>
                <w:lang w:val="en-US" w:eastAsia="zh-CN" w:bidi="ar-SA"/>
              </w:rPr>
            </w:pPr>
            <w:r>
              <w:rPr>
                <w:rFonts w:hint="eastAsia" w:ascii="宋体" w:hAnsi="Calibri" w:eastAsia="宋体" w:cs="宋体"/>
                <w:kern w:val="0"/>
                <w:sz w:val="24"/>
                <w:szCs w:val="22"/>
                <w:highlight w:val="none"/>
                <w:lang w:val="en-US" w:eastAsia="zh-CN" w:bidi="ar-SA"/>
              </w:rPr>
              <w:t>2.相关落实政策的要求</w:t>
            </w:r>
          </w:p>
          <w:p>
            <w:pPr>
              <w:pStyle w:val="5"/>
              <w:spacing w:line="320" w:lineRule="exact"/>
              <w:ind w:firstLine="480" w:firstLineChars="200"/>
              <w:rPr>
                <w:rFonts w:hint="eastAsia" w:ascii="宋体" w:hAnsi="Calibri" w:eastAsia="宋体" w:cs="宋体"/>
                <w:kern w:val="0"/>
                <w:sz w:val="24"/>
                <w:szCs w:val="22"/>
                <w:highlight w:val="none"/>
                <w:lang w:val="en-US" w:eastAsia="zh-CN" w:bidi="ar-SA"/>
              </w:rPr>
            </w:pPr>
            <w:r>
              <w:rPr>
                <w:rFonts w:hint="eastAsia" w:ascii="宋体" w:hAnsi="Calibri" w:eastAsia="宋体" w:cs="宋体"/>
                <w:kern w:val="0"/>
                <w:sz w:val="24"/>
                <w:szCs w:val="22"/>
                <w:highlight w:val="none"/>
                <w:lang w:val="en-US" w:eastAsia="zh-CN" w:bidi="ar-SA"/>
              </w:rPr>
              <w:t>（1）扶持中小企业（含监狱企业、残疾人福利性单位）</w:t>
            </w:r>
          </w:p>
          <w:p>
            <w:pPr>
              <w:pStyle w:val="5"/>
              <w:spacing w:line="320" w:lineRule="exact"/>
              <w:ind w:firstLine="480" w:firstLineChars="200"/>
              <w:rPr>
                <w:rFonts w:hint="eastAsia" w:ascii="宋体" w:hAnsi="Calibri" w:eastAsia="宋体" w:cs="宋体"/>
                <w:kern w:val="0"/>
                <w:sz w:val="24"/>
                <w:szCs w:val="22"/>
                <w:highlight w:val="none"/>
                <w:lang w:val="en-US" w:eastAsia="zh-CN" w:bidi="ar-SA"/>
              </w:rPr>
            </w:pPr>
            <w:r>
              <w:rPr>
                <w:rFonts w:hint="eastAsia" w:ascii="宋体" w:hAnsi="Calibri" w:eastAsia="宋体" w:cs="宋体"/>
                <w:kern w:val="0"/>
                <w:sz w:val="24"/>
                <w:szCs w:val="22"/>
                <w:highlight w:val="none"/>
                <w:lang w:val="en-US" w:eastAsia="zh-CN" w:bidi="ar-SA"/>
              </w:rPr>
              <w:t>为响应扶持中小企业的政策，投标人</w:t>
            </w:r>
            <w:r>
              <w:rPr>
                <w:rFonts w:hint="eastAsia" w:ascii="宋体" w:cs="宋体"/>
                <w:kern w:val="0"/>
                <w:sz w:val="24"/>
                <w:szCs w:val="22"/>
                <w:highlight w:val="none"/>
                <w:lang w:val="en-US" w:eastAsia="zh-CN" w:bidi="ar-SA"/>
              </w:rPr>
              <w:t>供应商</w:t>
            </w:r>
            <w:r>
              <w:rPr>
                <w:rFonts w:hint="eastAsia" w:ascii="宋体" w:hAnsi="Calibri" w:eastAsia="宋体" w:cs="宋体"/>
                <w:kern w:val="0"/>
                <w:sz w:val="24"/>
                <w:szCs w:val="22"/>
                <w:highlight w:val="none"/>
                <w:lang w:val="en-US" w:eastAsia="zh-CN" w:bidi="ar-SA"/>
              </w:rPr>
              <w:t>为中小微企业的，需提供中小企业声明函。在政府采购活动中，监狱企业及残疾人福利性单位均视为中小企业，享受中小企业政策扶持。</w:t>
            </w:r>
          </w:p>
          <w:p>
            <w:pPr>
              <w:pStyle w:val="5"/>
              <w:snapToGrid w:val="0"/>
              <w:spacing w:line="320" w:lineRule="exact"/>
              <w:ind w:firstLine="480" w:firstLineChars="200"/>
              <w:rPr>
                <w:rFonts w:hint="eastAsia" w:ascii="宋体" w:hAnsi="Calibri" w:eastAsia="宋体" w:cs="宋体"/>
                <w:kern w:val="0"/>
                <w:sz w:val="24"/>
                <w:szCs w:val="22"/>
                <w:highlight w:val="none"/>
                <w:lang w:val="en-US" w:eastAsia="zh-CN" w:bidi="ar-SA"/>
              </w:rPr>
            </w:pPr>
            <w:r>
              <w:rPr>
                <w:rFonts w:hint="eastAsia" w:ascii="宋体" w:hAnsi="Calibri" w:eastAsia="宋体" w:cs="宋体"/>
                <w:kern w:val="0"/>
                <w:sz w:val="24"/>
                <w:szCs w:val="22"/>
                <w:highlight w:val="none"/>
                <w:lang w:val="en-US" w:eastAsia="zh-CN" w:bidi="ar-SA"/>
              </w:rPr>
              <w:t>（2）其他的国家政策支持</w:t>
            </w:r>
          </w:p>
          <w:p>
            <w:pPr>
              <w:pStyle w:val="5"/>
              <w:snapToGrid w:val="0"/>
              <w:spacing w:line="320" w:lineRule="exact"/>
              <w:ind w:firstLine="480" w:firstLineChars="200"/>
              <w:jc w:val="left"/>
              <w:rPr>
                <w:rFonts w:ascii="宋体" w:hAnsi="宋体" w:cs="宋体"/>
                <w:color w:val="000000"/>
                <w:kern w:val="0"/>
                <w:sz w:val="24"/>
                <w:highlight w:val="none"/>
              </w:rPr>
            </w:pPr>
            <w:r>
              <w:rPr>
                <w:rFonts w:hint="eastAsia" w:ascii="宋体" w:hAnsi="Calibri" w:eastAsia="宋体" w:cs="宋体"/>
                <w:kern w:val="0"/>
                <w:sz w:val="24"/>
                <w:szCs w:val="22"/>
                <w:highlight w:val="none"/>
                <w:lang w:val="en-US" w:eastAsia="zh-CN" w:bidi="ar-SA"/>
              </w:rPr>
              <w:t>投标人</w:t>
            </w:r>
            <w:r>
              <w:rPr>
                <w:rFonts w:hint="eastAsia" w:ascii="宋体" w:cs="宋体"/>
                <w:kern w:val="0"/>
                <w:sz w:val="24"/>
                <w:szCs w:val="22"/>
                <w:highlight w:val="none"/>
                <w:lang w:val="en-US" w:eastAsia="zh-CN" w:bidi="ar-SA"/>
              </w:rPr>
              <w:t>供应商</w:t>
            </w:r>
            <w:r>
              <w:rPr>
                <w:rFonts w:hint="eastAsia" w:ascii="宋体" w:hAnsi="Calibri" w:eastAsia="宋体" w:cs="宋体"/>
                <w:kern w:val="0"/>
                <w:sz w:val="24"/>
                <w:szCs w:val="22"/>
                <w:highlight w:val="none"/>
                <w:lang w:val="en-US" w:eastAsia="zh-CN" w:bidi="ar-SA"/>
              </w:rPr>
              <w:t>享受其他国家政策支持的，需提供相关证明材料，详见评分办法，符合要求的，相应评分予以得分。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94" w:type="dxa"/>
            <w:vAlign w:val="center"/>
          </w:tcPr>
          <w:p>
            <w:pPr>
              <w:snapToGrid w:val="0"/>
              <w:spacing w:line="400" w:lineRule="exact"/>
              <w:jc w:val="center"/>
              <w:rPr>
                <w:highlight w:val="none"/>
              </w:rPr>
            </w:pPr>
            <w:r>
              <w:rPr>
                <w:rFonts w:hint="eastAsia" w:ascii="宋体"/>
                <w:sz w:val="24"/>
                <w:szCs w:val="24"/>
                <w:highlight w:val="none"/>
              </w:rPr>
              <w:t>14</w:t>
            </w:r>
          </w:p>
        </w:tc>
        <w:tc>
          <w:tcPr>
            <w:tcW w:w="2717" w:type="dxa"/>
            <w:vAlign w:val="center"/>
          </w:tcPr>
          <w:p>
            <w:pPr>
              <w:snapToGrid w:val="0"/>
              <w:spacing w:line="400" w:lineRule="exact"/>
              <w:jc w:val="center"/>
              <w:rPr>
                <w:rFonts w:hint="eastAsia" w:ascii="宋体" w:hAnsi="Calibri" w:eastAsia="宋体" w:cs="宋体"/>
                <w:kern w:val="0"/>
                <w:sz w:val="24"/>
                <w:szCs w:val="22"/>
                <w:highlight w:val="none"/>
                <w:lang w:val="en-US" w:eastAsia="zh-CN" w:bidi="ar-SA"/>
              </w:rPr>
            </w:pPr>
            <w:r>
              <w:rPr>
                <w:rFonts w:hint="eastAsia" w:ascii="宋体" w:hAnsi="Calibri" w:eastAsia="宋体" w:cs="宋体"/>
                <w:kern w:val="0"/>
                <w:sz w:val="24"/>
                <w:szCs w:val="22"/>
                <w:highlight w:val="none"/>
                <w:lang w:val="en-US" w:eastAsia="zh-CN" w:bidi="ar-SA"/>
              </w:rPr>
              <w:t>特别注意事项</w:t>
            </w:r>
          </w:p>
        </w:tc>
        <w:tc>
          <w:tcPr>
            <w:tcW w:w="4986" w:type="dxa"/>
            <w:vAlign w:val="center"/>
          </w:tcPr>
          <w:p>
            <w:pPr>
              <w:pStyle w:val="22"/>
              <w:snapToGrid w:val="0"/>
              <w:spacing w:line="400" w:lineRule="exact"/>
              <w:jc w:val="left"/>
              <w:rPr>
                <w:color w:val="000000"/>
                <w:sz w:val="24"/>
              </w:rPr>
            </w:pPr>
            <w:r>
              <w:rPr>
                <w:rFonts w:hint="eastAsia"/>
                <w:color w:val="000000"/>
                <w:sz w:val="24"/>
              </w:rPr>
              <w:t>1.使用综合评分法的采购项目，单一产品采购项目中提供相同品牌产品且通过资格审、符合性审查的不同供应商参加同一合同项下</w:t>
            </w:r>
            <w:r>
              <w:rPr>
                <w:rFonts w:hint="eastAsia"/>
                <w:color w:val="000000"/>
                <w:sz w:val="24"/>
                <w:lang w:eastAsia="zh-CN"/>
              </w:rPr>
              <w:t>响应</w:t>
            </w:r>
            <w:r>
              <w:rPr>
                <w:rFonts w:hint="eastAsia"/>
                <w:color w:val="000000"/>
                <w:sz w:val="24"/>
              </w:rPr>
              <w:t>的，按一家供应商计算，评审后得分最高</w:t>
            </w:r>
            <w:r>
              <w:rPr>
                <w:rFonts w:hint="eastAsia"/>
                <w:color w:val="000000"/>
                <w:sz w:val="24"/>
                <w:lang w:val="en-US" w:eastAsia="zh-CN"/>
              </w:rPr>
              <w:t>的</w:t>
            </w:r>
            <w:r>
              <w:rPr>
                <w:rFonts w:hint="eastAsia"/>
                <w:color w:val="000000"/>
                <w:sz w:val="24"/>
              </w:rPr>
              <w:t>同品牌供应商获得成交供应商推荐资格；评审得分相同的，采取随机抽取方式确定，其他同品牌供应商不作为</w:t>
            </w:r>
            <w:r>
              <w:rPr>
                <w:rFonts w:hint="eastAsia"/>
                <w:color w:val="000000"/>
                <w:sz w:val="24"/>
                <w:lang w:eastAsia="zh-CN"/>
              </w:rPr>
              <w:t>成交</w:t>
            </w:r>
            <w:r>
              <w:rPr>
                <w:rFonts w:hint="eastAsia"/>
                <w:color w:val="000000"/>
                <w:sz w:val="24"/>
              </w:rPr>
              <w:t>候选人。</w:t>
            </w:r>
          </w:p>
          <w:p>
            <w:pPr>
              <w:pStyle w:val="22"/>
              <w:snapToGrid w:val="0"/>
              <w:spacing w:line="400" w:lineRule="exact"/>
              <w:jc w:val="left"/>
              <w:rPr>
                <w:rFonts w:hint="eastAsia" w:ascii="宋体" w:hAnsi="Calibri" w:eastAsia="宋体" w:cs="宋体"/>
                <w:kern w:val="0"/>
                <w:sz w:val="24"/>
                <w:szCs w:val="22"/>
                <w:highlight w:val="none"/>
                <w:lang w:val="en-US" w:eastAsia="zh-CN" w:bidi="ar-SA"/>
              </w:rPr>
            </w:pPr>
            <w:r>
              <w:rPr>
                <w:rFonts w:hint="eastAsia"/>
                <w:color w:val="000000"/>
                <w:sz w:val="24"/>
              </w:rPr>
              <w:t>2.非单一产品采购项目，已根据采购项目技术构成、产品价格比重等确定了核心产品，多家供应商提供的核心产品品牌相同的，按前款规定处理。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94" w:type="dxa"/>
            <w:vAlign w:val="center"/>
          </w:tcPr>
          <w:p>
            <w:pPr>
              <w:snapToGrid w:val="0"/>
              <w:spacing w:line="400" w:lineRule="exact"/>
              <w:jc w:val="center"/>
              <w:rPr>
                <w:rFonts w:ascii="宋体"/>
                <w:sz w:val="24"/>
                <w:szCs w:val="24"/>
                <w:highlight w:val="none"/>
              </w:rPr>
            </w:pPr>
            <w:r>
              <w:rPr>
                <w:rFonts w:hint="eastAsia" w:ascii="宋体"/>
                <w:sz w:val="24"/>
                <w:szCs w:val="24"/>
                <w:highlight w:val="none"/>
              </w:rPr>
              <w:t>15</w:t>
            </w:r>
          </w:p>
        </w:tc>
        <w:tc>
          <w:tcPr>
            <w:tcW w:w="2717" w:type="dxa"/>
            <w:vAlign w:val="center"/>
          </w:tcPr>
          <w:p>
            <w:pPr>
              <w:snapToGrid w:val="0"/>
              <w:spacing w:line="400" w:lineRule="exact"/>
              <w:jc w:val="center"/>
              <w:rPr>
                <w:highlight w:val="none"/>
              </w:rPr>
            </w:pPr>
            <w:r>
              <w:rPr>
                <w:rFonts w:hint="eastAsia" w:ascii="宋体"/>
                <w:color w:val="000000"/>
                <w:sz w:val="24"/>
                <w:szCs w:val="24"/>
                <w:highlight w:val="none"/>
              </w:rPr>
              <w:t>解释</w:t>
            </w:r>
          </w:p>
        </w:tc>
        <w:tc>
          <w:tcPr>
            <w:tcW w:w="4986" w:type="dxa"/>
            <w:vAlign w:val="center"/>
          </w:tcPr>
          <w:p>
            <w:pPr>
              <w:snapToGrid w:val="0"/>
              <w:spacing w:line="400" w:lineRule="exact"/>
              <w:rPr>
                <w:color w:val="0000FF"/>
                <w:highlight w:val="none"/>
              </w:rPr>
            </w:pPr>
            <w:r>
              <w:rPr>
                <w:rFonts w:hint="eastAsia" w:ascii="宋体"/>
                <w:color w:val="000000"/>
                <w:sz w:val="24"/>
                <w:szCs w:val="24"/>
                <w:highlight w:val="none"/>
              </w:rPr>
              <w:t>本磋商文件的解释权属于采购单位。</w:t>
            </w:r>
          </w:p>
        </w:tc>
      </w:tr>
    </w:tbl>
    <w:p>
      <w:pPr>
        <w:outlineLvl w:val="1"/>
        <w:rPr>
          <w:rFonts w:ascii="黑体" w:eastAsia="黑体" w:cs="Times New Roman"/>
          <w:sz w:val="28"/>
          <w:szCs w:val="28"/>
          <w:highlight w:val="none"/>
        </w:rPr>
      </w:pPr>
      <w:bookmarkStart w:id="46" w:name="EB95cc9cc711f64171983b126144c3e7dc"/>
      <w:r>
        <w:rPr>
          <w:rFonts w:hint="eastAsia"/>
          <w:color w:val="000080"/>
          <w:sz w:val="20"/>
          <w:highlight w:val="none"/>
        </w:rPr>
        <w:br w:type="page"/>
      </w:r>
      <w:bookmarkEnd w:id="46"/>
      <w:bookmarkStart w:id="47" w:name="_Toc9892"/>
      <w:bookmarkStart w:id="48" w:name="_Toc25503"/>
      <w:bookmarkStart w:id="49" w:name="_Toc32047"/>
      <w:bookmarkStart w:id="50" w:name="_Toc20921"/>
      <w:bookmarkStart w:id="51" w:name="_Toc17415"/>
      <w:bookmarkStart w:id="52" w:name="_Toc8470"/>
      <w:bookmarkStart w:id="53" w:name="_Toc6153"/>
      <w:bookmarkStart w:id="54" w:name="_Toc31306"/>
      <w:bookmarkStart w:id="55" w:name="_Toc20651"/>
      <w:bookmarkStart w:id="56" w:name="_Toc26249"/>
      <w:bookmarkStart w:id="57" w:name="_Toc28429"/>
      <w:bookmarkStart w:id="58" w:name="_Toc10974"/>
      <w:bookmarkStart w:id="59" w:name="_Toc24985"/>
      <w:bookmarkStart w:id="60" w:name="_Toc24274"/>
      <w:bookmarkStart w:id="61" w:name="_Toc21152"/>
      <w:bookmarkStart w:id="62" w:name="_Toc17700"/>
      <w:bookmarkStart w:id="63" w:name="_Toc27152"/>
      <w:bookmarkStart w:id="64" w:name="_Toc31097"/>
      <w:bookmarkStart w:id="65" w:name="_Toc29101"/>
      <w:bookmarkStart w:id="66" w:name="_Toc5888"/>
      <w:bookmarkStart w:id="67" w:name="_Toc6964"/>
      <w:bookmarkStart w:id="68" w:name="_Toc26323"/>
      <w:bookmarkStart w:id="69" w:name="_Toc1226"/>
      <w:bookmarkStart w:id="70" w:name="_Toc8410"/>
      <w:bookmarkStart w:id="71" w:name="_Toc22911"/>
      <w:bookmarkStart w:id="72" w:name="_Toc524600091"/>
      <w:r>
        <w:rPr>
          <w:rFonts w:hint="eastAsia" w:ascii="黑体" w:eastAsia="黑体" w:cs="Times New Roman"/>
          <w:sz w:val="28"/>
          <w:szCs w:val="28"/>
          <w:highlight w:val="none"/>
        </w:rPr>
        <w:t>1.总  则</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pPr>
        <w:outlineLvl w:val="3"/>
        <w:rPr>
          <w:rFonts w:ascii="黑体" w:eastAsia="黑体" w:cs="Times New Roman"/>
          <w:sz w:val="24"/>
          <w:highlight w:val="none"/>
        </w:rPr>
      </w:pPr>
      <w:bookmarkStart w:id="73" w:name="_Toc7255"/>
      <w:bookmarkStart w:id="74" w:name="_Toc14764"/>
      <w:bookmarkStart w:id="75" w:name="_Toc637"/>
      <w:bookmarkStart w:id="76" w:name="_Toc441483871"/>
      <w:bookmarkStart w:id="77" w:name="_Toc407605123"/>
      <w:r>
        <w:rPr>
          <w:rFonts w:hint="eastAsia" w:ascii="黑体" w:eastAsia="黑体" w:cs="Times New Roman"/>
          <w:sz w:val="24"/>
          <w:highlight w:val="none"/>
        </w:rPr>
        <w:t>1.1磋商项目概况</w:t>
      </w:r>
      <w:bookmarkEnd w:id="73"/>
      <w:bookmarkEnd w:id="74"/>
      <w:bookmarkEnd w:id="75"/>
    </w:p>
    <w:p>
      <w:pPr>
        <w:autoSpaceDE w:val="0"/>
        <w:autoSpaceDN w:val="0"/>
        <w:spacing w:after="120" w:line="400" w:lineRule="exact"/>
        <w:ind w:firstLine="480"/>
        <w:rPr>
          <w:rFonts w:ascii="宋体"/>
          <w:b/>
          <w:color w:val="auto"/>
          <w:sz w:val="24"/>
          <w:highlight w:val="none"/>
        </w:rPr>
      </w:pPr>
      <w:r>
        <w:rPr>
          <w:rFonts w:hint="eastAsia" w:ascii="宋体"/>
          <w:b/>
          <w:color w:val="000000"/>
          <w:sz w:val="24"/>
          <w:highlight w:val="none"/>
        </w:rPr>
        <w:t>1.1.1</w:t>
      </w:r>
      <w:r>
        <w:rPr>
          <w:rFonts w:ascii="宋体"/>
          <w:kern w:val="0"/>
          <w:sz w:val="24"/>
          <w:highlight w:val="none"/>
          <w:lang w:val="zh-CN"/>
        </w:rPr>
        <w:t>根据《中华人民共和国政府采购法》、</w:t>
      </w:r>
      <w:r>
        <w:rPr>
          <w:rFonts w:hint="eastAsia" w:ascii="宋体"/>
          <w:color w:val="000000"/>
          <w:sz w:val="24"/>
          <w:highlight w:val="none"/>
        </w:rPr>
        <w:t>《政府采购竞争性磋商采购方式管理暂行办法》</w:t>
      </w:r>
      <w:r>
        <w:rPr>
          <w:rFonts w:ascii="宋体"/>
          <w:kern w:val="0"/>
          <w:sz w:val="24"/>
          <w:highlight w:val="none"/>
          <w:lang w:val="zh-CN"/>
        </w:rPr>
        <w:t>、《中华人民共和国政府采购法实施条例》等规定，经浙江省长兴县财政局政府采购监管科批准，</w:t>
      </w:r>
      <w:r>
        <w:rPr>
          <w:rFonts w:ascii="宋体"/>
          <w:color w:val="auto"/>
          <w:kern w:val="0"/>
          <w:sz w:val="24"/>
          <w:highlight w:val="none"/>
          <w:lang w:val="zh-CN"/>
        </w:rPr>
        <w:t>现就</w:t>
      </w:r>
      <w:r>
        <w:rPr>
          <w:rFonts w:hint="eastAsia" w:ascii="宋体"/>
          <w:b/>
          <w:bCs/>
          <w:color w:val="auto"/>
          <w:kern w:val="0"/>
          <w:sz w:val="24"/>
          <w:highlight w:val="none"/>
          <w:u w:val="single"/>
          <w:lang w:val="zh-CN"/>
        </w:rPr>
        <w:t>长兴县退役军人事务局军干服务配套电梯工程项目</w:t>
      </w:r>
      <w:r>
        <w:rPr>
          <w:rFonts w:ascii="宋体"/>
          <w:color w:val="auto"/>
          <w:kern w:val="0"/>
          <w:sz w:val="24"/>
          <w:highlight w:val="none"/>
          <w:lang w:val="zh-CN"/>
        </w:rPr>
        <w:t>进行</w:t>
      </w:r>
      <w:r>
        <w:rPr>
          <w:rFonts w:hint="eastAsia" w:ascii="宋体"/>
          <w:color w:val="auto"/>
          <w:kern w:val="0"/>
          <w:sz w:val="24"/>
          <w:highlight w:val="none"/>
          <w:lang w:val="zh-CN"/>
        </w:rPr>
        <w:t>竞争性磋商</w:t>
      </w:r>
      <w:r>
        <w:rPr>
          <w:rFonts w:hint="eastAsia" w:ascii="宋体"/>
          <w:color w:val="auto"/>
          <w:kern w:val="0"/>
          <w:sz w:val="24"/>
          <w:highlight w:val="none"/>
        </w:rPr>
        <w:t>。</w:t>
      </w:r>
    </w:p>
    <w:p>
      <w:pPr>
        <w:autoSpaceDE w:val="0"/>
        <w:autoSpaceDN w:val="0"/>
        <w:spacing w:after="120" w:line="400" w:lineRule="exact"/>
        <w:ind w:firstLine="480"/>
        <w:rPr>
          <w:rFonts w:ascii="宋体"/>
          <w:color w:val="000000"/>
          <w:sz w:val="24"/>
          <w:highlight w:val="none"/>
        </w:rPr>
      </w:pPr>
      <w:r>
        <w:rPr>
          <w:rFonts w:hint="eastAsia" w:ascii="宋体"/>
          <w:b/>
          <w:color w:val="auto"/>
          <w:sz w:val="24"/>
          <w:highlight w:val="none"/>
        </w:rPr>
        <w:t>1.1.2磋商文件的适用范围：</w:t>
      </w:r>
      <w:r>
        <w:rPr>
          <w:rFonts w:hint="eastAsia" w:ascii="宋体"/>
          <w:color w:val="auto"/>
          <w:sz w:val="24"/>
          <w:highlight w:val="none"/>
        </w:rPr>
        <w:t>本磋商文件适用于</w:t>
      </w:r>
      <w:r>
        <w:rPr>
          <w:rFonts w:hint="eastAsia" w:ascii="宋体"/>
          <w:b/>
          <w:bCs/>
          <w:color w:val="auto"/>
          <w:kern w:val="0"/>
          <w:sz w:val="24"/>
          <w:highlight w:val="none"/>
          <w:u w:val="single"/>
          <w:lang w:val="zh-CN"/>
        </w:rPr>
        <w:t>长兴县退役军人事务局军干服务配套电梯工程项目</w:t>
      </w:r>
      <w:r>
        <w:rPr>
          <w:rFonts w:hint="eastAsia" w:ascii="宋体"/>
          <w:color w:val="auto"/>
          <w:sz w:val="24"/>
          <w:highlight w:val="none"/>
        </w:rPr>
        <w:t>的整</w:t>
      </w:r>
      <w:r>
        <w:rPr>
          <w:rFonts w:hint="eastAsia" w:ascii="宋体"/>
          <w:color w:val="000000"/>
          <w:sz w:val="24"/>
          <w:highlight w:val="none"/>
        </w:rPr>
        <w:t>个磋商过程、验收、合同履约、付款等行为（法律、法规另有规定的，从其规定）。</w:t>
      </w:r>
    </w:p>
    <w:p>
      <w:pPr>
        <w:autoSpaceDE w:val="0"/>
        <w:autoSpaceDN w:val="0"/>
        <w:spacing w:after="120" w:line="400" w:lineRule="exact"/>
        <w:ind w:firstLine="480"/>
        <w:rPr>
          <w:rFonts w:ascii="宋体"/>
          <w:b/>
          <w:color w:val="000000"/>
          <w:sz w:val="24"/>
          <w:highlight w:val="none"/>
        </w:rPr>
      </w:pPr>
      <w:r>
        <w:rPr>
          <w:rFonts w:hint="eastAsia" w:ascii="宋体"/>
          <w:b/>
          <w:color w:val="000000"/>
          <w:sz w:val="24"/>
          <w:highlight w:val="none"/>
        </w:rPr>
        <w:t>1.1.3磋商文件中的定义：</w:t>
      </w:r>
    </w:p>
    <w:p>
      <w:pPr>
        <w:snapToGrid w:val="0"/>
        <w:spacing w:line="400" w:lineRule="exact"/>
        <w:ind w:firstLine="480" w:firstLineChars="200"/>
        <w:jc w:val="left"/>
        <w:rPr>
          <w:rFonts w:ascii="宋体"/>
          <w:color w:val="000000"/>
          <w:sz w:val="24"/>
          <w:highlight w:val="none"/>
        </w:rPr>
      </w:pPr>
      <w:r>
        <w:rPr>
          <w:rFonts w:hint="eastAsia" w:ascii="宋体"/>
          <w:color w:val="000000"/>
          <w:sz w:val="24"/>
          <w:highlight w:val="none"/>
        </w:rPr>
        <w:t>（1）“采购人”系</w:t>
      </w:r>
      <w:r>
        <w:rPr>
          <w:rFonts w:ascii="宋体"/>
          <w:color w:val="000000"/>
          <w:sz w:val="24"/>
          <w:highlight w:val="none"/>
        </w:rPr>
        <w:t>指依法使用财政性资金</w:t>
      </w:r>
      <w:r>
        <w:rPr>
          <w:rFonts w:hint="eastAsia" w:ascii="宋体"/>
          <w:color w:val="000000"/>
          <w:sz w:val="24"/>
          <w:highlight w:val="none"/>
        </w:rPr>
        <w:t>对</w:t>
      </w:r>
      <w:r>
        <w:rPr>
          <w:rFonts w:ascii="宋体"/>
          <w:color w:val="000000"/>
          <w:sz w:val="24"/>
          <w:highlight w:val="none"/>
        </w:rPr>
        <w:t>规定的货物、工程和服务</w:t>
      </w:r>
      <w:r>
        <w:rPr>
          <w:rFonts w:hint="eastAsia" w:ascii="宋体"/>
          <w:color w:val="000000"/>
          <w:sz w:val="24"/>
          <w:highlight w:val="none"/>
        </w:rPr>
        <w:t>进行采购的</w:t>
      </w:r>
      <w:r>
        <w:rPr>
          <w:rFonts w:ascii="宋体"/>
          <w:color w:val="000000"/>
          <w:sz w:val="24"/>
          <w:highlight w:val="none"/>
        </w:rPr>
        <w:t>国家各级机关、事业单位和团体组织</w:t>
      </w:r>
      <w:r>
        <w:rPr>
          <w:rFonts w:hint="eastAsia" w:ascii="宋体"/>
          <w:color w:val="000000"/>
          <w:sz w:val="24"/>
          <w:highlight w:val="none"/>
        </w:rPr>
        <w:t>。</w:t>
      </w:r>
    </w:p>
    <w:p>
      <w:pPr>
        <w:snapToGrid w:val="0"/>
        <w:spacing w:line="400" w:lineRule="exact"/>
        <w:ind w:firstLine="480" w:firstLineChars="200"/>
        <w:jc w:val="left"/>
        <w:rPr>
          <w:rFonts w:ascii="宋体"/>
          <w:color w:val="000000"/>
          <w:sz w:val="24"/>
          <w:highlight w:val="none"/>
        </w:rPr>
      </w:pPr>
      <w:r>
        <w:rPr>
          <w:rFonts w:hint="eastAsia" w:ascii="宋体"/>
          <w:color w:val="000000"/>
          <w:sz w:val="24"/>
          <w:highlight w:val="none"/>
        </w:rPr>
        <w:t>（2）“招标采购单位”</w:t>
      </w:r>
      <w:r>
        <w:rPr>
          <w:rFonts w:ascii="宋体"/>
          <w:color w:val="000000"/>
          <w:sz w:val="24"/>
          <w:highlight w:val="none"/>
        </w:rPr>
        <w:t>系指组织本次招标的</w:t>
      </w:r>
      <w:r>
        <w:rPr>
          <w:rFonts w:hint="eastAsia"/>
          <w:color w:val="000000"/>
          <w:sz w:val="24"/>
          <w:szCs w:val="24"/>
          <w:highlight w:val="none"/>
        </w:rPr>
        <w:t>集中采购机构</w:t>
      </w:r>
      <w:r>
        <w:rPr>
          <w:rFonts w:ascii="宋体"/>
          <w:color w:val="000000"/>
          <w:sz w:val="24"/>
          <w:highlight w:val="none"/>
        </w:rPr>
        <w:t>和采购</w:t>
      </w:r>
      <w:r>
        <w:rPr>
          <w:rFonts w:hint="eastAsia" w:ascii="宋体"/>
          <w:color w:val="000000"/>
          <w:sz w:val="24"/>
          <w:highlight w:val="none"/>
        </w:rPr>
        <w:t>人</w:t>
      </w:r>
      <w:r>
        <w:rPr>
          <w:rFonts w:ascii="宋体"/>
          <w:color w:val="000000"/>
          <w:sz w:val="24"/>
          <w:highlight w:val="none"/>
        </w:rPr>
        <w:t>。</w:t>
      </w:r>
    </w:p>
    <w:p>
      <w:pPr>
        <w:snapToGrid w:val="0"/>
        <w:spacing w:line="400" w:lineRule="exact"/>
        <w:ind w:firstLine="480" w:firstLineChars="200"/>
        <w:jc w:val="left"/>
        <w:rPr>
          <w:rFonts w:ascii="宋体"/>
          <w:color w:val="000000"/>
          <w:sz w:val="24"/>
          <w:highlight w:val="none"/>
        </w:rPr>
      </w:pPr>
      <w:r>
        <w:rPr>
          <w:rFonts w:hint="eastAsia" w:ascii="宋体"/>
          <w:color w:val="000000"/>
          <w:sz w:val="24"/>
          <w:highlight w:val="none"/>
        </w:rPr>
        <w:t>（3）“供应商</w:t>
      </w:r>
      <w:r>
        <w:rPr>
          <w:rFonts w:ascii="宋体"/>
          <w:color w:val="000000"/>
          <w:sz w:val="24"/>
          <w:highlight w:val="none"/>
        </w:rPr>
        <w:t>”系指向招标方提交</w:t>
      </w:r>
      <w:r>
        <w:rPr>
          <w:rFonts w:hint="eastAsia" w:ascii="宋体"/>
          <w:color w:val="000000"/>
          <w:sz w:val="24"/>
          <w:highlight w:val="none"/>
        </w:rPr>
        <w:t>磋商响应文件</w:t>
      </w:r>
      <w:r>
        <w:rPr>
          <w:rFonts w:ascii="宋体"/>
          <w:color w:val="000000"/>
          <w:sz w:val="24"/>
          <w:highlight w:val="none"/>
        </w:rPr>
        <w:t>的单位或个人。</w:t>
      </w:r>
    </w:p>
    <w:p>
      <w:pPr>
        <w:snapToGrid w:val="0"/>
        <w:spacing w:line="400" w:lineRule="exact"/>
        <w:ind w:firstLine="480" w:firstLineChars="200"/>
        <w:jc w:val="left"/>
        <w:rPr>
          <w:rFonts w:ascii="宋体"/>
          <w:color w:val="000000"/>
          <w:sz w:val="24"/>
          <w:highlight w:val="none"/>
        </w:rPr>
      </w:pPr>
      <w:r>
        <w:rPr>
          <w:rFonts w:hint="eastAsia" w:ascii="宋体"/>
          <w:color w:val="000000"/>
          <w:sz w:val="24"/>
          <w:highlight w:val="none"/>
        </w:rPr>
        <w:t>（4）</w:t>
      </w:r>
      <w:r>
        <w:rPr>
          <w:rFonts w:ascii="宋体"/>
          <w:color w:val="000000"/>
          <w:sz w:val="24"/>
          <w:highlight w:val="none"/>
        </w:rPr>
        <w:t>“产品”系指供方按</w:t>
      </w:r>
      <w:r>
        <w:rPr>
          <w:rFonts w:hint="eastAsia" w:ascii="宋体"/>
          <w:color w:val="000000"/>
          <w:sz w:val="24"/>
          <w:highlight w:val="none"/>
        </w:rPr>
        <w:t>磋商文件</w:t>
      </w:r>
      <w:r>
        <w:rPr>
          <w:rFonts w:ascii="宋体"/>
          <w:color w:val="000000"/>
          <w:sz w:val="24"/>
          <w:highlight w:val="none"/>
        </w:rPr>
        <w:t>规定，须向采购人提供的一切设备、保险、税金、备品备件、工具、手册及其它有关技术资料和材料。</w:t>
      </w:r>
    </w:p>
    <w:p>
      <w:pPr>
        <w:snapToGrid w:val="0"/>
        <w:spacing w:line="400" w:lineRule="exact"/>
        <w:ind w:firstLine="480" w:firstLineChars="200"/>
        <w:jc w:val="left"/>
        <w:rPr>
          <w:rFonts w:ascii="宋体"/>
          <w:color w:val="000000"/>
          <w:sz w:val="24"/>
          <w:highlight w:val="none"/>
        </w:rPr>
      </w:pPr>
      <w:r>
        <w:rPr>
          <w:rFonts w:hint="eastAsia" w:ascii="宋体"/>
          <w:color w:val="000000"/>
          <w:sz w:val="24"/>
          <w:highlight w:val="none"/>
        </w:rPr>
        <w:t>（5）“货物”是指：供应商制造或组织符合磋商文件要求的货物，包括原材料、燃料、设备、产品等。磋商文件中没有提及招标货物来源地的，根据《政府采购法》的相关规定均应是本国货物，另有规定的除外。磋商的货物必须是其合法生产的符合国家有关标准要求的货物，并能够按照合同规定的品牌、产地、质量、价格和有效期等履约。</w:t>
      </w:r>
    </w:p>
    <w:p>
      <w:pPr>
        <w:snapToGrid w:val="0"/>
        <w:spacing w:line="400" w:lineRule="exact"/>
        <w:ind w:firstLine="480" w:firstLineChars="200"/>
        <w:jc w:val="left"/>
        <w:rPr>
          <w:rFonts w:ascii="宋体"/>
          <w:color w:val="000000"/>
          <w:sz w:val="24"/>
          <w:highlight w:val="none"/>
        </w:rPr>
      </w:pPr>
      <w:r>
        <w:rPr>
          <w:rFonts w:hint="eastAsia" w:ascii="宋体"/>
          <w:color w:val="000000"/>
          <w:sz w:val="24"/>
          <w:highlight w:val="none"/>
        </w:rPr>
        <w:t>（6）</w:t>
      </w:r>
      <w:r>
        <w:rPr>
          <w:rFonts w:ascii="宋体"/>
          <w:color w:val="000000"/>
          <w:sz w:val="24"/>
          <w:highlight w:val="none"/>
        </w:rPr>
        <w:t>“服务”系指</w:t>
      </w:r>
      <w:r>
        <w:rPr>
          <w:rFonts w:hint="eastAsia" w:ascii="宋体"/>
          <w:color w:val="000000"/>
          <w:sz w:val="24"/>
          <w:highlight w:val="none"/>
        </w:rPr>
        <w:t>磋商文件</w:t>
      </w:r>
      <w:r>
        <w:rPr>
          <w:rFonts w:ascii="宋体"/>
          <w:color w:val="000000"/>
          <w:sz w:val="24"/>
          <w:highlight w:val="none"/>
        </w:rPr>
        <w:t>规定</w:t>
      </w:r>
      <w:r>
        <w:rPr>
          <w:rFonts w:hint="eastAsia" w:ascii="宋体"/>
          <w:color w:val="000000"/>
          <w:sz w:val="24"/>
          <w:highlight w:val="none"/>
        </w:rPr>
        <w:t>供应商</w:t>
      </w:r>
      <w:r>
        <w:rPr>
          <w:rFonts w:ascii="宋体"/>
          <w:color w:val="000000"/>
          <w:sz w:val="24"/>
          <w:highlight w:val="none"/>
        </w:rPr>
        <w:t>须承担的安装、调试、技术协助、校准、培训、技术指导以及其他类似的义务。</w:t>
      </w:r>
    </w:p>
    <w:p>
      <w:pPr>
        <w:snapToGrid w:val="0"/>
        <w:spacing w:line="400" w:lineRule="exact"/>
        <w:ind w:firstLine="480" w:firstLineChars="200"/>
        <w:jc w:val="left"/>
        <w:rPr>
          <w:rFonts w:ascii="宋体"/>
          <w:color w:val="000000"/>
          <w:sz w:val="24"/>
          <w:highlight w:val="none"/>
        </w:rPr>
      </w:pPr>
      <w:r>
        <w:rPr>
          <w:rFonts w:hint="eastAsia" w:ascii="宋体"/>
          <w:color w:val="000000"/>
          <w:sz w:val="24"/>
          <w:highlight w:val="none"/>
        </w:rPr>
        <w:t>（7）</w:t>
      </w:r>
      <w:r>
        <w:rPr>
          <w:rFonts w:ascii="宋体"/>
          <w:color w:val="000000"/>
          <w:sz w:val="24"/>
          <w:highlight w:val="none"/>
        </w:rPr>
        <w:t>“项目”系指</w:t>
      </w:r>
      <w:r>
        <w:rPr>
          <w:rFonts w:hint="eastAsia" w:ascii="宋体"/>
          <w:color w:val="000000"/>
          <w:sz w:val="24"/>
          <w:highlight w:val="none"/>
        </w:rPr>
        <w:t>供应商</w:t>
      </w:r>
      <w:r>
        <w:rPr>
          <w:rFonts w:ascii="宋体"/>
          <w:color w:val="000000"/>
          <w:sz w:val="24"/>
          <w:highlight w:val="none"/>
        </w:rPr>
        <w:t>按</w:t>
      </w:r>
      <w:r>
        <w:rPr>
          <w:rFonts w:hint="eastAsia" w:ascii="宋体"/>
          <w:color w:val="000000"/>
          <w:sz w:val="24"/>
          <w:highlight w:val="none"/>
        </w:rPr>
        <w:t>磋商文件</w:t>
      </w:r>
      <w:r>
        <w:rPr>
          <w:rFonts w:ascii="宋体"/>
          <w:color w:val="000000"/>
          <w:sz w:val="24"/>
          <w:highlight w:val="none"/>
        </w:rPr>
        <w:t>规定向采购人提供的产品和服务。</w:t>
      </w:r>
    </w:p>
    <w:p>
      <w:pPr>
        <w:snapToGrid w:val="0"/>
        <w:spacing w:line="400" w:lineRule="exact"/>
        <w:ind w:firstLine="480" w:firstLineChars="200"/>
        <w:jc w:val="left"/>
        <w:rPr>
          <w:rFonts w:ascii="宋体"/>
          <w:color w:val="000000"/>
          <w:sz w:val="24"/>
          <w:highlight w:val="none"/>
        </w:rPr>
      </w:pPr>
      <w:r>
        <w:rPr>
          <w:rFonts w:hint="eastAsia" w:ascii="宋体"/>
          <w:color w:val="000000"/>
          <w:sz w:val="24"/>
          <w:highlight w:val="none"/>
        </w:rPr>
        <w:t>（8）</w:t>
      </w:r>
      <w:r>
        <w:rPr>
          <w:rFonts w:ascii="宋体"/>
          <w:color w:val="000000"/>
          <w:sz w:val="24"/>
          <w:highlight w:val="none"/>
        </w:rPr>
        <w:t>“书面形式”包括信函、传真、电报等。</w:t>
      </w:r>
    </w:p>
    <w:p>
      <w:pPr>
        <w:snapToGrid w:val="0"/>
        <w:spacing w:line="400" w:lineRule="exact"/>
        <w:ind w:firstLine="480" w:firstLineChars="200"/>
        <w:jc w:val="left"/>
        <w:rPr>
          <w:rFonts w:ascii="宋体"/>
          <w:color w:val="000000"/>
          <w:sz w:val="24"/>
          <w:highlight w:val="none"/>
        </w:rPr>
      </w:pPr>
      <w:r>
        <w:rPr>
          <w:rFonts w:hint="eastAsia" w:ascii="宋体"/>
          <w:color w:val="000000"/>
          <w:sz w:val="24"/>
          <w:highlight w:val="none"/>
        </w:rPr>
        <w:t>（9）“成交供应商”是指:经磋商小组评审，授予合同的供应商。</w:t>
      </w:r>
    </w:p>
    <w:p>
      <w:pPr>
        <w:snapToGrid w:val="0"/>
        <w:spacing w:line="400" w:lineRule="exact"/>
        <w:ind w:firstLine="480" w:firstLineChars="200"/>
        <w:jc w:val="left"/>
        <w:rPr>
          <w:rFonts w:ascii="宋体"/>
          <w:color w:val="000000"/>
          <w:sz w:val="24"/>
          <w:highlight w:val="none"/>
        </w:rPr>
      </w:pPr>
      <w:r>
        <w:rPr>
          <w:rFonts w:hint="eastAsia" w:ascii="宋体"/>
          <w:color w:val="000000"/>
          <w:sz w:val="24"/>
          <w:highlight w:val="none"/>
        </w:rPr>
        <w:t>（10）“实质性条款”凡是标有“▲”符号均属于实质性条款。不满足会造成磋商响应文件无效。</w:t>
      </w:r>
    </w:p>
    <w:p>
      <w:pPr>
        <w:autoSpaceDE w:val="0"/>
        <w:autoSpaceDN w:val="0"/>
        <w:spacing w:after="120" w:line="400" w:lineRule="exact"/>
        <w:ind w:firstLine="480"/>
        <w:rPr>
          <w:rFonts w:ascii="宋体"/>
          <w:sz w:val="24"/>
          <w:szCs w:val="24"/>
          <w:highlight w:val="none"/>
        </w:rPr>
      </w:pPr>
      <w:r>
        <w:rPr>
          <w:rFonts w:hint="eastAsia" w:ascii="宋体"/>
          <w:color w:val="000000"/>
          <w:sz w:val="24"/>
          <w:highlight w:val="none"/>
        </w:rPr>
        <w:t>（11）标有</w:t>
      </w:r>
      <w:r>
        <w:rPr>
          <w:rFonts w:ascii="宋体"/>
          <w:color w:val="000000"/>
          <w:sz w:val="24"/>
          <w:highlight w:val="none"/>
        </w:rPr>
        <w:t>“</w:t>
      </w:r>
      <w:r>
        <w:rPr>
          <w:rFonts w:hint="eastAsia" w:ascii="宋体" w:cs="宋体"/>
          <w:color w:val="000000"/>
          <w:sz w:val="24"/>
          <w:highlight w:val="none"/>
        </w:rPr>
        <w:t>★</w:t>
      </w:r>
      <w:r>
        <w:rPr>
          <w:rFonts w:ascii="宋体"/>
          <w:color w:val="000000"/>
          <w:sz w:val="24"/>
          <w:highlight w:val="none"/>
        </w:rPr>
        <w:t>”</w:t>
      </w:r>
      <w:r>
        <w:rPr>
          <w:rFonts w:hint="eastAsia" w:ascii="宋体"/>
          <w:color w:val="000000"/>
          <w:sz w:val="24"/>
          <w:highlight w:val="none"/>
        </w:rPr>
        <w:t>记号的条款</w:t>
      </w:r>
      <w:r>
        <w:rPr>
          <w:rFonts w:ascii="宋体"/>
          <w:color w:val="000000"/>
          <w:sz w:val="24"/>
          <w:highlight w:val="none"/>
        </w:rPr>
        <w:t>系指</w:t>
      </w:r>
      <w:r>
        <w:rPr>
          <w:rFonts w:hint="eastAsia" w:ascii="宋体"/>
          <w:color w:val="000000"/>
          <w:sz w:val="24"/>
          <w:highlight w:val="none"/>
        </w:rPr>
        <w:t>重要</w:t>
      </w:r>
      <w:r>
        <w:rPr>
          <w:rFonts w:ascii="宋体"/>
          <w:color w:val="000000"/>
          <w:sz w:val="24"/>
          <w:highlight w:val="none"/>
        </w:rPr>
        <w:t>性要求条款。</w:t>
      </w:r>
      <w:r>
        <w:rPr>
          <w:rFonts w:hint="eastAsia" w:ascii="宋体"/>
          <w:color w:val="000000"/>
          <w:sz w:val="24"/>
          <w:highlight w:val="none"/>
        </w:rPr>
        <w:t>不满足对得分可能造成影响。</w:t>
      </w:r>
    </w:p>
    <w:p>
      <w:pPr>
        <w:snapToGrid w:val="0"/>
        <w:spacing w:line="400" w:lineRule="exact"/>
        <w:ind w:firstLine="472" w:firstLineChars="196"/>
        <w:jc w:val="left"/>
        <w:rPr>
          <w:rFonts w:ascii="宋体"/>
          <w:b/>
          <w:color w:val="000000"/>
          <w:sz w:val="24"/>
          <w:highlight w:val="none"/>
        </w:rPr>
      </w:pPr>
      <w:r>
        <w:rPr>
          <w:rFonts w:hint="eastAsia" w:ascii="宋体"/>
          <w:b/>
          <w:color w:val="000000"/>
          <w:sz w:val="24"/>
          <w:highlight w:val="none"/>
        </w:rPr>
        <w:t>1.1.4采购人：</w:t>
      </w:r>
      <w:r>
        <w:rPr>
          <w:rFonts w:hint="eastAsia" w:ascii="宋体"/>
          <w:kern w:val="0"/>
          <w:sz w:val="24"/>
          <w:highlight w:val="none"/>
        </w:rPr>
        <w:t>见供应商须知前附表</w:t>
      </w:r>
    </w:p>
    <w:p>
      <w:pPr>
        <w:snapToGrid w:val="0"/>
        <w:spacing w:line="400" w:lineRule="exact"/>
        <w:ind w:firstLine="472" w:firstLineChars="196"/>
        <w:jc w:val="left"/>
        <w:rPr>
          <w:rFonts w:ascii="宋体"/>
          <w:b/>
          <w:color w:val="000000"/>
          <w:sz w:val="24"/>
          <w:highlight w:val="none"/>
        </w:rPr>
      </w:pPr>
      <w:r>
        <w:rPr>
          <w:rFonts w:hint="eastAsia" w:ascii="宋体"/>
          <w:b/>
          <w:color w:val="000000"/>
          <w:sz w:val="24"/>
          <w:highlight w:val="none"/>
        </w:rPr>
        <w:t>1.1.5集中采购机构：</w:t>
      </w:r>
      <w:r>
        <w:rPr>
          <w:rFonts w:hint="eastAsia" w:ascii="宋体"/>
          <w:kern w:val="0"/>
          <w:sz w:val="24"/>
          <w:highlight w:val="none"/>
        </w:rPr>
        <w:t>见供应商须知前附表</w:t>
      </w:r>
    </w:p>
    <w:p>
      <w:pPr>
        <w:snapToGrid w:val="0"/>
        <w:spacing w:line="400" w:lineRule="exact"/>
        <w:ind w:firstLine="472" w:firstLineChars="196"/>
        <w:jc w:val="left"/>
        <w:rPr>
          <w:rFonts w:ascii="宋体"/>
          <w:kern w:val="0"/>
          <w:sz w:val="24"/>
          <w:highlight w:val="none"/>
        </w:rPr>
      </w:pPr>
      <w:r>
        <w:rPr>
          <w:rFonts w:hint="eastAsia" w:ascii="宋体"/>
          <w:b/>
          <w:color w:val="000000"/>
          <w:sz w:val="24"/>
          <w:highlight w:val="none"/>
        </w:rPr>
        <w:t>1.1.6磋商项目名称：</w:t>
      </w:r>
      <w:r>
        <w:rPr>
          <w:rFonts w:hint="eastAsia" w:ascii="宋体"/>
          <w:kern w:val="0"/>
          <w:sz w:val="24"/>
          <w:highlight w:val="none"/>
        </w:rPr>
        <w:t>见供应商须知前附表</w:t>
      </w:r>
      <w:bookmarkEnd w:id="76"/>
      <w:bookmarkEnd w:id="77"/>
    </w:p>
    <w:p>
      <w:pPr>
        <w:snapToGrid w:val="0"/>
        <w:spacing w:line="400" w:lineRule="exact"/>
        <w:ind w:firstLine="472" w:firstLineChars="196"/>
        <w:jc w:val="left"/>
        <w:rPr>
          <w:rFonts w:ascii="宋体"/>
          <w:color w:val="000000"/>
          <w:sz w:val="24"/>
          <w:highlight w:val="none"/>
        </w:rPr>
      </w:pPr>
      <w:r>
        <w:rPr>
          <w:rFonts w:hint="eastAsia" w:ascii="宋体"/>
          <w:b/>
          <w:color w:val="000000"/>
          <w:sz w:val="24"/>
          <w:highlight w:val="none"/>
        </w:rPr>
        <w:t>1.1.7磋商方式：</w:t>
      </w:r>
      <w:r>
        <w:rPr>
          <w:rFonts w:hint="eastAsia" w:ascii="宋体"/>
          <w:kern w:val="0"/>
          <w:sz w:val="24"/>
          <w:highlight w:val="none"/>
        </w:rPr>
        <w:t>见供应商须知前附表</w:t>
      </w:r>
    </w:p>
    <w:p>
      <w:pPr>
        <w:outlineLvl w:val="3"/>
        <w:rPr>
          <w:rFonts w:ascii="黑体" w:eastAsia="黑体" w:cs="Times New Roman"/>
          <w:sz w:val="24"/>
          <w:highlight w:val="none"/>
        </w:rPr>
      </w:pPr>
      <w:bookmarkStart w:id="78" w:name="_Toc23167"/>
      <w:bookmarkStart w:id="79" w:name="_Toc29070"/>
      <w:bookmarkStart w:id="80" w:name="_Toc8137"/>
      <w:bookmarkStart w:id="81" w:name="_Toc407605131"/>
      <w:bookmarkStart w:id="82" w:name="_Toc441483878"/>
      <w:r>
        <w:rPr>
          <w:rFonts w:hint="eastAsia" w:ascii="黑体" w:eastAsia="黑体" w:cs="Times New Roman"/>
          <w:sz w:val="24"/>
          <w:highlight w:val="none"/>
        </w:rPr>
        <w:t>1.2项目资金</w:t>
      </w:r>
      <w:bookmarkEnd w:id="78"/>
      <w:bookmarkEnd w:id="79"/>
      <w:bookmarkEnd w:id="80"/>
    </w:p>
    <w:p>
      <w:pPr>
        <w:snapToGrid w:val="0"/>
        <w:spacing w:line="400" w:lineRule="exact"/>
        <w:ind w:firstLine="472" w:firstLineChars="196"/>
        <w:jc w:val="left"/>
        <w:rPr>
          <w:rFonts w:ascii="宋体"/>
          <w:kern w:val="0"/>
          <w:sz w:val="24"/>
          <w:highlight w:val="none"/>
        </w:rPr>
      </w:pPr>
      <w:r>
        <w:rPr>
          <w:rFonts w:hint="eastAsia" w:ascii="宋体"/>
          <w:b/>
          <w:color w:val="000000"/>
          <w:sz w:val="24"/>
          <w:highlight w:val="none"/>
        </w:rPr>
        <w:t>1.2.1资金来源及预算：</w:t>
      </w:r>
      <w:r>
        <w:rPr>
          <w:rFonts w:hint="eastAsia" w:ascii="宋体"/>
          <w:kern w:val="0"/>
          <w:sz w:val="24"/>
          <w:highlight w:val="none"/>
        </w:rPr>
        <w:t>见供应商须知前附表</w:t>
      </w:r>
    </w:p>
    <w:p>
      <w:pPr>
        <w:pStyle w:val="5"/>
        <w:ind w:firstLine="482" w:firstLineChars="200"/>
        <w:rPr>
          <w:highlight w:val="none"/>
        </w:rPr>
      </w:pPr>
      <w:r>
        <w:rPr>
          <w:rFonts w:hint="eastAsia" w:ascii="宋体"/>
          <w:b/>
          <w:color w:val="000000"/>
          <w:sz w:val="24"/>
          <w:highlight w:val="none"/>
        </w:rPr>
        <w:t>1.2.2最高限价：</w:t>
      </w:r>
      <w:r>
        <w:rPr>
          <w:rFonts w:hint="eastAsia" w:ascii="宋体"/>
          <w:kern w:val="0"/>
          <w:sz w:val="24"/>
          <w:highlight w:val="none"/>
        </w:rPr>
        <w:t>见供应商须知前附表</w:t>
      </w:r>
    </w:p>
    <w:p>
      <w:pPr>
        <w:outlineLvl w:val="3"/>
        <w:rPr>
          <w:rFonts w:ascii="黑体" w:eastAsia="黑体" w:cs="Times New Roman"/>
          <w:sz w:val="24"/>
          <w:highlight w:val="none"/>
        </w:rPr>
      </w:pPr>
      <w:bookmarkStart w:id="83" w:name="_Toc7011"/>
      <w:bookmarkStart w:id="84" w:name="_Toc15672"/>
      <w:bookmarkStart w:id="85" w:name="_Toc30873"/>
      <w:r>
        <w:rPr>
          <w:rFonts w:hint="eastAsia" w:ascii="黑体" w:eastAsia="黑体" w:cs="Times New Roman"/>
          <w:sz w:val="24"/>
          <w:highlight w:val="none"/>
        </w:rPr>
        <w:t>1.3交货期及交货地点</w:t>
      </w:r>
      <w:bookmarkEnd w:id="83"/>
      <w:bookmarkEnd w:id="84"/>
      <w:bookmarkEnd w:id="85"/>
    </w:p>
    <w:p>
      <w:pPr>
        <w:snapToGrid w:val="0"/>
        <w:spacing w:line="400" w:lineRule="exact"/>
        <w:ind w:firstLine="472" w:firstLineChars="196"/>
        <w:jc w:val="left"/>
        <w:rPr>
          <w:rFonts w:ascii="宋体"/>
          <w:b/>
          <w:color w:val="000000"/>
          <w:sz w:val="24"/>
          <w:highlight w:val="none"/>
        </w:rPr>
      </w:pPr>
      <w:r>
        <w:rPr>
          <w:rFonts w:hint="eastAsia" w:ascii="宋体"/>
          <w:b/>
          <w:color w:val="000000"/>
          <w:sz w:val="24"/>
          <w:highlight w:val="none"/>
        </w:rPr>
        <w:t>1.3.1交货期：</w:t>
      </w:r>
      <w:r>
        <w:rPr>
          <w:rFonts w:hint="eastAsia" w:ascii="宋体"/>
          <w:kern w:val="0"/>
          <w:sz w:val="24"/>
          <w:highlight w:val="none"/>
        </w:rPr>
        <w:t>见供应商须知前附表</w:t>
      </w:r>
    </w:p>
    <w:p>
      <w:pPr>
        <w:snapToGrid w:val="0"/>
        <w:spacing w:line="400" w:lineRule="exact"/>
        <w:ind w:firstLine="472" w:firstLineChars="196"/>
        <w:jc w:val="left"/>
        <w:rPr>
          <w:rFonts w:ascii="宋体"/>
          <w:kern w:val="0"/>
          <w:sz w:val="24"/>
          <w:highlight w:val="none"/>
        </w:rPr>
      </w:pPr>
      <w:r>
        <w:rPr>
          <w:rFonts w:hint="eastAsia" w:ascii="宋体"/>
          <w:b/>
          <w:color w:val="000000"/>
          <w:sz w:val="24"/>
          <w:highlight w:val="none"/>
        </w:rPr>
        <w:t>1.3.2交货地点：</w:t>
      </w:r>
      <w:r>
        <w:rPr>
          <w:rFonts w:hint="eastAsia" w:ascii="宋体"/>
          <w:kern w:val="0"/>
          <w:sz w:val="24"/>
          <w:highlight w:val="none"/>
        </w:rPr>
        <w:t>见供应商须知前附表</w:t>
      </w:r>
    </w:p>
    <w:p>
      <w:pPr>
        <w:snapToGrid w:val="0"/>
        <w:spacing w:line="400" w:lineRule="exact"/>
        <w:ind w:firstLine="470" w:firstLineChars="196"/>
        <w:jc w:val="left"/>
        <w:outlineLvl w:val="2"/>
        <w:rPr>
          <w:rFonts w:ascii="宋体"/>
          <w:kern w:val="0"/>
          <w:sz w:val="24"/>
          <w:highlight w:val="none"/>
        </w:rPr>
      </w:pPr>
      <w:bookmarkStart w:id="86" w:name="_Toc4731"/>
      <w:bookmarkStart w:id="87" w:name="_Toc9119"/>
      <w:bookmarkStart w:id="88" w:name="_Toc21309"/>
      <w:bookmarkStart w:id="89" w:name="_Toc19733"/>
      <w:r>
        <w:rPr>
          <w:rFonts w:hint="eastAsia" w:ascii="黑体" w:eastAsia="黑体" w:cs="Times New Roman"/>
          <w:sz w:val="24"/>
          <w:highlight w:val="none"/>
        </w:rPr>
        <w:t>1.4采购需求及性能指标</w:t>
      </w:r>
      <w:r>
        <w:rPr>
          <w:rFonts w:hint="eastAsia" w:ascii="宋体"/>
          <w:b/>
          <w:color w:val="000000"/>
          <w:sz w:val="24"/>
          <w:highlight w:val="none"/>
        </w:rPr>
        <w:t>：</w:t>
      </w:r>
      <w:r>
        <w:rPr>
          <w:rFonts w:hint="eastAsia" w:ascii="宋体"/>
          <w:kern w:val="0"/>
          <w:sz w:val="24"/>
          <w:highlight w:val="none"/>
        </w:rPr>
        <w:t>见供应商须知前附表</w:t>
      </w:r>
      <w:bookmarkEnd w:id="86"/>
      <w:bookmarkEnd w:id="87"/>
      <w:bookmarkEnd w:id="88"/>
      <w:bookmarkEnd w:id="89"/>
    </w:p>
    <w:p>
      <w:pPr>
        <w:snapToGrid w:val="0"/>
        <w:spacing w:line="400" w:lineRule="exact"/>
        <w:ind w:firstLine="470" w:firstLineChars="196"/>
        <w:jc w:val="left"/>
        <w:outlineLvl w:val="2"/>
        <w:rPr>
          <w:rFonts w:ascii="宋体"/>
          <w:b/>
          <w:color w:val="000000"/>
          <w:sz w:val="24"/>
          <w:highlight w:val="none"/>
        </w:rPr>
      </w:pPr>
      <w:bookmarkStart w:id="90" w:name="_Toc17567"/>
      <w:bookmarkStart w:id="91" w:name="_Toc9547"/>
      <w:bookmarkStart w:id="92" w:name="_Toc25636"/>
      <w:bookmarkStart w:id="93" w:name="_Toc27041"/>
      <w:r>
        <w:rPr>
          <w:rFonts w:hint="eastAsia" w:ascii="黑体" w:eastAsia="黑体" w:cs="Times New Roman"/>
          <w:sz w:val="24"/>
          <w:highlight w:val="none"/>
        </w:rPr>
        <w:t>1.5供应商资格</w:t>
      </w:r>
      <w:r>
        <w:rPr>
          <w:rFonts w:hint="eastAsia" w:ascii="宋体"/>
          <w:b/>
          <w:color w:val="000000"/>
          <w:sz w:val="24"/>
          <w:highlight w:val="none"/>
        </w:rPr>
        <w:t>：</w:t>
      </w:r>
      <w:bookmarkEnd w:id="90"/>
      <w:bookmarkEnd w:id="91"/>
      <w:bookmarkEnd w:id="92"/>
      <w:bookmarkEnd w:id="93"/>
    </w:p>
    <w:p>
      <w:pPr>
        <w:snapToGrid w:val="0"/>
        <w:spacing w:line="400" w:lineRule="exact"/>
        <w:ind w:firstLine="472" w:firstLineChars="196"/>
        <w:jc w:val="left"/>
        <w:rPr>
          <w:rFonts w:ascii="宋体"/>
          <w:kern w:val="0"/>
          <w:sz w:val="24"/>
          <w:highlight w:val="none"/>
        </w:rPr>
      </w:pPr>
      <w:r>
        <w:rPr>
          <w:rFonts w:hint="eastAsia" w:ascii="宋体"/>
          <w:b/>
          <w:color w:val="000000"/>
          <w:sz w:val="24"/>
          <w:highlight w:val="none"/>
        </w:rPr>
        <w:t>1.5.1供应商资质条件：</w:t>
      </w:r>
      <w:r>
        <w:rPr>
          <w:rFonts w:hint="eastAsia" w:ascii="宋体"/>
          <w:kern w:val="0"/>
          <w:sz w:val="24"/>
          <w:highlight w:val="none"/>
        </w:rPr>
        <w:t>需要提交的相关证明材料见供应商须知前附表。</w:t>
      </w:r>
    </w:p>
    <w:p>
      <w:pPr>
        <w:snapToGrid w:val="0"/>
        <w:spacing w:line="400" w:lineRule="exact"/>
        <w:ind w:firstLine="470" w:firstLineChars="196"/>
        <w:jc w:val="left"/>
        <w:rPr>
          <w:rFonts w:ascii="宋体"/>
          <w:kern w:val="0"/>
          <w:sz w:val="24"/>
          <w:highlight w:val="none"/>
        </w:rPr>
      </w:pPr>
      <w:r>
        <w:rPr>
          <w:rFonts w:hint="eastAsia" w:ascii="宋体"/>
          <w:color w:val="000000"/>
          <w:sz w:val="24"/>
          <w:highlight w:val="none"/>
        </w:rPr>
        <w:t>▲</w:t>
      </w:r>
      <w:r>
        <w:rPr>
          <w:rFonts w:hint="eastAsia" w:ascii="宋体"/>
          <w:kern w:val="0"/>
          <w:sz w:val="24"/>
          <w:highlight w:val="none"/>
        </w:rPr>
        <w:t>采购人对磋商响应供应商进行资格审查；凡不符合资格审查要求的，作磋商响应文件无效。</w:t>
      </w:r>
    </w:p>
    <w:p>
      <w:pPr>
        <w:snapToGrid w:val="0"/>
        <w:spacing w:line="400" w:lineRule="exact"/>
        <w:ind w:firstLine="472" w:firstLineChars="196"/>
        <w:jc w:val="left"/>
        <w:rPr>
          <w:rFonts w:ascii="宋体"/>
          <w:kern w:val="0"/>
          <w:sz w:val="24"/>
          <w:highlight w:val="none"/>
        </w:rPr>
      </w:pPr>
      <w:r>
        <w:rPr>
          <w:rFonts w:ascii="宋体" w:hAnsi="宋体"/>
          <w:b/>
          <w:color w:val="000000"/>
          <w:sz w:val="24"/>
          <w:highlight w:val="none"/>
        </w:rPr>
        <w:t>1.5.2</w:t>
      </w:r>
      <w:r>
        <w:rPr>
          <w:rFonts w:hint="eastAsia" w:ascii="宋体" w:hAnsi="宋体"/>
          <w:b/>
          <w:color w:val="000000"/>
          <w:sz w:val="24"/>
          <w:highlight w:val="none"/>
        </w:rPr>
        <w:t>是否接受联合体投标：</w:t>
      </w:r>
      <w:r>
        <w:rPr>
          <w:rFonts w:hint="eastAsia" w:ascii="宋体"/>
          <w:kern w:val="0"/>
          <w:sz w:val="24"/>
          <w:highlight w:val="none"/>
        </w:rPr>
        <w:t>投标人</w:t>
      </w:r>
      <w:r>
        <w:rPr>
          <w:rFonts w:hint="eastAsia" w:ascii="宋体"/>
          <w:kern w:val="0"/>
          <w:sz w:val="24"/>
          <w:highlight w:val="none"/>
          <w:lang w:eastAsia="zh-CN"/>
        </w:rPr>
        <w:t>供应商</w:t>
      </w:r>
      <w:r>
        <w:rPr>
          <w:rFonts w:hint="eastAsia" w:ascii="宋体"/>
          <w:kern w:val="0"/>
          <w:sz w:val="24"/>
          <w:highlight w:val="none"/>
        </w:rPr>
        <w:t>须知前附表规定接受联合体投标的，联合体除应符合本章第</w:t>
      </w:r>
      <w:r>
        <w:rPr>
          <w:rFonts w:ascii="宋体"/>
          <w:kern w:val="0"/>
          <w:sz w:val="24"/>
          <w:highlight w:val="none"/>
        </w:rPr>
        <w:t xml:space="preserve"> 1.5.1 </w:t>
      </w:r>
      <w:r>
        <w:rPr>
          <w:rFonts w:hint="eastAsia" w:ascii="宋体"/>
          <w:kern w:val="0"/>
          <w:sz w:val="24"/>
          <w:highlight w:val="none"/>
        </w:rPr>
        <w:t>项和</w:t>
      </w:r>
      <w:r>
        <w:rPr>
          <w:rFonts w:hint="eastAsia" w:ascii="宋体"/>
          <w:kern w:val="0"/>
          <w:sz w:val="24"/>
          <w:highlight w:val="none"/>
          <w:lang w:eastAsia="zh-CN"/>
        </w:rPr>
        <w:t>供应商</w:t>
      </w:r>
      <w:r>
        <w:rPr>
          <w:rFonts w:hint="eastAsia" w:ascii="宋体"/>
          <w:kern w:val="0"/>
          <w:sz w:val="24"/>
          <w:highlight w:val="none"/>
        </w:rPr>
        <w:t>须知前附表的要求外，还应遵守以下规定：</w:t>
      </w:r>
    </w:p>
    <w:p>
      <w:pPr>
        <w:snapToGrid w:val="0"/>
        <w:spacing w:line="400" w:lineRule="exact"/>
        <w:ind w:firstLine="470" w:firstLineChars="196"/>
        <w:jc w:val="left"/>
        <w:rPr>
          <w:rFonts w:ascii="宋体"/>
          <w:kern w:val="0"/>
          <w:sz w:val="24"/>
          <w:highlight w:val="none"/>
        </w:rPr>
      </w:pPr>
      <w:r>
        <w:rPr>
          <w:rFonts w:hint="eastAsia" w:ascii="宋体"/>
          <w:kern w:val="0"/>
          <w:sz w:val="24"/>
          <w:highlight w:val="none"/>
        </w:rPr>
        <w:t>（</w:t>
      </w:r>
      <w:r>
        <w:rPr>
          <w:rFonts w:ascii="宋体"/>
          <w:kern w:val="0"/>
          <w:sz w:val="24"/>
          <w:highlight w:val="none"/>
        </w:rPr>
        <w:t>1</w:t>
      </w:r>
      <w:r>
        <w:rPr>
          <w:rFonts w:hint="eastAsia" w:ascii="宋体"/>
          <w:kern w:val="0"/>
          <w:sz w:val="24"/>
          <w:highlight w:val="none"/>
        </w:rPr>
        <w:t>）联合体各方应按采购文件提供的格式签订联合体协议书，明确联合体牵头人和各方权利义务，并承诺就中标项目向采购人承担连带责任；</w:t>
      </w:r>
    </w:p>
    <w:p>
      <w:pPr>
        <w:snapToGrid w:val="0"/>
        <w:spacing w:line="400" w:lineRule="exact"/>
        <w:ind w:firstLine="470" w:firstLineChars="196"/>
        <w:jc w:val="left"/>
        <w:rPr>
          <w:rFonts w:ascii="宋体"/>
          <w:kern w:val="0"/>
          <w:sz w:val="24"/>
          <w:highlight w:val="none"/>
        </w:rPr>
      </w:pPr>
      <w:r>
        <w:rPr>
          <w:rFonts w:hint="eastAsia" w:ascii="宋体"/>
          <w:kern w:val="0"/>
          <w:sz w:val="24"/>
          <w:highlight w:val="none"/>
        </w:rPr>
        <w:t>（</w:t>
      </w:r>
      <w:r>
        <w:rPr>
          <w:rFonts w:ascii="宋体"/>
          <w:kern w:val="0"/>
          <w:sz w:val="24"/>
          <w:highlight w:val="none"/>
        </w:rPr>
        <w:t>2</w:t>
      </w:r>
      <w:r>
        <w:rPr>
          <w:rFonts w:hint="eastAsia" w:ascii="宋体"/>
          <w:kern w:val="0"/>
          <w:sz w:val="24"/>
          <w:highlight w:val="none"/>
        </w:rPr>
        <w:t>）由同一专业的单位组成的联合体，按照资质等级较低的单位确定资质等级；</w:t>
      </w:r>
    </w:p>
    <w:p>
      <w:pPr>
        <w:pStyle w:val="5"/>
        <w:ind w:firstLine="480" w:firstLineChars="200"/>
        <w:rPr>
          <w:rFonts w:hint="eastAsia" w:ascii="宋体"/>
          <w:kern w:val="0"/>
          <w:sz w:val="24"/>
          <w:highlight w:val="none"/>
        </w:rPr>
      </w:pPr>
      <w:r>
        <w:rPr>
          <w:rFonts w:hint="eastAsia" w:ascii="宋体"/>
          <w:kern w:val="0"/>
          <w:sz w:val="24"/>
          <w:highlight w:val="none"/>
        </w:rPr>
        <w:t>（</w:t>
      </w:r>
      <w:r>
        <w:rPr>
          <w:rFonts w:ascii="宋体"/>
          <w:kern w:val="0"/>
          <w:sz w:val="24"/>
          <w:highlight w:val="none"/>
        </w:rPr>
        <w:t>3</w:t>
      </w:r>
      <w:r>
        <w:rPr>
          <w:rFonts w:hint="eastAsia" w:ascii="宋体"/>
          <w:kern w:val="0"/>
          <w:sz w:val="24"/>
          <w:highlight w:val="none"/>
        </w:rPr>
        <w:t>）联合体各方不得再以自己名义单独或参加其他联合体在本招标项目中投标，否则各相关投标均无效。</w:t>
      </w:r>
    </w:p>
    <w:p>
      <w:pPr>
        <w:snapToGrid w:val="0"/>
        <w:spacing w:line="400" w:lineRule="exact"/>
        <w:ind w:firstLine="472" w:firstLineChars="196"/>
        <w:jc w:val="left"/>
        <w:rPr>
          <w:rFonts w:ascii="宋体"/>
          <w:color w:val="auto"/>
          <w:kern w:val="0"/>
          <w:sz w:val="24"/>
          <w:highlight w:val="none"/>
        </w:rPr>
      </w:pPr>
      <w:r>
        <w:rPr>
          <w:rFonts w:ascii="宋体" w:hAnsi="宋体"/>
          <w:b/>
          <w:color w:val="auto"/>
          <w:sz w:val="24"/>
          <w:highlight w:val="none"/>
        </w:rPr>
        <w:t>1.5.3</w:t>
      </w:r>
      <w:r>
        <w:rPr>
          <w:rFonts w:hint="eastAsia" w:ascii="宋体" w:hAnsi="宋体"/>
          <w:b/>
          <w:color w:val="auto"/>
          <w:sz w:val="24"/>
          <w:highlight w:val="none"/>
        </w:rPr>
        <w:t>分包：</w:t>
      </w:r>
      <w:r>
        <w:rPr>
          <w:rFonts w:hint="eastAsia" w:ascii="宋体"/>
          <w:color w:val="auto"/>
          <w:kern w:val="0"/>
          <w:sz w:val="24"/>
          <w:highlight w:val="none"/>
        </w:rPr>
        <w:t>见</w:t>
      </w:r>
      <w:r>
        <w:rPr>
          <w:rFonts w:hint="eastAsia" w:ascii="宋体"/>
          <w:color w:val="auto"/>
          <w:kern w:val="0"/>
          <w:sz w:val="24"/>
          <w:highlight w:val="none"/>
          <w:lang w:eastAsia="zh-CN"/>
        </w:rPr>
        <w:t>供应商</w:t>
      </w:r>
      <w:r>
        <w:rPr>
          <w:rFonts w:hint="eastAsia" w:ascii="宋体"/>
          <w:color w:val="auto"/>
          <w:kern w:val="0"/>
          <w:sz w:val="24"/>
          <w:highlight w:val="none"/>
        </w:rPr>
        <w:t>须知前附表</w:t>
      </w:r>
    </w:p>
    <w:p>
      <w:pPr>
        <w:snapToGrid w:val="0"/>
        <w:spacing w:line="400" w:lineRule="exact"/>
        <w:ind w:firstLine="470" w:firstLineChars="196"/>
        <w:jc w:val="left"/>
        <w:rPr>
          <w:rFonts w:ascii="宋体"/>
          <w:color w:val="auto"/>
          <w:kern w:val="0"/>
          <w:sz w:val="24"/>
          <w:highlight w:val="none"/>
        </w:rPr>
      </w:pPr>
      <w:r>
        <w:rPr>
          <w:rFonts w:hint="eastAsia" w:ascii="宋体"/>
          <w:color w:val="auto"/>
          <w:kern w:val="0"/>
          <w:sz w:val="24"/>
          <w:highlight w:val="none"/>
        </w:rPr>
        <w:t>（</w:t>
      </w:r>
      <w:r>
        <w:rPr>
          <w:rFonts w:ascii="宋体"/>
          <w:color w:val="auto"/>
          <w:kern w:val="0"/>
          <w:sz w:val="24"/>
          <w:highlight w:val="none"/>
        </w:rPr>
        <w:t>1</w:t>
      </w:r>
      <w:r>
        <w:rPr>
          <w:rFonts w:hint="eastAsia" w:ascii="宋体"/>
          <w:color w:val="auto"/>
          <w:kern w:val="0"/>
          <w:sz w:val="24"/>
          <w:highlight w:val="none"/>
        </w:rPr>
        <w:t>）</w:t>
      </w:r>
      <w:r>
        <w:rPr>
          <w:rFonts w:hint="eastAsia" w:ascii="宋体"/>
          <w:color w:val="auto"/>
          <w:kern w:val="0"/>
          <w:sz w:val="24"/>
          <w:highlight w:val="none"/>
          <w:lang w:eastAsia="zh-CN"/>
        </w:rPr>
        <w:t>供应商</w:t>
      </w:r>
      <w:r>
        <w:rPr>
          <w:rFonts w:hint="eastAsia" w:ascii="宋体"/>
          <w:color w:val="auto"/>
          <w:kern w:val="0"/>
          <w:sz w:val="24"/>
          <w:highlight w:val="none"/>
        </w:rPr>
        <w:t>拟在中标后将中标项目的非主体设备进行分包的，应符合</w:t>
      </w:r>
      <w:r>
        <w:rPr>
          <w:rFonts w:hint="eastAsia" w:ascii="宋体"/>
          <w:color w:val="auto"/>
          <w:kern w:val="0"/>
          <w:sz w:val="24"/>
          <w:highlight w:val="none"/>
          <w:lang w:eastAsia="zh-CN"/>
        </w:rPr>
        <w:t>供应商</w:t>
      </w:r>
      <w:r>
        <w:rPr>
          <w:rFonts w:hint="eastAsia" w:ascii="宋体"/>
          <w:color w:val="auto"/>
          <w:kern w:val="0"/>
          <w:sz w:val="24"/>
          <w:highlight w:val="none"/>
        </w:rPr>
        <w:t>须知前附表规定的分包内容、分包金额和资质要求等限制性条件，除</w:t>
      </w:r>
      <w:r>
        <w:rPr>
          <w:rFonts w:hint="eastAsia" w:ascii="宋体"/>
          <w:color w:val="auto"/>
          <w:kern w:val="0"/>
          <w:sz w:val="24"/>
          <w:highlight w:val="none"/>
          <w:lang w:eastAsia="zh-CN"/>
        </w:rPr>
        <w:t>供应商</w:t>
      </w:r>
      <w:r>
        <w:rPr>
          <w:rFonts w:hint="eastAsia" w:ascii="宋体"/>
          <w:color w:val="auto"/>
          <w:kern w:val="0"/>
          <w:sz w:val="24"/>
          <w:highlight w:val="none"/>
        </w:rPr>
        <w:t>须知前附表规定的非主体设备外，其他工作不得分包。</w:t>
      </w:r>
    </w:p>
    <w:p>
      <w:pPr>
        <w:snapToGrid w:val="0"/>
        <w:spacing w:line="400" w:lineRule="exact"/>
        <w:ind w:firstLine="470" w:firstLineChars="196"/>
        <w:jc w:val="left"/>
        <w:rPr>
          <w:color w:val="auto"/>
          <w:highlight w:val="none"/>
        </w:rPr>
      </w:pPr>
      <w:r>
        <w:rPr>
          <w:rFonts w:hint="eastAsia" w:ascii="宋体"/>
          <w:color w:val="auto"/>
          <w:kern w:val="0"/>
          <w:sz w:val="24"/>
          <w:highlight w:val="none"/>
        </w:rPr>
        <w:t>（</w:t>
      </w:r>
      <w:r>
        <w:rPr>
          <w:rFonts w:ascii="宋体"/>
          <w:color w:val="auto"/>
          <w:kern w:val="0"/>
          <w:sz w:val="24"/>
          <w:highlight w:val="none"/>
        </w:rPr>
        <w:t>2</w:t>
      </w:r>
      <w:r>
        <w:rPr>
          <w:rFonts w:hint="eastAsia" w:ascii="宋体"/>
          <w:color w:val="auto"/>
          <w:kern w:val="0"/>
          <w:sz w:val="24"/>
          <w:highlight w:val="none"/>
        </w:rPr>
        <w:t>）</w:t>
      </w:r>
      <w:r>
        <w:rPr>
          <w:rFonts w:hint="eastAsia" w:ascii="宋体"/>
          <w:color w:val="auto"/>
          <w:kern w:val="0"/>
          <w:sz w:val="24"/>
          <w:highlight w:val="none"/>
          <w:lang w:eastAsia="zh-CN"/>
        </w:rPr>
        <w:t>成交候选人</w:t>
      </w:r>
      <w:r>
        <w:rPr>
          <w:rFonts w:hint="eastAsia" w:ascii="宋体"/>
          <w:color w:val="auto"/>
          <w:kern w:val="0"/>
          <w:sz w:val="24"/>
          <w:highlight w:val="none"/>
        </w:rPr>
        <w:t>不得向他人转让中标项目，接受分包的人不得再次分包。</w:t>
      </w:r>
      <w:r>
        <w:rPr>
          <w:rFonts w:hint="eastAsia" w:ascii="宋体"/>
          <w:color w:val="auto"/>
          <w:kern w:val="0"/>
          <w:sz w:val="24"/>
          <w:highlight w:val="none"/>
          <w:lang w:eastAsia="zh-CN"/>
        </w:rPr>
        <w:t>成交候选人</w:t>
      </w:r>
      <w:r>
        <w:rPr>
          <w:rFonts w:hint="eastAsia" w:ascii="宋体"/>
          <w:color w:val="auto"/>
          <w:kern w:val="0"/>
          <w:sz w:val="24"/>
          <w:highlight w:val="none"/>
        </w:rPr>
        <w:t>应当就分包项目向采购人负责，接受分包的人就分包项目承担连带责任。</w:t>
      </w:r>
    </w:p>
    <w:p>
      <w:pPr>
        <w:snapToGrid w:val="0"/>
        <w:spacing w:line="400" w:lineRule="exact"/>
        <w:ind w:firstLine="472" w:firstLineChars="196"/>
        <w:jc w:val="left"/>
        <w:rPr>
          <w:rFonts w:ascii="宋体"/>
          <w:b/>
          <w:color w:val="auto"/>
          <w:sz w:val="24"/>
          <w:highlight w:val="none"/>
        </w:rPr>
      </w:pPr>
      <w:r>
        <w:rPr>
          <w:rFonts w:hint="eastAsia" w:ascii="宋体"/>
          <w:b/>
          <w:color w:val="auto"/>
          <w:sz w:val="24"/>
          <w:highlight w:val="none"/>
        </w:rPr>
        <w:t>1.5.</w:t>
      </w:r>
      <w:r>
        <w:rPr>
          <w:rFonts w:hint="eastAsia" w:ascii="宋体"/>
          <w:b/>
          <w:color w:val="auto"/>
          <w:sz w:val="24"/>
          <w:highlight w:val="none"/>
          <w:lang w:val="en-US" w:eastAsia="zh-CN"/>
        </w:rPr>
        <w:t>4</w:t>
      </w:r>
      <w:r>
        <w:rPr>
          <w:rFonts w:hint="eastAsia" w:ascii="宋体"/>
          <w:b/>
          <w:color w:val="auto"/>
          <w:sz w:val="24"/>
          <w:highlight w:val="none"/>
        </w:rPr>
        <w:t>供应商存在以下情形不得参与磋商</w:t>
      </w:r>
    </w:p>
    <w:p>
      <w:pPr>
        <w:snapToGrid w:val="0"/>
        <w:spacing w:line="400" w:lineRule="exact"/>
        <w:ind w:firstLine="470" w:firstLineChars="196"/>
        <w:jc w:val="left"/>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（1）与采购人存在利害关系且可能影响招标公正性；</w:t>
      </w:r>
    </w:p>
    <w:p>
      <w:pPr>
        <w:snapToGrid w:val="0"/>
        <w:spacing w:line="400" w:lineRule="exact"/>
        <w:ind w:firstLine="470" w:firstLineChars="196"/>
        <w:jc w:val="left"/>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（2）为本项目提供过设计、编制技术规范和其他文件的咨询服务；</w:t>
      </w:r>
    </w:p>
    <w:p>
      <w:pPr>
        <w:snapToGrid w:val="0"/>
        <w:spacing w:line="400" w:lineRule="exact"/>
        <w:ind w:firstLine="470" w:firstLineChars="196"/>
        <w:jc w:val="left"/>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（3）为本项目的代建人；</w:t>
      </w:r>
    </w:p>
    <w:p>
      <w:pPr>
        <w:snapToGrid w:val="0"/>
        <w:spacing w:line="400" w:lineRule="exact"/>
        <w:ind w:firstLine="470" w:firstLineChars="196"/>
        <w:jc w:val="left"/>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（4）为本项目的招标代理机构；</w:t>
      </w:r>
    </w:p>
    <w:p>
      <w:pPr>
        <w:snapToGrid w:val="0"/>
        <w:spacing w:line="400" w:lineRule="exact"/>
        <w:ind w:firstLine="470" w:firstLineChars="196"/>
        <w:jc w:val="left"/>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（5）与本项目的代建人或招标代理机构同为一个法定代表人；</w:t>
      </w:r>
    </w:p>
    <w:p>
      <w:pPr>
        <w:snapToGrid w:val="0"/>
        <w:spacing w:line="400" w:lineRule="exact"/>
        <w:ind w:firstLine="470" w:firstLineChars="196"/>
        <w:jc w:val="left"/>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（6）与本项目的代建人或招标代理机构存在直接控股；</w:t>
      </w:r>
    </w:p>
    <w:p>
      <w:pPr>
        <w:snapToGrid w:val="0"/>
        <w:spacing w:line="400" w:lineRule="exact"/>
        <w:ind w:firstLine="470" w:firstLineChars="196"/>
        <w:jc w:val="left"/>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（7）被依法暂停或者取消投标资格；</w:t>
      </w:r>
    </w:p>
    <w:p>
      <w:pPr>
        <w:snapToGrid w:val="0"/>
        <w:spacing w:line="400" w:lineRule="exact"/>
        <w:ind w:firstLine="470" w:firstLineChars="196"/>
        <w:jc w:val="left"/>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（8）被责令停产停业、暂扣或者吊销许可证、暂扣或者吊销执照；</w:t>
      </w:r>
    </w:p>
    <w:p>
      <w:pPr>
        <w:snapToGrid w:val="0"/>
        <w:spacing w:line="400" w:lineRule="exact"/>
        <w:ind w:firstLine="470" w:firstLineChars="196"/>
        <w:jc w:val="left"/>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（9）进入清算程序，或被宣告破产，或其他丧失履约能力的情形；</w:t>
      </w:r>
    </w:p>
    <w:p>
      <w:pPr>
        <w:snapToGrid w:val="0"/>
        <w:spacing w:line="400" w:lineRule="exact"/>
        <w:ind w:firstLine="470" w:firstLineChars="196"/>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（10）自</w:t>
      </w:r>
      <w:r>
        <w:rPr>
          <w:rFonts w:hint="eastAsia" w:asciiTheme="minorEastAsia" w:hAnsiTheme="minorEastAsia" w:eastAsiaTheme="minorEastAsia" w:cstheme="minorEastAsia"/>
          <w:sz w:val="24"/>
          <w:szCs w:val="24"/>
          <w:highlight w:val="none"/>
          <w:lang w:val="zh-CN"/>
        </w:rPr>
        <w:t>本项目招标公告发布之日起到投标截止时间期间</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zh-CN"/>
        </w:rPr>
        <w:t>在</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zh-CN"/>
        </w:rPr>
        <w:t>信用中国</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zh-CN"/>
        </w:rPr>
        <w:t>网站</w:t>
      </w:r>
      <w:r>
        <w:rPr>
          <w:rFonts w:hint="eastAsia" w:asciiTheme="minorEastAsia" w:hAnsiTheme="minorEastAsia" w:eastAsiaTheme="minorEastAsia" w:cstheme="minorEastAsia"/>
          <w:sz w:val="24"/>
          <w:szCs w:val="24"/>
          <w:highlight w:val="none"/>
        </w:rPr>
        <w:t>（www.creditchina.gov.cn）“</w:t>
      </w:r>
      <w:r>
        <w:rPr>
          <w:rFonts w:hint="eastAsia" w:asciiTheme="minorEastAsia" w:hAnsiTheme="minorEastAsia" w:eastAsiaTheme="minorEastAsia" w:cstheme="minorEastAsia"/>
          <w:sz w:val="24"/>
          <w:szCs w:val="24"/>
          <w:highlight w:val="none"/>
          <w:lang w:val="zh-CN"/>
        </w:rPr>
        <w:t>失信黑名单查询</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zh-CN"/>
        </w:rPr>
        <w:t>和中国政府采购网</w:t>
      </w:r>
      <w:r>
        <w:rPr>
          <w:rFonts w:hint="eastAsia" w:asciiTheme="minorEastAsia" w:hAnsiTheme="minorEastAsia" w:eastAsiaTheme="minorEastAsia" w:cstheme="minorEastAsia"/>
          <w:sz w:val="24"/>
          <w:szCs w:val="24"/>
          <w:highlight w:val="none"/>
        </w:rPr>
        <w:t>（www.ccgp.gov.cn）“</w:t>
      </w:r>
      <w:r>
        <w:rPr>
          <w:rFonts w:hint="eastAsia" w:asciiTheme="minorEastAsia" w:hAnsiTheme="minorEastAsia" w:eastAsiaTheme="minorEastAsia" w:cstheme="minorEastAsia"/>
          <w:sz w:val="24"/>
          <w:szCs w:val="24"/>
          <w:highlight w:val="none"/>
          <w:lang w:val="zh-CN"/>
        </w:rPr>
        <w:t>政府采购严重违法失信行为记录名单</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zh-CN"/>
        </w:rPr>
        <w:t>中</w:t>
      </w:r>
      <w:r>
        <w:rPr>
          <w:rFonts w:hint="eastAsia" w:asciiTheme="minorEastAsia" w:hAnsiTheme="minorEastAsia" w:eastAsiaTheme="minorEastAsia" w:cstheme="minorEastAsia"/>
          <w:sz w:val="24"/>
          <w:szCs w:val="24"/>
          <w:highlight w:val="none"/>
        </w:rPr>
        <w:t>被</w:t>
      </w:r>
      <w:r>
        <w:rPr>
          <w:rFonts w:hint="eastAsia" w:asciiTheme="minorEastAsia" w:hAnsiTheme="minorEastAsia" w:eastAsiaTheme="minorEastAsia" w:cstheme="minorEastAsia"/>
          <w:sz w:val="24"/>
          <w:szCs w:val="24"/>
          <w:highlight w:val="none"/>
          <w:lang w:val="zh-CN"/>
        </w:rPr>
        <w:t>列入执行人名单的</w:t>
      </w:r>
      <w:r>
        <w:rPr>
          <w:rFonts w:hint="eastAsia" w:asciiTheme="minorEastAsia" w:hAnsiTheme="minorEastAsia" w:eastAsiaTheme="minorEastAsia" w:cstheme="minorEastAsia"/>
          <w:sz w:val="24"/>
          <w:szCs w:val="24"/>
          <w:highlight w:val="none"/>
        </w:rPr>
        <w:t>情形；</w:t>
      </w:r>
    </w:p>
    <w:p>
      <w:pPr>
        <w:snapToGrid w:val="0"/>
        <w:spacing w:line="400" w:lineRule="exact"/>
        <w:ind w:firstLine="470" w:firstLineChars="196"/>
        <w:jc w:val="left"/>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（11）本项目供应商须知前附表和法律、法规、规章及省级以上规范性文件等规定的其他情形。</w:t>
      </w:r>
      <w:bookmarkStart w:id="94" w:name="_Toc14355"/>
      <w:bookmarkStart w:id="95" w:name="_Toc1999"/>
      <w:bookmarkStart w:id="96" w:name="_Toc24063"/>
      <w:bookmarkStart w:id="97" w:name="_Toc22306"/>
    </w:p>
    <w:p>
      <w:pPr>
        <w:snapToGrid w:val="0"/>
        <w:spacing w:line="400" w:lineRule="exact"/>
        <w:ind w:firstLine="470" w:firstLineChars="196"/>
        <w:jc w:val="left"/>
        <w:rPr>
          <w:rFonts w:asciiTheme="minorEastAsia" w:hAnsiTheme="minorEastAsia" w:eastAsiaTheme="minorEastAsia" w:cstheme="minorEastAsia"/>
          <w:kern w:val="0"/>
          <w:sz w:val="24"/>
          <w:szCs w:val="24"/>
          <w:highlight w:val="none"/>
        </w:rPr>
      </w:pPr>
      <w:r>
        <w:rPr>
          <w:rFonts w:hint="eastAsia" w:ascii="黑体" w:eastAsia="黑体" w:cs="Times New Roman"/>
          <w:sz w:val="24"/>
          <w:highlight w:val="none"/>
        </w:rPr>
        <w:t>1.6保密</w:t>
      </w:r>
      <w:r>
        <w:rPr>
          <w:rFonts w:hint="eastAsia" w:ascii="宋体"/>
          <w:b/>
          <w:color w:val="000000"/>
          <w:sz w:val="24"/>
          <w:highlight w:val="none"/>
        </w:rPr>
        <w:t>：</w:t>
      </w:r>
      <w:r>
        <w:rPr>
          <w:rFonts w:hint="eastAsia" w:ascii="宋体" w:cs="宋体"/>
          <w:color w:val="000000"/>
          <w:kern w:val="0"/>
          <w:sz w:val="24"/>
          <w:highlight w:val="none"/>
        </w:rPr>
        <w:t>参与招标磋商活动的各方应对磋商文件和磋商响应文件中的商业和技术等秘密保密，否则应承担相应的法律责任。</w:t>
      </w:r>
      <w:bookmarkEnd w:id="94"/>
      <w:bookmarkEnd w:id="95"/>
      <w:bookmarkEnd w:id="96"/>
      <w:bookmarkEnd w:id="97"/>
    </w:p>
    <w:p>
      <w:pPr>
        <w:snapToGrid w:val="0"/>
        <w:spacing w:line="400" w:lineRule="exact"/>
        <w:ind w:firstLine="470" w:firstLineChars="196"/>
        <w:jc w:val="left"/>
        <w:outlineLvl w:val="2"/>
        <w:rPr>
          <w:rFonts w:ascii="宋体" w:cs="宋体"/>
          <w:color w:val="000000"/>
          <w:kern w:val="0"/>
          <w:sz w:val="24"/>
          <w:highlight w:val="none"/>
        </w:rPr>
      </w:pPr>
      <w:bookmarkStart w:id="98" w:name="_Toc2320"/>
      <w:bookmarkStart w:id="99" w:name="_Toc18142"/>
      <w:bookmarkStart w:id="100" w:name="_Toc8141"/>
      <w:bookmarkStart w:id="101" w:name="_Toc4015"/>
      <w:r>
        <w:rPr>
          <w:rFonts w:hint="eastAsia" w:ascii="黑体" w:eastAsia="黑体" w:cs="Times New Roman"/>
          <w:sz w:val="24"/>
          <w:highlight w:val="none"/>
        </w:rPr>
        <w:t>1.7语言文字</w:t>
      </w:r>
      <w:r>
        <w:rPr>
          <w:rFonts w:hint="eastAsia" w:ascii="宋体"/>
          <w:b/>
          <w:color w:val="000000"/>
          <w:sz w:val="24"/>
          <w:highlight w:val="none"/>
        </w:rPr>
        <w:t>：</w:t>
      </w:r>
      <w:r>
        <w:rPr>
          <w:rFonts w:hint="eastAsia" w:ascii="宋体" w:cs="宋体"/>
          <w:color w:val="000000"/>
          <w:kern w:val="0"/>
          <w:sz w:val="24"/>
          <w:highlight w:val="none"/>
        </w:rPr>
        <w:t>招标磋商响应文件使用的语言文字为中文。专用术语使用外文的，应附有中文注释。</w:t>
      </w:r>
      <w:bookmarkEnd w:id="98"/>
      <w:bookmarkEnd w:id="99"/>
      <w:bookmarkEnd w:id="100"/>
      <w:bookmarkEnd w:id="101"/>
    </w:p>
    <w:p>
      <w:pPr>
        <w:snapToGrid w:val="0"/>
        <w:spacing w:line="400" w:lineRule="exact"/>
        <w:ind w:firstLine="470" w:firstLineChars="196"/>
        <w:jc w:val="left"/>
        <w:outlineLvl w:val="2"/>
        <w:rPr>
          <w:rFonts w:ascii="宋体" w:cs="宋体"/>
          <w:color w:val="000000"/>
          <w:kern w:val="0"/>
          <w:sz w:val="24"/>
          <w:highlight w:val="none"/>
        </w:rPr>
      </w:pPr>
      <w:bookmarkStart w:id="102" w:name="_Toc29281"/>
      <w:bookmarkStart w:id="103" w:name="_Toc24029"/>
      <w:bookmarkStart w:id="104" w:name="_Toc11997"/>
      <w:bookmarkStart w:id="105" w:name="_Toc26794"/>
      <w:r>
        <w:rPr>
          <w:rFonts w:hint="eastAsia" w:ascii="黑体" w:eastAsia="黑体" w:cs="Times New Roman"/>
          <w:sz w:val="24"/>
          <w:highlight w:val="none"/>
        </w:rPr>
        <w:t>1.8计量单位</w:t>
      </w:r>
      <w:r>
        <w:rPr>
          <w:rFonts w:hint="eastAsia" w:ascii="宋体"/>
          <w:b/>
          <w:color w:val="000000"/>
          <w:sz w:val="24"/>
          <w:highlight w:val="none"/>
        </w:rPr>
        <w:t>：</w:t>
      </w:r>
      <w:r>
        <w:rPr>
          <w:rFonts w:hint="eastAsia" w:ascii="宋体" w:cs="宋体"/>
          <w:color w:val="000000"/>
          <w:kern w:val="0"/>
          <w:sz w:val="24"/>
          <w:highlight w:val="none"/>
        </w:rPr>
        <w:t>所有计量均采用中华人民共和国法定计量单位。</w:t>
      </w:r>
      <w:bookmarkEnd w:id="102"/>
      <w:bookmarkEnd w:id="103"/>
      <w:bookmarkEnd w:id="104"/>
      <w:bookmarkEnd w:id="105"/>
    </w:p>
    <w:p>
      <w:pPr>
        <w:snapToGrid w:val="0"/>
        <w:spacing w:line="400" w:lineRule="exact"/>
        <w:ind w:firstLine="470" w:firstLineChars="196"/>
        <w:jc w:val="left"/>
        <w:outlineLvl w:val="2"/>
        <w:rPr>
          <w:rFonts w:ascii="宋体"/>
          <w:b/>
          <w:color w:val="000000"/>
          <w:sz w:val="24"/>
          <w:highlight w:val="none"/>
        </w:rPr>
      </w:pPr>
      <w:bookmarkStart w:id="106" w:name="_Toc20979"/>
      <w:bookmarkStart w:id="107" w:name="_Toc20332"/>
      <w:bookmarkStart w:id="108" w:name="_Toc11559"/>
      <w:bookmarkStart w:id="109" w:name="_Toc23863"/>
      <w:r>
        <w:rPr>
          <w:rFonts w:hint="eastAsia" w:ascii="黑体" w:eastAsia="黑体" w:cs="Times New Roman"/>
          <w:sz w:val="24"/>
          <w:highlight w:val="none"/>
        </w:rPr>
        <w:t>1.9响应和偏差</w:t>
      </w:r>
      <w:r>
        <w:rPr>
          <w:rFonts w:hint="eastAsia" w:ascii="宋体"/>
          <w:b/>
          <w:color w:val="000000"/>
          <w:sz w:val="24"/>
          <w:highlight w:val="none"/>
        </w:rPr>
        <w:t>：</w:t>
      </w:r>
      <w:bookmarkEnd w:id="106"/>
      <w:bookmarkEnd w:id="107"/>
      <w:bookmarkEnd w:id="108"/>
      <w:bookmarkEnd w:id="109"/>
    </w:p>
    <w:p>
      <w:pPr>
        <w:snapToGrid w:val="0"/>
        <w:spacing w:line="400" w:lineRule="exact"/>
        <w:ind w:firstLine="470" w:firstLineChars="196"/>
        <w:jc w:val="left"/>
        <w:rPr>
          <w:rFonts w:ascii="宋体" w:cs="宋体"/>
          <w:color w:val="000000"/>
          <w:kern w:val="0"/>
          <w:sz w:val="24"/>
          <w:highlight w:val="none"/>
        </w:rPr>
      </w:pPr>
      <w:r>
        <w:rPr>
          <w:rFonts w:hint="eastAsia" w:ascii="宋体" w:cs="宋体"/>
          <w:color w:val="000000"/>
          <w:kern w:val="0"/>
          <w:sz w:val="24"/>
          <w:highlight w:val="none"/>
        </w:rPr>
        <w:t>（1）磋商响应文件应当对磋商文件的实质性要求和条件作出满足性或更有利于采购人的响应，否则，供应商的磋商将被否决。实质性要求和条件见供应商须知前附表。</w:t>
      </w:r>
    </w:p>
    <w:p>
      <w:pPr>
        <w:snapToGrid w:val="0"/>
        <w:spacing w:line="400" w:lineRule="exact"/>
        <w:ind w:firstLine="470" w:firstLineChars="196"/>
        <w:jc w:val="left"/>
        <w:rPr>
          <w:rFonts w:ascii="宋体" w:cs="宋体"/>
          <w:color w:val="000000"/>
          <w:kern w:val="0"/>
          <w:sz w:val="24"/>
          <w:highlight w:val="none"/>
        </w:rPr>
      </w:pPr>
      <w:r>
        <w:rPr>
          <w:rFonts w:hint="eastAsia" w:ascii="宋体" w:cs="宋体"/>
          <w:color w:val="000000"/>
          <w:kern w:val="0"/>
          <w:sz w:val="24"/>
          <w:highlight w:val="none"/>
        </w:rPr>
        <w:t>（2）供应商应根据磋商文件的要求提供磋商设备技术性能指标的详细描述、技术支持资料及技术服务和服务期服务计划等内容以对磋商文件作出响应（含磋商设备详细清单）。</w:t>
      </w:r>
    </w:p>
    <w:p>
      <w:pPr>
        <w:snapToGrid w:val="0"/>
        <w:spacing w:line="400" w:lineRule="exact"/>
        <w:ind w:firstLine="470" w:firstLineChars="196"/>
        <w:jc w:val="left"/>
        <w:rPr>
          <w:rFonts w:ascii="宋体" w:cs="宋体"/>
          <w:color w:val="000000"/>
          <w:kern w:val="0"/>
          <w:sz w:val="24"/>
          <w:highlight w:val="none"/>
        </w:rPr>
      </w:pPr>
      <w:r>
        <w:rPr>
          <w:rFonts w:hint="eastAsia" w:ascii="宋体" w:cs="宋体"/>
          <w:color w:val="000000"/>
          <w:kern w:val="0"/>
          <w:sz w:val="24"/>
          <w:highlight w:val="none"/>
        </w:rPr>
        <w:t>（3）磋商响应文件对磋商文件的全部偏差，均应在磋商响应文件的商务和技术偏差表中列明，除列明的内容外，视为供应商响应磋商文件的全部要求。</w:t>
      </w:r>
    </w:p>
    <w:p>
      <w:pPr>
        <w:outlineLvl w:val="1"/>
        <w:rPr>
          <w:rFonts w:ascii="宋体" w:hAnsi="宋体" w:eastAsia="黑体"/>
          <w:b/>
          <w:color w:val="000000"/>
          <w:sz w:val="28"/>
          <w:szCs w:val="21"/>
          <w:highlight w:val="none"/>
        </w:rPr>
      </w:pPr>
      <w:bookmarkStart w:id="110" w:name="_Toc23168"/>
      <w:bookmarkStart w:id="111" w:name="_Toc5456"/>
      <w:bookmarkStart w:id="112" w:name="_Toc8564"/>
      <w:bookmarkStart w:id="113" w:name="_Toc2830"/>
      <w:bookmarkStart w:id="114" w:name="_Toc11103"/>
      <w:bookmarkStart w:id="115" w:name="_Toc13399"/>
      <w:bookmarkStart w:id="116" w:name="_Toc29142"/>
      <w:bookmarkStart w:id="117" w:name="_Toc20629"/>
      <w:bookmarkStart w:id="118" w:name="_Toc27576"/>
      <w:bookmarkStart w:id="119" w:name="_Toc15926"/>
      <w:bookmarkStart w:id="120" w:name="_Toc23661"/>
      <w:bookmarkStart w:id="121" w:name="_Toc1442"/>
      <w:bookmarkStart w:id="122" w:name="_Toc3641"/>
      <w:bookmarkStart w:id="123" w:name="_Toc29915"/>
      <w:bookmarkStart w:id="124" w:name="_Toc25571"/>
      <w:bookmarkStart w:id="125" w:name="_Toc27570"/>
      <w:bookmarkStart w:id="126" w:name="_Toc2327"/>
      <w:bookmarkStart w:id="127" w:name="_Toc29161"/>
      <w:bookmarkStart w:id="128" w:name="_Toc20149"/>
      <w:bookmarkStart w:id="129" w:name="_Toc26147"/>
      <w:bookmarkStart w:id="130" w:name="_Toc29847"/>
      <w:bookmarkStart w:id="131" w:name="_Toc27054"/>
      <w:bookmarkStart w:id="132" w:name="_Toc7358"/>
      <w:bookmarkStart w:id="133" w:name="_Toc29093"/>
      <w:bookmarkStart w:id="134" w:name="_Toc5682"/>
      <w:bookmarkStart w:id="135" w:name="_Toc435"/>
      <w:bookmarkStart w:id="136" w:name="_Toc27253"/>
      <w:bookmarkStart w:id="137" w:name="_Toc5022"/>
      <w:bookmarkStart w:id="138" w:name="_Toc524600092"/>
      <w:r>
        <w:rPr>
          <w:rFonts w:hint="eastAsia" w:ascii="黑体" w:eastAsia="黑体" w:cs="Times New Roman"/>
          <w:sz w:val="28"/>
          <w:szCs w:val="28"/>
          <w:highlight w:val="none"/>
        </w:rPr>
        <w:t>2.</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Pr>
          <w:rFonts w:hint="eastAsia" w:ascii="黑体" w:eastAsia="黑体" w:cs="Times New Roman"/>
          <w:sz w:val="28"/>
          <w:szCs w:val="28"/>
          <w:highlight w:val="none"/>
        </w:rPr>
        <w:t>磋商文件</w:t>
      </w:r>
      <w:bookmarkEnd w:id="138"/>
    </w:p>
    <w:p>
      <w:pPr>
        <w:snapToGrid w:val="0"/>
        <w:spacing w:line="400" w:lineRule="exact"/>
        <w:ind w:firstLine="470" w:firstLineChars="196"/>
        <w:jc w:val="left"/>
        <w:outlineLvl w:val="2"/>
        <w:rPr>
          <w:rFonts w:ascii="宋体"/>
          <w:b/>
          <w:color w:val="000000"/>
          <w:sz w:val="24"/>
          <w:highlight w:val="none"/>
        </w:rPr>
      </w:pPr>
      <w:bookmarkStart w:id="139" w:name="_Toc9274"/>
      <w:bookmarkStart w:id="140" w:name="_Toc4825"/>
      <w:bookmarkStart w:id="141" w:name="_Toc1763"/>
      <w:bookmarkStart w:id="142" w:name="_Toc9175"/>
      <w:r>
        <w:rPr>
          <w:rFonts w:hint="eastAsia" w:ascii="黑体" w:eastAsia="黑体" w:cs="Times New Roman"/>
          <w:sz w:val="24"/>
          <w:highlight w:val="none"/>
        </w:rPr>
        <w:t>2.1磋商文件的组成</w:t>
      </w:r>
      <w:r>
        <w:rPr>
          <w:rFonts w:hint="eastAsia" w:ascii="宋体"/>
          <w:b/>
          <w:color w:val="000000"/>
          <w:sz w:val="24"/>
          <w:highlight w:val="none"/>
        </w:rPr>
        <w:t>：</w:t>
      </w:r>
      <w:r>
        <w:rPr>
          <w:rFonts w:hint="eastAsia"/>
          <w:b/>
          <w:color w:val="000000"/>
          <w:sz w:val="24"/>
          <w:highlight w:val="none"/>
        </w:rPr>
        <w:t>本磋商文件由下列文件以及在招标过程中发出的修正和补充文件组成：</w:t>
      </w:r>
      <w:bookmarkEnd w:id="139"/>
      <w:bookmarkEnd w:id="140"/>
      <w:bookmarkEnd w:id="141"/>
      <w:bookmarkEnd w:id="142"/>
    </w:p>
    <w:p>
      <w:pPr>
        <w:snapToGrid w:val="0"/>
        <w:spacing w:line="400" w:lineRule="exact"/>
        <w:ind w:firstLine="470" w:firstLineChars="196"/>
        <w:jc w:val="left"/>
        <w:rPr>
          <w:rFonts w:ascii="宋体"/>
          <w:kern w:val="0"/>
          <w:sz w:val="24"/>
          <w:highlight w:val="none"/>
        </w:rPr>
      </w:pPr>
      <w:r>
        <w:rPr>
          <w:rFonts w:hint="eastAsia" w:ascii="宋体"/>
          <w:kern w:val="0"/>
          <w:sz w:val="24"/>
          <w:highlight w:val="none"/>
        </w:rPr>
        <w:t>2.1.1 竞争性磋商公告</w:t>
      </w:r>
    </w:p>
    <w:p>
      <w:pPr>
        <w:snapToGrid w:val="0"/>
        <w:spacing w:line="400" w:lineRule="exact"/>
        <w:ind w:firstLine="470" w:firstLineChars="196"/>
        <w:jc w:val="left"/>
        <w:rPr>
          <w:rFonts w:ascii="宋体"/>
          <w:kern w:val="0"/>
          <w:sz w:val="24"/>
          <w:highlight w:val="none"/>
        </w:rPr>
      </w:pPr>
      <w:r>
        <w:rPr>
          <w:rFonts w:hint="eastAsia" w:ascii="宋体"/>
          <w:kern w:val="0"/>
          <w:sz w:val="24"/>
          <w:highlight w:val="none"/>
        </w:rPr>
        <w:t xml:space="preserve">2.1.2 </w:t>
      </w:r>
      <w:r>
        <w:rPr>
          <w:highlight w:val="none"/>
        </w:rPr>
        <w:fldChar w:fldCharType="begin"/>
      </w:r>
      <w:r>
        <w:rPr>
          <w:highlight w:val="none"/>
        </w:rPr>
        <w:instrText xml:space="preserve"> HYPERLINK \l "_Toc415207629" </w:instrText>
      </w:r>
      <w:r>
        <w:rPr>
          <w:highlight w:val="none"/>
        </w:rPr>
        <w:fldChar w:fldCharType="separate"/>
      </w:r>
      <w:r>
        <w:rPr>
          <w:rFonts w:hint="eastAsia" w:ascii="宋体"/>
          <w:kern w:val="0"/>
          <w:sz w:val="24"/>
          <w:highlight w:val="none"/>
        </w:rPr>
        <w:t>参加磋商须知</w:t>
      </w:r>
      <w:r>
        <w:rPr>
          <w:rFonts w:hint="eastAsia" w:ascii="宋体"/>
          <w:kern w:val="0"/>
          <w:sz w:val="24"/>
          <w:highlight w:val="none"/>
        </w:rPr>
        <w:fldChar w:fldCharType="end"/>
      </w:r>
    </w:p>
    <w:p>
      <w:pPr>
        <w:snapToGrid w:val="0"/>
        <w:spacing w:line="400" w:lineRule="exact"/>
        <w:ind w:firstLine="470" w:firstLineChars="196"/>
        <w:jc w:val="left"/>
        <w:rPr>
          <w:rFonts w:ascii="宋体"/>
          <w:kern w:val="0"/>
          <w:sz w:val="24"/>
          <w:highlight w:val="none"/>
        </w:rPr>
      </w:pPr>
      <w:r>
        <w:rPr>
          <w:rFonts w:hint="eastAsia" w:ascii="宋体"/>
          <w:kern w:val="0"/>
          <w:sz w:val="24"/>
          <w:highlight w:val="none"/>
        </w:rPr>
        <w:t xml:space="preserve">2.1.3 </w:t>
      </w:r>
      <w:r>
        <w:rPr>
          <w:highlight w:val="none"/>
        </w:rPr>
        <w:fldChar w:fldCharType="begin"/>
      </w:r>
      <w:r>
        <w:rPr>
          <w:highlight w:val="none"/>
        </w:rPr>
        <w:instrText xml:space="preserve"> HYPERLINK \l "_Toc415207642" </w:instrText>
      </w:r>
      <w:r>
        <w:rPr>
          <w:highlight w:val="none"/>
        </w:rPr>
        <w:fldChar w:fldCharType="separate"/>
      </w:r>
      <w:r>
        <w:rPr>
          <w:rFonts w:hint="eastAsia" w:ascii="宋体"/>
          <w:kern w:val="0"/>
          <w:sz w:val="24"/>
          <w:highlight w:val="none"/>
        </w:rPr>
        <w:t>磋商项目采购需求</w:t>
      </w:r>
      <w:r>
        <w:rPr>
          <w:rFonts w:hint="eastAsia" w:ascii="宋体"/>
          <w:kern w:val="0"/>
          <w:sz w:val="24"/>
          <w:highlight w:val="none"/>
        </w:rPr>
        <w:tab/>
      </w:r>
      <w:r>
        <w:rPr>
          <w:rFonts w:hint="eastAsia" w:ascii="宋体"/>
          <w:kern w:val="0"/>
          <w:sz w:val="24"/>
          <w:highlight w:val="none"/>
        </w:rPr>
        <w:fldChar w:fldCharType="end"/>
      </w:r>
    </w:p>
    <w:p>
      <w:pPr>
        <w:snapToGrid w:val="0"/>
        <w:spacing w:line="400" w:lineRule="exact"/>
        <w:ind w:firstLine="470" w:firstLineChars="196"/>
        <w:jc w:val="left"/>
        <w:rPr>
          <w:rFonts w:ascii="宋体"/>
          <w:kern w:val="0"/>
          <w:sz w:val="24"/>
          <w:highlight w:val="none"/>
        </w:rPr>
      </w:pPr>
      <w:r>
        <w:rPr>
          <w:rFonts w:hint="eastAsia" w:ascii="宋体"/>
          <w:kern w:val="0"/>
          <w:sz w:val="24"/>
          <w:highlight w:val="none"/>
        </w:rPr>
        <w:t>2.1.4</w:t>
      </w:r>
      <w:r>
        <w:rPr>
          <w:rFonts w:hint="eastAsia" w:ascii="宋体"/>
          <w:kern w:val="0"/>
          <w:sz w:val="24"/>
          <w:highlight w:val="none"/>
          <w:lang w:val="en-US" w:eastAsia="zh-CN"/>
        </w:rPr>
        <w:t xml:space="preserve"> </w:t>
      </w:r>
      <w:r>
        <w:rPr>
          <w:rFonts w:hint="eastAsia" w:ascii="宋体"/>
          <w:kern w:val="0"/>
          <w:sz w:val="24"/>
          <w:highlight w:val="none"/>
        </w:rPr>
        <w:t>磋商办法及评分标准</w:t>
      </w:r>
    </w:p>
    <w:p>
      <w:pPr>
        <w:snapToGrid w:val="0"/>
        <w:spacing w:line="400" w:lineRule="exact"/>
        <w:ind w:firstLine="470" w:firstLineChars="196"/>
        <w:jc w:val="left"/>
        <w:rPr>
          <w:rFonts w:ascii="宋体"/>
          <w:kern w:val="0"/>
          <w:sz w:val="24"/>
          <w:highlight w:val="none"/>
        </w:rPr>
      </w:pPr>
      <w:r>
        <w:rPr>
          <w:rFonts w:hint="eastAsia" w:ascii="宋体"/>
          <w:kern w:val="0"/>
          <w:sz w:val="24"/>
          <w:highlight w:val="none"/>
        </w:rPr>
        <w:t xml:space="preserve">2.1.5 </w:t>
      </w:r>
      <w:r>
        <w:rPr>
          <w:highlight w:val="none"/>
        </w:rPr>
        <w:fldChar w:fldCharType="begin"/>
      </w:r>
      <w:r>
        <w:rPr>
          <w:highlight w:val="none"/>
        </w:rPr>
        <w:instrText xml:space="preserve"> HYPERLINK \l "_Toc415207643" </w:instrText>
      </w:r>
      <w:r>
        <w:rPr>
          <w:highlight w:val="none"/>
        </w:rPr>
        <w:fldChar w:fldCharType="separate"/>
      </w:r>
      <w:r>
        <w:rPr>
          <w:rFonts w:hint="eastAsia" w:ascii="宋体"/>
          <w:kern w:val="0"/>
          <w:sz w:val="24"/>
          <w:highlight w:val="none"/>
        </w:rPr>
        <w:t>合同主要条款</w:t>
      </w:r>
      <w:r>
        <w:rPr>
          <w:rFonts w:hint="eastAsia" w:ascii="宋体"/>
          <w:kern w:val="0"/>
          <w:sz w:val="24"/>
          <w:highlight w:val="none"/>
        </w:rPr>
        <w:fldChar w:fldCharType="end"/>
      </w:r>
    </w:p>
    <w:p>
      <w:pPr>
        <w:snapToGrid w:val="0"/>
        <w:spacing w:line="400" w:lineRule="exact"/>
        <w:ind w:firstLine="470" w:firstLineChars="196"/>
        <w:jc w:val="left"/>
        <w:rPr>
          <w:rFonts w:ascii="宋体"/>
          <w:kern w:val="0"/>
          <w:sz w:val="24"/>
          <w:highlight w:val="none"/>
        </w:rPr>
      </w:pPr>
      <w:r>
        <w:rPr>
          <w:rFonts w:hint="eastAsia" w:ascii="宋体"/>
          <w:kern w:val="0"/>
          <w:sz w:val="24"/>
          <w:highlight w:val="none"/>
        </w:rPr>
        <w:t>2.1.6 磋商响应文件的组成和格式</w:t>
      </w:r>
    </w:p>
    <w:p>
      <w:pPr>
        <w:snapToGrid w:val="0"/>
        <w:spacing w:line="400" w:lineRule="exact"/>
        <w:ind w:firstLine="472" w:firstLineChars="196"/>
        <w:jc w:val="left"/>
        <w:outlineLvl w:val="2"/>
        <w:rPr>
          <w:rFonts w:ascii="宋体"/>
          <w:b/>
          <w:color w:val="000000"/>
          <w:sz w:val="24"/>
          <w:highlight w:val="none"/>
        </w:rPr>
      </w:pPr>
      <w:bookmarkStart w:id="143" w:name="_Toc18348"/>
      <w:bookmarkStart w:id="144" w:name="_Toc5711"/>
      <w:bookmarkStart w:id="145" w:name="_Toc13096"/>
      <w:bookmarkStart w:id="146" w:name="_Toc9849"/>
      <w:r>
        <w:rPr>
          <w:rFonts w:hint="eastAsia" w:ascii="宋体"/>
          <w:b/>
          <w:color w:val="000000"/>
          <w:sz w:val="24"/>
          <w:highlight w:val="none"/>
        </w:rPr>
        <w:t>2.2磋商文件中的特定要求和条件</w:t>
      </w:r>
      <w:bookmarkEnd w:id="143"/>
      <w:bookmarkEnd w:id="144"/>
      <w:bookmarkEnd w:id="145"/>
      <w:bookmarkEnd w:id="146"/>
    </w:p>
    <w:p>
      <w:pPr>
        <w:snapToGrid w:val="0"/>
        <w:spacing w:line="400" w:lineRule="exact"/>
        <w:ind w:firstLine="472" w:firstLineChars="196"/>
        <w:jc w:val="left"/>
        <w:rPr>
          <w:rFonts w:ascii="宋体"/>
          <w:kern w:val="0"/>
          <w:sz w:val="24"/>
          <w:highlight w:val="none"/>
        </w:rPr>
      </w:pPr>
      <w:r>
        <w:rPr>
          <w:rFonts w:hint="eastAsia" w:ascii="宋体"/>
          <w:b/>
          <w:color w:val="000000"/>
          <w:sz w:val="24"/>
          <w:highlight w:val="none"/>
        </w:rPr>
        <w:t>2.2.1实质性内容和条件：</w:t>
      </w:r>
      <w:r>
        <w:rPr>
          <w:rFonts w:hint="eastAsia" w:ascii="宋体"/>
          <w:kern w:val="0"/>
          <w:sz w:val="24"/>
          <w:highlight w:val="none"/>
        </w:rPr>
        <w:t>见供应商须知前附表。</w:t>
      </w:r>
    </w:p>
    <w:p>
      <w:pPr>
        <w:snapToGrid w:val="0"/>
        <w:spacing w:line="400" w:lineRule="exact"/>
        <w:ind w:firstLine="472" w:firstLineChars="196"/>
        <w:jc w:val="left"/>
        <w:outlineLvl w:val="2"/>
        <w:rPr>
          <w:rFonts w:ascii="宋体"/>
          <w:b/>
          <w:color w:val="000000"/>
          <w:sz w:val="24"/>
          <w:highlight w:val="none"/>
        </w:rPr>
      </w:pPr>
      <w:bookmarkStart w:id="147" w:name="_Toc12783"/>
      <w:bookmarkStart w:id="148" w:name="_Toc9750"/>
      <w:bookmarkStart w:id="149" w:name="_Toc23415"/>
      <w:bookmarkStart w:id="150" w:name="_Toc31781"/>
      <w:r>
        <w:rPr>
          <w:rFonts w:hint="eastAsia" w:ascii="宋体"/>
          <w:b/>
          <w:color w:val="000000"/>
          <w:sz w:val="24"/>
          <w:highlight w:val="none"/>
        </w:rPr>
        <w:t>2.3磋商文件的澄清和修改</w:t>
      </w:r>
      <w:bookmarkEnd w:id="147"/>
      <w:bookmarkEnd w:id="148"/>
      <w:bookmarkEnd w:id="149"/>
      <w:bookmarkEnd w:id="150"/>
    </w:p>
    <w:p>
      <w:pPr>
        <w:pStyle w:val="22"/>
        <w:snapToGrid w:val="0"/>
        <w:spacing w:line="400" w:lineRule="exact"/>
        <w:ind w:firstLine="482" w:firstLineChars="200"/>
        <w:rPr>
          <w:color w:val="000000"/>
          <w:sz w:val="24"/>
          <w:szCs w:val="24"/>
          <w:highlight w:val="none"/>
        </w:rPr>
      </w:pPr>
      <w:r>
        <w:rPr>
          <w:rFonts w:hint="eastAsia"/>
          <w:b/>
          <w:color w:val="000000"/>
          <w:sz w:val="24"/>
          <w:szCs w:val="22"/>
          <w:highlight w:val="none"/>
        </w:rPr>
        <w:t>2.3.1答疑和澄清：</w:t>
      </w:r>
      <w:r>
        <w:rPr>
          <w:rFonts w:hint="eastAsia"/>
          <w:kern w:val="0"/>
          <w:sz w:val="24"/>
          <w:highlight w:val="none"/>
        </w:rPr>
        <w:t>见供应商须知前附表</w:t>
      </w:r>
      <w:r>
        <w:rPr>
          <w:rFonts w:hint="eastAsia"/>
          <w:color w:val="000000"/>
          <w:sz w:val="24"/>
          <w:szCs w:val="24"/>
          <w:highlight w:val="none"/>
          <w:lang w:val="zh-CN"/>
        </w:rPr>
        <w:t>。</w:t>
      </w:r>
    </w:p>
    <w:p>
      <w:pPr>
        <w:pStyle w:val="22"/>
        <w:snapToGrid w:val="0"/>
        <w:spacing w:line="400" w:lineRule="exact"/>
        <w:ind w:firstLine="480" w:firstLineChars="200"/>
        <w:rPr>
          <w:color w:val="000000"/>
          <w:sz w:val="24"/>
          <w:szCs w:val="24"/>
          <w:highlight w:val="none"/>
        </w:rPr>
      </w:pPr>
      <w:r>
        <w:rPr>
          <w:rFonts w:hint="eastAsia"/>
          <w:color w:val="000000"/>
          <w:sz w:val="24"/>
          <w:szCs w:val="24"/>
          <w:highlight w:val="none"/>
        </w:rPr>
        <w:t>（1）集中采购机构将以书面形式答复供应商要求澄清的问题，并将不包含问题来源的答复书面通知所有购买磋商文件的供应商；除书面答复以外的其他澄清方式及澄清内容均无效。</w:t>
      </w:r>
    </w:p>
    <w:p>
      <w:pPr>
        <w:pStyle w:val="22"/>
        <w:snapToGrid w:val="0"/>
        <w:spacing w:line="400" w:lineRule="exact"/>
        <w:ind w:firstLine="480" w:firstLineChars="200"/>
        <w:rPr>
          <w:color w:val="000000"/>
          <w:sz w:val="24"/>
          <w:szCs w:val="24"/>
          <w:highlight w:val="none"/>
        </w:rPr>
      </w:pPr>
      <w:r>
        <w:rPr>
          <w:rFonts w:hint="eastAsia"/>
          <w:color w:val="000000"/>
          <w:sz w:val="24"/>
          <w:szCs w:val="24"/>
          <w:highlight w:val="none"/>
        </w:rPr>
        <w:t>（2）磋商文件澄清、答复、修改、补充的内容为磋商文件的组成部分。当磋商文件与磋商文件的答复、澄清、修改、补充通知就同一内容的表述不一致时，以最后发出的书面文件为准。</w:t>
      </w:r>
    </w:p>
    <w:p>
      <w:pPr>
        <w:pStyle w:val="22"/>
        <w:snapToGrid w:val="0"/>
        <w:spacing w:line="400" w:lineRule="exact"/>
        <w:ind w:firstLine="480" w:firstLineChars="200"/>
        <w:rPr>
          <w:color w:val="000000"/>
          <w:sz w:val="24"/>
          <w:szCs w:val="24"/>
          <w:highlight w:val="none"/>
        </w:rPr>
      </w:pPr>
      <w:r>
        <w:rPr>
          <w:rFonts w:hint="eastAsia"/>
          <w:color w:val="000000"/>
          <w:sz w:val="24"/>
          <w:szCs w:val="24"/>
          <w:highlight w:val="none"/>
        </w:rPr>
        <w:t>（3）磋商文件的澄清、答复、修改或补充都应该通过本集中采购机构以法定形式发布，采购人非通过本机构，不得擅自澄清、答复、修改或补充磋商文件。</w:t>
      </w:r>
    </w:p>
    <w:p>
      <w:pPr>
        <w:pStyle w:val="22"/>
        <w:snapToGrid w:val="0"/>
        <w:spacing w:line="400" w:lineRule="exact"/>
        <w:ind w:firstLine="480" w:firstLineChars="200"/>
        <w:rPr>
          <w:color w:val="000000"/>
          <w:sz w:val="24"/>
          <w:szCs w:val="24"/>
          <w:highlight w:val="none"/>
        </w:rPr>
      </w:pPr>
      <w:r>
        <w:rPr>
          <w:rFonts w:hint="eastAsia"/>
          <w:color w:val="000000"/>
          <w:sz w:val="24"/>
          <w:szCs w:val="24"/>
          <w:highlight w:val="none"/>
        </w:rPr>
        <w:t>（4）因供应商提供联系资料错误等原因导致集中采购机构未能将有关澄清、答复、修改或补充通知送达供应商或通知供应商前来领取的，责任由供应商自负。</w:t>
      </w:r>
    </w:p>
    <w:p>
      <w:pPr>
        <w:pStyle w:val="22"/>
        <w:snapToGrid w:val="0"/>
        <w:spacing w:line="400" w:lineRule="exact"/>
        <w:ind w:firstLine="482" w:firstLineChars="200"/>
        <w:rPr>
          <w:b/>
          <w:color w:val="000000"/>
          <w:sz w:val="24"/>
          <w:szCs w:val="22"/>
          <w:highlight w:val="none"/>
        </w:rPr>
      </w:pPr>
      <w:r>
        <w:rPr>
          <w:rFonts w:hint="eastAsia"/>
          <w:b/>
          <w:color w:val="000000"/>
          <w:sz w:val="24"/>
          <w:szCs w:val="22"/>
          <w:highlight w:val="none"/>
        </w:rPr>
        <w:t>2.3.2供应商确认收到磋商文件澄清、修改的时间：</w:t>
      </w:r>
      <w:r>
        <w:rPr>
          <w:rFonts w:hint="eastAsia"/>
          <w:kern w:val="0"/>
          <w:sz w:val="24"/>
          <w:highlight w:val="none"/>
        </w:rPr>
        <w:t>见供应商须知前附表。</w:t>
      </w:r>
    </w:p>
    <w:p>
      <w:pPr>
        <w:snapToGrid w:val="0"/>
        <w:spacing w:line="400" w:lineRule="exact"/>
        <w:ind w:firstLine="472" w:firstLineChars="196"/>
        <w:jc w:val="left"/>
        <w:outlineLvl w:val="2"/>
        <w:rPr>
          <w:rFonts w:ascii="宋体"/>
          <w:b/>
          <w:color w:val="000000"/>
          <w:sz w:val="24"/>
          <w:highlight w:val="none"/>
        </w:rPr>
      </w:pPr>
      <w:bookmarkStart w:id="151" w:name="_Toc8994"/>
      <w:bookmarkStart w:id="152" w:name="_Toc9743"/>
      <w:bookmarkStart w:id="153" w:name="_Toc15723"/>
      <w:bookmarkStart w:id="154" w:name="_Toc30747"/>
      <w:r>
        <w:rPr>
          <w:rFonts w:hint="eastAsia" w:ascii="宋体"/>
          <w:b/>
          <w:color w:val="000000"/>
          <w:sz w:val="24"/>
          <w:highlight w:val="none"/>
        </w:rPr>
        <w:t>2.4质疑和投诉</w:t>
      </w:r>
      <w:bookmarkEnd w:id="81"/>
      <w:bookmarkEnd w:id="82"/>
      <w:bookmarkEnd w:id="151"/>
      <w:bookmarkEnd w:id="152"/>
      <w:bookmarkEnd w:id="153"/>
      <w:bookmarkEnd w:id="154"/>
    </w:p>
    <w:p>
      <w:pPr>
        <w:pStyle w:val="22"/>
        <w:snapToGrid w:val="0"/>
        <w:spacing w:line="400" w:lineRule="exact"/>
        <w:ind w:firstLine="480" w:firstLineChars="200"/>
        <w:rPr>
          <w:rFonts w:cs="宋体"/>
          <w:color w:val="000000"/>
          <w:kern w:val="0"/>
          <w:sz w:val="24"/>
          <w:szCs w:val="22"/>
          <w:highlight w:val="none"/>
        </w:rPr>
      </w:pPr>
      <w:r>
        <w:rPr>
          <w:rFonts w:hint="eastAsia" w:cs="宋体"/>
          <w:color w:val="000000"/>
          <w:kern w:val="0"/>
          <w:sz w:val="24"/>
          <w:szCs w:val="22"/>
          <w:highlight w:val="none"/>
        </w:rPr>
        <w:t>（1）供应商认为磋商文件、招标过程或中标结果使自己的合法权益受到损害的，应当在知道或者应知其权益受到损害之日起七个工作日内，以书面形式向采购人、集中采购机构提出质疑。供应商对采购人的质疑答复不满意或者采购人未在规定时间内作出答复的，可以在答复期满后十五个工作日内向同级采购监管部门投诉。</w:t>
      </w:r>
    </w:p>
    <w:p>
      <w:pPr>
        <w:pStyle w:val="22"/>
        <w:snapToGrid w:val="0"/>
        <w:spacing w:line="400" w:lineRule="exact"/>
        <w:ind w:firstLine="480" w:firstLineChars="200"/>
        <w:rPr>
          <w:highlight w:val="none"/>
        </w:rPr>
      </w:pPr>
      <w:r>
        <w:rPr>
          <w:rFonts w:hint="eastAsia" w:cs="宋体"/>
          <w:color w:val="000000"/>
          <w:kern w:val="0"/>
          <w:sz w:val="24"/>
          <w:szCs w:val="22"/>
          <w:highlight w:val="none"/>
        </w:rPr>
        <w:t>（2）质疑、投诉应当采用书面形式，质疑书、投诉书均应明确阐述磋商文件、招标过程或中标结果中使自己合法权益受到损害的实质性内容，提供相关事实、依据和证据及其来源或线索，便于有关单位调查、答复和处理。</w:t>
      </w:r>
      <w:bookmarkEnd w:id="13"/>
      <w:bookmarkEnd w:id="14"/>
      <w:bookmarkEnd w:id="15"/>
      <w:bookmarkEnd w:id="16"/>
      <w:bookmarkEnd w:id="17"/>
      <w:bookmarkEnd w:id="18"/>
      <w:bookmarkStart w:id="155" w:name="_Toc459227606"/>
      <w:bookmarkStart w:id="156" w:name="_Toc459227373"/>
      <w:bookmarkStart w:id="157" w:name="_Toc468535459"/>
      <w:bookmarkStart w:id="158" w:name="_Toc459223847"/>
      <w:bookmarkStart w:id="159" w:name="_Toc459297213"/>
      <w:bookmarkStart w:id="160" w:name="_Toc459226623"/>
    </w:p>
    <w:bookmarkEnd w:id="155"/>
    <w:bookmarkEnd w:id="156"/>
    <w:bookmarkEnd w:id="157"/>
    <w:bookmarkEnd w:id="158"/>
    <w:bookmarkEnd w:id="159"/>
    <w:bookmarkEnd w:id="160"/>
    <w:p>
      <w:pPr>
        <w:snapToGrid w:val="0"/>
        <w:spacing w:before="120" w:beforeLines="50" w:line="400" w:lineRule="exact"/>
        <w:ind w:firstLine="472" w:firstLineChars="196"/>
        <w:jc w:val="left"/>
        <w:outlineLvl w:val="2"/>
        <w:rPr>
          <w:rFonts w:ascii="宋体"/>
          <w:sz w:val="28"/>
          <w:szCs w:val="28"/>
          <w:highlight w:val="none"/>
        </w:rPr>
      </w:pPr>
      <w:bookmarkStart w:id="161" w:name="_Toc5865"/>
      <w:bookmarkStart w:id="162" w:name="_Toc19336"/>
      <w:bookmarkStart w:id="163" w:name="_Toc23307"/>
      <w:bookmarkStart w:id="164" w:name="_Toc17412"/>
      <w:r>
        <w:rPr>
          <w:rFonts w:hint="eastAsia" w:ascii="宋体"/>
          <w:b/>
          <w:color w:val="000000"/>
          <w:sz w:val="24"/>
          <w:highlight w:val="none"/>
        </w:rPr>
        <w:t>2.5供应商的风险</w:t>
      </w:r>
      <w:bookmarkEnd w:id="161"/>
      <w:bookmarkEnd w:id="162"/>
      <w:bookmarkEnd w:id="163"/>
      <w:bookmarkEnd w:id="164"/>
    </w:p>
    <w:p>
      <w:pPr>
        <w:pStyle w:val="22"/>
        <w:snapToGrid w:val="0"/>
        <w:spacing w:line="400" w:lineRule="exact"/>
        <w:ind w:firstLine="480" w:firstLineChars="200"/>
        <w:rPr>
          <w:rFonts w:cs="宋体"/>
          <w:color w:val="000000"/>
          <w:kern w:val="0"/>
          <w:sz w:val="24"/>
          <w:szCs w:val="22"/>
          <w:highlight w:val="none"/>
        </w:rPr>
      </w:pPr>
      <w:r>
        <w:rPr>
          <w:rFonts w:hint="eastAsia" w:cs="宋体"/>
          <w:color w:val="000000"/>
          <w:kern w:val="0"/>
          <w:sz w:val="24"/>
          <w:szCs w:val="22"/>
          <w:highlight w:val="none"/>
        </w:rPr>
        <w:t>供应商应认真阅读磋商文件中所有的事项、格式、条款和技术规范、参数及相关要求等。供应商没有按照磋商文件要求提交全部资料，或者磋商没有对磋商文件在各方面都做出实质性响应是供应商的风险，有可能导致其磋商被拒绝，或被按照无效磋商处理或被确定为磋商无效。</w:t>
      </w:r>
    </w:p>
    <w:p>
      <w:pPr>
        <w:pStyle w:val="7"/>
        <w:spacing w:before="0" w:after="0" w:line="400" w:lineRule="exact"/>
        <w:jc w:val="both"/>
        <w:rPr>
          <w:rFonts w:ascii="黑体" w:eastAsia="黑体" w:cs="Times New Roman"/>
          <w:b w:val="0"/>
          <w:highlight w:val="none"/>
        </w:rPr>
      </w:pPr>
      <w:bookmarkStart w:id="165" w:name="_Toc468535460"/>
      <w:bookmarkStart w:id="166" w:name="_Toc31373"/>
      <w:bookmarkStart w:id="167" w:name="_Toc11149"/>
      <w:bookmarkStart w:id="168" w:name="_Toc357"/>
      <w:bookmarkStart w:id="169" w:name="_Toc12638"/>
      <w:bookmarkStart w:id="170" w:name="_Toc13680"/>
      <w:bookmarkStart w:id="171" w:name="_Toc24524"/>
      <w:bookmarkStart w:id="172" w:name="_Toc17987"/>
      <w:bookmarkStart w:id="173" w:name="_Toc524600093"/>
      <w:bookmarkStart w:id="174" w:name="_Toc459223848"/>
      <w:bookmarkStart w:id="175" w:name="_Toc21376"/>
      <w:bookmarkStart w:id="176" w:name="_Toc22926"/>
      <w:bookmarkStart w:id="177" w:name="_Toc459227607"/>
      <w:bookmarkStart w:id="178" w:name="_Toc31406"/>
      <w:bookmarkStart w:id="179" w:name="_Toc17723"/>
      <w:bookmarkStart w:id="180" w:name="_Toc16268"/>
      <w:bookmarkStart w:id="181" w:name="_Toc3316"/>
      <w:bookmarkStart w:id="182" w:name="_Toc808"/>
      <w:bookmarkStart w:id="183" w:name="_Toc7796"/>
      <w:bookmarkStart w:id="184" w:name="_Toc459227374"/>
      <w:bookmarkStart w:id="185" w:name="_Toc27612"/>
      <w:bookmarkStart w:id="186" w:name="_Toc2622"/>
      <w:bookmarkStart w:id="187" w:name="_Toc15854"/>
      <w:bookmarkStart w:id="188" w:name="_Toc27158"/>
      <w:bookmarkStart w:id="189" w:name="_Toc3957"/>
      <w:bookmarkStart w:id="190" w:name="_Toc459226624"/>
      <w:bookmarkStart w:id="191" w:name="_Toc18436"/>
      <w:bookmarkStart w:id="192" w:name="_Toc23140"/>
      <w:bookmarkStart w:id="193" w:name="_Toc5874"/>
      <w:bookmarkStart w:id="194" w:name="_Toc27992"/>
      <w:bookmarkStart w:id="195" w:name="_Toc459297214"/>
      <w:bookmarkStart w:id="196" w:name="_Toc9484"/>
      <w:bookmarkStart w:id="197" w:name="_Toc27511"/>
      <w:bookmarkStart w:id="198" w:name="_Toc8224"/>
      <w:bookmarkStart w:id="199" w:name="_Toc21013"/>
      <w:bookmarkStart w:id="200" w:name="_Toc6010"/>
      <w:r>
        <w:rPr>
          <w:rFonts w:hint="eastAsia" w:ascii="黑体" w:eastAsia="黑体" w:cs="Times New Roman"/>
          <w:b w:val="0"/>
          <w:highlight w:val="none"/>
        </w:rPr>
        <w:t>3.磋商响应文件的编制</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pPr>
        <w:snapToGrid w:val="0"/>
        <w:spacing w:line="400" w:lineRule="exact"/>
        <w:ind w:firstLine="470"/>
        <w:jc w:val="left"/>
        <w:outlineLvl w:val="2"/>
        <w:rPr>
          <w:rFonts w:ascii="宋体"/>
          <w:b/>
          <w:sz w:val="24"/>
          <w:highlight w:val="none"/>
        </w:rPr>
      </w:pPr>
      <w:bookmarkStart w:id="201" w:name="_Toc12757"/>
      <w:bookmarkStart w:id="202" w:name="_Toc26129"/>
      <w:bookmarkStart w:id="203" w:name="_Toc28510"/>
      <w:bookmarkStart w:id="204" w:name="_Toc26141"/>
      <w:r>
        <w:rPr>
          <w:rFonts w:hint="eastAsia" w:ascii="宋体"/>
          <w:b/>
          <w:sz w:val="24"/>
          <w:highlight w:val="none"/>
        </w:rPr>
        <w:t>3.1磋商响应文件的</w:t>
      </w:r>
      <w:bookmarkEnd w:id="201"/>
      <w:bookmarkEnd w:id="202"/>
      <w:bookmarkEnd w:id="203"/>
      <w:bookmarkEnd w:id="204"/>
      <w:r>
        <w:rPr>
          <w:rFonts w:hint="eastAsia" w:ascii="宋体" w:hAnsi="宋体"/>
          <w:b/>
          <w:sz w:val="24"/>
          <w:highlight w:val="none"/>
        </w:rPr>
        <w:t>形式：</w:t>
      </w:r>
      <w:r>
        <w:rPr>
          <w:rFonts w:hint="eastAsia" w:ascii="宋体"/>
          <w:kern w:val="0"/>
          <w:sz w:val="24"/>
          <w:highlight w:val="none"/>
        </w:rPr>
        <w:t>见参加磋商须知前附表。</w:t>
      </w:r>
    </w:p>
    <w:p>
      <w:pPr>
        <w:snapToGrid w:val="0"/>
        <w:spacing w:line="400" w:lineRule="exact"/>
        <w:ind w:firstLine="470"/>
        <w:jc w:val="left"/>
        <w:outlineLvl w:val="2"/>
        <w:rPr>
          <w:rFonts w:ascii="宋体"/>
          <w:b/>
          <w:sz w:val="24"/>
          <w:highlight w:val="none"/>
        </w:rPr>
      </w:pPr>
      <w:bookmarkStart w:id="205" w:name="_Toc32485"/>
      <w:bookmarkStart w:id="206" w:name="_Toc15749"/>
      <w:bookmarkStart w:id="207" w:name="_Toc32683"/>
      <w:bookmarkStart w:id="208" w:name="_Toc3105"/>
      <w:r>
        <w:rPr>
          <w:rFonts w:hint="eastAsia" w:ascii="宋体"/>
          <w:b/>
          <w:sz w:val="24"/>
          <w:highlight w:val="none"/>
        </w:rPr>
        <w:t>3.2磋商响应文件编制</w:t>
      </w:r>
      <w:bookmarkEnd w:id="205"/>
      <w:bookmarkEnd w:id="206"/>
      <w:bookmarkEnd w:id="207"/>
      <w:bookmarkEnd w:id="208"/>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 xml:space="preserve">3.2.1磋商响应文件的编制 </w:t>
      </w:r>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（1）磋商响应文件制作时，应按照统一的磋商文件中明确的磋商响应文件目录和磋商技术规格、参数及相关要求格式进行编制，保证目录清晰、内容完整。</w:t>
      </w:r>
    </w:p>
    <w:p>
      <w:pPr>
        <w:pStyle w:val="9"/>
        <w:spacing w:line="400" w:lineRule="exact"/>
        <w:ind w:firstLine="484" w:firstLineChars="201"/>
        <w:rPr>
          <w:rFonts w:ascii="宋体"/>
          <w:color w:val="000000"/>
          <w:sz w:val="24"/>
          <w:highlight w:val="none"/>
        </w:rPr>
      </w:pPr>
      <w:r>
        <w:rPr>
          <w:rFonts w:hint="eastAsia" w:asciiTheme="minorEastAsia" w:hAnsiTheme="minorEastAsia" w:eastAsiaTheme="minorEastAsia" w:cstheme="minorEastAsia"/>
          <w:b/>
          <w:sz w:val="24"/>
          <w:szCs w:val="24"/>
          <w:highlight w:val="none"/>
        </w:rPr>
        <w:t>（2）供应商应根据本磋商文件和电子交易平台规定的格式和顺序编制电子磋商响应文件并进行关联定位，磋商响应文件内容不完整、编排混乱、关联错误导致磋商响应文件被误读、漏读或者查找不到相关内容的，由供应商自行承担责任。</w:t>
      </w:r>
    </w:p>
    <w:p>
      <w:pPr>
        <w:pStyle w:val="9"/>
        <w:spacing w:line="400" w:lineRule="exact"/>
        <w:ind w:firstLine="482" w:firstLineChars="201"/>
        <w:rPr>
          <w:rFonts w:ascii="宋体"/>
          <w:color w:val="000000"/>
          <w:sz w:val="24"/>
          <w:highlight w:val="none"/>
        </w:rPr>
      </w:pPr>
      <w:r>
        <w:rPr>
          <w:rFonts w:hint="eastAsia" w:ascii="宋体" w:cs="宋体"/>
          <w:color w:val="000000"/>
          <w:sz w:val="24"/>
          <w:szCs w:val="24"/>
          <w:highlight w:val="none"/>
          <w:lang w:val="zh-CN"/>
        </w:rPr>
        <w:t>▲</w:t>
      </w:r>
      <w:r>
        <w:rPr>
          <w:rFonts w:hint="eastAsia" w:ascii="宋体"/>
          <w:color w:val="000000"/>
          <w:sz w:val="24"/>
          <w:highlight w:val="none"/>
        </w:rPr>
        <w:t xml:space="preserve">3.2.2供应商应完整地填写磋商文件中提供的《磋商函》、《磋商一览表》、《磋商报价明细表》等磋商文件中规定的所有内容。 </w:t>
      </w:r>
    </w:p>
    <w:p>
      <w:pPr>
        <w:pStyle w:val="9"/>
        <w:spacing w:line="400" w:lineRule="exact"/>
        <w:ind w:firstLine="482" w:firstLineChars="201"/>
        <w:rPr>
          <w:rFonts w:ascii="宋体"/>
          <w:color w:val="000000"/>
          <w:sz w:val="24"/>
          <w:highlight w:val="none"/>
        </w:rPr>
      </w:pPr>
      <w:r>
        <w:rPr>
          <w:rFonts w:hint="eastAsia" w:ascii="宋体" w:cs="宋体"/>
          <w:color w:val="000000"/>
          <w:sz w:val="24"/>
          <w:szCs w:val="24"/>
          <w:highlight w:val="none"/>
          <w:lang w:val="zh-CN"/>
        </w:rPr>
        <w:t>▲</w:t>
      </w:r>
      <w:r>
        <w:rPr>
          <w:rFonts w:hint="eastAsia" w:ascii="宋体"/>
          <w:color w:val="000000"/>
          <w:sz w:val="24"/>
          <w:highlight w:val="none"/>
        </w:rPr>
        <w:t>3.2.3供应商必须保证磋商响应文件所提供的全部资料真实可靠，并接受采购人对其中任何资料进一步核实的要求。</w:t>
      </w:r>
    </w:p>
    <w:p>
      <w:pPr>
        <w:pStyle w:val="9"/>
        <w:snapToGrid w:val="0"/>
        <w:spacing w:line="400" w:lineRule="exact"/>
        <w:ind w:firstLine="482" w:firstLineChars="201"/>
        <w:jc w:val="left"/>
        <w:rPr>
          <w:rFonts w:ascii="宋体"/>
          <w:color w:val="000000"/>
          <w:sz w:val="24"/>
          <w:highlight w:val="none"/>
        </w:rPr>
      </w:pPr>
      <w:r>
        <w:rPr>
          <w:rFonts w:hint="eastAsia" w:ascii="宋体"/>
          <w:color w:val="000000"/>
          <w:sz w:val="24"/>
          <w:highlight w:val="none"/>
        </w:rPr>
        <w:t>3.2.4构成磋商响应文件的其他材料：见供应商须知前附表。</w:t>
      </w:r>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 xml:space="preserve">供应商获取磋商文件后，应仔细检查磋商文件的所有内容，如有残缺等问题，应在获得磋商文件后3日内向集中采购机构书面提出，否则，由此引起的损失由供应商自行承担。 </w:t>
      </w:r>
    </w:p>
    <w:p>
      <w:pPr>
        <w:snapToGrid w:val="0"/>
        <w:spacing w:line="400" w:lineRule="exact"/>
        <w:ind w:firstLine="470"/>
        <w:jc w:val="left"/>
        <w:outlineLvl w:val="2"/>
        <w:rPr>
          <w:rFonts w:ascii="宋体"/>
          <w:b/>
          <w:sz w:val="24"/>
          <w:highlight w:val="none"/>
        </w:rPr>
      </w:pPr>
      <w:bookmarkStart w:id="209" w:name="_Toc22405"/>
      <w:bookmarkStart w:id="210" w:name="_Toc17211"/>
      <w:bookmarkStart w:id="211" w:name="_Toc2621"/>
      <w:bookmarkStart w:id="212" w:name="_Toc11217"/>
      <w:r>
        <w:rPr>
          <w:rFonts w:hint="eastAsia" w:ascii="宋体"/>
          <w:b/>
          <w:sz w:val="24"/>
          <w:highlight w:val="none"/>
        </w:rPr>
        <w:t>3.3磋商响应文件的形式和效力：</w:t>
      </w:r>
      <w:r>
        <w:rPr>
          <w:rFonts w:hint="eastAsia" w:ascii="宋体"/>
          <w:kern w:val="0"/>
          <w:sz w:val="24"/>
          <w:highlight w:val="none"/>
        </w:rPr>
        <w:t>见参加磋商须知前附表。</w:t>
      </w:r>
    </w:p>
    <w:p>
      <w:pPr>
        <w:snapToGrid w:val="0"/>
        <w:spacing w:line="400" w:lineRule="exact"/>
        <w:ind w:firstLine="470"/>
        <w:jc w:val="left"/>
        <w:outlineLvl w:val="2"/>
        <w:rPr>
          <w:rFonts w:ascii="宋体"/>
          <w:b/>
          <w:sz w:val="24"/>
          <w:highlight w:val="none"/>
        </w:rPr>
      </w:pPr>
      <w:r>
        <w:rPr>
          <w:rFonts w:hint="eastAsia" w:ascii="宋体"/>
          <w:b/>
          <w:sz w:val="24"/>
          <w:highlight w:val="none"/>
        </w:rPr>
        <w:t>3.4磋商报价</w:t>
      </w:r>
      <w:bookmarkEnd w:id="209"/>
      <w:bookmarkEnd w:id="210"/>
      <w:bookmarkEnd w:id="211"/>
      <w:bookmarkEnd w:id="212"/>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3.4.1磋商报价应按磋商文件中相关附表格式填写。</w:t>
      </w:r>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▲3.4.2</w:t>
      </w:r>
      <w:r>
        <w:rPr>
          <w:rFonts w:hint="eastAsia" w:ascii="宋体" w:hAnsi="宋体"/>
          <w:color w:val="000000"/>
          <w:sz w:val="24"/>
          <w:highlight w:val="none"/>
        </w:rPr>
        <w:t>磋商报价是履行合同的最终价格，供应商应根据国家的有关规定和磋商文件要求并结合企业的实际情况进行磋商报价。磋商报价以人民币为结算货币，磋商报价应是磋商文件确定的范围内的全部工作内容的价格表现，完成该项目各环节所必需的连带工作或服务、成果验收和阶段性成果的检查验收、以及政策性文件规定、合同包含的所有风险责任、其它原因应由供应商支付承担的一切费用（包括税金等）都要包括在供应商提交的磋商价格中，为供应商在磋商文件中提出的各项支付金额的总和。如有漏项，视同已包含在其总项目中，合同价格不予调整。若文字大写表示的数据与数字表示的有差别，则以文字大写表示的数据为准。磋商报价的市场风险由供应商承担，结算时，不得以任何理由调整价格；对于报价免费的项目应标明“免费”。</w:t>
      </w:r>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▲3.4.3磋商响应文件只允许有一个报价，有选择的或有条件的报价将不予接受。</w:t>
      </w:r>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3.4.4供应商应按照“第三章 采购需求”规定的货物、服务内容、责任范围以及合同条款进行报价。并按《开标一览表》和《磋商报价明细表》报出分项价格和总价。磋商总价应为优惠后的最终报价，任何报价上的优惠应体现在各分项报价中，国家规定的各项税费不得优惠。磋商总价中不得包含磋商文件要求以外的内容，否则，在评标时不予核减。磋商总价中也不得缺漏磋商文件所要求的内容，否则，在评标时将被视为已包含在磋商总价中。</w:t>
      </w:r>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▲3.4.5供应商的磋商报价超过采购项目最高限价的为无效磋商。</w:t>
      </w:r>
    </w:p>
    <w:p>
      <w:pPr>
        <w:snapToGrid w:val="0"/>
        <w:spacing w:line="400" w:lineRule="exact"/>
        <w:ind w:firstLine="470"/>
        <w:jc w:val="left"/>
        <w:outlineLvl w:val="2"/>
        <w:rPr>
          <w:rFonts w:ascii="宋体"/>
          <w:b/>
          <w:sz w:val="24"/>
          <w:highlight w:val="none"/>
        </w:rPr>
      </w:pPr>
      <w:bookmarkStart w:id="213" w:name="_Toc3962"/>
      <w:bookmarkStart w:id="214" w:name="_Toc9629"/>
      <w:bookmarkStart w:id="215" w:name="_Toc20961"/>
      <w:bookmarkStart w:id="216" w:name="_Toc21579"/>
      <w:r>
        <w:rPr>
          <w:rFonts w:hint="eastAsia" w:ascii="宋体"/>
          <w:b/>
          <w:sz w:val="24"/>
          <w:highlight w:val="none"/>
        </w:rPr>
        <w:t>3.5磋商响应文件的有效期</w:t>
      </w:r>
      <w:bookmarkEnd w:id="213"/>
      <w:bookmarkEnd w:id="214"/>
      <w:bookmarkEnd w:id="215"/>
      <w:bookmarkEnd w:id="216"/>
    </w:p>
    <w:p>
      <w:pPr>
        <w:pStyle w:val="13"/>
        <w:numPr>
          <w:ilvl w:val="0"/>
          <w:numId w:val="0"/>
        </w:numPr>
        <w:snapToGrid w:val="0"/>
        <w:spacing w:after="120" w:line="400" w:lineRule="exact"/>
        <w:ind w:firstLine="420" w:firstLineChars="175"/>
        <w:rPr>
          <w:rFonts w:ascii="宋体"/>
          <w:color w:val="000000"/>
          <w:sz w:val="24"/>
          <w:highlight w:val="none"/>
        </w:rPr>
      </w:pPr>
      <w:r>
        <w:rPr>
          <w:rFonts w:hint="eastAsia" w:ascii="宋体"/>
          <w:color w:val="000000"/>
          <w:sz w:val="24"/>
          <w:highlight w:val="none"/>
        </w:rPr>
        <w:t>▲3.5.1自磋商截止日起60天磋商响应文件应保持有效。有效期不足的磋商响应文件将被拒绝。</w:t>
      </w:r>
    </w:p>
    <w:p>
      <w:pPr>
        <w:pStyle w:val="13"/>
        <w:numPr>
          <w:ilvl w:val="0"/>
          <w:numId w:val="0"/>
        </w:numPr>
        <w:snapToGrid w:val="0"/>
        <w:spacing w:after="120" w:line="400" w:lineRule="exact"/>
        <w:ind w:firstLine="420" w:firstLineChars="175"/>
        <w:rPr>
          <w:rFonts w:ascii="宋体"/>
          <w:color w:val="000000"/>
          <w:sz w:val="24"/>
          <w:highlight w:val="none"/>
        </w:rPr>
      </w:pPr>
      <w:r>
        <w:rPr>
          <w:rFonts w:hint="eastAsia" w:ascii="宋体"/>
          <w:color w:val="000000"/>
          <w:sz w:val="24"/>
          <w:highlight w:val="none"/>
        </w:rPr>
        <w:t>3.5.2在特殊情况下，采购人可与供应商协商延长磋商响应文件的有效期，这种要求和答复均以书面形式进行。</w:t>
      </w:r>
    </w:p>
    <w:p>
      <w:pPr>
        <w:pStyle w:val="13"/>
        <w:numPr>
          <w:ilvl w:val="0"/>
          <w:numId w:val="0"/>
        </w:numPr>
        <w:snapToGrid w:val="0"/>
        <w:spacing w:after="120" w:line="400" w:lineRule="exact"/>
        <w:ind w:firstLine="420" w:firstLineChars="175"/>
        <w:rPr>
          <w:rFonts w:ascii="宋体"/>
          <w:color w:val="000000"/>
          <w:sz w:val="24"/>
          <w:highlight w:val="none"/>
        </w:rPr>
      </w:pPr>
      <w:bookmarkStart w:id="217" w:name="_Toc441483884"/>
      <w:bookmarkStart w:id="218" w:name="_Toc407605137"/>
      <w:r>
        <w:rPr>
          <w:rFonts w:hint="eastAsia" w:ascii="宋体"/>
          <w:color w:val="000000"/>
          <w:sz w:val="24"/>
          <w:highlight w:val="none"/>
        </w:rPr>
        <w:t>3.5.3供应商可拒绝接受延期要求。</w:t>
      </w:r>
      <w:r>
        <w:rPr>
          <w:rFonts w:hint="eastAsia" w:asciiTheme="minorEastAsia" w:hAnsiTheme="minorEastAsia" w:eastAsiaTheme="minorEastAsia" w:cstheme="minorEastAsia"/>
          <w:sz w:val="24"/>
          <w:szCs w:val="24"/>
          <w:highlight w:val="none"/>
        </w:rPr>
        <w:t>同意延长有效期的供应商</w:t>
      </w:r>
      <w:r>
        <w:rPr>
          <w:rFonts w:hint="eastAsia" w:ascii="宋体"/>
          <w:color w:val="000000"/>
          <w:sz w:val="24"/>
          <w:highlight w:val="none"/>
        </w:rPr>
        <w:t>不能修改磋商响应文件。</w:t>
      </w:r>
      <w:bookmarkEnd w:id="217"/>
      <w:bookmarkEnd w:id="218"/>
    </w:p>
    <w:p>
      <w:pPr>
        <w:pStyle w:val="13"/>
        <w:numPr>
          <w:ilvl w:val="0"/>
          <w:numId w:val="0"/>
        </w:numPr>
        <w:snapToGrid w:val="0"/>
        <w:spacing w:after="120" w:line="400" w:lineRule="exact"/>
        <w:ind w:firstLine="420" w:firstLineChars="175"/>
        <w:rPr>
          <w:rFonts w:ascii="宋体"/>
          <w:color w:val="000000"/>
          <w:sz w:val="24"/>
          <w:highlight w:val="none"/>
        </w:rPr>
      </w:pPr>
      <w:bookmarkStart w:id="219" w:name="_Toc441483885"/>
      <w:bookmarkStart w:id="220" w:name="_Toc407605138"/>
      <w:r>
        <w:rPr>
          <w:rFonts w:hint="eastAsia" w:ascii="宋体"/>
          <w:color w:val="000000"/>
          <w:sz w:val="24"/>
          <w:highlight w:val="none"/>
        </w:rPr>
        <w:t>3.5.4成交供应商的磋商响应文件自开标之日起至合同履行完毕止均应保持有效。</w:t>
      </w:r>
      <w:bookmarkEnd w:id="219"/>
      <w:bookmarkEnd w:id="220"/>
    </w:p>
    <w:p>
      <w:pPr>
        <w:snapToGrid w:val="0"/>
        <w:spacing w:line="400" w:lineRule="exact"/>
        <w:ind w:firstLine="470"/>
        <w:jc w:val="left"/>
        <w:outlineLvl w:val="2"/>
        <w:rPr>
          <w:rFonts w:hint="eastAsia" w:ascii="宋体" w:eastAsia="宋体"/>
          <w:b/>
          <w:sz w:val="24"/>
          <w:highlight w:val="none"/>
          <w:lang w:eastAsia="zh-CN"/>
        </w:rPr>
      </w:pPr>
      <w:bookmarkStart w:id="221" w:name="_Toc29830"/>
      <w:bookmarkStart w:id="222" w:name="_Toc19812"/>
      <w:bookmarkStart w:id="223" w:name="_Toc9284"/>
      <w:bookmarkStart w:id="224" w:name="_Toc6775"/>
      <w:r>
        <w:rPr>
          <w:rFonts w:ascii="宋体" w:hAnsi="宋体"/>
          <w:b/>
          <w:sz w:val="24"/>
          <w:highlight w:val="none"/>
        </w:rPr>
        <w:t>3.6</w:t>
      </w:r>
      <w:r>
        <w:rPr>
          <w:rFonts w:hint="eastAsia" w:ascii="宋体" w:hAnsi="宋体"/>
          <w:b/>
          <w:sz w:val="24"/>
          <w:highlight w:val="none"/>
        </w:rPr>
        <w:t>联合体</w:t>
      </w:r>
      <w:bookmarkEnd w:id="221"/>
      <w:bookmarkEnd w:id="222"/>
      <w:bookmarkEnd w:id="223"/>
      <w:bookmarkEnd w:id="224"/>
      <w:r>
        <w:rPr>
          <w:rFonts w:hint="eastAsia" w:ascii="宋体" w:hAnsi="宋体"/>
          <w:b/>
          <w:sz w:val="24"/>
          <w:highlight w:val="none"/>
          <w:lang w:eastAsia="zh-CN"/>
        </w:rPr>
        <w:t>磋商</w:t>
      </w:r>
    </w:p>
    <w:p>
      <w:pPr>
        <w:pStyle w:val="13"/>
        <w:numPr>
          <w:ilvl w:val="0"/>
          <w:numId w:val="0"/>
        </w:numPr>
        <w:snapToGrid w:val="0"/>
        <w:spacing w:after="120" w:line="400" w:lineRule="exact"/>
        <w:ind w:firstLine="420" w:firstLineChars="175"/>
        <w:rPr>
          <w:rFonts w:ascii="宋体"/>
          <w:color w:val="000000"/>
          <w:sz w:val="24"/>
          <w:highlight w:val="none"/>
        </w:rPr>
      </w:pPr>
      <w:r>
        <w:rPr>
          <w:rFonts w:ascii="宋体" w:hAnsi="宋体"/>
          <w:color w:val="000000"/>
          <w:sz w:val="24"/>
          <w:highlight w:val="none"/>
        </w:rPr>
        <w:t>3.6.1</w:t>
      </w:r>
      <w:r>
        <w:rPr>
          <w:rFonts w:hint="eastAsia" w:ascii="宋体" w:hAnsi="宋体"/>
          <w:color w:val="000000"/>
          <w:sz w:val="24"/>
          <w:highlight w:val="none"/>
        </w:rPr>
        <w:t>两个以上供应商可以组成一个联合体，以一个</w:t>
      </w:r>
      <w:r>
        <w:rPr>
          <w:rFonts w:hint="eastAsia" w:ascii="宋体" w:hAnsi="宋体"/>
          <w:color w:val="000000"/>
          <w:sz w:val="24"/>
          <w:highlight w:val="none"/>
          <w:lang w:eastAsia="zh-CN"/>
        </w:rPr>
        <w:t>响应</w:t>
      </w:r>
      <w:r>
        <w:rPr>
          <w:rFonts w:hint="eastAsia" w:ascii="宋体" w:hAnsi="宋体"/>
          <w:color w:val="000000"/>
          <w:sz w:val="24"/>
          <w:highlight w:val="none"/>
        </w:rPr>
        <w:t>人</w:t>
      </w:r>
      <w:r>
        <w:rPr>
          <w:rFonts w:hint="eastAsia" w:ascii="宋体" w:hAnsi="宋体"/>
          <w:color w:val="000000"/>
          <w:sz w:val="24"/>
          <w:highlight w:val="none"/>
          <w:lang w:eastAsia="zh-CN"/>
        </w:rPr>
        <w:t>供应商</w:t>
      </w:r>
      <w:r>
        <w:rPr>
          <w:rFonts w:hint="eastAsia" w:ascii="宋体" w:hAnsi="宋体"/>
          <w:color w:val="000000"/>
          <w:sz w:val="24"/>
          <w:highlight w:val="none"/>
        </w:rPr>
        <w:t>的身份共同参与投标。</w:t>
      </w:r>
    </w:p>
    <w:p>
      <w:pPr>
        <w:pStyle w:val="13"/>
        <w:numPr>
          <w:ilvl w:val="0"/>
          <w:numId w:val="0"/>
        </w:numPr>
        <w:snapToGrid w:val="0"/>
        <w:spacing w:after="120" w:line="400" w:lineRule="exact"/>
        <w:ind w:firstLine="420" w:firstLineChars="175"/>
        <w:rPr>
          <w:rFonts w:ascii="宋体"/>
          <w:color w:val="000000"/>
          <w:sz w:val="24"/>
          <w:highlight w:val="none"/>
        </w:rPr>
      </w:pPr>
      <w:r>
        <w:rPr>
          <w:rFonts w:ascii="宋体" w:hAnsi="宋体"/>
          <w:color w:val="000000"/>
          <w:sz w:val="24"/>
          <w:highlight w:val="none"/>
        </w:rPr>
        <w:t>3.6.2</w:t>
      </w:r>
      <w:r>
        <w:rPr>
          <w:rFonts w:hint="eastAsia" w:ascii="宋体" w:hAnsi="宋体"/>
          <w:color w:val="000000"/>
          <w:sz w:val="24"/>
          <w:highlight w:val="none"/>
        </w:rPr>
        <w:t>采取联合体形式</w:t>
      </w:r>
      <w:r>
        <w:rPr>
          <w:rFonts w:hint="eastAsia" w:ascii="宋体" w:hAnsi="宋体"/>
          <w:color w:val="000000"/>
          <w:sz w:val="24"/>
          <w:highlight w:val="none"/>
          <w:lang w:eastAsia="zh-CN"/>
        </w:rPr>
        <w:t>磋商</w:t>
      </w:r>
      <w:r>
        <w:rPr>
          <w:rFonts w:hint="eastAsia" w:ascii="宋体" w:hAnsi="宋体"/>
          <w:color w:val="000000"/>
          <w:sz w:val="24"/>
          <w:highlight w:val="none"/>
        </w:rPr>
        <w:t>的，联合体各方均应当符合政府采购法第二十二条规定的条件。采购人根据采购项目的特殊要求规定</w:t>
      </w:r>
      <w:r>
        <w:rPr>
          <w:rFonts w:hint="eastAsia" w:ascii="宋体" w:hAnsi="宋体"/>
          <w:color w:val="000000"/>
          <w:sz w:val="24"/>
          <w:highlight w:val="none"/>
          <w:lang w:eastAsia="zh-CN"/>
        </w:rPr>
        <w:t>响应</w:t>
      </w:r>
      <w:r>
        <w:rPr>
          <w:rFonts w:hint="eastAsia" w:ascii="宋体" w:hAnsi="宋体"/>
          <w:color w:val="000000"/>
          <w:sz w:val="24"/>
          <w:highlight w:val="none"/>
        </w:rPr>
        <w:t>人</w:t>
      </w:r>
      <w:r>
        <w:rPr>
          <w:rFonts w:hint="eastAsia" w:ascii="宋体" w:hAnsi="宋体"/>
          <w:color w:val="000000"/>
          <w:sz w:val="24"/>
          <w:highlight w:val="none"/>
          <w:lang w:eastAsia="zh-CN"/>
        </w:rPr>
        <w:t>供应商</w:t>
      </w:r>
      <w:r>
        <w:rPr>
          <w:rFonts w:hint="eastAsia" w:ascii="宋体" w:hAnsi="宋体"/>
          <w:color w:val="000000"/>
          <w:sz w:val="24"/>
          <w:highlight w:val="none"/>
        </w:rPr>
        <w:t>特定条件的，联合体各方中至少有一方符合</w:t>
      </w:r>
      <w:r>
        <w:rPr>
          <w:rFonts w:hint="eastAsia" w:ascii="宋体" w:hAnsi="宋体"/>
          <w:color w:val="000000"/>
          <w:sz w:val="24"/>
          <w:highlight w:val="none"/>
          <w:lang w:eastAsia="zh-CN"/>
        </w:rPr>
        <w:t>磋商</w:t>
      </w:r>
      <w:r>
        <w:rPr>
          <w:rFonts w:hint="eastAsia" w:ascii="宋体" w:hAnsi="宋体"/>
          <w:color w:val="000000"/>
          <w:sz w:val="24"/>
          <w:highlight w:val="none"/>
        </w:rPr>
        <w:t>文件规定的特定条件。</w:t>
      </w:r>
    </w:p>
    <w:p>
      <w:pPr>
        <w:pStyle w:val="13"/>
        <w:numPr>
          <w:ilvl w:val="0"/>
          <w:numId w:val="0"/>
        </w:numPr>
        <w:snapToGrid w:val="0"/>
        <w:spacing w:after="120" w:line="400" w:lineRule="exact"/>
        <w:ind w:firstLine="420" w:firstLineChars="175"/>
        <w:rPr>
          <w:rFonts w:ascii="宋体"/>
          <w:color w:val="000000"/>
          <w:sz w:val="24"/>
          <w:highlight w:val="none"/>
        </w:rPr>
      </w:pPr>
      <w:r>
        <w:rPr>
          <w:rFonts w:ascii="宋体" w:hAnsi="宋体"/>
          <w:color w:val="000000"/>
          <w:sz w:val="24"/>
          <w:highlight w:val="none"/>
        </w:rPr>
        <w:t>3.6.3</w:t>
      </w:r>
      <w:r>
        <w:rPr>
          <w:rFonts w:hint="eastAsia" w:ascii="宋体" w:hAnsi="宋体"/>
          <w:color w:val="000000"/>
          <w:sz w:val="24"/>
          <w:highlight w:val="none"/>
        </w:rPr>
        <w:t>联合体各方之间必须签订联合</w:t>
      </w:r>
      <w:r>
        <w:rPr>
          <w:rFonts w:hint="eastAsia" w:ascii="宋体" w:hAnsi="宋体"/>
          <w:color w:val="000000"/>
          <w:sz w:val="24"/>
          <w:highlight w:val="none"/>
          <w:lang w:eastAsia="zh-CN"/>
        </w:rPr>
        <w:t>磋商</w:t>
      </w:r>
      <w:r>
        <w:rPr>
          <w:rFonts w:hint="eastAsia" w:ascii="宋体" w:hAnsi="宋体"/>
          <w:color w:val="000000"/>
          <w:sz w:val="24"/>
          <w:highlight w:val="none"/>
        </w:rPr>
        <w:t>协议，明确约定联合体主体及各方承担的工作和相应的责任，其磋商响应文件中必须提供联合</w:t>
      </w:r>
      <w:r>
        <w:rPr>
          <w:rFonts w:hint="eastAsia" w:ascii="宋体" w:hAnsi="宋体"/>
          <w:color w:val="000000"/>
          <w:sz w:val="24"/>
          <w:highlight w:val="none"/>
          <w:lang w:eastAsia="zh-CN"/>
        </w:rPr>
        <w:t>磋商</w:t>
      </w:r>
      <w:r>
        <w:rPr>
          <w:rFonts w:hint="eastAsia" w:ascii="宋体" w:hAnsi="宋体"/>
          <w:color w:val="000000"/>
          <w:sz w:val="24"/>
          <w:highlight w:val="none"/>
        </w:rPr>
        <w:t>协议。</w:t>
      </w:r>
    </w:p>
    <w:p>
      <w:pPr>
        <w:pStyle w:val="13"/>
        <w:numPr>
          <w:ilvl w:val="0"/>
          <w:numId w:val="0"/>
        </w:numPr>
        <w:snapToGrid w:val="0"/>
        <w:spacing w:after="120" w:line="400" w:lineRule="exact"/>
        <w:ind w:firstLine="420" w:firstLineChars="175"/>
        <w:rPr>
          <w:rFonts w:ascii="宋体"/>
          <w:color w:val="000000"/>
          <w:sz w:val="24"/>
          <w:highlight w:val="none"/>
        </w:rPr>
      </w:pPr>
      <w:r>
        <w:rPr>
          <w:rFonts w:ascii="宋体" w:hAnsi="宋体"/>
          <w:color w:val="000000"/>
          <w:sz w:val="24"/>
          <w:highlight w:val="none"/>
        </w:rPr>
        <w:t>3.6.4</w:t>
      </w:r>
      <w:r>
        <w:rPr>
          <w:rFonts w:hint="eastAsia" w:ascii="宋体" w:hAnsi="宋体"/>
          <w:color w:val="000000"/>
          <w:sz w:val="24"/>
          <w:highlight w:val="none"/>
        </w:rPr>
        <w:t>以联合体形式参加政府采购活动的，联合体各方不得再单独参加或者与其他供应商另外组成联合体参加同一合同项下的政府采购活动。</w:t>
      </w:r>
    </w:p>
    <w:p>
      <w:pPr>
        <w:pStyle w:val="13"/>
        <w:numPr>
          <w:ilvl w:val="0"/>
          <w:numId w:val="0"/>
        </w:numPr>
        <w:snapToGrid w:val="0"/>
        <w:spacing w:after="120" w:line="400" w:lineRule="exact"/>
        <w:ind w:firstLine="420" w:firstLineChars="175"/>
        <w:rPr>
          <w:rFonts w:ascii="宋体"/>
          <w:color w:val="000000"/>
          <w:sz w:val="24"/>
          <w:highlight w:val="none"/>
        </w:rPr>
      </w:pPr>
      <w:r>
        <w:rPr>
          <w:rFonts w:ascii="宋体" w:hAnsi="宋体"/>
          <w:color w:val="000000"/>
          <w:sz w:val="24"/>
          <w:highlight w:val="none"/>
        </w:rPr>
        <w:t>3.6.5</w:t>
      </w:r>
      <w:r>
        <w:rPr>
          <w:rFonts w:hint="eastAsia" w:ascii="宋体" w:hAnsi="宋体"/>
          <w:color w:val="000000"/>
          <w:sz w:val="24"/>
          <w:highlight w:val="none"/>
        </w:rPr>
        <w:t>采取联合体形式投标的，其磋商响应文件必须由联合体所有成员或其各自正式书面授权的代表签署（盖章），以便对所有成员作为整体及作为个体均具有法律约束力。</w:t>
      </w:r>
    </w:p>
    <w:p>
      <w:pPr>
        <w:pStyle w:val="13"/>
        <w:numPr>
          <w:ilvl w:val="0"/>
          <w:numId w:val="0"/>
        </w:numPr>
        <w:snapToGrid w:val="0"/>
        <w:spacing w:after="120" w:line="400" w:lineRule="exact"/>
        <w:ind w:firstLine="420" w:firstLineChars="175"/>
        <w:rPr>
          <w:rFonts w:ascii="宋体"/>
          <w:color w:val="000000"/>
          <w:sz w:val="24"/>
          <w:highlight w:val="none"/>
        </w:rPr>
      </w:pPr>
      <w:r>
        <w:rPr>
          <w:rFonts w:ascii="宋体" w:hAnsi="宋体"/>
          <w:color w:val="000000"/>
          <w:sz w:val="24"/>
          <w:highlight w:val="none"/>
        </w:rPr>
        <w:t>3.6.6</w:t>
      </w:r>
      <w:r>
        <w:rPr>
          <w:rFonts w:hint="eastAsia" w:ascii="宋体" w:hAnsi="宋体"/>
          <w:color w:val="000000"/>
          <w:sz w:val="24"/>
          <w:highlight w:val="none"/>
        </w:rPr>
        <w:t>联合体</w:t>
      </w:r>
      <w:r>
        <w:rPr>
          <w:rFonts w:hint="eastAsia" w:ascii="宋体" w:hAnsi="宋体"/>
          <w:color w:val="000000"/>
          <w:sz w:val="24"/>
          <w:highlight w:val="none"/>
          <w:lang w:eastAsia="zh-CN"/>
        </w:rPr>
        <w:t>成交</w:t>
      </w:r>
      <w:r>
        <w:rPr>
          <w:rFonts w:hint="eastAsia" w:ascii="宋体" w:hAnsi="宋体"/>
          <w:color w:val="000000"/>
          <w:sz w:val="24"/>
          <w:highlight w:val="none"/>
        </w:rPr>
        <w:t>的，联合体各方应当共同与采购人签订采购合同。</w:t>
      </w:r>
    </w:p>
    <w:p>
      <w:pPr>
        <w:pStyle w:val="13"/>
        <w:numPr>
          <w:ilvl w:val="0"/>
          <w:numId w:val="0"/>
        </w:numPr>
        <w:snapToGrid w:val="0"/>
        <w:spacing w:after="120" w:line="400" w:lineRule="exact"/>
        <w:ind w:firstLine="420" w:firstLineChars="175"/>
        <w:rPr>
          <w:rFonts w:ascii="宋体"/>
          <w:color w:val="000000"/>
          <w:sz w:val="24"/>
          <w:highlight w:val="none"/>
        </w:rPr>
      </w:pPr>
      <w:r>
        <w:rPr>
          <w:rFonts w:ascii="宋体" w:hAnsi="宋体"/>
          <w:color w:val="000000"/>
          <w:sz w:val="24"/>
          <w:highlight w:val="none"/>
        </w:rPr>
        <w:t>3.6.7</w:t>
      </w:r>
      <w:r>
        <w:rPr>
          <w:rFonts w:hint="eastAsia" w:ascii="宋体" w:hAnsi="宋体"/>
          <w:color w:val="000000"/>
          <w:sz w:val="24"/>
          <w:highlight w:val="none"/>
        </w:rPr>
        <w:t>联合体中有同类资质的供应商按照联合体分工承担相同工作的，应当按照资质等级较低的供应商确定资质等级。</w:t>
      </w:r>
    </w:p>
    <w:p>
      <w:pPr>
        <w:snapToGrid w:val="0"/>
        <w:spacing w:line="400" w:lineRule="exact"/>
        <w:ind w:firstLine="470"/>
        <w:jc w:val="left"/>
        <w:outlineLvl w:val="2"/>
        <w:rPr>
          <w:rFonts w:ascii="宋体"/>
          <w:b/>
          <w:sz w:val="24"/>
          <w:highlight w:val="none"/>
        </w:rPr>
      </w:pPr>
      <w:bookmarkStart w:id="225" w:name="_Toc10140"/>
      <w:bookmarkStart w:id="226" w:name="_Toc4098"/>
      <w:bookmarkStart w:id="227" w:name="_Toc19643"/>
      <w:bookmarkStart w:id="228" w:name="_Toc10580"/>
      <w:r>
        <w:rPr>
          <w:rFonts w:hint="eastAsia" w:ascii="宋体"/>
          <w:b/>
          <w:sz w:val="24"/>
          <w:highlight w:val="none"/>
        </w:rPr>
        <w:t>3.7供应商资格证明文件</w:t>
      </w:r>
      <w:bookmarkEnd w:id="225"/>
      <w:bookmarkEnd w:id="226"/>
      <w:bookmarkEnd w:id="227"/>
      <w:bookmarkEnd w:id="228"/>
    </w:p>
    <w:p>
      <w:pPr>
        <w:pStyle w:val="13"/>
        <w:numPr>
          <w:ilvl w:val="0"/>
          <w:numId w:val="0"/>
        </w:numPr>
        <w:snapToGrid w:val="0"/>
        <w:spacing w:after="120" w:line="400" w:lineRule="exact"/>
        <w:ind w:firstLine="420" w:firstLineChars="175"/>
        <w:rPr>
          <w:rFonts w:ascii="宋体"/>
          <w:color w:val="000000"/>
          <w:sz w:val="24"/>
          <w:highlight w:val="none"/>
        </w:rPr>
      </w:pPr>
      <w:r>
        <w:rPr>
          <w:rFonts w:hint="eastAsia" w:ascii="宋体"/>
          <w:color w:val="000000"/>
          <w:sz w:val="24"/>
          <w:highlight w:val="none"/>
        </w:rPr>
        <w:t>3.7.1供应商应提交证明其有资格参加磋商响应和成交后有能力履行合同的文件，并作为其磋商响应文件的一部分。</w:t>
      </w:r>
    </w:p>
    <w:p>
      <w:pPr>
        <w:pStyle w:val="13"/>
        <w:numPr>
          <w:ilvl w:val="0"/>
          <w:numId w:val="0"/>
        </w:numPr>
        <w:snapToGrid w:val="0"/>
        <w:spacing w:after="120" w:line="400" w:lineRule="exact"/>
        <w:ind w:firstLine="420" w:firstLineChars="175"/>
        <w:rPr>
          <w:rFonts w:ascii="宋体"/>
          <w:color w:val="000000"/>
          <w:sz w:val="24"/>
          <w:highlight w:val="none"/>
        </w:rPr>
      </w:pPr>
      <w:r>
        <w:rPr>
          <w:rFonts w:hint="eastAsia" w:ascii="宋体"/>
          <w:color w:val="000000"/>
          <w:sz w:val="24"/>
          <w:highlight w:val="none"/>
        </w:rPr>
        <w:t>3.7.2资格证明文件必须真实可靠、不得伪造。</w:t>
      </w:r>
    </w:p>
    <w:p>
      <w:pPr>
        <w:pStyle w:val="13"/>
        <w:numPr>
          <w:ilvl w:val="0"/>
          <w:numId w:val="0"/>
        </w:numPr>
        <w:snapToGrid w:val="0"/>
        <w:spacing w:after="120" w:line="400" w:lineRule="exact"/>
        <w:ind w:firstLine="420" w:firstLineChars="175"/>
        <w:rPr>
          <w:rFonts w:ascii="宋体"/>
          <w:color w:val="000000"/>
          <w:sz w:val="24"/>
          <w:highlight w:val="none"/>
        </w:rPr>
      </w:pPr>
      <w:r>
        <w:rPr>
          <w:rFonts w:hint="eastAsia" w:ascii="宋体"/>
          <w:color w:val="000000"/>
          <w:sz w:val="24"/>
          <w:highlight w:val="none"/>
        </w:rPr>
        <w:t>3.7.3供应商相关资格证明文件：详见供应商须知前附表。</w:t>
      </w:r>
    </w:p>
    <w:p>
      <w:pPr>
        <w:pStyle w:val="13"/>
        <w:numPr>
          <w:ilvl w:val="0"/>
          <w:numId w:val="0"/>
        </w:numPr>
        <w:snapToGrid w:val="0"/>
        <w:spacing w:after="120" w:line="400" w:lineRule="exact"/>
        <w:ind w:firstLine="420" w:firstLineChars="175"/>
        <w:rPr>
          <w:rFonts w:ascii="宋体"/>
          <w:color w:val="000000"/>
          <w:sz w:val="24"/>
          <w:highlight w:val="none"/>
        </w:rPr>
      </w:pPr>
      <w:r>
        <w:rPr>
          <w:rFonts w:hint="eastAsia" w:ascii="宋体"/>
          <w:color w:val="000000"/>
          <w:sz w:val="24"/>
          <w:highlight w:val="none"/>
        </w:rPr>
        <w:t>3.7.4证明磋商响应货物、服务的合格性和符合磋商文件规定的文件。</w:t>
      </w:r>
    </w:p>
    <w:p>
      <w:pPr>
        <w:pStyle w:val="7"/>
        <w:spacing w:before="0" w:after="0" w:line="400" w:lineRule="exact"/>
        <w:jc w:val="both"/>
        <w:rPr>
          <w:rFonts w:ascii="黑体" w:eastAsia="黑体" w:cs="Times New Roman"/>
          <w:b w:val="0"/>
          <w:highlight w:val="none"/>
        </w:rPr>
      </w:pPr>
      <w:bookmarkStart w:id="229" w:name="_Toc7768"/>
      <w:bookmarkStart w:id="230" w:name="_Toc524600094"/>
      <w:bookmarkStart w:id="231" w:name="_Toc29779"/>
      <w:bookmarkStart w:id="232" w:name="_Toc459227375"/>
      <w:bookmarkStart w:id="233" w:name="_Toc4514"/>
      <w:bookmarkStart w:id="234" w:name="_Toc20040"/>
      <w:bookmarkStart w:id="235" w:name="_Toc10064"/>
      <w:bookmarkStart w:id="236" w:name="_Toc4589"/>
      <w:bookmarkStart w:id="237" w:name="_Toc23213"/>
      <w:bookmarkStart w:id="238" w:name="_Toc459226625"/>
      <w:bookmarkStart w:id="239" w:name="_Toc22226"/>
      <w:bookmarkStart w:id="240" w:name="_Toc28093"/>
      <w:bookmarkStart w:id="241" w:name="_Toc10546"/>
      <w:bookmarkStart w:id="242" w:name="_Toc22695"/>
      <w:bookmarkStart w:id="243" w:name="_Toc31039"/>
      <w:bookmarkStart w:id="244" w:name="_Toc21042"/>
      <w:bookmarkStart w:id="245" w:name="_Toc29015"/>
      <w:bookmarkStart w:id="246" w:name="_Toc16067"/>
      <w:bookmarkStart w:id="247" w:name="_Toc468535461"/>
      <w:bookmarkStart w:id="248" w:name="_Toc19796"/>
      <w:bookmarkStart w:id="249" w:name="_Toc459227608"/>
      <w:bookmarkStart w:id="250" w:name="_Toc11875"/>
      <w:bookmarkStart w:id="251" w:name="_Toc14535"/>
      <w:bookmarkStart w:id="252" w:name="_Toc1334"/>
      <w:bookmarkStart w:id="253" w:name="_Toc9232"/>
      <w:bookmarkStart w:id="254" w:name="_Toc14187"/>
      <w:bookmarkStart w:id="255" w:name="_Toc15883"/>
      <w:bookmarkStart w:id="256" w:name="_Toc23353"/>
      <w:bookmarkStart w:id="257" w:name="_Toc459223849"/>
      <w:bookmarkStart w:id="258" w:name="_Toc24264"/>
      <w:bookmarkStart w:id="259" w:name="_Toc23860"/>
      <w:bookmarkStart w:id="260" w:name="_Toc3210"/>
      <w:bookmarkStart w:id="261" w:name="_Toc459297215"/>
      <w:bookmarkStart w:id="262" w:name="_Toc19236"/>
      <w:bookmarkStart w:id="263" w:name="_Toc17377"/>
      <w:bookmarkStart w:id="264" w:name="_Toc29555"/>
      <w:r>
        <w:rPr>
          <w:rFonts w:hint="eastAsia" w:ascii="黑体" w:eastAsia="黑体" w:cs="Times New Roman"/>
          <w:b w:val="0"/>
          <w:highlight w:val="none"/>
        </w:rPr>
        <w:t>4.磋商响应文件的递交</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pPr>
        <w:pStyle w:val="9"/>
        <w:spacing w:line="400" w:lineRule="exact"/>
        <w:ind w:firstLine="482" w:firstLineChars="201"/>
        <w:outlineLvl w:val="2"/>
        <w:rPr>
          <w:rFonts w:ascii="宋体"/>
          <w:color w:val="000000"/>
          <w:sz w:val="24"/>
          <w:highlight w:val="none"/>
        </w:rPr>
      </w:pPr>
      <w:bookmarkStart w:id="265" w:name="_Toc2229"/>
      <w:bookmarkStart w:id="266" w:name="_Toc10430"/>
      <w:bookmarkStart w:id="267" w:name="_Toc7117"/>
      <w:bookmarkStart w:id="268" w:name="_Toc13624"/>
      <w:r>
        <w:rPr>
          <w:rFonts w:hint="eastAsia"/>
          <w:color w:val="000000"/>
          <w:sz w:val="24"/>
          <w:highlight w:val="none"/>
        </w:rPr>
        <w:t>▲</w:t>
      </w:r>
      <w:r>
        <w:rPr>
          <w:rFonts w:hint="eastAsia" w:ascii="宋体"/>
          <w:b/>
          <w:sz w:val="24"/>
          <w:highlight w:val="none"/>
        </w:rPr>
        <w:t>4.1</w:t>
      </w:r>
      <w:r>
        <w:rPr>
          <w:rFonts w:hint="eastAsia"/>
          <w:b/>
          <w:sz w:val="24"/>
          <w:highlight w:val="none"/>
        </w:rPr>
        <w:t>磋商响应文件的签署、密封、标记和盖章：</w:t>
      </w:r>
      <w:r>
        <w:rPr>
          <w:rFonts w:hint="eastAsia" w:ascii="宋体"/>
          <w:kern w:val="0"/>
          <w:sz w:val="24"/>
          <w:highlight w:val="none"/>
        </w:rPr>
        <w:t>见供应商须知前附表</w:t>
      </w:r>
      <w:bookmarkEnd w:id="265"/>
      <w:bookmarkEnd w:id="266"/>
      <w:bookmarkEnd w:id="267"/>
      <w:r>
        <w:rPr>
          <w:rFonts w:hint="eastAsia" w:ascii="宋体"/>
          <w:kern w:val="0"/>
          <w:sz w:val="24"/>
          <w:highlight w:val="none"/>
        </w:rPr>
        <w:t>。</w:t>
      </w:r>
      <w:bookmarkEnd w:id="268"/>
    </w:p>
    <w:p>
      <w:pPr>
        <w:pStyle w:val="22"/>
        <w:spacing w:line="400" w:lineRule="exact"/>
        <w:ind w:firstLine="484" w:firstLineChars="201"/>
        <w:contextualSpacing/>
        <w:outlineLvl w:val="2"/>
        <w:rPr>
          <w:rFonts w:ascii="Calibri"/>
          <w:b/>
          <w:sz w:val="24"/>
          <w:szCs w:val="22"/>
          <w:highlight w:val="none"/>
        </w:rPr>
      </w:pPr>
      <w:bookmarkStart w:id="269" w:name="_Toc29617"/>
      <w:bookmarkStart w:id="270" w:name="_Toc28944"/>
      <w:bookmarkStart w:id="271" w:name="_Toc10320"/>
      <w:bookmarkStart w:id="272" w:name="_Toc18874"/>
      <w:r>
        <w:rPr>
          <w:rFonts w:hint="eastAsia"/>
          <w:b/>
          <w:sz w:val="24"/>
          <w:szCs w:val="22"/>
          <w:highlight w:val="none"/>
        </w:rPr>
        <w:t>4.2</w:t>
      </w:r>
      <w:r>
        <w:rPr>
          <w:rFonts w:hint="eastAsia" w:ascii="Calibri"/>
          <w:b/>
          <w:sz w:val="24"/>
          <w:szCs w:val="22"/>
          <w:highlight w:val="none"/>
        </w:rPr>
        <w:t>磋商响应文件的提交要求</w:t>
      </w:r>
      <w:bookmarkEnd w:id="269"/>
      <w:bookmarkEnd w:id="270"/>
      <w:bookmarkEnd w:id="271"/>
      <w:bookmarkEnd w:id="272"/>
      <w:r>
        <w:rPr>
          <w:rFonts w:hint="eastAsia" w:ascii="Calibri"/>
          <w:b/>
          <w:sz w:val="24"/>
          <w:szCs w:val="22"/>
          <w:highlight w:val="none"/>
        </w:rPr>
        <w:t>和方式</w:t>
      </w:r>
    </w:p>
    <w:p>
      <w:pPr>
        <w:pStyle w:val="22"/>
        <w:spacing w:line="400" w:lineRule="exact"/>
        <w:ind w:firstLine="482" w:firstLineChars="201"/>
        <w:contextualSpacing/>
        <w:outlineLvl w:val="2"/>
        <w:rPr>
          <w:color w:val="000000"/>
          <w:sz w:val="24"/>
          <w:highlight w:val="none"/>
        </w:rPr>
      </w:pPr>
      <w:bookmarkStart w:id="273" w:name="_Toc3646"/>
      <w:bookmarkStart w:id="274" w:name="_Toc29150"/>
      <w:bookmarkStart w:id="275" w:name="_Toc14686"/>
      <w:bookmarkStart w:id="276" w:name="_Toc13819"/>
      <w:r>
        <w:rPr>
          <w:rFonts w:hint="eastAsia"/>
          <w:color w:val="000000"/>
          <w:sz w:val="24"/>
          <w:highlight w:val="none"/>
        </w:rPr>
        <w:t>4.2.1</w:t>
      </w:r>
      <w:bookmarkEnd w:id="273"/>
      <w:r>
        <w:rPr>
          <w:rFonts w:hint="eastAsia" w:hAnsi="宋体"/>
          <w:sz w:val="24"/>
          <w:szCs w:val="24"/>
          <w:highlight w:val="none"/>
          <w:lang w:val="zh-CN"/>
        </w:rPr>
        <w:t>磋商响应文件的截止时间、提交方式</w:t>
      </w:r>
      <w:r>
        <w:rPr>
          <w:rFonts w:hint="eastAsia"/>
          <w:color w:val="000000"/>
          <w:sz w:val="24"/>
          <w:highlight w:val="none"/>
        </w:rPr>
        <w:t>：见供应商须知前附表。</w:t>
      </w:r>
    </w:p>
    <w:p>
      <w:pPr>
        <w:pStyle w:val="9"/>
        <w:spacing w:line="500" w:lineRule="exact"/>
        <w:ind w:firstLine="484" w:firstLineChars="202"/>
        <w:rPr>
          <w:rFonts w:ascii="宋体"/>
          <w:b/>
          <w:color w:val="000000"/>
          <w:sz w:val="24"/>
          <w:highlight w:val="none"/>
        </w:rPr>
      </w:pPr>
      <w:r>
        <w:rPr>
          <w:rFonts w:hint="eastAsia" w:ascii="宋体"/>
          <w:color w:val="000000"/>
          <w:sz w:val="24"/>
          <w:highlight w:val="none"/>
        </w:rPr>
        <w:t>4.2.2</w:t>
      </w:r>
      <w:r>
        <w:rPr>
          <w:rFonts w:hint="eastAsia" w:asciiTheme="minorEastAsia" w:hAnsiTheme="minorEastAsia" w:eastAsiaTheme="minorEastAsia" w:cstheme="minorEastAsia"/>
          <w:sz w:val="24"/>
          <w:szCs w:val="24"/>
          <w:highlight w:val="none"/>
        </w:rPr>
        <w:t>成交供应商提交磋商响应文件和装订要求</w:t>
      </w:r>
      <w:r>
        <w:rPr>
          <w:rFonts w:hint="eastAsia"/>
          <w:sz w:val="24"/>
          <w:highlight w:val="none"/>
        </w:rPr>
        <w:t>：</w:t>
      </w:r>
      <w:r>
        <w:rPr>
          <w:rFonts w:hint="eastAsia"/>
          <w:color w:val="000000"/>
          <w:sz w:val="24"/>
          <w:highlight w:val="none"/>
        </w:rPr>
        <w:t>见供应商须知前附表。</w:t>
      </w:r>
    </w:p>
    <w:p>
      <w:pPr>
        <w:pStyle w:val="22"/>
        <w:spacing w:line="400" w:lineRule="exact"/>
        <w:ind w:firstLine="484" w:firstLineChars="201"/>
        <w:contextualSpacing/>
        <w:outlineLvl w:val="2"/>
        <w:rPr>
          <w:b/>
          <w:sz w:val="24"/>
          <w:szCs w:val="22"/>
          <w:highlight w:val="none"/>
        </w:rPr>
      </w:pPr>
      <w:bookmarkStart w:id="277" w:name="_Toc7301"/>
      <w:r>
        <w:rPr>
          <w:rFonts w:hint="eastAsia"/>
          <w:b/>
          <w:sz w:val="24"/>
          <w:szCs w:val="22"/>
          <w:highlight w:val="none"/>
        </w:rPr>
        <w:t>4.3迟交的</w:t>
      </w:r>
      <w:bookmarkEnd w:id="274"/>
      <w:bookmarkEnd w:id="275"/>
      <w:bookmarkEnd w:id="276"/>
      <w:bookmarkEnd w:id="277"/>
      <w:r>
        <w:rPr>
          <w:rFonts w:hint="eastAsia"/>
          <w:b/>
          <w:sz w:val="24"/>
          <w:szCs w:val="22"/>
          <w:highlight w:val="none"/>
        </w:rPr>
        <w:t>磋商响应文件</w:t>
      </w:r>
    </w:p>
    <w:p>
      <w:pPr>
        <w:pStyle w:val="9"/>
        <w:spacing w:line="500" w:lineRule="exact"/>
        <w:ind w:firstLine="484" w:firstLineChars="202"/>
        <w:rPr>
          <w:rFonts w:ascii="宋体"/>
          <w:color w:val="000000"/>
          <w:sz w:val="24"/>
          <w:highlight w:val="none"/>
        </w:rPr>
      </w:pPr>
      <w:r>
        <w:rPr>
          <w:rFonts w:hint="eastAsia" w:ascii="宋体"/>
          <w:color w:val="000000"/>
          <w:sz w:val="24"/>
          <w:highlight w:val="none"/>
        </w:rPr>
        <w:t>采购人将拒绝并原封退回在规定的截止期后收到的任何磋商响应文件。</w:t>
      </w:r>
    </w:p>
    <w:p>
      <w:pPr>
        <w:pStyle w:val="22"/>
        <w:spacing w:line="400" w:lineRule="exact"/>
        <w:ind w:firstLine="484" w:firstLineChars="201"/>
        <w:contextualSpacing/>
        <w:outlineLvl w:val="2"/>
        <w:rPr>
          <w:b/>
          <w:sz w:val="24"/>
          <w:szCs w:val="22"/>
          <w:highlight w:val="none"/>
        </w:rPr>
      </w:pPr>
      <w:bookmarkStart w:id="278" w:name="_Toc32699"/>
      <w:bookmarkStart w:id="279" w:name="_Toc28105"/>
      <w:bookmarkStart w:id="280" w:name="_Toc30831"/>
      <w:bookmarkStart w:id="281" w:name="_Toc31238"/>
      <w:r>
        <w:rPr>
          <w:rFonts w:hint="eastAsia"/>
          <w:b/>
          <w:sz w:val="24"/>
          <w:szCs w:val="22"/>
          <w:highlight w:val="none"/>
        </w:rPr>
        <w:t>4.4磋商响应文件的修改和撤回</w:t>
      </w:r>
      <w:bookmarkEnd w:id="278"/>
      <w:bookmarkEnd w:id="279"/>
      <w:bookmarkEnd w:id="280"/>
      <w:bookmarkEnd w:id="281"/>
    </w:p>
    <w:p>
      <w:pPr>
        <w:pStyle w:val="9"/>
        <w:spacing w:line="500" w:lineRule="exact"/>
        <w:ind w:firstLine="484" w:firstLineChars="202"/>
        <w:rPr>
          <w:color w:val="000000"/>
          <w:sz w:val="24"/>
          <w:highlight w:val="none"/>
        </w:rPr>
      </w:pPr>
      <w:r>
        <w:rPr>
          <w:rFonts w:hint="eastAsia" w:ascii="宋体"/>
          <w:color w:val="000000"/>
          <w:sz w:val="24"/>
          <w:highlight w:val="none"/>
        </w:rPr>
        <w:t>4.4.1供应商在磋商文件规定的磋商响应截止时间前，可以</w:t>
      </w:r>
      <w:r>
        <w:rPr>
          <w:rFonts w:hint="eastAsia"/>
          <w:color w:val="000000"/>
          <w:sz w:val="24"/>
          <w:highlight w:val="none"/>
        </w:rPr>
        <w:t>对已提交的磋商响应文件进行修改或撤回</w:t>
      </w:r>
      <w:r>
        <w:rPr>
          <w:rFonts w:hint="eastAsia" w:ascii="宋体"/>
          <w:color w:val="000000"/>
          <w:sz w:val="24"/>
          <w:highlight w:val="none"/>
        </w:rPr>
        <w:t>。如要修改，必须在撤回并修改后在规定的磋商响应截止时间之前将修改后的磋商响应文件再重新递交。</w:t>
      </w:r>
      <w:r>
        <w:rPr>
          <w:rFonts w:hint="eastAsia"/>
          <w:color w:val="000000"/>
          <w:sz w:val="24"/>
          <w:highlight w:val="none"/>
        </w:rPr>
        <w:t>磋商响应截止时间后，供应商不得撤回、修改磋商响应文件。修改后重新递交的磋商响应文件应当按本磋商文件的要求签署、盖章。</w:t>
      </w:r>
    </w:p>
    <w:p>
      <w:pPr>
        <w:pStyle w:val="9"/>
        <w:spacing w:line="500" w:lineRule="exact"/>
        <w:ind w:firstLine="484" w:firstLineChars="202"/>
        <w:rPr>
          <w:rFonts w:ascii="宋体"/>
          <w:color w:val="000000"/>
          <w:sz w:val="24"/>
          <w:highlight w:val="none"/>
        </w:rPr>
      </w:pPr>
      <w:r>
        <w:rPr>
          <w:rFonts w:hint="eastAsia" w:ascii="宋体"/>
          <w:color w:val="000000"/>
          <w:sz w:val="24"/>
          <w:highlight w:val="none"/>
        </w:rPr>
        <w:t>4.4.2供应商所提交的磋商响应文件在磋商结束后，无论成交与否都不退还。</w:t>
      </w:r>
    </w:p>
    <w:p>
      <w:pPr>
        <w:pStyle w:val="7"/>
        <w:spacing w:before="0" w:after="0" w:line="400" w:lineRule="exact"/>
        <w:jc w:val="both"/>
        <w:rPr>
          <w:rFonts w:ascii="黑体" w:eastAsia="黑体" w:cs="Times New Roman"/>
          <w:b w:val="0"/>
          <w:highlight w:val="none"/>
        </w:rPr>
      </w:pPr>
      <w:bookmarkStart w:id="282" w:name="_Toc28272"/>
      <w:bookmarkStart w:id="283" w:name="_Toc21775"/>
      <w:bookmarkStart w:id="284" w:name="_Toc459227609"/>
      <w:bookmarkStart w:id="285" w:name="_Toc10279"/>
      <w:bookmarkStart w:id="286" w:name="_Toc28044"/>
      <w:bookmarkStart w:id="287" w:name="_Toc28665"/>
      <w:bookmarkStart w:id="288" w:name="_Toc6823"/>
      <w:bookmarkStart w:id="289" w:name="_Toc22851"/>
      <w:bookmarkStart w:id="290" w:name="_Toc459297216"/>
      <w:bookmarkStart w:id="291" w:name="_Toc17604"/>
      <w:bookmarkStart w:id="292" w:name="_Toc459223850"/>
      <w:bookmarkStart w:id="293" w:name="_Toc10357"/>
      <w:bookmarkStart w:id="294" w:name="_Toc14403"/>
      <w:bookmarkStart w:id="295" w:name="_Toc12935"/>
      <w:bookmarkStart w:id="296" w:name="_Toc29327"/>
      <w:bookmarkStart w:id="297" w:name="_Toc6438"/>
      <w:bookmarkStart w:id="298" w:name="_Toc3941"/>
      <w:bookmarkStart w:id="299" w:name="_Toc3309"/>
      <w:bookmarkStart w:id="300" w:name="_Toc24064"/>
      <w:bookmarkStart w:id="301" w:name="_Toc25905"/>
      <w:bookmarkStart w:id="302" w:name="_Toc23985"/>
      <w:bookmarkStart w:id="303" w:name="_Toc21020"/>
      <w:bookmarkStart w:id="304" w:name="_Toc9828"/>
      <w:bookmarkStart w:id="305" w:name="_Toc459227376"/>
      <w:bookmarkStart w:id="306" w:name="_Toc30928"/>
      <w:bookmarkStart w:id="307" w:name="_Toc2880"/>
      <w:bookmarkStart w:id="308" w:name="_Toc24319"/>
      <w:bookmarkStart w:id="309" w:name="_Toc3793"/>
      <w:bookmarkStart w:id="310" w:name="_Toc13452"/>
      <w:bookmarkStart w:id="311" w:name="_Toc27844"/>
      <w:bookmarkStart w:id="312" w:name="_Toc27085"/>
      <w:bookmarkStart w:id="313" w:name="_Toc26596"/>
      <w:bookmarkStart w:id="314" w:name="_Toc459226626"/>
      <w:bookmarkStart w:id="315" w:name="_Toc27113"/>
      <w:bookmarkStart w:id="316" w:name="_Toc468535462"/>
      <w:bookmarkStart w:id="317" w:name="_Toc524600095"/>
      <w:r>
        <w:rPr>
          <w:rFonts w:hint="eastAsia" w:ascii="黑体" w:eastAsia="黑体" w:cs="Times New Roman"/>
          <w:b w:val="0"/>
          <w:highlight w:val="none"/>
        </w:rPr>
        <w:t>5.磋商步骤</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pPr>
        <w:pStyle w:val="22"/>
        <w:spacing w:line="400" w:lineRule="exact"/>
        <w:ind w:firstLine="484" w:firstLineChars="201"/>
        <w:contextualSpacing/>
        <w:outlineLvl w:val="2"/>
        <w:rPr>
          <w:b/>
          <w:sz w:val="24"/>
          <w:szCs w:val="22"/>
          <w:highlight w:val="none"/>
        </w:rPr>
      </w:pPr>
      <w:bookmarkStart w:id="318" w:name="_Toc15778"/>
      <w:bookmarkStart w:id="319" w:name="_Toc8670"/>
      <w:bookmarkStart w:id="320" w:name="_Toc14157"/>
      <w:bookmarkStart w:id="321" w:name="_Toc2461"/>
      <w:r>
        <w:rPr>
          <w:rFonts w:hint="eastAsia"/>
          <w:b/>
          <w:sz w:val="24"/>
          <w:szCs w:val="22"/>
          <w:highlight w:val="none"/>
        </w:rPr>
        <w:t>5.1磋商</w:t>
      </w:r>
      <w:bookmarkEnd w:id="318"/>
      <w:bookmarkEnd w:id="319"/>
      <w:bookmarkEnd w:id="320"/>
      <w:bookmarkEnd w:id="321"/>
      <w:r>
        <w:rPr>
          <w:rFonts w:hint="eastAsia"/>
          <w:b/>
          <w:sz w:val="24"/>
          <w:szCs w:val="22"/>
          <w:highlight w:val="none"/>
        </w:rPr>
        <w:t>时间和地点</w:t>
      </w:r>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集中采购机构将在供应商须知前附表规定的时间和地点进行磋商。</w:t>
      </w:r>
    </w:p>
    <w:p>
      <w:pPr>
        <w:pStyle w:val="22"/>
        <w:spacing w:line="400" w:lineRule="exact"/>
        <w:ind w:firstLine="484" w:firstLineChars="201"/>
        <w:contextualSpacing/>
        <w:outlineLvl w:val="2"/>
        <w:rPr>
          <w:b/>
          <w:sz w:val="24"/>
          <w:szCs w:val="22"/>
          <w:highlight w:val="none"/>
        </w:rPr>
      </w:pPr>
      <w:bookmarkStart w:id="322" w:name="_Toc16333"/>
      <w:bookmarkStart w:id="323" w:name="_Toc27848"/>
      <w:bookmarkStart w:id="324" w:name="_Toc10008"/>
      <w:bookmarkStart w:id="325" w:name="_Toc16003"/>
      <w:r>
        <w:rPr>
          <w:rFonts w:hint="eastAsia"/>
          <w:b/>
          <w:sz w:val="24"/>
          <w:szCs w:val="22"/>
          <w:highlight w:val="none"/>
        </w:rPr>
        <w:t>5.2磋商</w:t>
      </w:r>
      <w:bookmarkEnd w:id="322"/>
      <w:bookmarkEnd w:id="323"/>
      <w:bookmarkEnd w:id="324"/>
      <w:bookmarkEnd w:id="325"/>
      <w:r>
        <w:rPr>
          <w:rFonts w:hint="eastAsia"/>
          <w:b/>
          <w:sz w:val="24"/>
          <w:szCs w:val="22"/>
          <w:highlight w:val="none"/>
        </w:rPr>
        <w:t xml:space="preserve">程序 </w:t>
      </w:r>
    </w:p>
    <w:p>
      <w:pPr>
        <w:pStyle w:val="9"/>
        <w:spacing w:line="400" w:lineRule="exact"/>
        <w:ind w:firstLine="482" w:firstLineChars="201"/>
        <w:rPr>
          <w:rFonts w:ascii="宋体" w:hAnsi="宋体"/>
          <w:sz w:val="24"/>
          <w:highlight w:val="none"/>
        </w:rPr>
      </w:pPr>
      <w:r>
        <w:rPr>
          <w:rFonts w:hint="eastAsia" w:ascii="宋体"/>
          <w:color w:val="000000"/>
          <w:sz w:val="24"/>
          <w:highlight w:val="none"/>
        </w:rPr>
        <w:t>5.2.1</w:t>
      </w:r>
      <w:r>
        <w:rPr>
          <w:rFonts w:hint="eastAsia" w:asciiTheme="minorEastAsia" w:hAnsiTheme="minorEastAsia" w:eastAsiaTheme="minorEastAsia" w:cstheme="minorEastAsia"/>
          <w:sz w:val="24"/>
          <w:szCs w:val="24"/>
          <w:highlight w:val="none"/>
        </w:rPr>
        <w:t>采购组织机构</w:t>
      </w:r>
      <w:r>
        <w:rPr>
          <w:rFonts w:hint="eastAsia" w:ascii="宋体" w:hAnsi="宋体"/>
          <w:sz w:val="24"/>
          <w:highlight w:val="none"/>
        </w:rPr>
        <w:t>将在供应商须知前附表规定的时间和地点进行磋商。磋商评审期间，各供应商代表应在线操作，并关注政采云有关信息公布、澄清等情况，供应商</w:t>
      </w:r>
      <w:r>
        <w:rPr>
          <w:rFonts w:hint="eastAsia" w:asciiTheme="minorEastAsia" w:hAnsiTheme="minorEastAsia" w:eastAsiaTheme="minorEastAsia" w:cstheme="minorEastAsia"/>
          <w:sz w:val="24"/>
          <w:szCs w:val="24"/>
          <w:highlight w:val="none"/>
        </w:rPr>
        <w:t>如未准时在线参加的，事后不得对采购相关人员、磋商过程和磋商结果提出异议。</w:t>
      </w:r>
    </w:p>
    <w:p>
      <w:pPr>
        <w:pStyle w:val="9"/>
        <w:spacing w:line="400" w:lineRule="exact"/>
        <w:ind w:firstLine="482" w:firstLineChars="201"/>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5.2.2落实工作场地、设施，检查录音录像采集设备运行情况，验证电子交易平台是否能正常登录。</w:t>
      </w:r>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5.2.3</w:t>
      </w:r>
      <w:r>
        <w:rPr>
          <w:rFonts w:hint="eastAsia" w:ascii="宋体" w:hAnsi="宋体"/>
          <w:color w:val="000000"/>
          <w:sz w:val="24"/>
          <w:highlight w:val="none"/>
        </w:rPr>
        <w:t>磋商会由集中采购机构主持，向各投标供应商发出电子加密磋商响应文件【开始解密】通知；</w:t>
      </w:r>
      <w:r>
        <w:rPr>
          <w:rFonts w:hint="eastAsia" w:ascii="宋体"/>
          <w:color w:val="000000"/>
          <w:sz w:val="24"/>
          <w:highlight w:val="none"/>
        </w:rPr>
        <w:t>供</w:t>
      </w:r>
      <w:r>
        <w:rPr>
          <w:rFonts w:hint="eastAsia"/>
          <w:color w:val="000000"/>
          <w:sz w:val="24"/>
          <w:highlight w:val="none"/>
        </w:rPr>
        <w:t>应商各自</w:t>
      </w:r>
      <w:r>
        <w:rPr>
          <w:color w:val="000000"/>
          <w:sz w:val="24"/>
          <w:highlight w:val="none"/>
        </w:rPr>
        <w:t>登录</w:t>
      </w:r>
      <w:r>
        <w:rPr>
          <w:rFonts w:hint="eastAsia"/>
          <w:color w:val="000000"/>
          <w:sz w:val="24"/>
          <w:highlight w:val="none"/>
        </w:rPr>
        <w:t>政采云平台</w:t>
      </w:r>
      <w:r>
        <w:rPr>
          <w:color w:val="000000"/>
          <w:sz w:val="24"/>
          <w:highlight w:val="none"/>
        </w:rPr>
        <w:t>，用“</w:t>
      </w:r>
      <w:r>
        <w:rPr>
          <w:rFonts w:hint="eastAsia"/>
          <w:color w:val="000000"/>
          <w:sz w:val="24"/>
          <w:highlight w:val="none"/>
        </w:rPr>
        <w:t>项目采购-开标评标</w:t>
      </w:r>
      <w:r>
        <w:rPr>
          <w:color w:val="000000"/>
          <w:sz w:val="24"/>
          <w:highlight w:val="none"/>
        </w:rPr>
        <w:t>”功能</w:t>
      </w:r>
      <w:r>
        <w:rPr>
          <w:rFonts w:hint="eastAsia"/>
          <w:color w:val="000000"/>
          <w:sz w:val="24"/>
          <w:highlight w:val="none"/>
        </w:rPr>
        <w:t>对电子磋商响应文件进行在线解密</w:t>
      </w:r>
      <w:r>
        <w:rPr>
          <w:color w:val="000000"/>
          <w:sz w:val="24"/>
          <w:highlight w:val="none"/>
        </w:rPr>
        <w:t>。</w:t>
      </w:r>
    </w:p>
    <w:p>
      <w:pPr>
        <w:pStyle w:val="9"/>
        <w:spacing w:line="400" w:lineRule="exact"/>
        <w:ind w:firstLine="482" w:firstLineChars="201"/>
        <w:rPr>
          <w:rFonts w:asciiTheme="minorEastAsia" w:hAnsiTheme="minorEastAsia" w:eastAsiaTheme="minorEastAsia" w:cstheme="minorEastAsia"/>
          <w:sz w:val="24"/>
          <w:szCs w:val="24"/>
          <w:highlight w:val="none"/>
        </w:rPr>
      </w:pPr>
      <w:r>
        <w:rPr>
          <w:rFonts w:hint="eastAsia" w:ascii="宋体"/>
          <w:color w:val="000000"/>
          <w:sz w:val="24"/>
          <w:highlight w:val="none"/>
        </w:rPr>
        <w:t>5.2.4</w:t>
      </w:r>
      <w:r>
        <w:rPr>
          <w:rFonts w:hint="eastAsia"/>
          <w:color w:val="000000"/>
          <w:sz w:val="24"/>
          <w:highlight w:val="none"/>
        </w:rPr>
        <w:t>在线解密电子磋商响应文件时间为磋商会开始时间起30分钟内</w:t>
      </w:r>
      <w:r>
        <w:rPr>
          <w:rFonts w:hint="eastAsia" w:ascii="宋体"/>
          <w:color w:val="000000"/>
          <w:sz w:val="24"/>
          <w:highlight w:val="none"/>
        </w:rPr>
        <w:t>；</w:t>
      </w:r>
      <w:r>
        <w:rPr>
          <w:rFonts w:hint="eastAsia" w:asciiTheme="minorEastAsia" w:hAnsiTheme="minorEastAsia" w:eastAsiaTheme="minorEastAsia" w:cstheme="minorEastAsia"/>
          <w:sz w:val="24"/>
          <w:szCs w:val="24"/>
          <w:highlight w:val="none"/>
        </w:rPr>
        <w:t>供应商应当在解密时限内完成解密，如所有供应商的电子磋商响应文件都已经解密完成的，则电子交易平台自动结束解密。如有任一供应商未解密，电子交易平台会在解密时限截止时自动结束解密。</w:t>
      </w:r>
    </w:p>
    <w:p>
      <w:pPr>
        <w:pStyle w:val="9"/>
        <w:spacing w:line="400" w:lineRule="exact"/>
        <w:ind w:firstLine="482" w:firstLineChars="201"/>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解密时限内未完成解密且按规定提供了备份磋商响应文件的，采购组织机构将拆封其备份磋商响应文件，并导入电子交易平台。</w:t>
      </w:r>
    </w:p>
    <w:p>
      <w:pPr>
        <w:pStyle w:val="9"/>
        <w:spacing w:line="400" w:lineRule="exact"/>
        <w:ind w:firstLine="482" w:firstLineChars="201"/>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5.2.5</w:t>
      </w:r>
      <w:r>
        <w:rPr>
          <w:rFonts w:hint="eastAsia" w:ascii="宋体"/>
          <w:color w:val="000000"/>
          <w:sz w:val="24"/>
          <w:highlight w:val="none"/>
        </w:rPr>
        <w:t>磋商响应文件</w:t>
      </w:r>
      <w:r>
        <w:rPr>
          <w:rFonts w:hint="eastAsia" w:ascii="宋体" w:hAnsi="宋体"/>
          <w:color w:val="000000"/>
          <w:sz w:val="24"/>
          <w:highlight w:val="none"/>
        </w:rPr>
        <w:t>解密结束，进入评审阶段，</w:t>
      </w:r>
      <w:r>
        <w:rPr>
          <w:rFonts w:hint="eastAsia" w:asciiTheme="minorEastAsia" w:hAnsiTheme="minorEastAsia" w:eastAsiaTheme="minorEastAsia" w:cstheme="minorEastAsia"/>
          <w:sz w:val="24"/>
          <w:szCs w:val="24"/>
          <w:highlight w:val="none"/>
        </w:rPr>
        <w:t>采购组织机构</w:t>
      </w:r>
      <w:r>
        <w:rPr>
          <w:rFonts w:hint="eastAsia" w:ascii="宋体" w:hAnsi="宋体"/>
          <w:color w:val="000000"/>
          <w:sz w:val="24"/>
          <w:highlight w:val="none"/>
        </w:rPr>
        <w:t>宣布磋商评标期间的有关事项。</w:t>
      </w:r>
      <w:r>
        <w:rPr>
          <w:rFonts w:hint="eastAsia" w:ascii="宋体"/>
          <w:color w:val="000000"/>
          <w:sz w:val="24"/>
          <w:highlight w:val="none"/>
        </w:rPr>
        <w:t>磋商小组与各供应商就采购项目的采购需求、资信/商务、技术响应等进行磋商，达成一致后，开始进行综合评分，</w:t>
      </w:r>
      <w:r>
        <w:rPr>
          <w:rFonts w:hint="eastAsia" w:asciiTheme="minorEastAsia" w:hAnsiTheme="minorEastAsia" w:eastAsiaTheme="minorEastAsia" w:cstheme="minorEastAsia"/>
          <w:sz w:val="24"/>
          <w:szCs w:val="24"/>
          <w:highlight w:val="none"/>
        </w:rPr>
        <w:t>采购组织机构通过电子交易平台宣告商务和技术评审无效供应商名称及理由，有效供应商的商务和技术得分情况。</w:t>
      </w:r>
    </w:p>
    <w:p>
      <w:pPr>
        <w:pStyle w:val="9"/>
        <w:spacing w:line="400" w:lineRule="exact"/>
        <w:ind w:firstLine="482" w:firstLineChars="201"/>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5.2.6</w:t>
      </w:r>
      <w:r>
        <w:rPr>
          <w:rFonts w:hint="eastAsia" w:ascii="宋体"/>
          <w:color w:val="000000"/>
          <w:sz w:val="24"/>
          <w:highlight w:val="none"/>
        </w:rPr>
        <w:t>磋商小组对各供应商的资信/商务、技术评审结束后，</w:t>
      </w:r>
      <w:r>
        <w:rPr>
          <w:rFonts w:hint="eastAsia" w:asciiTheme="minorEastAsia" w:hAnsiTheme="minorEastAsia" w:eastAsiaTheme="minorEastAsia" w:cstheme="minorEastAsia"/>
          <w:sz w:val="24"/>
          <w:szCs w:val="24"/>
          <w:highlight w:val="none"/>
        </w:rPr>
        <w:t>采购组织机构在电子交易平台开启供应商的报价文件信息，供应商对报价信息进行确认。供应商对报价信息不予确认的不影响后续磋商过程。</w:t>
      </w:r>
    </w:p>
    <w:p>
      <w:pPr>
        <w:pStyle w:val="9"/>
        <w:spacing w:line="400" w:lineRule="exact"/>
        <w:ind w:firstLine="482" w:firstLineChars="201"/>
        <w:rPr>
          <w:rFonts w:ascii="宋体"/>
          <w:color w:val="000000"/>
          <w:sz w:val="24"/>
          <w:highlight w:val="none"/>
        </w:rPr>
      </w:pPr>
      <w:r>
        <w:rPr>
          <w:rFonts w:hint="eastAsia" w:asciiTheme="minorEastAsia" w:hAnsiTheme="minorEastAsia" w:eastAsiaTheme="minorEastAsia" w:cstheme="minorEastAsia"/>
          <w:sz w:val="24"/>
          <w:szCs w:val="24"/>
          <w:highlight w:val="none"/>
        </w:rPr>
        <w:t>5.2.7</w:t>
      </w:r>
      <w:r>
        <w:rPr>
          <w:rFonts w:hint="eastAsia" w:ascii="宋体"/>
          <w:color w:val="000000"/>
          <w:sz w:val="24"/>
          <w:highlight w:val="none"/>
        </w:rPr>
        <w:t>采购组织机构组织各供应商在线进行二次或多次报价，直至最终报价，最终报价结束后，在线公布《开标一览表》中的供应商名称及在其磋商响应文件中承诺的最终磋商报价、磋商响应内容（设备名称、规格型号或者服务项目名称），以及集中采购机构认为有必要公布的其他内容。</w:t>
      </w:r>
    </w:p>
    <w:p>
      <w:pPr>
        <w:pStyle w:val="9"/>
        <w:spacing w:line="400" w:lineRule="exact"/>
        <w:ind w:firstLine="482" w:firstLineChars="201"/>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5.2.8磋商小组经商议认为需要供应商作出必要澄清或说明的，应当通过电子交易平台交换数据电文。磋商小组给予供应商提交澄清或说明的时间为半小时，供应商已经明确表示澄清或说明完毕的除外。</w:t>
      </w:r>
    </w:p>
    <w:p>
      <w:pPr>
        <w:pStyle w:val="9"/>
        <w:spacing w:line="400" w:lineRule="exact"/>
        <w:ind w:firstLine="482" w:firstLineChars="201"/>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5.2.9</w:t>
      </w:r>
      <w:r>
        <w:rPr>
          <w:rFonts w:hint="eastAsia" w:ascii="宋体"/>
          <w:color w:val="000000"/>
          <w:sz w:val="24"/>
          <w:highlight w:val="none"/>
        </w:rPr>
        <w:t>磋商</w:t>
      </w:r>
      <w:r>
        <w:rPr>
          <w:rFonts w:hint="eastAsia" w:ascii="宋体" w:hAnsi="宋体"/>
          <w:color w:val="000000"/>
          <w:sz w:val="24"/>
          <w:highlight w:val="none"/>
        </w:rPr>
        <w:t>结束后，</w:t>
      </w:r>
      <w:r>
        <w:rPr>
          <w:rFonts w:hint="eastAsia" w:asciiTheme="minorEastAsia" w:hAnsiTheme="minorEastAsia" w:eastAsiaTheme="minorEastAsia" w:cstheme="minorEastAsia"/>
          <w:sz w:val="24"/>
          <w:szCs w:val="24"/>
          <w:highlight w:val="none"/>
        </w:rPr>
        <w:t>采购组织机构在电子交易平台上公布磋商结果，</w:t>
      </w:r>
      <w:r>
        <w:rPr>
          <w:rFonts w:hint="eastAsia" w:ascii="宋体" w:hAnsi="宋体"/>
          <w:color w:val="000000"/>
          <w:sz w:val="24"/>
          <w:highlight w:val="none"/>
        </w:rPr>
        <w:t>供应商可通过在线平台查看磋商结果</w:t>
      </w:r>
      <w:r>
        <w:rPr>
          <w:rFonts w:hint="eastAsia" w:ascii="宋体"/>
          <w:color w:val="000000"/>
          <w:sz w:val="24"/>
          <w:highlight w:val="none"/>
        </w:rPr>
        <w:t>。</w:t>
      </w:r>
    </w:p>
    <w:p>
      <w:pPr>
        <w:pStyle w:val="9"/>
        <w:spacing w:line="400" w:lineRule="exact"/>
        <w:ind w:firstLine="482" w:firstLineChars="201"/>
        <w:rPr>
          <w:rFonts w:ascii="宋体" w:hAnsi="宋体"/>
          <w:sz w:val="24"/>
          <w:highlight w:val="none"/>
        </w:rPr>
      </w:pPr>
      <w:r>
        <w:rPr>
          <w:rFonts w:hint="eastAsia" w:asciiTheme="minorEastAsia" w:hAnsiTheme="minorEastAsia" w:eastAsiaTheme="minorEastAsia" w:cstheme="minorEastAsia"/>
          <w:sz w:val="24"/>
          <w:szCs w:val="24"/>
          <w:highlight w:val="none"/>
        </w:rPr>
        <w:t>特别说明：政采云公司如对电子化开标及评审程序有调整的，按调整后的程序操作。</w:t>
      </w:r>
    </w:p>
    <w:p>
      <w:pPr>
        <w:pStyle w:val="22"/>
        <w:spacing w:line="400" w:lineRule="exact"/>
        <w:ind w:firstLine="484" w:firstLineChars="201"/>
        <w:contextualSpacing/>
        <w:outlineLvl w:val="2"/>
        <w:rPr>
          <w:b/>
          <w:sz w:val="24"/>
          <w:highlight w:val="none"/>
        </w:rPr>
      </w:pPr>
      <w:r>
        <w:rPr>
          <w:rFonts w:hint="eastAsia"/>
          <w:b/>
          <w:sz w:val="24"/>
          <w:szCs w:val="22"/>
          <w:highlight w:val="none"/>
        </w:rPr>
        <w:t>5.3</w:t>
      </w:r>
      <w:r>
        <w:rPr>
          <w:rFonts w:hint="eastAsia"/>
          <w:b/>
          <w:sz w:val="24"/>
          <w:highlight w:val="none"/>
        </w:rPr>
        <w:t xml:space="preserve">电子招投标的应急措施。电子开标、评标如出现下列原因，导致系统无法正常运行或无法正常评标时，应采取应急措施： </w:t>
      </w:r>
    </w:p>
    <w:p>
      <w:pPr>
        <w:pStyle w:val="9"/>
        <w:spacing w:line="400" w:lineRule="exact"/>
        <w:ind w:firstLine="482" w:firstLineChars="201"/>
        <w:rPr>
          <w:rFonts w:ascii="宋体" w:hAnsi="宋体"/>
          <w:color w:val="000000"/>
          <w:sz w:val="24"/>
          <w:highlight w:val="none"/>
        </w:rPr>
      </w:pPr>
      <w:r>
        <w:rPr>
          <w:rFonts w:hint="eastAsia" w:ascii="宋体" w:hAnsi="宋体"/>
          <w:color w:val="000000"/>
          <w:sz w:val="24"/>
          <w:highlight w:val="none"/>
        </w:rPr>
        <w:t xml:space="preserve">5.3.1系统服务器发生故障，无法访问或无法使用系统； </w:t>
      </w:r>
    </w:p>
    <w:p>
      <w:pPr>
        <w:pStyle w:val="9"/>
        <w:spacing w:line="400" w:lineRule="exact"/>
        <w:ind w:firstLine="482" w:firstLineChars="201"/>
        <w:rPr>
          <w:rFonts w:ascii="宋体" w:hAnsi="宋体"/>
          <w:color w:val="000000"/>
          <w:sz w:val="24"/>
          <w:highlight w:val="none"/>
        </w:rPr>
      </w:pPr>
      <w:r>
        <w:rPr>
          <w:rFonts w:hint="eastAsia" w:ascii="宋体" w:hAnsi="宋体"/>
          <w:color w:val="000000"/>
          <w:sz w:val="24"/>
          <w:highlight w:val="none"/>
        </w:rPr>
        <w:t xml:space="preserve">5.3.2系统的软件或数据库出现错误，不能进行正常操作； </w:t>
      </w:r>
    </w:p>
    <w:p>
      <w:pPr>
        <w:pStyle w:val="9"/>
        <w:spacing w:line="400" w:lineRule="exact"/>
        <w:ind w:firstLine="482" w:firstLineChars="201"/>
        <w:rPr>
          <w:rFonts w:ascii="宋体" w:hAnsi="宋体"/>
          <w:color w:val="000000"/>
          <w:sz w:val="24"/>
          <w:highlight w:val="none"/>
        </w:rPr>
      </w:pPr>
      <w:r>
        <w:rPr>
          <w:rFonts w:hint="eastAsia" w:ascii="宋体" w:hAnsi="宋体"/>
          <w:color w:val="000000"/>
          <w:sz w:val="24"/>
          <w:highlight w:val="none"/>
        </w:rPr>
        <w:t xml:space="preserve">5.3.3系统发现有安全漏洞，有潜在的泄密危险； </w:t>
      </w:r>
    </w:p>
    <w:p>
      <w:pPr>
        <w:pStyle w:val="9"/>
        <w:spacing w:line="400" w:lineRule="exact"/>
        <w:ind w:firstLine="482" w:firstLineChars="201"/>
        <w:rPr>
          <w:rFonts w:ascii="宋体" w:hAnsi="宋体"/>
          <w:color w:val="000000"/>
          <w:sz w:val="24"/>
          <w:highlight w:val="none"/>
        </w:rPr>
      </w:pPr>
      <w:r>
        <w:rPr>
          <w:rFonts w:hint="eastAsia" w:ascii="宋体" w:hAnsi="宋体"/>
          <w:color w:val="000000"/>
          <w:sz w:val="24"/>
          <w:highlight w:val="none"/>
        </w:rPr>
        <w:t xml:space="preserve">5.3.4病毒发作或受到外来病毒的攻击； </w:t>
      </w:r>
    </w:p>
    <w:p>
      <w:pPr>
        <w:pStyle w:val="9"/>
        <w:spacing w:line="400" w:lineRule="exact"/>
        <w:ind w:firstLine="482" w:firstLineChars="201"/>
        <w:rPr>
          <w:rFonts w:ascii="宋体"/>
          <w:color w:val="000000"/>
          <w:sz w:val="24"/>
          <w:highlight w:val="none"/>
        </w:rPr>
      </w:pPr>
      <w:r>
        <w:rPr>
          <w:rFonts w:hint="eastAsia" w:ascii="宋体" w:hAnsi="宋体"/>
          <w:color w:val="000000"/>
          <w:sz w:val="24"/>
          <w:highlight w:val="none"/>
        </w:rPr>
        <w:t>出现上述情况时，应对未开标的暂停磋商程序，已在系统内开标、评标的，立即停止，经财政监管部门确认后，可改用备份光盘或U盘上传后进行评审，电子光盘或U盘也无法进行的，可改用纸质评审。采取应急措施时，必须对原有资料及信息作出妥善保密处理。</w:t>
      </w:r>
    </w:p>
    <w:p>
      <w:pPr>
        <w:pStyle w:val="7"/>
        <w:spacing w:before="0" w:after="0" w:line="400" w:lineRule="exact"/>
        <w:jc w:val="both"/>
        <w:rPr>
          <w:rFonts w:ascii="黑体" w:eastAsia="黑体" w:cs="Times New Roman"/>
          <w:b w:val="0"/>
          <w:highlight w:val="none"/>
        </w:rPr>
      </w:pPr>
      <w:bookmarkStart w:id="326" w:name="_Toc28901"/>
      <w:bookmarkStart w:id="327" w:name="_Toc5114"/>
      <w:bookmarkStart w:id="328" w:name="_Toc494"/>
      <w:bookmarkStart w:id="329" w:name="_Toc30927"/>
      <w:bookmarkStart w:id="330" w:name="_Toc524600096"/>
      <w:bookmarkStart w:id="331" w:name="_Toc22439"/>
      <w:bookmarkStart w:id="332" w:name="_Toc15101"/>
      <w:bookmarkStart w:id="333" w:name="_Toc11812"/>
      <w:bookmarkStart w:id="334" w:name="_Toc17977"/>
      <w:bookmarkStart w:id="335" w:name="_Toc3550"/>
      <w:bookmarkStart w:id="336" w:name="_Toc26095"/>
      <w:bookmarkStart w:id="337" w:name="_Toc10204"/>
      <w:r>
        <w:rPr>
          <w:rFonts w:hint="eastAsia" w:ascii="黑体" w:eastAsia="黑体" w:cs="Times New Roman"/>
          <w:b w:val="0"/>
          <w:highlight w:val="none"/>
        </w:rPr>
        <w:t>6.磋商办法及标准</w:t>
      </w:r>
      <w:bookmarkEnd w:id="326"/>
      <w:bookmarkEnd w:id="327"/>
      <w:bookmarkEnd w:id="328"/>
      <w:bookmarkEnd w:id="329"/>
      <w:bookmarkEnd w:id="330"/>
      <w:bookmarkEnd w:id="331"/>
      <w:bookmarkEnd w:id="332"/>
      <w:bookmarkEnd w:id="333"/>
      <w:bookmarkEnd w:id="334"/>
      <w:bookmarkEnd w:id="335"/>
      <w:bookmarkEnd w:id="336"/>
      <w:bookmarkEnd w:id="337"/>
    </w:p>
    <w:p>
      <w:pPr>
        <w:pStyle w:val="22"/>
        <w:spacing w:line="400" w:lineRule="exact"/>
        <w:ind w:firstLine="484" w:firstLineChars="201"/>
        <w:contextualSpacing/>
        <w:outlineLvl w:val="2"/>
        <w:rPr>
          <w:b/>
          <w:sz w:val="24"/>
          <w:szCs w:val="22"/>
          <w:highlight w:val="none"/>
        </w:rPr>
      </w:pPr>
      <w:bookmarkStart w:id="338" w:name="_Toc1621"/>
      <w:bookmarkStart w:id="339" w:name="_Toc22246"/>
      <w:bookmarkStart w:id="340" w:name="_Toc22222"/>
      <w:bookmarkStart w:id="341" w:name="_Toc2737"/>
      <w:r>
        <w:rPr>
          <w:rFonts w:hint="eastAsia"/>
          <w:b/>
          <w:sz w:val="24"/>
          <w:szCs w:val="22"/>
          <w:highlight w:val="none"/>
        </w:rPr>
        <w:t>6.1磋商小组的组成和评审方法</w:t>
      </w:r>
      <w:bookmarkEnd w:id="338"/>
      <w:bookmarkEnd w:id="339"/>
      <w:bookmarkEnd w:id="340"/>
      <w:bookmarkEnd w:id="341"/>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6.1.1由采购人依法组建的磋商小组负责。磋商小组由采购人代表和有关技术、经济等方面的专家组成。磋商小组人数以及技术、经济方面的专家组成见</w:t>
      </w:r>
      <w:r>
        <w:rPr>
          <w:highlight w:val="none"/>
        </w:rPr>
        <w:fldChar w:fldCharType="begin"/>
      </w:r>
      <w:r>
        <w:rPr>
          <w:highlight w:val="none"/>
        </w:rPr>
        <w:instrText xml:space="preserve"> HYPERLINK "http://oa.epoint.com.cn:8888/EpointBid_BSTool/EpointZBTool_BS/Pages/YWScanFileManage/2639a541-be30-4410-b738-1b8e9b5b7893/2639a541-be30-4410-b738-1b8e9b5b7893/e944b4b1-01b6-4e42-b170-f783fcf7903a.doc" </w:instrText>
      </w:r>
      <w:r>
        <w:rPr>
          <w:highlight w:val="none"/>
        </w:rPr>
        <w:fldChar w:fldCharType="separate"/>
      </w:r>
      <w:r>
        <w:rPr>
          <w:rFonts w:hint="eastAsia" w:ascii="宋体"/>
          <w:color w:val="000000"/>
          <w:sz w:val="24"/>
          <w:highlight w:val="none"/>
        </w:rPr>
        <w:t>供应商须知前附表</w:t>
      </w:r>
      <w:r>
        <w:rPr>
          <w:rFonts w:hint="eastAsia" w:ascii="宋体"/>
          <w:color w:val="000000"/>
          <w:sz w:val="24"/>
          <w:highlight w:val="none"/>
        </w:rPr>
        <w:fldChar w:fldCharType="end"/>
      </w:r>
      <w:r>
        <w:rPr>
          <w:rFonts w:hint="eastAsia" w:ascii="宋体"/>
          <w:color w:val="000000"/>
          <w:sz w:val="24"/>
          <w:highlight w:val="none"/>
        </w:rPr>
        <w:t>。</w:t>
      </w:r>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6.1.2磋商小组将按照磋商文件确定的磋商方法进行磋商。磋商小组对磋商响应文件的磋商分为磋商响应文件初审、澄清有关问题、比较与评价磋商响应文件、推荐中标候选人名单。</w:t>
      </w:r>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6.1.3本项目磋商标准详见磋商文件“第四章 磋商方法及标准”。</w:t>
      </w:r>
    </w:p>
    <w:p>
      <w:pPr>
        <w:pStyle w:val="9"/>
        <w:spacing w:line="400" w:lineRule="exact"/>
        <w:ind w:firstLine="484" w:firstLineChars="201"/>
        <w:outlineLvl w:val="2"/>
        <w:rPr>
          <w:b/>
          <w:sz w:val="24"/>
          <w:highlight w:val="none"/>
        </w:rPr>
      </w:pPr>
      <w:bookmarkStart w:id="342" w:name="_Toc11808"/>
      <w:bookmarkStart w:id="343" w:name="_Toc18557"/>
      <w:bookmarkStart w:id="344" w:name="_Toc5959"/>
      <w:bookmarkStart w:id="345" w:name="_Toc19873"/>
      <w:r>
        <w:rPr>
          <w:rFonts w:hint="eastAsia" w:ascii="宋体"/>
          <w:b/>
          <w:sz w:val="24"/>
          <w:highlight w:val="none"/>
        </w:rPr>
        <w:t>6.2</w:t>
      </w:r>
      <w:r>
        <w:rPr>
          <w:rFonts w:hint="eastAsia"/>
          <w:b/>
          <w:sz w:val="24"/>
          <w:highlight w:val="none"/>
        </w:rPr>
        <w:t>磋商响应文件的初审</w:t>
      </w:r>
      <w:bookmarkEnd w:id="342"/>
      <w:bookmarkEnd w:id="343"/>
      <w:bookmarkEnd w:id="344"/>
      <w:bookmarkEnd w:id="345"/>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磋商响应文件的初审分为资格性检查和符合性检查。</w:t>
      </w:r>
    </w:p>
    <w:p>
      <w:pPr>
        <w:snapToGrid w:val="0"/>
        <w:spacing w:line="400" w:lineRule="exact"/>
        <w:ind w:firstLine="472" w:firstLineChars="196"/>
        <w:rPr>
          <w:rFonts w:ascii="宋体"/>
          <w:b/>
          <w:color w:val="000000"/>
          <w:sz w:val="24"/>
          <w:highlight w:val="none"/>
        </w:rPr>
      </w:pPr>
      <w:r>
        <w:rPr>
          <w:rFonts w:hint="eastAsia" w:ascii="宋体"/>
          <w:b/>
          <w:color w:val="000000"/>
          <w:sz w:val="24"/>
          <w:highlight w:val="none"/>
        </w:rPr>
        <w:t>6.2.1资格性检查</w:t>
      </w:r>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（1）采购人根据磋商办法3.1项的评审因素和评审标准，对供应商的磋商响应文件进行资格评审。资格性检查不合格的供应商的磋商响应文件作磋商无效。</w:t>
      </w:r>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（2）采购人在进行资格检查时，不得改变磋商文件中已载明的资格条件、标准和办法。</w:t>
      </w:r>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（3）供应商在递交磋商响应文件的同时，应逐项对照上述资格性检查要求提交相应的原件和资格证明文件供采购人（集中采购机构）核查。</w:t>
      </w:r>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（4）采购人在磋商中必要时可按供应商提供的联系方式就有关问题进行查询核实，或要求供应商做出书面澄清，查询及澄清结果将作为审查的依据。</w:t>
      </w:r>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（5）只有通过全部资格性检查条件合格的供应商才能通过资格检查，其磋商响应文件方可进入下一个检查阶段。</w:t>
      </w:r>
    </w:p>
    <w:p>
      <w:pPr>
        <w:snapToGrid w:val="0"/>
        <w:spacing w:line="400" w:lineRule="exact"/>
        <w:ind w:firstLine="472" w:firstLineChars="196"/>
        <w:rPr>
          <w:rFonts w:ascii="宋体"/>
          <w:b/>
          <w:color w:val="000000"/>
          <w:sz w:val="24"/>
          <w:highlight w:val="none"/>
        </w:rPr>
      </w:pPr>
      <w:r>
        <w:rPr>
          <w:rFonts w:hint="eastAsia" w:ascii="宋体"/>
          <w:b/>
          <w:color w:val="000000"/>
          <w:sz w:val="24"/>
          <w:highlight w:val="none"/>
        </w:rPr>
        <w:t>6.2.2符合性检查</w:t>
      </w:r>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磋商小组根据磋商办法3.2项的评审因素和评审标准，对供应商的磋商响应文件进行符合性检查。符合性检查不合格的供应商的磋商响应文件作磋商无效。</w:t>
      </w:r>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w:t>
      </w:r>
      <w:r>
        <w:rPr>
          <w:rFonts w:hint="eastAsia" w:ascii="宋体"/>
          <w:b/>
          <w:color w:val="000000"/>
          <w:sz w:val="24"/>
          <w:highlight w:val="none"/>
        </w:rPr>
        <w:t>6.2.3违法磋商响应行为</w:t>
      </w:r>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在磋商过程中，磋商小组发现供应商有下列情形之一的，作磋商响应无效：</w:t>
      </w:r>
    </w:p>
    <w:p>
      <w:pPr>
        <w:pStyle w:val="9"/>
        <w:spacing w:line="380" w:lineRule="exact"/>
        <w:ind w:firstLine="482" w:firstLineChars="201"/>
        <w:rPr>
          <w:rFonts w:ascii="宋体"/>
          <w:color w:val="000000"/>
          <w:sz w:val="24"/>
          <w:highlight w:val="none"/>
        </w:rPr>
      </w:pPr>
      <w:r>
        <w:rPr>
          <w:rFonts w:hint="eastAsia" w:ascii="宋体"/>
          <w:color w:val="000000"/>
          <w:sz w:val="24"/>
          <w:highlight w:val="none"/>
        </w:rPr>
        <w:t>（1）属于同一集团、协会、商会等组织成员的供应商按照该组织要求协同磋商响应；</w:t>
      </w:r>
    </w:p>
    <w:p>
      <w:pPr>
        <w:pStyle w:val="9"/>
        <w:spacing w:line="380" w:lineRule="exact"/>
        <w:ind w:firstLine="482" w:firstLineChars="201"/>
        <w:rPr>
          <w:rFonts w:ascii="宋体"/>
          <w:color w:val="000000"/>
          <w:sz w:val="24"/>
          <w:highlight w:val="none"/>
        </w:rPr>
      </w:pPr>
      <w:r>
        <w:rPr>
          <w:rFonts w:hint="eastAsia" w:ascii="宋体"/>
          <w:color w:val="000000"/>
          <w:sz w:val="24"/>
          <w:highlight w:val="none"/>
        </w:rPr>
        <w:t>（2）不同供应商的磋商响应文件由同一单位或者个人编制；</w:t>
      </w:r>
    </w:p>
    <w:p>
      <w:pPr>
        <w:pStyle w:val="9"/>
        <w:spacing w:line="380" w:lineRule="exact"/>
        <w:ind w:firstLine="482" w:firstLineChars="201"/>
        <w:rPr>
          <w:rFonts w:ascii="宋体"/>
          <w:color w:val="000000"/>
          <w:sz w:val="24"/>
          <w:highlight w:val="none"/>
        </w:rPr>
      </w:pPr>
      <w:r>
        <w:rPr>
          <w:rFonts w:hint="eastAsia" w:ascii="宋体"/>
          <w:color w:val="000000"/>
          <w:sz w:val="24"/>
          <w:highlight w:val="none"/>
        </w:rPr>
        <w:t>（3）不同供应商委托同一单位或者个人办理磋商响应事宜；</w:t>
      </w:r>
    </w:p>
    <w:p>
      <w:pPr>
        <w:pStyle w:val="9"/>
        <w:spacing w:line="380" w:lineRule="exact"/>
        <w:ind w:firstLine="482" w:firstLineChars="201"/>
        <w:rPr>
          <w:rFonts w:ascii="宋体"/>
          <w:color w:val="000000"/>
          <w:sz w:val="24"/>
          <w:highlight w:val="none"/>
        </w:rPr>
      </w:pPr>
      <w:r>
        <w:rPr>
          <w:rFonts w:hint="eastAsia" w:ascii="宋体"/>
          <w:color w:val="000000"/>
          <w:sz w:val="24"/>
          <w:highlight w:val="none"/>
        </w:rPr>
        <w:t>（4）不同供应商的磋商响应文件载明的项目管理成员为同一人；</w:t>
      </w:r>
    </w:p>
    <w:p>
      <w:pPr>
        <w:pStyle w:val="9"/>
        <w:spacing w:line="380" w:lineRule="exact"/>
        <w:ind w:firstLine="482" w:firstLineChars="201"/>
        <w:rPr>
          <w:rFonts w:ascii="宋体"/>
          <w:color w:val="000000"/>
          <w:sz w:val="24"/>
          <w:highlight w:val="none"/>
        </w:rPr>
      </w:pPr>
      <w:r>
        <w:rPr>
          <w:rFonts w:hint="eastAsia" w:ascii="宋体"/>
          <w:color w:val="000000"/>
          <w:sz w:val="24"/>
          <w:highlight w:val="none"/>
        </w:rPr>
        <w:t>（5）不同供应商的磋商响应文件异常一致或者磋商报价呈规律性差异；</w:t>
      </w:r>
    </w:p>
    <w:p>
      <w:pPr>
        <w:pStyle w:val="9"/>
        <w:spacing w:line="380" w:lineRule="exact"/>
        <w:ind w:firstLine="482" w:firstLineChars="201"/>
        <w:rPr>
          <w:rFonts w:ascii="宋体"/>
          <w:color w:val="000000"/>
          <w:sz w:val="24"/>
          <w:highlight w:val="none"/>
        </w:rPr>
      </w:pPr>
      <w:r>
        <w:rPr>
          <w:rFonts w:hint="eastAsia" w:ascii="宋体"/>
          <w:color w:val="000000"/>
          <w:sz w:val="24"/>
          <w:highlight w:val="none"/>
        </w:rPr>
        <w:t>（18）提供虚假资料的（如：财务状况、信用状况、业绩、项目负责人或者主要技术人员简历、劳动关系证明）及其他弄虚作假的行为；</w:t>
      </w:r>
    </w:p>
    <w:p>
      <w:pPr>
        <w:pStyle w:val="9"/>
        <w:spacing w:line="380" w:lineRule="exact"/>
        <w:ind w:firstLine="482" w:firstLineChars="201"/>
        <w:rPr>
          <w:rFonts w:ascii="宋体"/>
          <w:color w:val="000000"/>
          <w:sz w:val="24"/>
          <w:highlight w:val="none"/>
        </w:rPr>
      </w:pPr>
      <w:r>
        <w:rPr>
          <w:rFonts w:hint="eastAsia" w:ascii="宋体"/>
          <w:color w:val="000000"/>
          <w:sz w:val="24"/>
          <w:highlight w:val="none"/>
        </w:rPr>
        <w:t>（19）法律、法规、规章及省级以上规范性文件等规定的其他情形。</w:t>
      </w:r>
    </w:p>
    <w:p>
      <w:pPr>
        <w:pStyle w:val="9"/>
        <w:spacing w:line="380" w:lineRule="exact"/>
        <w:ind w:firstLine="484" w:firstLineChars="201"/>
        <w:rPr>
          <w:rFonts w:ascii="宋体"/>
          <w:color w:val="000000"/>
          <w:sz w:val="24"/>
          <w:highlight w:val="none"/>
        </w:rPr>
      </w:pPr>
      <w:r>
        <w:rPr>
          <w:rFonts w:hint="eastAsia" w:ascii="宋体"/>
          <w:b/>
          <w:color w:val="000000"/>
          <w:sz w:val="24"/>
          <w:highlight w:val="none"/>
        </w:rPr>
        <w:t>6.2.4磋商响应无效的情形</w:t>
      </w:r>
    </w:p>
    <w:p>
      <w:pPr>
        <w:snapToGrid w:val="0"/>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实质上没有响应磋商文件要求的磋商响应将被视为无效。供应商不得通过修正或撤消不合要求的偏离或保留从而使其磋商响应成为实质上响应的磋商响应。</w:t>
      </w:r>
    </w:p>
    <w:p>
      <w:pPr>
        <w:pStyle w:val="9"/>
        <w:spacing w:line="380" w:lineRule="exact"/>
        <w:ind w:firstLine="482" w:firstLineChars="201"/>
        <w:rPr>
          <w:rFonts w:ascii="宋体"/>
          <w:color w:val="000000"/>
          <w:sz w:val="24"/>
          <w:highlight w:val="none"/>
        </w:rPr>
      </w:pPr>
      <w:r>
        <w:rPr>
          <w:rFonts w:hint="eastAsia" w:ascii="宋体"/>
          <w:color w:val="000000"/>
          <w:sz w:val="24"/>
          <w:highlight w:val="none"/>
        </w:rPr>
        <w:t>（1）磋商响应文件逾期上传或未按规定的地点送达的；</w:t>
      </w:r>
    </w:p>
    <w:p>
      <w:pPr>
        <w:snapToGrid w:val="0"/>
        <w:spacing w:line="400" w:lineRule="exact"/>
        <w:ind w:firstLine="470" w:firstLineChars="196"/>
        <w:jc w:val="left"/>
        <w:rPr>
          <w:rFonts w:ascii="宋体"/>
          <w:color w:val="000000"/>
          <w:sz w:val="24"/>
          <w:highlight w:val="none"/>
        </w:rPr>
      </w:pPr>
      <w:r>
        <w:rPr>
          <w:rFonts w:hint="eastAsia" w:ascii="宋体"/>
          <w:color w:val="000000"/>
          <w:sz w:val="24"/>
          <w:highlight w:val="none"/>
        </w:rPr>
        <w:t>（2）不具备磋商文件中规定的资格条件要求的；</w:t>
      </w:r>
    </w:p>
    <w:p>
      <w:pPr>
        <w:snapToGrid w:val="0"/>
        <w:spacing w:line="400" w:lineRule="exact"/>
        <w:ind w:firstLine="470" w:firstLineChars="196"/>
        <w:jc w:val="left"/>
        <w:rPr>
          <w:rFonts w:ascii="宋体"/>
          <w:color w:val="000000"/>
          <w:sz w:val="24"/>
          <w:highlight w:val="none"/>
        </w:rPr>
      </w:pPr>
      <w:r>
        <w:rPr>
          <w:rFonts w:hint="eastAsia" w:ascii="宋体"/>
          <w:color w:val="000000"/>
          <w:sz w:val="24"/>
          <w:highlight w:val="none"/>
        </w:rPr>
        <w:t>（3）供应商提交两份或两份以上内容不同的磋商响应文件；</w:t>
      </w:r>
    </w:p>
    <w:p>
      <w:pPr>
        <w:snapToGrid w:val="0"/>
        <w:spacing w:line="400" w:lineRule="exact"/>
        <w:ind w:firstLine="470" w:firstLineChars="196"/>
        <w:jc w:val="left"/>
        <w:rPr>
          <w:rFonts w:ascii="宋体"/>
          <w:color w:val="000000"/>
          <w:sz w:val="24"/>
          <w:highlight w:val="none"/>
        </w:rPr>
      </w:pPr>
      <w:r>
        <w:rPr>
          <w:rFonts w:hint="eastAsia" w:ascii="宋体"/>
          <w:color w:val="000000"/>
          <w:sz w:val="24"/>
          <w:highlight w:val="none"/>
        </w:rPr>
        <w:t>（4）磋商响应文件载明的采购项目磋商有效期；</w:t>
      </w:r>
    </w:p>
    <w:p>
      <w:pPr>
        <w:snapToGrid w:val="0"/>
        <w:spacing w:line="400" w:lineRule="exact"/>
        <w:ind w:firstLine="470" w:firstLineChars="196"/>
        <w:jc w:val="left"/>
        <w:rPr>
          <w:rFonts w:ascii="宋体"/>
          <w:color w:val="000000"/>
          <w:sz w:val="24"/>
          <w:highlight w:val="none"/>
        </w:rPr>
      </w:pPr>
      <w:r>
        <w:rPr>
          <w:rFonts w:hint="eastAsia" w:ascii="宋体"/>
          <w:color w:val="000000"/>
          <w:sz w:val="24"/>
          <w:highlight w:val="none"/>
        </w:rPr>
        <w:t>（5）磋商响应承诺的技术规范、技术标准明显不符合国家强制性要求的；</w:t>
      </w:r>
    </w:p>
    <w:p>
      <w:pPr>
        <w:snapToGrid w:val="0"/>
        <w:spacing w:line="400" w:lineRule="exact"/>
        <w:ind w:firstLine="470" w:firstLineChars="196"/>
        <w:jc w:val="left"/>
        <w:rPr>
          <w:rFonts w:ascii="宋体"/>
          <w:color w:val="000000"/>
          <w:sz w:val="24"/>
          <w:highlight w:val="none"/>
        </w:rPr>
      </w:pPr>
      <w:r>
        <w:rPr>
          <w:rFonts w:hint="eastAsia" w:ascii="宋体"/>
          <w:color w:val="000000"/>
          <w:sz w:val="24"/>
          <w:highlight w:val="none"/>
        </w:rPr>
        <w:t>（6）磋商响应承诺载明的验收标准和方法等不符合国家规定及磋商文件要求的；</w:t>
      </w:r>
    </w:p>
    <w:p>
      <w:pPr>
        <w:snapToGrid w:val="0"/>
        <w:spacing w:line="400" w:lineRule="exact"/>
        <w:ind w:firstLine="470" w:firstLineChars="196"/>
        <w:jc w:val="left"/>
        <w:rPr>
          <w:rFonts w:ascii="宋体"/>
          <w:color w:val="000000"/>
          <w:sz w:val="24"/>
          <w:highlight w:val="none"/>
        </w:rPr>
      </w:pPr>
      <w:r>
        <w:rPr>
          <w:rFonts w:hint="eastAsia" w:ascii="宋体"/>
          <w:color w:val="000000"/>
          <w:sz w:val="24"/>
          <w:highlight w:val="none"/>
        </w:rPr>
        <w:t>（7）超出经营范围响应承诺的；</w:t>
      </w:r>
    </w:p>
    <w:p>
      <w:pPr>
        <w:snapToGrid w:val="0"/>
        <w:spacing w:line="400" w:lineRule="exact"/>
        <w:ind w:firstLine="470" w:firstLineChars="196"/>
        <w:jc w:val="left"/>
        <w:rPr>
          <w:rFonts w:ascii="宋体"/>
          <w:color w:val="000000"/>
          <w:sz w:val="24"/>
          <w:highlight w:val="none"/>
        </w:rPr>
      </w:pPr>
      <w:r>
        <w:rPr>
          <w:rFonts w:hint="eastAsia" w:ascii="宋体"/>
          <w:color w:val="000000"/>
          <w:sz w:val="24"/>
          <w:highlight w:val="none"/>
        </w:rPr>
        <w:t>（8）不符合磋商文件规定的其他实质性要求（磋商小组一致认定）的；</w:t>
      </w:r>
    </w:p>
    <w:p>
      <w:pPr>
        <w:snapToGrid w:val="0"/>
        <w:spacing w:line="400" w:lineRule="exact"/>
        <w:ind w:firstLine="470" w:firstLineChars="196"/>
        <w:jc w:val="left"/>
        <w:rPr>
          <w:rFonts w:ascii="宋体"/>
          <w:color w:val="000000"/>
          <w:sz w:val="24"/>
          <w:highlight w:val="none"/>
        </w:rPr>
      </w:pPr>
      <w:r>
        <w:rPr>
          <w:rFonts w:hint="eastAsia" w:ascii="宋体"/>
          <w:color w:val="000000"/>
          <w:sz w:val="24"/>
          <w:highlight w:val="none"/>
        </w:rPr>
        <w:t>（9）未满足磋商文件中带“▲”号条款的；</w:t>
      </w:r>
    </w:p>
    <w:p>
      <w:pPr>
        <w:snapToGrid w:val="0"/>
        <w:spacing w:line="400" w:lineRule="exact"/>
        <w:ind w:firstLine="470" w:firstLineChars="196"/>
        <w:jc w:val="left"/>
        <w:rPr>
          <w:rFonts w:ascii="宋体"/>
          <w:color w:val="000000"/>
          <w:sz w:val="24"/>
          <w:highlight w:val="none"/>
        </w:rPr>
      </w:pPr>
      <w:r>
        <w:rPr>
          <w:rFonts w:hint="eastAsia" w:ascii="宋体"/>
          <w:color w:val="000000"/>
          <w:sz w:val="24"/>
          <w:highlight w:val="none"/>
        </w:rPr>
        <w:t>（10）</w:t>
      </w:r>
      <w:r>
        <w:rPr>
          <w:rFonts w:hint="eastAsia" w:asciiTheme="minorEastAsia" w:hAnsiTheme="minorEastAsia" w:eastAsiaTheme="minorEastAsia" w:cstheme="minorEastAsia"/>
          <w:sz w:val="24"/>
          <w:szCs w:val="24"/>
          <w:highlight w:val="none"/>
        </w:rPr>
        <w:t>仅提供备份磋商响应文件的；</w:t>
      </w:r>
    </w:p>
    <w:p>
      <w:pPr>
        <w:pStyle w:val="9"/>
        <w:snapToGrid w:val="0"/>
        <w:spacing w:line="400" w:lineRule="exact"/>
        <w:ind w:firstLine="48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（11）因政采云系统原因电子磋商响应文件解密失败，且未在规定时间内提交备份磋商响应文件的；</w:t>
      </w:r>
    </w:p>
    <w:p>
      <w:pPr>
        <w:pStyle w:val="9"/>
        <w:snapToGrid w:val="0"/>
        <w:spacing w:line="400" w:lineRule="exact"/>
        <w:ind w:firstLine="480"/>
        <w:rPr>
          <w:rFonts w:ascii="宋体"/>
          <w:color w:val="000000"/>
          <w:sz w:val="24"/>
          <w:highlight w:val="none"/>
        </w:rPr>
      </w:pPr>
      <w:r>
        <w:rPr>
          <w:rFonts w:hint="eastAsia" w:asciiTheme="minorEastAsia" w:hAnsiTheme="minorEastAsia" w:eastAsiaTheme="minorEastAsia" w:cstheme="minorEastAsia"/>
          <w:sz w:val="24"/>
          <w:szCs w:val="24"/>
          <w:highlight w:val="none"/>
        </w:rPr>
        <w:t>（12）因政采云系统原因电子磋商响应文件解密失败，虽然在规定时间内提交了备份磋商响应文件，但是备份磋商响应文件无法导入或者无法读取或者不符合本磋商文件和电子交易平台要求的；</w:t>
      </w:r>
    </w:p>
    <w:p>
      <w:pPr>
        <w:snapToGrid w:val="0"/>
        <w:spacing w:line="400" w:lineRule="exact"/>
        <w:ind w:firstLine="590" w:firstLineChars="246"/>
        <w:jc w:val="left"/>
        <w:rPr>
          <w:rFonts w:ascii="宋体"/>
          <w:color w:val="000000"/>
          <w:sz w:val="24"/>
          <w:highlight w:val="none"/>
        </w:rPr>
      </w:pPr>
      <w:r>
        <w:rPr>
          <w:rFonts w:hint="eastAsia" w:asciiTheme="minorEastAsia" w:hAnsiTheme="minorEastAsia" w:eastAsiaTheme="minorEastAsia" w:cstheme="minorEastAsia"/>
          <w:sz w:val="24"/>
          <w:szCs w:val="24"/>
          <w:highlight w:val="none"/>
        </w:rPr>
        <w:t>（13）法律法规规定的其他无效情形。</w:t>
      </w:r>
    </w:p>
    <w:p>
      <w:pPr>
        <w:pStyle w:val="9"/>
        <w:spacing w:line="400" w:lineRule="exact"/>
        <w:ind w:firstLine="484" w:firstLineChars="201"/>
        <w:rPr>
          <w:rFonts w:ascii="宋体"/>
          <w:b/>
          <w:color w:val="000000"/>
          <w:sz w:val="24"/>
          <w:highlight w:val="none"/>
        </w:rPr>
      </w:pPr>
      <w:r>
        <w:rPr>
          <w:rFonts w:hint="eastAsia" w:ascii="宋体"/>
          <w:b/>
          <w:color w:val="000000"/>
          <w:sz w:val="24"/>
          <w:highlight w:val="none"/>
        </w:rPr>
        <w:t xml:space="preserve">6.3磋商报价的修正 </w:t>
      </w:r>
    </w:p>
    <w:p>
      <w:pPr>
        <w:pStyle w:val="22"/>
        <w:snapToGrid w:val="0"/>
        <w:spacing w:before="120" w:after="120"/>
        <w:ind w:left="719" w:leftChars="228" w:hanging="240" w:hangingChars="100"/>
        <w:rPr>
          <w:color w:val="000000"/>
          <w:sz w:val="24"/>
          <w:szCs w:val="22"/>
          <w:highlight w:val="none"/>
        </w:rPr>
      </w:pPr>
      <w:r>
        <w:rPr>
          <w:rFonts w:hint="eastAsia"/>
          <w:color w:val="000000"/>
          <w:sz w:val="24"/>
          <w:szCs w:val="22"/>
          <w:highlight w:val="none"/>
        </w:rPr>
        <w:t>磋商响应文件如果出现计算或表达上的错误，修正错误的原则如下：</w:t>
      </w:r>
    </w:p>
    <w:p>
      <w:pPr>
        <w:numPr>
          <w:ilvl w:val="0"/>
          <w:numId w:val="3"/>
        </w:numPr>
        <w:ind w:left="142" w:firstLine="425"/>
        <w:rPr>
          <w:rFonts w:ascii="宋体"/>
          <w:color w:val="000000"/>
          <w:sz w:val="24"/>
          <w:szCs w:val="24"/>
          <w:highlight w:val="none"/>
        </w:rPr>
      </w:pPr>
      <w:r>
        <w:rPr>
          <w:rFonts w:hint="eastAsia" w:ascii="宋体"/>
          <w:color w:val="000000"/>
          <w:sz w:val="24"/>
          <w:szCs w:val="24"/>
          <w:highlight w:val="none"/>
        </w:rPr>
        <w:t>磋商响应文件中磋商报价一览表内容与磋商响应文件中磋商分项报价表内容不一致的，以磋商报价一览表为准；</w:t>
      </w:r>
    </w:p>
    <w:p>
      <w:pPr>
        <w:numPr>
          <w:ilvl w:val="0"/>
          <w:numId w:val="3"/>
        </w:numPr>
        <w:rPr>
          <w:rFonts w:ascii="宋体"/>
          <w:color w:val="000000"/>
          <w:sz w:val="24"/>
          <w:szCs w:val="24"/>
          <w:highlight w:val="none"/>
        </w:rPr>
      </w:pPr>
      <w:r>
        <w:rPr>
          <w:rFonts w:hint="eastAsia" w:ascii="宋体"/>
          <w:color w:val="000000"/>
          <w:sz w:val="24"/>
          <w:szCs w:val="24"/>
          <w:highlight w:val="none"/>
        </w:rPr>
        <w:t>磋商响应文件的大写金额和小写金额不一致的，以大写金额为准；</w:t>
      </w:r>
    </w:p>
    <w:p>
      <w:pPr>
        <w:numPr>
          <w:ilvl w:val="0"/>
          <w:numId w:val="3"/>
        </w:numPr>
        <w:rPr>
          <w:rFonts w:ascii="宋体"/>
          <w:color w:val="000000"/>
          <w:spacing w:val="-8"/>
          <w:sz w:val="24"/>
          <w:szCs w:val="24"/>
          <w:highlight w:val="none"/>
        </w:rPr>
      </w:pPr>
      <w:r>
        <w:rPr>
          <w:rFonts w:hint="eastAsia" w:ascii="宋体"/>
          <w:color w:val="000000"/>
          <w:sz w:val="24"/>
          <w:szCs w:val="24"/>
          <w:highlight w:val="none"/>
        </w:rPr>
        <w:t>总</w:t>
      </w:r>
      <w:r>
        <w:rPr>
          <w:rFonts w:hint="eastAsia" w:ascii="宋体"/>
          <w:color w:val="000000"/>
          <w:spacing w:val="-8"/>
          <w:sz w:val="24"/>
          <w:szCs w:val="24"/>
          <w:highlight w:val="none"/>
        </w:rPr>
        <w:t>价金额与按单价汇总金额不一致的，以单价金额计算结果为准;</w:t>
      </w:r>
    </w:p>
    <w:p>
      <w:pPr>
        <w:numPr>
          <w:ilvl w:val="0"/>
          <w:numId w:val="3"/>
        </w:numPr>
        <w:rPr>
          <w:rFonts w:ascii="宋体"/>
          <w:color w:val="000000"/>
          <w:sz w:val="24"/>
          <w:szCs w:val="24"/>
          <w:highlight w:val="none"/>
        </w:rPr>
      </w:pPr>
      <w:r>
        <w:rPr>
          <w:rFonts w:hint="eastAsia" w:ascii="宋体"/>
          <w:color w:val="000000"/>
          <w:sz w:val="24"/>
          <w:szCs w:val="24"/>
          <w:highlight w:val="none"/>
        </w:rPr>
        <w:t>单价金额小数点有明显错位的，应以总价为准，并修改单价；</w:t>
      </w:r>
    </w:p>
    <w:p>
      <w:pPr>
        <w:numPr>
          <w:ilvl w:val="0"/>
          <w:numId w:val="3"/>
        </w:numPr>
        <w:rPr>
          <w:rFonts w:ascii="宋体"/>
          <w:color w:val="000000"/>
          <w:sz w:val="24"/>
          <w:szCs w:val="24"/>
          <w:highlight w:val="none"/>
        </w:rPr>
      </w:pPr>
      <w:r>
        <w:rPr>
          <w:rFonts w:hint="eastAsia" w:ascii="宋体"/>
          <w:color w:val="000000"/>
          <w:sz w:val="24"/>
          <w:szCs w:val="24"/>
          <w:highlight w:val="none"/>
        </w:rPr>
        <w:t>对不同文字文本磋商响应文件的解释发生异议的，以中文文本为准。</w:t>
      </w:r>
    </w:p>
    <w:p>
      <w:pPr>
        <w:snapToGrid w:val="0"/>
        <w:spacing w:line="400" w:lineRule="exact"/>
        <w:ind w:firstLine="482" w:firstLineChars="200"/>
        <w:rPr>
          <w:rFonts w:ascii="宋体"/>
          <w:color w:val="000000"/>
          <w:sz w:val="24"/>
          <w:highlight w:val="none"/>
        </w:rPr>
      </w:pPr>
      <w:r>
        <w:rPr>
          <w:rFonts w:hint="eastAsia" w:ascii="宋体"/>
          <w:b/>
          <w:bCs/>
          <w:color w:val="000000"/>
          <w:sz w:val="24"/>
          <w:highlight w:val="none"/>
        </w:rPr>
        <w:t>按上述修正错误的原则及方法调整或修正磋商响应文件的磋商报价，供应商同意并签字确认后，调整后的磋商报价对供应商具有约束作用。如果供应商不接受修正后的报价，则其磋商响应将作为磋商无效处理。</w:t>
      </w:r>
    </w:p>
    <w:p>
      <w:pPr>
        <w:pStyle w:val="22"/>
        <w:spacing w:line="400" w:lineRule="exact"/>
        <w:ind w:firstLine="484" w:firstLineChars="201"/>
        <w:contextualSpacing/>
        <w:outlineLvl w:val="2"/>
        <w:rPr>
          <w:b/>
          <w:sz w:val="24"/>
          <w:szCs w:val="22"/>
          <w:highlight w:val="none"/>
        </w:rPr>
      </w:pPr>
      <w:bookmarkStart w:id="346" w:name="_Toc27784"/>
      <w:bookmarkStart w:id="347" w:name="_Toc14773"/>
      <w:bookmarkStart w:id="348" w:name="_Toc30858"/>
      <w:bookmarkStart w:id="349" w:name="_Toc9425"/>
      <w:r>
        <w:rPr>
          <w:rFonts w:hint="eastAsia"/>
          <w:b/>
          <w:sz w:val="24"/>
          <w:szCs w:val="22"/>
          <w:highlight w:val="none"/>
        </w:rPr>
        <w:t>6.4磋商响应文件的澄清</w:t>
      </w:r>
      <w:bookmarkEnd w:id="346"/>
      <w:bookmarkEnd w:id="347"/>
      <w:bookmarkEnd w:id="348"/>
      <w:bookmarkEnd w:id="349"/>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6.4.1评标期间，磋商小组有权要求供应商对其磋商响应文件中含义不明确、同类问题表述不一致或者有明显文字和计算错误的内容等作必要的澄清、说明或者补正。供应商必须按照磋商小组要求的澄清内容和时间做出澄清。除按本须知规定改正算术错误外，供应商对磋商响应文件的澄清不得超出磋商响应文件的范围或者改变磋商响应文件的实质性内容。在评标期间,磋商小组可要求供应商对其磋商响应文件进行澄清，但不得寻求、提供或允许供应商对磋商报价等实质性内容做任何更改。有关澄清的答复均应由供应商的法定代表人或授权代表以书面形式作出并签字。</w:t>
      </w:r>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6.4.2供应商的澄清文件是其磋商响应文件的组成部分。</w:t>
      </w:r>
    </w:p>
    <w:p>
      <w:pPr>
        <w:snapToGrid w:val="0"/>
        <w:spacing w:line="400" w:lineRule="exact"/>
        <w:ind w:firstLine="480" w:firstLineChars="200"/>
        <w:rPr>
          <w:rFonts w:ascii="宋体"/>
          <w:color w:val="000000"/>
          <w:sz w:val="24"/>
          <w:highlight w:val="none"/>
        </w:rPr>
      </w:pPr>
      <w:r>
        <w:rPr>
          <w:rFonts w:hint="eastAsia" w:ascii="宋体"/>
          <w:color w:val="000000"/>
          <w:sz w:val="24"/>
          <w:highlight w:val="none"/>
        </w:rPr>
        <w:t>6.4.3澄清问题的形式：对磋商响应文件中含义不明确、同类问题表述不一致或者有明显文字和计算错误的内容，磋商小组可要求供应商作出必要的澄清、说明或者纠正。供应商的澄清、说明或者补正应当采用书面形式，由其授权代表签字或盖章确认，并不得超出磋商响应文件的范围或者改变磋商响应文件的实质性内容。</w:t>
      </w:r>
    </w:p>
    <w:p>
      <w:pPr>
        <w:snapToGrid w:val="0"/>
        <w:spacing w:line="400" w:lineRule="exact"/>
        <w:ind w:firstLine="482" w:firstLineChars="200"/>
        <w:rPr>
          <w:rFonts w:ascii="宋体"/>
          <w:b/>
          <w:sz w:val="24"/>
          <w:highlight w:val="none"/>
        </w:rPr>
      </w:pPr>
      <w:r>
        <w:rPr>
          <w:rFonts w:hint="eastAsia" w:ascii="宋体"/>
          <w:b/>
          <w:sz w:val="24"/>
          <w:highlight w:val="none"/>
        </w:rPr>
        <w:t>6.5磋商分二轮进行，首次报价在响应文件中体现；最终报价在磋商结束后由所有参加磋商的供应商在规定的时间内在政采云平台完成报价。</w:t>
      </w:r>
    </w:p>
    <w:p>
      <w:pPr>
        <w:pStyle w:val="22"/>
        <w:spacing w:line="400" w:lineRule="exact"/>
        <w:ind w:firstLine="484" w:firstLineChars="201"/>
        <w:contextualSpacing/>
        <w:outlineLvl w:val="2"/>
        <w:rPr>
          <w:b/>
          <w:sz w:val="24"/>
          <w:szCs w:val="22"/>
          <w:highlight w:val="none"/>
        </w:rPr>
      </w:pPr>
      <w:bookmarkStart w:id="350" w:name="_Toc25151"/>
      <w:bookmarkStart w:id="351" w:name="_Toc2602"/>
      <w:bookmarkStart w:id="352" w:name="_Toc13175"/>
      <w:bookmarkStart w:id="353" w:name="_Toc16194"/>
      <w:r>
        <w:rPr>
          <w:rFonts w:hint="eastAsia"/>
          <w:b/>
          <w:sz w:val="24"/>
          <w:szCs w:val="22"/>
          <w:highlight w:val="none"/>
        </w:rPr>
        <w:t>6.6磋商过程的监控</w:t>
      </w:r>
      <w:bookmarkEnd w:id="350"/>
      <w:bookmarkEnd w:id="351"/>
      <w:bookmarkEnd w:id="352"/>
      <w:bookmarkEnd w:id="353"/>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本项目磋商过程实行全程录音、录像监控并聘请长兴县政府采购督导员进行现场监督，供应商在评标过程中所进行的试图影响评标结果的不公正活动，可能导致其磋商被拒绝。</w:t>
      </w:r>
    </w:p>
    <w:p>
      <w:pPr>
        <w:pStyle w:val="22"/>
        <w:spacing w:line="400" w:lineRule="exact"/>
        <w:ind w:firstLine="484" w:firstLineChars="201"/>
        <w:contextualSpacing/>
        <w:outlineLvl w:val="2"/>
        <w:rPr>
          <w:b/>
          <w:sz w:val="24"/>
          <w:szCs w:val="22"/>
          <w:highlight w:val="none"/>
        </w:rPr>
      </w:pPr>
      <w:bookmarkStart w:id="354" w:name="_Toc27400"/>
      <w:bookmarkStart w:id="355" w:name="_Toc21607"/>
      <w:bookmarkStart w:id="356" w:name="_Toc17533"/>
      <w:bookmarkStart w:id="357" w:name="_Toc27004"/>
      <w:r>
        <w:rPr>
          <w:rFonts w:hint="eastAsia"/>
          <w:b/>
          <w:sz w:val="24"/>
          <w:szCs w:val="22"/>
          <w:highlight w:val="none"/>
        </w:rPr>
        <w:t>6.7成交</w:t>
      </w:r>
      <w:bookmarkEnd w:id="354"/>
      <w:bookmarkEnd w:id="355"/>
      <w:bookmarkEnd w:id="356"/>
      <w:bookmarkEnd w:id="357"/>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6.7.1磋商小组按照磋商文件确定的磋商方法、步骤、标准，对磋商响应文件进行评审，提出书面磋商报告。</w:t>
      </w:r>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6.7.2采购人应在收到评标报告后5个工作日内，按照磋商报告推荐的成交候选供应商顺序确定成交供应商，并出具书面确认函。</w:t>
      </w:r>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6.7.3磋商文件中对成交供应商的数量、方式有其他规定的，按相关规定执行。</w:t>
      </w:r>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6.7.4成交供应商因不可抗力或者自身原因不能履行政府采购合同的，采购人可以按照磋商报告推荐的中标候选人名单排列，确定下一候选人为成交供应商，也可以重新开展政府采购活动。</w:t>
      </w:r>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6.7.5成交供应商确定后，集中采购机构将在省级及以上财政部门指定的媒体发布中标公告，中标公告期为1个工作日，公告期届满之日起7个工作日内无质疑的，向成交供应商发出《成交通知书》。《成交通知书》是合同的组成部分,对成交供应商和采购人具有同等法律效力。</w:t>
      </w:r>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6.7.6在磋商期间，任何人不得非法干预、影响磋商过程。</w:t>
      </w:r>
    </w:p>
    <w:p>
      <w:pPr>
        <w:pStyle w:val="7"/>
        <w:spacing w:before="0" w:after="0" w:line="400" w:lineRule="exact"/>
        <w:jc w:val="both"/>
        <w:rPr>
          <w:rFonts w:ascii="黑体" w:eastAsia="黑体" w:cs="Times New Roman"/>
          <w:b w:val="0"/>
          <w:highlight w:val="none"/>
        </w:rPr>
      </w:pPr>
      <w:bookmarkStart w:id="358" w:name="_Toc524600097"/>
      <w:bookmarkStart w:id="359" w:name="_Toc7731"/>
      <w:bookmarkStart w:id="360" w:name="_Toc3242"/>
      <w:bookmarkStart w:id="361" w:name="_Toc10211"/>
      <w:bookmarkStart w:id="362" w:name="_Toc7347"/>
      <w:bookmarkStart w:id="363" w:name="_Toc30744"/>
      <w:bookmarkStart w:id="364" w:name="_Toc19049"/>
      <w:bookmarkStart w:id="365" w:name="_Toc26871"/>
      <w:bookmarkStart w:id="366" w:name="_Toc21372"/>
      <w:bookmarkStart w:id="367" w:name="_Toc23174"/>
      <w:bookmarkStart w:id="368" w:name="_Toc27350"/>
      <w:bookmarkStart w:id="369" w:name="_Toc4208"/>
      <w:bookmarkStart w:id="370" w:name="_Toc16105"/>
      <w:bookmarkStart w:id="371" w:name="_Toc18282"/>
      <w:bookmarkStart w:id="372" w:name="_Toc29069"/>
      <w:bookmarkStart w:id="373" w:name="_Toc19233"/>
      <w:bookmarkStart w:id="374" w:name="_Toc19267"/>
      <w:bookmarkStart w:id="375" w:name="_Toc10237"/>
      <w:bookmarkStart w:id="376" w:name="_Toc22937"/>
      <w:bookmarkStart w:id="377" w:name="_Toc27958"/>
      <w:bookmarkStart w:id="378" w:name="_Toc29509"/>
      <w:bookmarkStart w:id="379" w:name="_Toc26964"/>
      <w:bookmarkStart w:id="380" w:name="_Toc10031"/>
      <w:bookmarkStart w:id="381" w:name="_Toc6051"/>
      <w:bookmarkStart w:id="382" w:name="_Toc4204"/>
      <w:bookmarkStart w:id="383" w:name="_Toc29451"/>
      <w:bookmarkStart w:id="384" w:name="_Toc17044"/>
      <w:bookmarkStart w:id="385" w:name="_Toc11564"/>
      <w:bookmarkStart w:id="386" w:name="_Toc28711"/>
      <w:bookmarkStart w:id="387" w:name="_Toc19938"/>
      <w:r>
        <w:rPr>
          <w:rFonts w:hint="eastAsia" w:ascii="黑体" w:eastAsia="黑体" w:cs="Times New Roman"/>
          <w:b w:val="0"/>
          <w:highlight w:val="none"/>
        </w:rPr>
        <w:t>7.履约保证金：</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pPr>
        <w:pStyle w:val="9"/>
        <w:spacing w:line="400" w:lineRule="exact"/>
        <w:ind w:firstLine="482" w:firstLineChars="201"/>
        <w:rPr>
          <w:rFonts w:ascii="宋体"/>
          <w:kern w:val="0"/>
          <w:sz w:val="24"/>
          <w:highlight w:val="none"/>
        </w:rPr>
      </w:pPr>
      <w:r>
        <w:rPr>
          <w:rFonts w:hint="eastAsia" w:ascii="宋体"/>
          <w:color w:val="000000"/>
          <w:sz w:val="24"/>
          <w:highlight w:val="none"/>
        </w:rPr>
        <w:t>7.1履约保证金的形式及收退：</w:t>
      </w:r>
      <w:r>
        <w:rPr>
          <w:rFonts w:hint="eastAsia" w:ascii="宋体"/>
          <w:kern w:val="0"/>
          <w:sz w:val="24"/>
          <w:highlight w:val="none"/>
        </w:rPr>
        <w:t>见供应商须知前附表</w:t>
      </w:r>
    </w:p>
    <w:p>
      <w:pPr>
        <w:pStyle w:val="7"/>
        <w:spacing w:before="0" w:after="0" w:line="400" w:lineRule="exact"/>
        <w:jc w:val="both"/>
        <w:rPr>
          <w:rFonts w:ascii="黑体" w:eastAsia="黑体" w:cs="Times New Roman"/>
          <w:b w:val="0"/>
          <w:highlight w:val="none"/>
        </w:rPr>
      </w:pPr>
      <w:bookmarkStart w:id="388" w:name="_Toc10689"/>
      <w:bookmarkStart w:id="389" w:name="_Toc13453"/>
      <w:bookmarkStart w:id="390" w:name="_Toc14341"/>
      <w:bookmarkStart w:id="391" w:name="_Toc32664"/>
      <w:bookmarkStart w:id="392" w:name="_Toc6681"/>
      <w:bookmarkStart w:id="393" w:name="_Toc3225"/>
      <w:bookmarkStart w:id="394" w:name="_Toc4083"/>
      <w:bookmarkStart w:id="395" w:name="_Toc9696"/>
      <w:bookmarkStart w:id="396" w:name="_Toc29235"/>
      <w:bookmarkStart w:id="397" w:name="_Toc468535463"/>
      <w:bookmarkStart w:id="398" w:name="_Toc524600098"/>
      <w:bookmarkStart w:id="399" w:name="_Toc30364"/>
      <w:bookmarkStart w:id="400" w:name="_Toc12393"/>
      <w:bookmarkStart w:id="401" w:name="_Toc11340"/>
      <w:bookmarkStart w:id="402" w:name="_Toc4799"/>
      <w:bookmarkStart w:id="403" w:name="_Toc25013"/>
      <w:bookmarkStart w:id="404" w:name="_Toc16014"/>
      <w:bookmarkStart w:id="405" w:name="_Toc22817"/>
      <w:bookmarkStart w:id="406" w:name="_Toc26490"/>
      <w:bookmarkStart w:id="407" w:name="_Toc15608"/>
      <w:bookmarkStart w:id="408" w:name="_Toc20641"/>
      <w:bookmarkStart w:id="409" w:name="_Toc6610"/>
      <w:bookmarkStart w:id="410" w:name="_Toc19659"/>
      <w:bookmarkStart w:id="411" w:name="_Toc459223851"/>
      <w:bookmarkStart w:id="412" w:name="_Toc24027"/>
      <w:bookmarkStart w:id="413" w:name="_Toc31685"/>
      <w:bookmarkStart w:id="414" w:name="_Toc459226627"/>
      <w:bookmarkStart w:id="415" w:name="_Toc15903"/>
      <w:bookmarkStart w:id="416" w:name="_Toc9366"/>
      <w:bookmarkStart w:id="417" w:name="_Toc16279"/>
      <w:bookmarkStart w:id="418" w:name="_Toc459227610"/>
      <w:bookmarkStart w:id="419" w:name="_Toc459227377"/>
      <w:bookmarkStart w:id="420" w:name="_Toc21994"/>
      <w:bookmarkStart w:id="421" w:name="_Toc459297217"/>
      <w:bookmarkStart w:id="422" w:name="_Toc3571"/>
      <w:bookmarkStart w:id="423" w:name="_Toc777"/>
      <w:r>
        <w:rPr>
          <w:rFonts w:hint="eastAsia" w:ascii="黑体" w:eastAsia="黑体" w:cs="Times New Roman"/>
          <w:b w:val="0"/>
          <w:highlight w:val="none"/>
        </w:rPr>
        <w:t>8.签订合同</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8.1采购人应按磋商文件要求和成交供应商的磋商响应文件承诺订立书面合同，不得超出磋商文件和成交供应商磋商响应文件的范围，也不得再行订立背离合同实质性内容的其他协议。</w:t>
      </w:r>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8.2采购人应在《成交通知书》发出之日起30天内与成交供应商签订政府采购合同。签订政府采购合同后7个工作日内，采购人应将政府采购合同在政采云平台上进行备案。</w:t>
      </w:r>
    </w:p>
    <w:p>
      <w:pPr>
        <w:snapToGrid w:val="0"/>
        <w:spacing w:line="400" w:lineRule="exact"/>
        <w:ind w:firstLine="480" w:firstLineChars="200"/>
        <w:rPr>
          <w:rFonts w:ascii="宋体"/>
          <w:color w:val="000000"/>
          <w:sz w:val="24"/>
          <w:highlight w:val="none"/>
        </w:rPr>
      </w:pPr>
      <w:r>
        <w:rPr>
          <w:rFonts w:hint="eastAsia" w:ascii="宋体"/>
          <w:color w:val="000000"/>
          <w:sz w:val="24"/>
          <w:highlight w:val="none"/>
        </w:rPr>
        <w:t>8.3成交供应商拖延、拒签合同的,将被取消成交资格。</w:t>
      </w:r>
    </w:p>
    <w:p>
      <w:pPr>
        <w:pStyle w:val="7"/>
        <w:spacing w:before="0" w:after="0" w:line="400" w:lineRule="exact"/>
        <w:jc w:val="both"/>
        <w:rPr>
          <w:rFonts w:ascii="黑体" w:eastAsia="黑体" w:cs="Times New Roman"/>
          <w:b w:val="0"/>
          <w:highlight w:val="none"/>
        </w:rPr>
      </w:pPr>
      <w:bookmarkStart w:id="424" w:name="_Toc29174"/>
      <w:bookmarkStart w:id="425" w:name="_Toc21029"/>
      <w:bookmarkStart w:id="426" w:name="_Toc17127"/>
      <w:bookmarkStart w:id="427" w:name="_Toc16082"/>
      <w:bookmarkStart w:id="428" w:name="_Toc21004"/>
      <w:bookmarkStart w:id="429" w:name="_Toc25479"/>
      <w:bookmarkStart w:id="430" w:name="_Toc459227378"/>
      <w:bookmarkStart w:id="431" w:name="_Toc7724"/>
      <w:bookmarkStart w:id="432" w:name="_Toc11491"/>
      <w:bookmarkStart w:id="433" w:name="_Toc459226628"/>
      <w:bookmarkStart w:id="434" w:name="_Toc16131"/>
      <w:bookmarkStart w:id="435" w:name="_Toc9874"/>
      <w:bookmarkStart w:id="436" w:name="_Toc30894"/>
      <w:bookmarkStart w:id="437" w:name="_Toc9517"/>
      <w:bookmarkStart w:id="438" w:name="_Toc1780"/>
      <w:bookmarkStart w:id="439" w:name="_Toc16456"/>
      <w:bookmarkStart w:id="440" w:name="_Toc524600099"/>
      <w:bookmarkStart w:id="441" w:name="_Toc30885"/>
      <w:bookmarkStart w:id="442" w:name="_Toc29449"/>
      <w:bookmarkStart w:id="443" w:name="_Toc459227611"/>
      <w:bookmarkStart w:id="444" w:name="_Toc32197"/>
      <w:bookmarkStart w:id="445" w:name="_Toc459297218"/>
      <w:bookmarkStart w:id="446" w:name="_Toc8886"/>
      <w:bookmarkStart w:id="447" w:name="_Toc468535464"/>
      <w:bookmarkStart w:id="448" w:name="_Toc29613"/>
      <w:bookmarkStart w:id="449" w:name="_Toc23671"/>
      <w:bookmarkStart w:id="450" w:name="_Toc459223852"/>
      <w:bookmarkStart w:id="451" w:name="_Toc23557"/>
      <w:bookmarkStart w:id="452" w:name="_Toc13069"/>
      <w:bookmarkStart w:id="453" w:name="_Toc18251"/>
      <w:bookmarkStart w:id="454" w:name="_Toc2200"/>
      <w:bookmarkStart w:id="455" w:name="_Toc16273"/>
      <w:bookmarkStart w:id="456" w:name="_Toc31549"/>
      <w:bookmarkStart w:id="457" w:name="_Toc6997"/>
      <w:bookmarkStart w:id="458" w:name="_Toc1560"/>
      <w:bookmarkStart w:id="459" w:name="_Toc460"/>
      <w:r>
        <w:rPr>
          <w:rFonts w:hint="eastAsia" w:ascii="黑体" w:eastAsia="黑体" w:cs="Times New Roman"/>
          <w:b w:val="0"/>
          <w:highlight w:val="none"/>
        </w:rPr>
        <w:t>9.公告、质疑</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9.1采购人将在政府采购监管部门指定媒体上（浙江省政府采购网、长兴县公共资源交易中心网）发布招标公告、通知、评标结果公告等招标程序中所有信息。</w:t>
      </w:r>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9.2如果供应商对此次采购活动有疑问，可依据《政府采购法》等相关规定，在规定的时间内以书面形式向采购人提出质疑。质疑书应当包括下列主要内容：</w:t>
      </w:r>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（1）质疑人的名称、地址、电话等；</w:t>
      </w:r>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（2）质疑人法人签章和单位公章；</w:t>
      </w:r>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（3）具体的质疑事项及事实依据；</w:t>
      </w:r>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（4）明确的请求和必要（合法来源）的证明材料；</w:t>
      </w:r>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（5）以联合体形式参与磋商响应的，则必须联合体各方共同签署、盖章；</w:t>
      </w:r>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（6）提起质疑的日期。</w:t>
      </w:r>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特注：未按上述程序规定的必备内容进行质疑的，采购人将不予以受理。</w:t>
      </w:r>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9.3成交结果公告期限届满之日起7个工作日内如有质疑的，采购人将依法给与答复，并将结果告知所有当事人。</w:t>
      </w:r>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9.4质疑供应商对采购人答复不满意，可在15个工作日内向政府采购监管部门投诉。</w:t>
      </w:r>
    </w:p>
    <w:p>
      <w:pPr>
        <w:pStyle w:val="9"/>
        <w:spacing w:line="400" w:lineRule="exact"/>
        <w:ind w:firstLine="482" w:firstLineChars="201"/>
        <w:rPr>
          <w:rFonts w:ascii="宋体"/>
          <w:kern w:val="0"/>
          <w:sz w:val="28"/>
          <w:szCs w:val="28"/>
          <w:highlight w:val="none"/>
        </w:rPr>
      </w:pPr>
      <w:r>
        <w:rPr>
          <w:rFonts w:hint="eastAsia" w:ascii="宋体"/>
          <w:color w:val="000000"/>
          <w:sz w:val="24"/>
          <w:highlight w:val="none"/>
        </w:rPr>
        <w:t>9.5供应商的质疑和投诉应有事实依据，若为无效投诉，政府采购监管部门将按有关规定给予处罚。</w:t>
      </w:r>
    </w:p>
    <w:p>
      <w:pPr>
        <w:pStyle w:val="7"/>
        <w:spacing w:before="0" w:after="0" w:line="400" w:lineRule="exact"/>
        <w:jc w:val="both"/>
        <w:rPr>
          <w:rFonts w:ascii="黑体" w:eastAsia="黑体" w:cs="Times New Roman"/>
          <w:b w:val="0"/>
          <w:highlight w:val="none"/>
        </w:rPr>
      </w:pPr>
      <w:bookmarkStart w:id="460" w:name="_Toc17340"/>
      <w:bookmarkStart w:id="461" w:name="_Toc18167"/>
      <w:bookmarkStart w:id="462" w:name="_Toc6435"/>
      <w:bookmarkStart w:id="463" w:name="_Toc29672"/>
      <w:bookmarkStart w:id="464" w:name="_Toc11855"/>
      <w:bookmarkStart w:id="465" w:name="_Toc524600100"/>
      <w:bookmarkStart w:id="466" w:name="_Toc459227379"/>
      <w:bookmarkStart w:id="467" w:name="_Toc13378"/>
      <w:bookmarkStart w:id="468" w:name="_Toc27220"/>
      <w:bookmarkStart w:id="469" w:name="_Toc24525"/>
      <w:bookmarkStart w:id="470" w:name="_Toc16229"/>
      <w:bookmarkStart w:id="471" w:name="_Toc26991"/>
      <w:bookmarkStart w:id="472" w:name="_Toc727"/>
      <w:bookmarkStart w:id="473" w:name="_Toc23079"/>
      <w:bookmarkStart w:id="474" w:name="_Toc200"/>
      <w:bookmarkStart w:id="475" w:name="_Toc1190"/>
      <w:bookmarkStart w:id="476" w:name="_Toc459227612"/>
      <w:bookmarkStart w:id="477" w:name="_Toc1972"/>
      <w:bookmarkStart w:id="478" w:name="_Toc28808"/>
      <w:bookmarkStart w:id="479" w:name="_Toc459223853"/>
      <w:bookmarkStart w:id="480" w:name="_Toc29631"/>
      <w:bookmarkStart w:id="481" w:name="_Toc6216"/>
      <w:bookmarkStart w:id="482" w:name="_Toc17995"/>
      <w:bookmarkStart w:id="483" w:name="_Toc3845"/>
      <w:bookmarkStart w:id="484" w:name="_Toc28646"/>
      <w:bookmarkStart w:id="485" w:name="_Toc459226629"/>
      <w:bookmarkStart w:id="486" w:name="_Toc4505"/>
      <w:bookmarkStart w:id="487" w:name="_Toc18666"/>
      <w:bookmarkStart w:id="488" w:name="_Toc2159"/>
      <w:bookmarkStart w:id="489" w:name="_Toc19497"/>
      <w:bookmarkStart w:id="490" w:name="_Toc21536"/>
      <w:bookmarkStart w:id="491" w:name="_Toc459297219"/>
      <w:bookmarkStart w:id="492" w:name="_Toc29218"/>
      <w:bookmarkStart w:id="493" w:name="_Toc5857"/>
      <w:bookmarkStart w:id="494" w:name="_Toc30140"/>
      <w:bookmarkStart w:id="495" w:name="_Toc468535465"/>
      <w:r>
        <w:rPr>
          <w:rFonts w:hint="eastAsia" w:ascii="黑体" w:eastAsia="黑体" w:cs="Times New Roman"/>
          <w:b w:val="0"/>
          <w:highlight w:val="none"/>
        </w:rPr>
        <w:t>10.项目验收</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10.1采购人按照政府采购合同规定的技术、服务、安全标准对供应商履约情况进行验收，并出具验收书。验收书包括每一项技术、服务、安全标准的履约情况。</w:t>
      </w:r>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10.2验收标准及方法:磋商文件、磋商响应文件、政府采购合同规定的标准。</w:t>
      </w:r>
    </w:p>
    <w:p>
      <w:pPr>
        <w:pStyle w:val="7"/>
        <w:spacing w:before="0" w:after="0" w:line="400" w:lineRule="exact"/>
        <w:jc w:val="both"/>
        <w:rPr>
          <w:rFonts w:ascii="黑体" w:eastAsia="黑体" w:cs="Times New Roman"/>
          <w:b w:val="0"/>
          <w:highlight w:val="none"/>
        </w:rPr>
      </w:pPr>
      <w:bookmarkStart w:id="496" w:name="_Toc459227380"/>
      <w:bookmarkStart w:id="497" w:name="_Toc459227613"/>
      <w:bookmarkStart w:id="498" w:name="_Toc13412"/>
      <w:bookmarkStart w:id="499" w:name="_Toc19566"/>
      <w:bookmarkStart w:id="500" w:name="_Toc8073"/>
      <w:bookmarkStart w:id="501" w:name="_Toc12744"/>
      <w:bookmarkStart w:id="502" w:name="_Toc4206"/>
      <w:bookmarkStart w:id="503" w:name="_Toc28357"/>
      <w:bookmarkStart w:id="504" w:name="_Toc16057"/>
      <w:bookmarkStart w:id="505" w:name="_Toc468535466"/>
      <w:bookmarkStart w:id="506" w:name="_Toc459297220"/>
      <w:bookmarkStart w:id="507" w:name="_Toc24650"/>
      <w:bookmarkStart w:id="508" w:name="_Toc3651"/>
      <w:bookmarkStart w:id="509" w:name="_Toc459223854"/>
      <w:bookmarkStart w:id="510" w:name="_Toc6568"/>
      <w:bookmarkStart w:id="511" w:name="_Toc30943"/>
      <w:bookmarkStart w:id="512" w:name="_Toc3648"/>
      <w:bookmarkStart w:id="513" w:name="_Toc1137"/>
      <w:bookmarkStart w:id="514" w:name="_Toc24301"/>
      <w:bookmarkStart w:id="515" w:name="_Toc2727"/>
      <w:bookmarkStart w:id="516" w:name="_Toc2496"/>
      <w:bookmarkStart w:id="517" w:name="_Toc18644"/>
      <w:bookmarkStart w:id="518" w:name="_Toc26114"/>
      <w:bookmarkStart w:id="519" w:name="_Toc524600101"/>
      <w:bookmarkStart w:id="520" w:name="_Toc18409"/>
      <w:bookmarkStart w:id="521" w:name="_Toc14842"/>
      <w:bookmarkStart w:id="522" w:name="_Toc17269"/>
      <w:bookmarkStart w:id="523" w:name="_Toc13164"/>
      <w:bookmarkStart w:id="524" w:name="_Toc4701"/>
      <w:bookmarkStart w:id="525" w:name="_Toc31859"/>
      <w:bookmarkStart w:id="526" w:name="_Toc20989"/>
      <w:bookmarkStart w:id="527" w:name="_Toc459226630"/>
      <w:bookmarkStart w:id="528" w:name="_Toc22865"/>
      <w:bookmarkStart w:id="529" w:name="_Toc2034"/>
      <w:bookmarkStart w:id="530" w:name="_Toc17145"/>
      <w:bookmarkStart w:id="531" w:name="_Toc20107"/>
      <w:r>
        <w:rPr>
          <w:rFonts w:hint="eastAsia" w:ascii="黑体" w:eastAsia="黑体" w:cs="Times New Roman"/>
          <w:b w:val="0"/>
          <w:highlight w:val="none"/>
        </w:rPr>
        <w:t>11.适用法律</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采购人和供应商的一切磋商、磋商响应活动均适用于《政府采购法》、《政府采购实施条例》、《政府采购竞争性磋商采购方式管理暂行办法》等相关规定。</w:t>
      </w:r>
    </w:p>
    <w:p>
      <w:pPr>
        <w:pStyle w:val="7"/>
        <w:spacing w:before="0" w:after="0" w:line="400" w:lineRule="exact"/>
        <w:jc w:val="both"/>
        <w:rPr>
          <w:rFonts w:ascii="黑体" w:eastAsia="黑体" w:cs="Times New Roman"/>
          <w:b w:val="0"/>
          <w:highlight w:val="none"/>
        </w:rPr>
      </w:pPr>
      <w:bookmarkStart w:id="532" w:name="_Toc4804"/>
      <w:bookmarkStart w:id="533" w:name="_Toc8153"/>
      <w:bookmarkStart w:id="534" w:name="_Toc19835"/>
      <w:bookmarkStart w:id="535" w:name="_Toc459297222"/>
      <w:bookmarkStart w:id="536" w:name="_Toc17788"/>
      <w:bookmarkStart w:id="537" w:name="_Toc6108"/>
      <w:bookmarkStart w:id="538" w:name="_Toc8719"/>
      <w:bookmarkStart w:id="539" w:name="_Toc459227615"/>
      <w:bookmarkStart w:id="540" w:name="_Toc3874"/>
      <w:bookmarkStart w:id="541" w:name="_Toc1034"/>
      <w:bookmarkStart w:id="542" w:name="_Toc10900"/>
      <w:bookmarkStart w:id="543" w:name="_Toc459227382"/>
      <w:bookmarkStart w:id="544" w:name="_Toc31978"/>
      <w:bookmarkStart w:id="545" w:name="_Toc21048"/>
      <w:bookmarkStart w:id="546" w:name="_Toc12102"/>
      <w:bookmarkStart w:id="547" w:name="_Toc11404"/>
      <w:bookmarkStart w:id="548" w:name="_Toc31637"/>
      <w:bookmarkStart w:id="549" w:name="_Toc2788"/>
      <w:bookmarkStart w:id="550" w:name="_Toc14345"/>
      <w:bookmarkStart w:id="551" w:name="_Toc459223856"/>
      <w:bookmarkStart w:id="552" w:name="_Toc6135"/>
      <w:bookmarkStart w:id="553" w:name="_Toc459226632"/>
      <w:bookmarkStart w:id="554" w:name="_Toc14758"/>
      <w:bookmarkStart w:id="555" w:name="_Toc468535468"/>
      <w:bookmarkStart w:id="556" w:name="_Toc15456"/>
      <w:bookmarkStart w:id="557" w:name="_Toc23920"/>
      <w:bookmarkStart w:id="558" w:name="_Toc12950"/>
      <w:bookmarkStart w:id="559" w:name="_Toc20943"/>
      <w:bookmarkStart w:id="560" w:name="_Toc524600102"/>
      <w:bookmarkStart w:id="561" w:name="_Toc21371"/>
      <w:bookmarkStart w:id="562" w:name="_Toc7569"/>
      <w:bookmarkStart w:id="563" w:name="_Toc26232"/>
      <w:bookmarkStart w:id="564" w:name="_Toc17495"/>
      <w:bookmarkStart w:id="565" w:name="_Toc14973"/>
      <w:bookmarkStart w:id="566" w:name="_Toc11935"/>
      <w:bookmarkStart w:id="567" w:name="_Toc21651"/>
      <w:r>
        <w:rPr>
          <w:rFonts w:hint="eastAsia" w:ascii="黑体" w:eastAsia="黑体" w:cs="Times New Roman"/>
          <w:b w:val="0"/>
          <w:highlight w:val="none"/>
        </w:rPr>
        <w:t>12.其他注意事项</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12.1单位负责人为同一人或者存在直接控股、管理关系的不同供应商，不得参加同一合同项下的政府采购活动。</w:t>
      </w:r>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12.2供应商为采购项目提供整体设计、规范编制或者项目管理、监理、检测等服务的供应商，不得再参加该采购项目的其他采购活动。</w:t>
      </w:r>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12.3政府采购法第二十二条第一款第五项所称重大违法记录，是指供应商因违法经营受到刑事处罚或者责令停产停业、吊销许可证或者执照、较大数额罚款等行政处罚。</w:t>
      </w:r>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12.4按照财政部《关于规范政府采购行政处罚有关问题的通知》的规定，各级人民政府财政部门依法对参加政府采购活动的供应商作出的禁止参加政府采购活动等行政处罚决定在全国范围内生效。</w:t>
      </w:r>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12.5供应商在参加政府采购活动前3年内因违法经营被禁止在一定期限内参加政府采购活动，期限届满的，可以参加政府采购活动。</w:t>
      </w:r>
    </w:p>
    <w:p>
      <w:pPr>
        <w:pStyle w:val="7"/>
        <w:spacing w:before="0" w:after="0" w:line="400" w:lineRule="exact"/>
        <w:jc w:val="both"/>
        <w:rPr>
          <w:rFonts w:ascii="黑体" w:eastAsia="黑体" w:cs="Times New Roman"/>
          <w:b w:val="0"/>
          <w:highlight w:val="none"/>
        </w:rPr>
      </w:pPr>
      <w:bookmarkStart w:id="568" w:name="_Toc10272"/>
      <w:bookmarkStart w:id="569" w:name="_Toc25784"/>
      <w:bookmarkStart w:id="570" w:name="_Toc5999"/>
      <w:bookmarkStart w:id="571" w:name="_Toc23991"/>
      <w:bookmarkStart w:id="572" w:name="_Toc1341"/>
      <w:bookmarkStart w:id="573" w:name="_Toc13215"/>
      <w:bookmarkStart w:id="574" w:name="_Toc10306"/>
      <w:bookmarkStart w:id="575" w:name="_Toc30172"/>
      <w:bookmarkStart w:id="576" w:name="_Toc23801"/>
      <w:bookmarkStart w:id="577" w:name="_Toc21692"/>
      <w:bookmarkStart w:id="578" w:name="_Toc19607"/>
      <w:bookmarkStart w:id="579" w:name="_Toc11039"/>
      <w:bookmarkStart w:id="580" w:name="_Toc7876"/>
      <w:bookmarkStart w:id="581" w:name="_Toc18809"/>
      <w:bookmarkStart w:id="582" w:name="_Toc524600103"/>
      <w:bookmarkStart w:id="583" w:name="_Toc23026"/>
      <w:bookmarkStart w:id="584" w:name="_Toc14501"/>
      <w:bookmarkStart w:id="585" w:name="_Toc26470"/>
      <w:bookmarkStart w:id="586" w:name="_Toc1631"/>
      <w:bookmarkStart w:id="587" w:name="_Toc12075"/>
      <w:bookmarkStart w:id="588" w:name="_Toc16492"/>
      <w:bookmarkStart w:id="589" w:name="_Toc14407"/>
      <w:bookmarkStart w:id="590" w:name="_Toc27700"/>
      <w:bookmarkStart w:id="591" w:name="_Toc1711"/>
      <w:bookmarkStart w:id="592" w:name="_Toc4735"/>
      <w:bookmarkStart w:id="593" w:name="_Toc8056"/>
      <w:bookmarkStart w:id="594" w:name="_Toc5491"/>
      <w:bookmarkStart w:id="595" w:name="_Toc18785"/>
      <w:bookmarkStart w:id="596" w:name="_Toc30910"/>
      <w:bookmarkStart w:id="597" w:name="_Toc3127"/>
      <w:r>
        <w:rPr>
          <w:rFonts w:hint="eastAsia" w:ascii="黑体" w:eastAsia="黑体" w:cs="Times New Roman"/>
          <w:b w:val="0"/>
          <w:highlight w:val="none"/>
        </w:rPr>
        <w:t>13.采购人认为应该补充的其他内容</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pPr>
        <w:pStyle w:val="9"/>
        <w:spacing w:line="400" w:lineRule="exact"/>
        <w:ind w:firstLine="482" w:firstLineChars="201"/>
        <w:jc w:val="left"/>
        <w:rPr>
          <w:rFonts w:ascii="宋体"/>
          <w:color w:val="000000"/>
          <w:sz w:val="24"/>
          <w:highlight w:val="none"/>
        </w:rPr>
      </w:pPr>
      <w:bookmarkStart w:id="598" w:name="_Toc6024"/>
      <w:bookmarkStart w:id="599" w:name="_Toc3035"/>
      <w:bookmarkStart w:id="600" w:name="_Toc25410"/>
      <w:bookmarkStart w:id="601" w:name="_Toc2573"/>
      <w:bookmarkStart w:id="602" w:name="_Toc31350"/>
      <w:bookmarkStart w:id="603" w:name="_Toc5442"/>
      <w:bookmarkStart w:id="604" w:name="_Toc27702"/>
      <w:r>
        <w:rPr>
          <w:rFonts w:hint="eastAsia" w:ascii="宋体"/>
          <w:color w:val="000000"/>
          <w:sz w:val="24"/>
          <w:highlight w:val="none"/>
        </w:rPr>
        <w:t>13.1特别说明：见供应商须知前附表</w:t>
      </w:r>
      <w:bookmarkEnd w:id="598"/>
      <w:bookmarkEnd w:id="599"/>
      <w:bookmarkEnd w:id="600"/>
      <w:bookmarkEnd w:id="601"/>
      <w:bookmarkEnd w:id="602"/>
      <w:bookmarkEnd w:id="603"/>
      <w:bookmarkEnd w:id="604"/>
      <w:r>
        <w:rPr>
          <w:rFonts w:hint="eastAsia" w:ascii="宋体"/>
          <w:color w:val="000000"/>
          <w:sz w:val="24"/>
          <w:highlight w:val="none"/>
        </w:rPr>
        <w:t>。</w:t>
      </w:r>
    </w:p>
    <w:p>
      <w:pPr>
        <w:pStyle w:val="9"/>
        <w:spacing w:line="400" w:lineRule="exact"/>
        <w:ind w:firstLine="482" w:firstLineChars="201"/>
        <w:jc w:val="left"/>
        <w:rPr>
          <w:rFonts w:ascii="宋体"/>
          <w:color w:val="000000"/>
          <w:sz w:val="24"/>
          <w:highlight w:val="none"/>
        </w:rPr>
      </w:pPr>
      <w:bookmarkStart w:id="605" w:name="_Toc17595"/>
      <w:bookmarkStart w:id="606" w:name="_Toc32272"/>
      <w:bookmarkStart w:id="607" w:name="_Toc18453"/>
      <w:bookmarkStart w:id="608" w:name="_Toc10485"/>
      <w:bookmarkStart w:id="609" w:name="_Toc9441"/>
      <w:bookmarkStart w:id="610" w:name="_Toc5284"/>
      <w:bookmarkStart w:id="611" w:name="_Toc1874"/>
      <w:r>
        <w:rPr>
          <w:rFonts w:hint="eastAsia" w:ascii="宋体"/>
          <w:color w:val="000000"/>
          <w:sz w:val="24"/>
          <w:highlight w:val="none"/>
        </w:rPr>
        <w:t>13.2</w:t>
      </w:r>
      <w:r>
        <w:rPr>
          <w:rFonts w:hint="eastAsia" w:ascii="宋体" w:hAnsi="宋体" w:cs="宋体"/>
          <w:color w:val="000000"/>
          <w:kern w:val="0"/>
          <w:sz w:val="24"/>
          <w:highlight w:val="none"/>
        </w:rPr>
        <w:t>为落实政府采购政策需满足的要求</w:t>
      </w:r>
      <w:r>
        <w:rPr>
          <w:rFonts w:hint="eastAsia" w:ascii="宋体"/>
          <w:color w:val="000000"/>
          <w:sz w:val="24"/>
          <w:highlight w:val="none"/>
        </w:rPr>
        <w:t>：见供应商须知前附表</w:t>
      </w:r>
      <w:bookmarkEnd w:id="605"/>
      <w:bookmarkEnd w:id="606"/>
      <w:bookmarkEnd w:id="607"/>
      <w:bookmarkEnd w:id="608"/>
      <w:bookmarkEnd w:id="609"/>
      <w:bookmarkEnd w:id="610"/>
      <w:bookmarkEnd w:id="611"/>
      <w:r>
        <w:rPr>
          <w:rFonts w:hint="eastAsia" w:ascii="宋体"/>
          <w:color w:val="000000"/>
          <w:sz w:val="24"/>
          <w:highlight w:val="none"/>
        </w:rPr>
        <w:t>。</w:t>
      </w:r>
    </w:p>
    <w:p>
      <w:pPr>
        <w:pStyle w:val="7"/>
        <w:spacing w:before="0" w:after="0" w:line="400" w:lineRule="exact"/>
        <w:jc w:val="both"/>
        <w:rPr>
          <w:rFonts w:ascii="黑体" w:eastAsia="黑体" w:cs="Times New Roman"/>
          <w:b w:val="0"/>
          <w:highlight w:val="none"/>
        </w:rPr>
      </w:pPr>
      <w:r>
        <w:rPr>
          <w:rFonts w:hint="eastAsia" w:ascii="黑体" w:eastAsia="黑体" w:cs="Times New Roman"/>
          <w:b w:val="0"/>
          <w:highlight w:val="none"/>
        </w:rPr>
        <w:t>14.特别注意事项</w:t>
      </w:r>
    </w:p>
    <w:p>
      <w:pPr>
        <w:pStyle w:val="9"/>
        <w:spacing w:line="400" w:lineRule="exact"/>
        <w:ind w:firstLine="482" w:firstLineChars="201"/>
        <w:jc w:val="left"/>
        <w:rPr>
          <w:rFonts w:ascii="宋体" w:hAnsi="宋体" w:cs="宋体"/>
          <w:sz w:val="24"/>
          <w:szCs w:val="24"/>
          <w:highlight w:val="none"/>
        </w:rPr>
      </w:pPr>
      <w:r>
        <w:rPr>
          <w:rFonts w:hint="eastAsia" w:ascii="宋体" w:hAnsi="宋体" w:cs="宋体"/>
          <w:sz w:val="24"/>
          <w:szCs w:val="24"/>
          <w:highlight w:val="none"/>
        </w:rPr>
        <w:t>见供应商须知前附表。</w:t>
      </w:r>
    </w:p>
    <w:p>
      <w:pPr>
        <w:pStyle w:val="7"/>
        <w:spacing w:before="0" w:after="0" w:line="400" w:lineRule="exact"/>
        <w:jc w:val="both"/>
        <w:rPr>
          <w:rFonts w:ascii="黑体" w:eastAsia="黑体" w:cs="Times New Roman"/>
          <w:b w:val="0"/>
          <w:highlight w:val="none"/>
        </w:rPr>
      </w:pPr>
      <w:bookmarkStart w:id="612" w:name="_Toc524600104"/>
      <w:bookmarkStart w:id="613" w:name="_Toc2627"/>
      <w:bookmarkStart w:id="614" w:name="_Toc16697"/>
      <w:bookmarkStart w:id="615" w:name="_Toc2110"/>
      <w:bookmarkStart w:id="616" w:name="_Toc13302"/>
      <w:bookmarkStart w:id="617" w:name="_Toc27355"/>
      <w:bookmarkStart w:id="618" w:name="_Toc56431845"/>
      <w:bookmarkStart w:id="619" w:name="_Toc31503"/>
      <w:bookmarkStart w:id="620" w:name="_Toc28627"/>
      <w:bookmarkStart w:id="621" w:name="_Toc15858"/>
      <w:bookmarkStart w:id="622" w:name="_Toc9390"/>
      <w:bookmarkStart w:id="623" w:name="_Toc21661"/>
      <w:bookmarkStart w:id="624" w:name="_Toc6459"/>
      <w:bookmarkStart w:id="625" w:name="_Toc21702"/>
      <w:bookmarkStart w:id="626" w:name="_Toc21142"/>
      <w:r>
        <w:rPr>
          <w:rFonts w:hint="eastAsia" w:ascii="黑体" w:eastAsia="黑体" w:cs="Times New Roman"/>
          <w:b w:val="0"/>
          <w:highlight w:val="none"/>
        </w:rPr>
        <w:t>15.</w:t>
      </w:r>
      <w:bookmarkStart w:id="627" w:name="_Toc8961"/>
      <w:bookmarkStart w:id="628" w:name="_Toc13090"/>
      <w:bookmarkStart w:id="629" w:name="_Toc22528"/>
      <w:bookmarkStart w:id="630" w:name="_Toc7240"/>
      <w:bookmarkStart w:id="631" w:name="_Toc13264"/>
      <w:bookmarkStart w:id="632" w:name="_Toc18698"/>
      <w:bookmarkStart w:id="633" w:name="_Toc3154"/>
      <w:bookmarkStart w:id="634" w:name="_Toc18128"/>
      <w:bookmarkStart w:id="635" w:name="_Toc24479"/>
      <w:bookmarkStart w:id="636" w:name="_Toc8059"/>
      <w:bookmarkStart w:id="637" w:name="_Toc32296"/>
      <w:bookmarkStart w:id="638" w:name="_Toc4695"/>
      <w:bookmarkStart w:id="639" w:name="_Toc23080"/>
      <w:bookmarkStart w:id="640" w:name="_Toc3434"/>
      <w:bookmarkStart w:id="641" w:name="_Toc24565"/>
      <w:bookmarkStart w:id="642" w:name="_Toc7977"/>
      <w:r>
        <w:rPr>
          <w:rFonts w:hint="eastAsia" w:ascii="黑体" w:eastAsia="黑体" w:cs="Times New Roman"/>
          <w:b w:val="0"/>
          <w:highlight w:val="none"/>
        </w:rPr>
        <w:t>解释</w:t>
      </w:r>
      <w:bookmarkEnd w:id="612"/>
      <w:bookmarkEnd w:id="613"/>
      <w:bookmarkEnd w:id="614"/>
      <w:bookmarkEnd w:id="615"/>
      <w:bookmarkEnd w:id="616"/>
      <w:bookmarkEnd w:id="617"/>
      <w:bookmarkEnd w:id="618"/>
      <w:bookmarkEnd w:id="619"/>
      <w:bookmarkEnd w:id="620"/>
      <w:bookmarkEnd w:id="621"/>
      <w:bookmarkEnd w:id="622"/>
      <w:bookmarkEnd w:id="623"/>
      <w:bookmarkEnd w:id="624"/>
    </w:p>
    <w:p>
      <w:pPr>
        <w:pStyle w:val="9"/>
        <w:spacing w:line="400" w:lineRule="exact"/>
        <w:ind w:firstLine="482" w:firstLineChars="201"/>
        <w:jc w:val="left"/>
        <w:rPr>
          <w:rFonts w:hint="eastAsia" w:ascii="宋体" w:hAnsi="宋体" w:cs="宋体"/>
          <w:sz w:val="24"/>
          <w:szCs w:val="24"/>
          <w:highlight w:val="none"/>
        </w:rPr>
      </w:pPr>
      <w:bookmarkStart w:id="643" w:name="_Toc9660"/>
      <w:bookmarkStart w:id="644" w:name="_Toc20509"/>
      <w:bookmarkStart w:id="645" w:name="_Toc20178"/>
      <w:bookmarkStart w:id="646" w:name="_Toc2400"/>
      <w:bookmarkStart w:id="647" w:name="_Toc4673"/>
      <w:r>
        <w:rPr>
          <w:rFonts w:hint="eastAsia" w:ascii="宋体" w:hAnsi="宋体" w:cs="宋体"/>
          <w:sz w:val="24"/>
          <w:szCs w:val="24"/>
          <w:highlight w:val="none"/>
        </w:rPr>
        <w:t>见供应商须知前附表</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r>
        <w:rPr>
          <w:rFonts w:hint="eastAsia" w:ascii="宋体" w:hAnsi="宋体" w:cs="宋体"/>
          <w:sz w:val="24"/>
          <w:szCs w:val="24"/>
          <w:highlight w:val="none"/>
        </w:rPr>
        <w:t>。</w:t>
      </w:r>
      <w:bookmarkStart w:id="648" w:name="_Toc24315"/>
      <w:bookmarkStart w:id="649" w:name="_Toc2139"/>
      <w:bookmarkStart w:id="650" w:name="_Toc6779"/>
      <w:bookmarkStart w:id="651" w:name="_Toc26962"/>
      <w:bookmarkStart w:id="652" w:name="_Toc15068"/>
      <w:bookmarkStart w:id="653" w:name="_Toc23027"/>
      <w:bookmarkStart w:id="654" w:name="_Toc29788"/>
      <w:bookmarkStart w:id="655" w:name="_Toc12515"/>
      <w:bookmarkStart w:id="656" w:name="_Toc26544"/>
      <w:bookmarkStart w:id="657" w:name="_Toc9182"/>
      <w:bookmarkStart w:id="658" w:name="_Toc14674"/>
      <w:bookmarkStart w:id="659" w:name="_Toc22906"/>
      <w:bookmarkStart w:id="660" w:name="_Toc8178"/>
      <w:bookmarkStart w:id="661" w:name="_Toc10044"/>
      <w:bookmarkStart w:id="662" w:name="_Toc11250"/>
      <w:bookmarkStart w:id="663" w:name="_Toc22953"/>
      <w:bookmarkStart w:id="664" w:name="_Toc23039"/>
      <w:bookmarkStart w:id="665" w:name="_Toc30213"/>
      <w:bookmarkStart w:id="666" w:name="_Toc7938"/>
      <w:bookmarkStart w:id="667" w:name="_Toc27953"/>
      <w:bookmarkStart w:id="668" w:name="_Toc14602"/>
      <w:bookmarkStart w:id="669" w:name="_Toc3113"/>
      <w:bookmarkStart w:id="670" w:name="_Toc19706"/>
      <w:bookmarkStart w:id="671" w:name="_Toc11695"/>
      <w:bookmarkStart w:id="672" w:name="_Toc19650"/>
      <w:bookmarkStart w:id="673" w:name="_Toc10593"/>
      <w:bookmarkStart w:id="674" w:name="_Toc6958"/>
      <w:bookmarkStart w:id="675" w:name="_Toc9162"/>
      <w:bookmarkStart w:id="676" w:name="_Toc459227616"/>
      <w:bookmarkStart w:id="677" w:name="_Toc459227383"/>
      <w:bookmarkStart w:id="678" w:name="_Toc468535469"/>
      <w:bookmarkStart w:id="679" w:name="_Toc459223857"/>
      <w:bookmarkStart w:id="680" w:name="_Toc459297223"/>
      <w:bookmarkStart w:id="681" w:name="_Toc459226633"/>
      <w:bookmarkStart w:id="682" w:name="_Toc468535475"/>
      <w:bookmarkStart w:id="683" w:name="_Toc459227393"/>
      <w:bookmarkStart w:id="684" w:name="_Toc459297233"/>
      <w:bookmarkStart w:id="685" w:name="_Toc459223867"/>
      <w:bookmarkStart w:id="686" w:name="_Toc459226643"/>
      <w:bookmarkStart w:id="687" w:name="_Toc459227626"/>
    </w:p>
    <w:p>
      <w:pPr>
        <w:rPr>
          <w:rFonts w:hint="eastAsia"/>
        </w:rPr>
      </w:pPr>
    </w:p>
    <w:p>
      <w:pPr>
        <w:pStyle w:val="9"/>
        <w:spacing w:line="400" w:lineRule="exact"/>
        <w:ind w:firstLine="482" w:firstLineChars="201"/>
        <w:jc w:val="left"/>
        <w:rPr>
          <w:rFonts w:hint="eastAsia" w:ascii="宋体" w:hAnsi="宋体" w:cs="宋体"/>
          <w:sz w:val="24"/>
          <w:szCs w:val="24"/>
          <w:highlight w:val="none"/>
        </w:rPr>
      </w:pPr>
    </w:p>
    <w:p>
      <w:pPr>
        <w:rPr>
          <w:rFonts w:hint="eastAsia" w:ascii="宋体" w:hAnsi="宋体" w:cs="宋体"/>
          <w:sz w:val="24"/>
          <w:szCs w:val="24"/>
          <w:highlight w:val="none"/>
        </w:rPr>
      </w:pPr>
    </w:p>
    <w:p>
      <w:pPr>
        <w:pStyle w:val="3"/>
        <w:rPr>
          <w:rFonts w:hint="eastAsia" w:ascii="宋体" w:hAnsi="宋体" w:cs="宋体"/>
          <w:sz w:val="24"/>
          <w:szCs w:val="24"/>
          <w:highlight w:val="none"/>
        </w:rPr>
      </w:pPr>
    </w:p>
    <w:p>
      <w:pPr>
        <w:pStyle w:val="4"/>
        <w:rPr>
          <w:rFonts w:hint="eastAsia" w:ascii="宋体" w:hAnsi="宋体" w:cs="宋体"/>
          <w:sz w:val="24"/>
          <w:szCs w:val="24"/>
          <w:highlight w:val="none"/>
        </w:rPr>
      </w:pPr>
    </w:p>
    <w:p>
      <w:pPr>
        <w:pStyle w:val="5"/>
        <w:rPr>
          <w:rFonts w:hint="eastAsia" w:ascii="宋体" w:hAnsi="宋体" w:cs="宋体"/>
          <w:sz w:val="24"/>
          <w:szCs w:val="24"/>
          <w:highlight w:val="none"/>
        </w:rPr>
      </w:pPr>
    </w:p>
    <w:p>
      <w:pPr>
        <w:rPr>
          <w:rFonts w:hint="eastAsia" w:ascii="宋体" w:hAnsi="宋体" w:cs="宋体"/>
          <w:sz w:val="24"/>
          <w:szCs w:val="24"/>
          <w:highlight w:val="none"/>
        </w:rPr>
      </w:pPr>
    </w:p>
    <w:p>
      <w:pPr>
        <w:pStyle w:val="3"/>
        <w:rPr>
          <w:rFonts w:hint="eastAsia" w:ascii="宋体" w:hAnsi="宋体" w:cs="宋体"/>
          <w:sz w:val="24"/>
          <w:szCs w:val="24"/>
          <w:highlight w:val="none"/>
        </w:rPr>
      </w:pPr>
    </w:p>
    <w:p>
      <w:pPr>
        <w:pStyle w:val="4"/>
        <w:rPr>
          <w:rFonts w:hint="eastAsia" w:ascii="宋体" w:hAnsi="宋体" w:cs="宋体"/>
          <w:sz w:val="24"/>
          <w:szCs w:val="24"/>
          <w:highlight w:val="none"/>
        </w:rPr>
      </w:pPr>
    </w:p>
    <w:p>
      <w:pPr>
        <w:pStyle w:val="5"/>
        <w:rPr>
          <w:rFonts w:hint="eastAsia" w:ascii="宋体" w:hAnsi="宋体" w:cs="宋体"/>
          <w:sz w:val="24"/>
          <w:szCs w:val="24"/>
          <w:highlight w:val="none"/>
        </w:rPr>
      </w:pPr>
    </w:p>
    <w:p>
      <w:pPr>
        <w:rPr>
          <w:rFonts w:hint="eastAsia" w:ascii="宋体" w:hAnsi="宋体" w:cs="宋体"/>
          <w:sz w:val="24"/>
          <w:szCs w:val="24"/>
          <w:highlight w:val="none"/>
        </w:rPr>
      </w:pPr>
    </w:p>
    <w:p>
      <w:pPr>
        <w:pStyle w:val="3"/>
        <w:rPr>
          <w:rFonts w:hint="eastAsia" w:ascii="宋体" w:hAnsi="宋体" w:cs="宋体"/>
          <w:sz w:val="24"/>
          <w:szCs w:val="24"/>
          <w:highlight w:val="none"/>
        </w:rPr>
      </w:pPr>
    </w:p>
    <w:p>
      <w:pPr>
        <w:pStyle w:val="4"/>
        <w:rPr>
          <w:rFonts w:hint="eastAsia" w:ascii="宋体" w:hAnsi="宋体" w:cs="宋体"/>
          <w:sz w:val="24"/>
          <w:szCs w:val="24"/>
          <w:highlight w:val="none"/>
        </w:rPr>
      </w:pPr>
    </w:p>
    <w:p>
      <w:pPr>
        <w:pStyle w:val="5"/>
        <w:rPr>
          <w:rFonts w:hint="eastAsia" w:ascii="宋体" w:hAnsi="宋体" w:cs="宋体"/>
          <w:sz w:val="24"/>
          <w:szCs w:val="24"/>
          <w:highlight w:val="none"/>
        </w:rPr>
      </w:pPr>
    </w:p>
    <w:p>
      <w:pPr>
        <w:rPr>
          <w:rFonts w:hint="eastAsia" w:ascii="宋体" w:hAnsi="宋体" w:cs="宋体"/>
          <w:sz w:val="24"/>
          <w:szCs w:val="24"/>
          <w:highlight w:val="none"/>
        </w:rPr>
      </w:pPr>
    </w:p>
    <w:p>
      <w:pPr>
        <w:pStyle w:val="3"/>
        <w:rPr>
          <w:rFonts w:hint="eastAsia" w:ascii="宋体" w:hAnsi="宋体" w:cs="宋体"/>
          <w:sz w:val="24"/>
          <w:szCs w:val="24"/>
          <w:highlight w:val="none"/>
        </w:rPr>
      </w:pPr>
    </w:p>
    <w:p>
      <w:pPr>
        <w:pStyle w:val="4"/>
        <w:rPr>
          <w:rFonts w:hint="eastAsia" w:ascii="宋体" w:hAnsi="宋体" w:cs="宋体"/>
          <w:sz w:val="24"/>
          <w:szCs w:val="24"/>
          <w:highlight w:val="none"/>
        </w:rPr>
      </w:pPr>
    </w:p>
    <w:p>
      <w:pPr>
        <w:pStyle w:val="5"/>
        <w:rPr>
          <w:rFonts w:hint="eastAsia" w:ascii="宋体" w:hAnsi="宋体" w:cs="宋体"/>
          <w:sz w:val="24"/>
          <w:szCs w:val="24"/>
          <w:highlight w:val="none"/>
        </w:rPr>
      </w:pPr>
    </w:p>
    <w:p>
      <w:pPr>
        <w:rPr>
          <w:rFonts w:hint="eastAsia" w:ascii="宋体" w:hAnsi="宋体" w:cs="宋体"/>
          <w:sz w:val="24"/>
          <w:szCs w:val="24"/>
          <w:highlight w:val="none"/>
        </w:rPr>
      </w:pPr>
    </w:p>
    <w:p>
      <w:pPr>
        <w:pStyle w:val="3"/>
        <w:rPr>
          <w:rFonts w:hint="eastAsia" w:ascii="宋体" w:hAnsi="宋体" w:cs="宋体"/>
          <w:sz w:val="24"/>
          <w:szCs w:val="24"/>
          <w:highlight w:val="none"/>
        </w:rPr>
      </w:pPr>
    </w:p>
    <w:p>
      <w:pPr>
        <w:pStyle w:val="4"/>
        <w:rPr>
          <w:rFonts w:hint="eastAsia" w:ascii="宋体" w:hAnsi="宋体" w:cs="宋体"/>
          <w:sz w:val="24"/>
          <w:szCs w:val="24"/>
          <w:highlight w:val="none"/>
        </w:rPr>
      </w:pPr>
    </w:p>
    <w:p>
      <w:pPr>
        <w:pStyle w:val="5"/>
        <w:rPr>
          <w:rFonts w:hint="eastAsia" w:ascii="宋体" w:hAnsi="宋体" w:cs="宋体"/>
          <w:sz w:val="24"/>
          <w:szCs w:val="24"/>
          <w:highlight w:val="none"/>
        </w:rPr>
      </w:pPr>
    </w:p>
    <w:p>
      <w:pPr>
        <w:rPr>
          <w:rFonts w:hint="eastAsia" w:ascii="宋体" w:hAnsi="宋体" w:cs="宋体"/>
          <w:sz w:val="24"/>
          <w:szCs w:val="24"/>
          <w:highlight w:val="none"/>
        </w:rPr>
      </w:pPr>
    </w:p>
    <w:p>
      <w:pPr>
        <w:pStyle w:val="3"/>
        <w:rPr>
          <w:rFonts w:hint="eastAsia" w:ascii="宋体" w:hAnsi="宋体" w:cs="宋体"/>
          <w:sz w:val="24"/>
          <w:szCs w:val="24"/>
          <w:highlight w:val="none"/>
        </w:rPr>
      </w:pPr>
    </w:p>
    <w:p>
      <w:pPr>
        <w:pStyle w:val="4"/>
        <w:rPr>
          <w:rFonts w:hint="eastAsia" w:ascii="宋体" w:hAnsi="宋体" w:cs="宋体"/>
          <w:sz w:val="24"/>
          <w:szCs w:val="24"/>
          <w:highlight w:val="none"/>
        </w:rPr>
      </w:pPr>
    </w:p>
    <w:p>
      <w:pPr>
        <w:pStyle w:val="5"/>
        <w:rPr>
          <w:rFonts w:hint="eastAsia" w:ascii="宋体" w:hAnsi="宋体" w:cs="宋体"/>
          <w:sz w:val="24"/>
          <w:szCs w:val="24"/>
          <w:highlight w:val="none"/>
        </w:rPr>
      </w:pPr>
    </w:p>
    <w:p>
      <w:pPr>
        <w:rPr>
          <w:rFonts w:hint="eastAsia" w:ascii="宋体" w:hAnsi="宋体" w:cs="宋体"/>
          <w:sz w:val="24"/>
          <w:szCs w:val="24"/>
          <w:highlight w:val="none"/>
        </w:rPr>
      </w:pPr>
    </w:p>
    <w:p>
      <w:pPr>
        <w:pStyle w:val="4"/>
        <w:rPr>
          <w:rFonts w:hint="eastAsia"/>
        </w:rPr>
        <w:sectPr>
          <w:footerReference r:id="rId5" w:type="default"/>
          <w:pgSz w:w="11906" w:h="16838"/>
          <w:pgMar w:top="1440" w:right="1700" w:bottom="1440" w:left="1797" w:header="851" w:footer="992" w:gutter="0"/>
          <w:pgBorders>
            <w:top w:val="none" w:sz="0" w:space="0"/>
            <w:left w:val="none" w:sz="0" w:space="0"/>
            <w:bottom w:val="none" w:sz="0" w:space="0"/>
            <w:right w:val="none" w:sz="0" w:space="0"/>
          </w:pgBorders>
          <w:cols w:equalWidth="0" w:num="1">
            <w:col w:w="8409"/>
          </w:cols>
          <w:docGrid w:linePitch="312" w:charSpace="0"/>
        </w:sectPr>
      </w:pPr>
    </w:p>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Pr>
        <w:numPr>
          <w:ilvl w:val="0"/>
          <w:numId w:val="4"/>
        </w:numPr>
        <w:jc w:val="center"/>
        <w:rPr>
          <w:rFonts w:hint="eastAsia" w:ascii="黑体" w:eastAsia="黑体"/>
          <w:b/>
          <w:color w:val="000000"/>
          <w:sz w:val="32"/>
          <w:szCs w:val="32"/>
          <w:highlight w:val="none"/>
        </w:rPr>
      </w:pPr>
      <w:bookmarkStart w:id="688" w:name="_Toc29265"/>
      <w:bookmarkStart w:id="689" w:name="_Toc31139"/>
      <w:bookmarkStart w:id="690" w:name="_Toc692"/>
      <w:bookmarkStart w:id="691" w:name="_Toc24667"/>
      <w:bookmarkStart w:id="692" w:name="_Toc26980"/>
      <w:bookmarkStart w:id="693" w:name="_Toc206"/>
      <w:bookmarkStart w:id="694" w:name="_Toc4678"/>
      <w:bookmarkStart w:id="695" w:name="_Toc3886"/>
      <w:bookmarkStart w:id="696" w:name="_Toc9710"/>
      <w:bookmarkStart w:id="697" w:name="_Toc13240"/>
      <w:bookmarkStart w:id="698" w:name="_Toc26087"/>
      <w:bookmarkStart w:id="699" w:name="_Toc17166"/>
      <w:bookmarkStart w:id="700" w:name="_Toc17794"/>
      <w:bookmarkStart w:id="701" w:name="_Toc514318673"/>
      <w:bookmarkStart w:id="702" w:name="_Toc32604"/>
      <w:bookmarkStart w:id="703" w:name="_Toc19455"/>
      <w:bookmarkStart w:id="704" w:name="_Toc25309"/>
      <w:bookmarkStart w:id="705" w:name="_Toc15625"/>
      <w:bookmarkStart w:id="706" w:name="_Toc14975"/>
      <w:bookmarkStart w:id="707" w:name="_Toc22697"/>
      <w:bookmarkStart w:id="708" w:name="_Toc19451"/>
      <w:bookmarkStart w:id="709" w:name="_Toc22935"/>
      <w:bookmarkStart w:id="710" w:name="_Toc524600106"/>
      <w:bookmarkStart w:id="711" w:name="_Toc8288"/>
      <w:bookmarkStart w:id="712" w:name="_Toc24519"/>
      <w:bookmarkStart w:id="713" w:name="_Toc55380138"/>
      <w:bookmarkStart w:id="714" w:name="_Toc22315"/>
      <w:bookmarkStart w:id="715" w:name="_Toc3347"/>
      <w:bookmarkStart w:id="716" w:name="_Toc20978"/>
      <w:bookmarkStart w:id="717" w:name="_Toc14161"/>
      <w:bookmarkStart w:id="718" w:name="_Toc24"/>
      <w:bookmarkStart w:id="719" w:name="_Toc10943"/>
      <w:bookmarkStart w:id="720" w:name="_Toc20222"/>
      <w:r>
        <w:rPr>
          <w:rFonts w:hint="eastAsia" w:ascii="黑体" w:eastAsia="黑体"/>
          <w:b/>
          <w:color w:val="000000"/>
          <w:sz w:val="32"/>
          <w:szCs w:val="32"/>
          <w:highlight w:val="none"/>
        </w:rPr>
        <w:t xml:space="preserve"> 采购需求</w:t>
      </w:r>
      <w:bookmarkEnd w:id="688"/>
      <w:bookmarkEnd w:id="689"/>
    </w:p>
    <w:p>
      <w:pPr>
        <w:pStyle w:val="7"/>
        <w:adjustRightInd w:val="0"/>
        <w:snapToGrid w:val="0"/>
        <w:spacing w:line="360" w:lineRule="auto"/>
        <w:ind w:firstLine="0" w:firstLineChars="0"/>
        <w:contextualSpacing/>
        <w:jc w:val="left"/>
        <w:rPr>
          <w:rFonts w:hint="eastAsia" w:ascii="宋体" w:eastAsia="宋体"/>
          <w:b/>
          <w:bCs/>
          <w:color w:val="000000"/>
          <w:sz w:val="24"/>
          <w:szCs w:val="22"/>
          <w:lang w:eastAsia="zh-CN"/>
        </w:rPr>
      </w:pPr>
      <w:r>
        <w:rPr>
          <w:rFonts w:hint="eastAsia"/>
          <w:b/>
          <w:bCs/>
          <w:color w:val="000000"/>
          <w:sz w:val="24"/>
          <w:szCs w:val="22"/>
          <w:lang w:eastAsia="zh-CN"/>
        </w:rPr>
        <w:t>一、采购基本需求</w:t>
      </w:r>
    </w:p>
    <w:p>
      <w:pPr>
        <w:pStyle w:val="7"/>
        <w:adjustRightInd w:val="0"/>
        <w:snapToGrid w:val="0"/>
        <w:spacing w:line="360" w:lineRule="auto"/>
        <w:ind w:firstLine="480" w:firstLineChars="200"/>
        <w:contextualSpacing/>
        <w:jc w:val="left"/>
        <w:rPr>
          <w:rFonts w:hint="eastAsia" w:ascii="宋体"/>
          <w:b w:val="0"/>
          <w:color w:val="000000"/>
          <w:sz w:val="24"/>
          <w:szCs w:val="22"/>
        </w:rPr>
      </w:pPr>
      <w:r>
        <w:rPr>
          <w:rFonts w:hint="eastAsia" w:ascii="宋体"/>
          <w:b w:val="0"/>
          <w:color w:val="000000"/>
          <w:sz w:val="24"/>
          <w:szCs w:val="22"/>
        </w:rPr>
        <w:t>供应商应提供技术先进且安全可靠、市场使用较成熟的梯型，符合相关技术标准规范和节能环保要求。电梯系统在启、制动及额定负荷状态下运行时应保证安全、平稳、舒适、无抖动和冲击感，运行曲线应平滑，运行效率高。</w:t>
      </w:r>
    </w:p>
    <w:p>
      <w:pPr>
        <w:spacing w:line="360" w:lineRule="auto"/>
        <w:ind w:firstLine="482" w:firstLineChars="200"/>
        <w:rPr>
          <w:rFonts w:hint="eastAsia" w:ascii="宋体"/>
          <w:b/>
          <w:bCs/>
          <w:color w:val="000000"/>
          <w:sz w:val="24"/>
          <w:szCs w:val="22"/>
        </w:rPr>
      </w:pPr>
      <w:r>
        <w:rPr>
          <w:rFonts w:hint="eastAsia" w:ascii="宋体"/>
          <w:b/>
          <w:bCs/>
          <w:color w:val="000000"/>
          <w:kern w:val="2"/>
          <w:sz w:val="24"/>
          <w:szCs w:val="22"/>
        </w:rPr>
        <w:t>1.1电梯设备供货及伴随服务需求一览表</w:t>
      </w:r>
    </w:p>
    <w:tbl>
      <w:tblPr>
        <w:tblStyle w:val="35"/>
        <w:tblW w:w="8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5"/>
        <w:gridCol w:w="4412"/>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785"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0" w:firstLineChars="200"/>
              <w:contextualSpacing/>
              <w:jc w:val="center"/>
              <w:rPr>
                <w:rFonts w:hint="eastAsia" w:ascii="宋体" w:cs="Arial"/>
                <w:b w:val="0"/>
                <w:color w:val="000000"/>
                <w:sz w:val="24"/>
                <w:szCs w:val="22"/>
                <w:lang w:bidi="ar-SA"/>
              </w:rPr>
            </w:pPr>
            <w:r>
              <w:rPr>
                <w:rFonts w:hint="eastAsia" w:ascii="宋体" w:cs="Arial"/>
                <w:b w:val="0"/>
                <w:color w:val="000000"/>
                <w:sz w:val="24"/>
                <w:szCs w:val="22"/>
                <w:lang w:bidi="ar-SA"/>
              </w:rPr>
              <w:t>设备编号</w:t>
            </w:r>
          </w:p>
        </w:tc>
        <w:tc>
          <w:tcPr>
            <w:tcW w:w="4412"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0" w:firstLineChars="200"/>
              <w:contextualSpacing/>
              <w:jc w:val="center"/>
              <w:rPr>
                <w:rFonts w:hint="eastAsia" w:ascii="宋体" w:eastAsia="宋体" w:cs="Arial"/>
                <w:b w:val="0"/>
                <w:color w:val="000000"/>
                <w:sz w:val="24"/>
                <w:szCs w:val="22"/>
                <w:lang w:val="en-US" w:eastAsia="zh-CN" w:bidi="ar-SA"/>
              </w:rPr>
            </w:pPr>
            <w:r>
              <w:rPr>
                <w:rFonts w:hint="eastAsia" w:ascii="宋体" w:cs="Arial"/>
                <w:b w:val="0"/>
                <w:color w:val="000000"/>
                <w:sz w:val="24"/>
                <w:szCs w:val="22"/>
                <w:lang w:val="en-US" w:eastAsia="zh-CN" w:bidi="ar-SA"/>
              </w:rPr>
              <w:t>L1</w:t>
            </w:r>
          </w:p>
        </w:tc>
        <w:tc>
          <w:tcPr>
            <w:tcW w:w="901"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0" w:firstLineChars="0"/>
              <w:contextualSpacing/>
              <w:jc w:val="both"/>
              <w:rPr>
                <w:rFonts w:hint="eastAsia" w:ascii="宋体" w:eastAsia="宋体" w:cs="Arial"/>
                <w:b w:val="0"/>
                <w:color w:val="000000"/>
                <w:sz w:val="24"/>
                <w:szCs w:val="22"/>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785"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0" w:firstLineChars="200"/>
              <w:contextualSpacing/>
              <w:jc w:val="center"/>
              <w:rPr>
                <w:rFonts w:hint="eastAsia" w:ascii="宋体" w:cs="Arial"/>
                <w:b w:val="0"/>
                <w:color w:val="000000"/>
                <w:sz w:val="24"/>
                <w:szCs w:val="22"/>
                <w:lang w:bidi="ar-SA"/>
              </w:rPr>
            </w:pPr>
            <w:r>
              <w:rPr>
                <w:rFonts w:hint="eastAsia" w:ascii="宋体" w:cs="Arial"/>
                <w:b w:val="0"/>
                <w:color w:val="000000"/>
                <w:sz w:val="24"/>
                <w:szCs w:val="22"/>
                <w:lang w:bidi="ar-SA"/>
              </w:rPr>
              <w:t>安装位置</w:t>
            </w:r>
          </w:p>
        </w:tc>
        <w:tc>
          <w:tcPr>
            <w:tcW w:w="4412"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0" w:firstLineChars="200"/>
              <w:contextualSpacing/>
              <w:jc w:val="center"/>
              <w:rPr>
                <w:rFonts w:hint="eastAsia" w:ascii="宋体" w:eastAsia="宋体" w:cs="Arial"/>
                <w:b w:val="0"/>
                <w:color w:val="000000"/>
                <w:sz w:val="24"/>
                <w:szCs w:val="22"/>
                <w:lang w:val="en-US" w:eastAsia="zh-CN" w:bidi="ar-SA"/>
              </w:rPr>
            </w:pPr>
            <w:r>
              <w:rPr>
                <w:rFonts w:hint="eastAsia" w:ascii="Times New Roman" w:hAnsi="Times New Roman"/>
                <w:b w:val="0"/>
                <w:bCs/>
                <w:sz w:val="24"/>
                <w:szCs w:val="24"/>
                <w:highlight w:val="none"/>
                <w:lang w:eastAsia="zh-CN"/>
              </w:rPr>
              <w:t>长兴县退役军人事务局</w:t>
            </w:r>
          </w:p>
        </w:tc>
        <w:tc>
          <w:tcPr>
            <w:tcW w:w="901"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0" w:firstLineChars="200"/>
              <w:contextualSpacing/>
              <w:jc w:val="center"/>
              <w:rPr>
                <w:rFonts w:hint="eastAsia" w:ascii="宋体" w:cs="Arial"/>
                <w:b w:val="0"/>
                <w:color w:val="000000"/>
                <w:sz w:val="24"/>
                <w:szCs w:val="2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5"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0" w:firstLineChars="200"/>
              <w:contextualSpacing/>
              <w:jc w:val="center"/>
              <w:rPr>
                <w:rFonts w:hint="eastAsia" w:ascii="宋体" w:cs="Arial"/>
                <w:b w:val="0"/>
                <w:color w:val="000000"/>
                <w:sz w:val="24"/>
                <w:szCs w:val="22"/>
                <w:lang w:bidi="ar-SA"/>
              </w:rPr>
            </w:pPr>
            <w:r>
              <w:rPr>
                <w:rFonts w:hint="eastAsia" w:ascii="宋体" w:cs="Arial"/>
                <w:b w:val="0"/>
                <w:color w:val="000000"/>
                <w:sz w:val="24"/>
                <w:szCs w:val="22"/>
                <w:lang w:bidi="ar-SA"/>
              </w:rPr>
              <w:t>设备类型</w:t>
            </w:r>
          </w:p>
        </w:tc>
        <w:tc>
          <w:tcPr>
            <w:tcW w:w="4412"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0" w:firstLineChars="200"/>
              <w:contextualSpacing/>
              <w:jc w:val="center"/>
              <w:rPr>
                <w:rFonts w:hint="eastAsia" w:ascii="宋体" w:eastAsia="宋体" w:cs="Arial"/>
                <w:b w:val="0"/>
                <w:color w:val="000000"/>
                <w:sz w:val="24"/>
                <w:szCs w:val="22"/>
                <w:lang w:val="en-US" w:eastAsia="zh-CN" w:bidi="ar-SA"/>
              </w:rPr>
            </w:pPr>
            <w:r>
              <w:rPr>
                <w:rFonts w:hint="eastAsia" w:ascii="宋体" w:hAnsi="宋体" w:eastAsia="宋体" w:cs="宋体"/>
                <w:b w:val="0"/>
                <w:bCs/>
                <w:sz w:val="24"/>
                <w:szCs w:val="24"/>
                <w:highlight w:val="none"/>
                <w:lang w:val="en-US" w:eastAsia="zh-CN"/>
              </w:rPr>
              <w:t>无机房乘客观光电梯</w:t>
            </w:r>
          </w:p>
        </w:tc>
        <w:tc>
          <w:tcPr>
            <w:tcW w:w="901"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0" w:firstLineChars="200"/>
              <w:contextualSpacing/>
              <w:jc w:val="center"/>
              <w:rPr>
                <w:rFonts w:hint="eastAsia" w:ascii="宋体" w:cs="Arial"/>
                <w:b w:val="0"/>
                <w:color w:val="000000"/>
                <w:sz w:val="24"/>
                <w:szCs w:val="2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5"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0" w:firstLineChars="200"/>
              <w:contextualSpacing/>
              <w:jc w:val="center"/>
              <w:rPr>
                <w:rFonts w:hint="eastAsia" w:ascii="宋体" w:cs="Arial"/>
                <w:b w:val="0"/>
                <w:color w:val="000000"/>
                <w:sz w:val="24"/>
                <w:szCs w:val="22"/>
                <w:lang w:bidi="ar-SA"/>
              </w:rPr>
            </w:pPr>
            <w:r>
              <w:rPr>
                <w:rFonts w:hint="eastAsia" w:ascii="宋体" w:cs="Arial"/>
                <w:b w:val="0"/>
                <w:color w:val="000000"/>
                <w:sz w:val="24"/>
                <w:szCs w:val="22"/>
                <w:lang w:bidi="ar-SA"/>
              </w:rPr>
              <w:t>数量(台)</w:t>
            </w:r>
          </w:p>
        </w:tc>
        <w:tc>
          <w:tcPr>
            <w:tcW w:w="4412"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0" w:firstLineChars="200"/>
              <w:contextualSpacing/>
              <w:jc w:val="center"/>
              <w:rPr>
                <w:rFonts w:hint="eastAsia" w:ascii="宋体" w:cs="Arial"/>
                <w:b w:val="0"/>
                <w:color w:val="000000"/>
                <w:sz w:val="24"/>
                <w:szCs w:val="22"/>
                <w:lang w:bidi="ar-SA"/>
              </w:rPr>
            </w:pPr>
            <w:r>
              <w:rPr>
                <w:rFonts w:hint="eastAsia" w:ascii="宋体" w:cs="Arial"/>
                <w:b w:val="0"/>
                <w:color w:val="000000"/>
                <w:sz w:val="24"/>
                <w:szCs w:val="22"/>
                <w:lang w:bidi="ar-SA"/>
              </w:rPr>
              <w:t>1台</w:t>
            </w:r>
          </w:p>
        </w:tc>
        <w:tc>
          <w:tcPr>
            <w:tcW w:w="901"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0" w:firstLineChars="200"/>
              <w:contextualSpacing/>
              <w:jc w:val="center"/>
              <w:rPr>
                <w:rFonts w:hint="eastAsia" w:ascii="宋体" w:cs="Arial"/>
                <w:b w:val="0"/>
                <w:color w:val="000000"/>
                <w:sz w:val="24"/>
                <w:szCs w:val="2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5"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2" w:firstLineChars="200"/>
              <w:contextualSpacing/>
              <w:jc w:val="center"/>
              <w:rPr>
                <w:rFonts w:hint="eastAsia" w:ascii="宋体" w:cs="Arial"/>
                <w:b/>
                <w:bCs/>
                <w:color w:val="000000"/>
                <w:sz w:val="24"/>
                <w:szCs w:val="22"/>
                <w:lang w:bidi="ar-SA"/>
              </w:rPr>
            </w:pPr>
            <w:r>
              <w:rPr>
                <w:rFonts w:hint="eastAsia" w:ascii="宋体" w:eastAsia="宋体" w:cs="Arial"/>
                <w:b/>
                <w:bCs/>
                <w:color w:val="000000"/>
                <w:kern w:val="2"/>
                <w:sz w:val="24"/>
                <w:szCs w:val="22"/>
                <w:lang w:val="en-US" w:eastAsia="zh-CN" w:bidi="ar-SA"/>
              </w:rPr>
              <w:t>★</w:t>
            </w:r>
            <w:r>
              <w:rPr>
                <w:rFonts w:hint="eastAsia" w:ascii="宋体" w:cs="Arial"/>
                <w:b/>
                <w:bCs/>
                <w:color w:val="000000"/>
                <w:sz w:val="24"/>
                <w:szCs w:val="22"/>
                <w:lang w:bidi="ar-SA"/>
              </w:rPr>
              <w:t>布置方式</w:t>
            </w:r>
          </w:p>
        </w:tc>
        <w:tc>
          <w:tcPr>
            <w:tcW w:w="4412"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2" w:firstLineChars="200"/>
              <w:contextualSpacing/>
              <w:jc w:val="center"/>
              <w:rPr>
                <w:rFonts w:hint="eastAsia" w:ascii="宋体" w:eastAsia="宋体" w:cs="Arial"/>
                <w:b/>
                <w:bCs/>
                <w:color w:val="000000"/>
                <w:sz w:val="24"/>
                <w:szCs w:val="22"/>
                <w:lang w:val="en-US" w:eastAsia="zh-CN" w:bidi="ar-SA"/>
              </w:rPr>
            </w:pPr>
            <w:r>
              <w:rPr>
                <w:rFonts w:hint="eastAsia" w:ascii="宋体" w:cs="Arial"/>
                <w:b/>
                <w:bCs/>
                <w:color w:val="000000"/>
                <w:sz w:val="24"/>
                <w:szCs w:val="22"/>
                <w:lang w:val="en-US" w:eastAsia="zh-CN" w:bidi="ar-SA"/>
              </w:rPr>
              <w:t>单控</w:t>
            </w:r>
          </w:p>
        </w:tc>
        <w:tc>
          <w:tcPr>
            <w:tcW w:w="901"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0" w:firstLineChars="200"/>
              <w:contextualSpacing/>
              <w:jc w:val="center"/>
              <w:rPr>
                <w:rFonts w:hint="eastAsia" w:ascii="宋体" w:cs="Arial"/>
                <w:b w:val="0"/>
                <w:color w:val="000000"/>
                <w:sz w:val="24"/>
                <w:szCs w:val="2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5"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2" w:firstLineChars="200"/>
              <w:contextualSpacing/>
              <w:jc w:val="center"/>
              <w:rPr>
                <w:rFonts w:hint="eastAsia" w:ascii="宋体" w:cs="Arial"/>
                <w:b/>
                <w:bCs/>
                <w:color w:val="000000"/>
                <w:sz w:val="24"/>
                <w:szCs w:val="22"/>
                <w:lang w:bidi="ar-SA"/>
              </w:rPr>
            </w:pPr>
            <w:r>
              <w:rPr>
                <w:rFonts w:hint="eastAsia" w:ascii="宋体" w:eastAsia="宋体" w:cs="Arial"/>
                <w:b/>
                <w:bCs/>
                <w:color w:val="000000"/>
                <w:kern w:val="2"/>
                <w:sz w:val="24"/>
                <w:szCs w:val="22"/>
                <w:lang w:val="en-US" w:eastAsia="zh-CN" w:bidi="ar-SA"/>
              </w:rPr>
              <w:t>★</w:t>
            </w:r>
            <w:r>
              <w:rPr>
                <w:rFonts w:hint="eastAsia" w:ascii="宋体" w:cs="Arial"/>
                <w:b/>
                <w:bCs/>
                <w:color w:val="000000"/>
                <w:sz w:val="24"/>
                <w:szCs w:val="22"/>
                <w:lang w:bidi="ar-SA"/>
              </w:rPr>
              <w:t>载重量(kg)</w:t>
            </w:r>
          </w:p>
        </w:tc>
        <w:tc>
          <w:tcPr>
            <w:tcW w:w="4412"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2" w:firstLineChars="200"/>
              <w:contextualSpacing/>
              <w:jc w:val="center"/>
              <w:rPr>
                <w:rFonts w:hint="default" w:ascii="宋体" w:eastAsia="宋体" w:cs="Arial"/>
                <w:b/>
                <w:bCs/>
                <w:color w:val="000000"/>
                <w:sz w:val="24"/>
                <w:szCs w:val="22"/>
                <w:lang w:val="en-US" w:eastAsia="zh-CN" w:bidi="ar-SA"/>
              </w:rPr>
            </w:pPr>
            <w:r>
              <w:rPr>
                <w:rFonts w:hint="eastAsia" w:ascii="宋体" w:cs="Arial"/>
                <w:b/>
                <w:bCs/>
                <w:color w:val="000000"/>
                <w:sz w:val="24"/>
                <w:szCs w:val="22"/>
                <w:lang w:val="en-US" w:eastAsia="zh-CN" w:bidi="ar-SA"/>
              </w:rPr>
              <w:t>630</w:t>
            </w:r>
          </w:p>
        </w:tc>
        <w:tc>
          <w:tcPr>
            <w:tcW w:w="901"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0" w:firstLineChars="200"/>
              <w:contextualSpacing/>
              <w:jc w:val="center"/>
              <w:rPr>
                <w:rFonts w:hint="eastAsia" w:ascii="宋体" w:cs="Arial"/>
                <w:b w:val="0"/>
                <w:color w:val="000000"/>
                <w:sz w:val="24"/>
                <w:szCs w:val="2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5"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2" w:firstLineChars="200"/>
              <w:contextualSpacing/>
              <w:jc w:val="center"/>
              <w:rPr>
                <w:rFonts w:hint="eastAsia" w:ascii="宋体" w:cs="Arial"/>
                <w:b/>
                <w:bCs/>
                <w:color w:val="000000"/>
                <w:sz w:val="24"/>
                <w:szCs w:val="22"/>
                <w:lang w:bidi="ar-SA"/>
              </w:rPr>
            </w:pPr>
            <w:r>
              <w:rPr>
                <w:rFonts w:hint="eastAsia" w:ascii="宋体" w:eastAsia="宋体" w:cs="Arial"/>
                <w:b/>
                <w:bCs/>
                <w:color w:val="000000"/>
                <w:kern w:val="2"/>
                <w:sz w:val="24"/>
                <w:szCs w:val="22"/>
                <w:lang w:val="en-US" w:eastAsia="zh-CN" w:bidi="ar-SA"/>
              </w:rPr>
              <w:t>★</w:t>
            </w:r>
            <w:r>
              <w:rPr>
                <w:rFonts w:hint="eastAsia" w:ascii="宋体" w:cs="Arial"/>
                <w:b/>
                <w:bCs/>
                <w:color w:val="000000"/>
                <w:sz w:val="24"/>
                <w:szCs w:val="22"/>
                <w:lang w:bidi="ar-SA"/>
              </w:rPr>
              <w:t>速度(m/s)</w:t>
            </w:r>
          </w:p>
        </w:tc>
        <w:tc>
          <w:tcPr>
            <w:tcW w:w="4412"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2" w:firstLineChars="200"/>
              <w:contextualSpacing/>
              <w:jc w:val="center"/>
              <w:rPr>
                <w:rFonts w:hint="default" w:ascii="宋体" w:eastAsia="宋体" w:cs="Arial"/>
                <w:b/>
                <w:bCs/>
                <w:color w:val="000000"/>
                <w:sz w:val="24"/>
                <w:szCs w:val="22"/>
                <w:lang w:val="en-US" w:eastAsia="zh-CN" w:bidi="ar-SA"/>
              </w:rPr>
            </w:pPr>
            <w:r>
              <w:rPr>
                <w:rFonts w:hint="eastAsia" w:ascii="宋体" w:cs="Arial"/>
                <w:b/>
                <w:bCs/>
                <w:color w:val="000000"/>
                <w:sz w:val="24"/>
                <w:szCs w:val="22"/>
                <w:lang w:val="en-US" w:eastAsia="zh-CN" w:bidi="ar-SA"/>
              </w:rPr>
              <w:t>1.0</w:t>
            </w:r>
          </w:p>
        </w:tc>
        <w:tc>
          <w:tcPr>
            <w:tcW w:w="901"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0" w:firstLineChars="200"/>
              <w:contextualSpacing/>
              <w:jc w:val="center"/>
              <w:rPr>
                <w:rFonts w:hint="eastAsia" w:ascii="宋体" w:cs="Arial"/>
                <w:b w:val="0"/>
                <w:color w:val="000000"/>
                <w:sz w:val="24"/>
                <w:szCs w:val="2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5"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0" w:firstLineChars="200"/>
              <w:contextualSpacing/>
              <w:jc w:val="center"/>
              <w:rPr>
                <w:rFonts w:hint="eastAsia" w:ascii="宋体" w:cs="Arial"/>
                <w:b w:val="0"/>
                <w:color w:val="000000"/>
                <w:sz w:val="24"/>
                <w:szCs w:val="22"/>
                <w:lang w:bidi="ar-SA"/>
              </w:rPr>
            </w:pPr>
            <w:r>
              <w:rPr>
                <w:rFonts w:hint="eastAsia" w:ascii="宋体" w:cs="Arial"/>
                <w:b w:val="0"/>
                <w:color w:val="000000"/>
                <w:sz w:val="24"/>
                <w:szCs w:val="22"/>
                <w:lang w:bidi="ar-SA"/>
              </w:rPr>
              <w:t>层/站/门</w:t>
            </w:r>
          </w:p>
        </w:tc>
        <w:tc>
          <w:tcPr>
            <w:tcW w:w="4412"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0" w:firstLineChars="200"/>
              <w:contextualSpacing/>
              <w:jc w:val="center"/>
              <w:rPr>
                <w:rFonts w:hint="eastAsia" w:ascii="宋体" w:cs="Arial"/>
                <w:b w:val="0"/>
                <w:color w:val="000000"/>
                <w:sz w:val="24"/>
                <w:szCs w:val="22"/>
                <w:lang w:bidi="ar-SA"/>
              </w:rPr>
            </w:pPr>
            <w:r>
              <w:rPr>
                <w:rFonts w:hint="eastAsia" w:ascii="宋体" w:hAnsi="宋体" w:eastAsia="宋体" w:cs="宋体"/>
                <w:b w:val="0"/>
                <w:bCs/>
                <w:sz w:val="24"/>
                <w:szCs w:val="24"/>
                <w:highlight w:val="none"/>
                <w:lang w:val="en-US" w:eastAsia="zh-CN"/>
              </w:rPr>
              <w:t>6</w:t>
            </w:r>
            <w:r>
              <w:rPr>
                <w:rFonts w:hint="eastAsia" w:ascii="宋体" w:hAnsi="宋体" w:eastAsia="宋体" w:cs="宋体"/>
                <w:b w:val="0"/>
                <w:bCs/>
                <w:sz w:val="24"/>
                <w:szCs w:val="24"/>
                <w:highlight w:val="none"/>
              </w:rPr>
              <w:t>层</w:t>
            </w:r>
            <w:r>
              <w:rPr>
                <w:rFonts w:hint="eastAsia" w:ascii="宋体" w:hAnsi="宋体" w:eastAsia="宋体" w:cs="宋体"/>
                <w:b w:val="0"/>
                <w:bCs/>
                <w:sz w:val="24"/>
                <w:szCs w:val="24"/>
                <w:highlight w:val="none"/>
                <w:lang w:val="en-US" w:eastAsia="zh-CN"/>
              </w:rPr>
              <w:t>6</w:t>
            </w:r>
            <w:r>
              <w:rPr>
                <w:rFonts w:hint="eastAsia" w:ascii="宋体" w:hAnsi="宋体" w:eastAsia="宋体" w:cs="宋体"/>
                <w:b w:val="0"/>
                <w:bCs/>
                <w:sz w:val="24"/>
                <w:szCs w:val="24"/>
                <w:highlight w:val="none"/>
              </w:rPr>
              <w:t>站</w:t>
            </w:r>
            <w:r>
              <w:rPr>
                <w:rFonts w:hint="eastAsia" w:ascii="宋体" w:hAnsi="宋体" w:eastAsia="宋体" w:cs="宋体"/>
                <w:b w:val="0"/>
                <w:bCs/>
                <w:sz w:val="24"/>
                <w:szCs w:val="24"/>
                <w:highlight w:val="none"/>
                <w:lang w:val="en-US" w:eastAsia="zh-CN"/>
              </w:rPr>
              <w:t>6</w:t>
            </w:r>
            <w:r>
              <w:rPr>
                <w:rFonts w:hint="eastAsia" w:ascii="宋体" w:hAnsi="宋体" w:eastAsia="宋体" w:cs="宋体"/>
                <w:b w:val="0"/>
                <w:bCs/>
                <w:sz w:val="24"/>
                <w:szCs w:val="24"/>
                <w:highlight w:val="none"/>
              </w:rPr>
              <w:t>门</w:t>
            </w:r>
          </w:p>
        </w:tc>
        <w:tc>
          <w:tcPr>
            <w:tcW w:w="901"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0" w:firstLineChars="200"/>
              <w:contextualSpacing/>
              <w:jc w:val="center"/>
              <w:rPr>
                <w:rFonts w:hint="eastAsia" w:ascii="宋体" w:cs="Arial"/>
                <w:b w:val="0"/>
                <w:color w:val="000000"/>
                <w:sz w:val="24"/>
                <w:szCs w:val="2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5"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0" w:firstLineChars="200"/>
              <w:contextualSpacing/>
              <w:jc w:val="center"/>
              <w:rPr>
                <w:rFonts w:hint="eastAsia" w:ascii="宋体" w:cs="Arial"/>
                <w:b w:val="0"/>
                <w:color w:val="000000"/>
                <w:sz w:val="24"/>
                <w:szCs w:val="22"/>
                <w:lang w:bidi="ar-SA"/>
              </w:rPr>
            </w:pPr>
            <w:r>
              <w:rPr>
                <w:rFonts w:hint="eastAsia" w:ascii="宋体" w:cs="Arial"/>
                <w:b w:val="0"/>
                <w:color w:val="000000"/>
                <w:sz w:val="24"/>
                <w:szCs w:val="22"/>
                <w:lang w:bidi="ar-SA"/>
              </w:rPr>
              <w:t>停靠楼层</w:t>
            </w:r>
          </w:p>
        </w:tc>
        <w:tc>
          <w:tcPr>
            <w:tcW w:w="4412"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0" w:firstLineChars="200"/>
              <w:contextualSpacing/>
              <w:jc w:val="center"/>
              <w:rPr>
                <w:rFonts w:hint="default" w:ascii="宋体" w:eastAsia="宋体" w:cs="Arial"/>
                <w:b w:val="0"/>
                <w:color w:val="000000"/>
                <w:sz w:val="24"/>
                <w:szCs w:val="22"/>
                <w:lang w:val="en-US" w:eastAsia="zh-CN" w:bidi="ar-SA"/>
              </w:rPr>
            </w:pPr>
            <w:r>
              <w:rPr>
                <w:rFonts w:hint="eastAsia" w:ascii="宋体" w:eastAsia="宋体" w:cs="Arial"/>
                <w:b w:val="0"/>
                <w:color w:val="000000"/>
                <w:sz w:val="24"/>
                <w:szCs w:val="22"/>
                <w:lang w:val="en-US" w:eastAsia="zh-CN" w:bidi="ar-SA"/>
              </w:rPr>
              <w:t>1</w:t>
            </w:r>
            <w:r>
              <w:rPr>
                <w:rFonts w:hint="eastAsia" w:ascii="宋体" w:cs="Arial"/>
                <w:b w:val="0"/>
                <w:color w:val="000000"/>
                <w:sz w:val="24"/>
                <w:szCs w:val="22"/>
                <w:lang w:bidi="ar-SA"/>
              </w:rPr>
              <w:t>~</w:t>
            </w:r>
            <w:r>
              <w:rPr>
                <w:rFonts w:hint="eastAsia" w:ascii="宋体" w:eastAsia="宋体" w:cs="Arial"/>
                <w:b w:val="0"/>
                <w:color w:val="000000"/>
                <w:sz w:val="24"/>
                <w:szCs w:val="22"/>
                <w:lang w:val="en-US" w:eastAsia="zh-CN" w:bidi="ar-SA"/>
              </w:rPr>
              <w:t>6</w:t>
            </w:r>
          </w:p>
        </w:tc>
        <w:tc>
          <w:tcPr>
            <w:tcW w:w="901"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0" w:firstLineChars="200"/>
              <w:contextualSpacing/>
              <w:jc w:val="center"/>
              <w:rPr>
                <w:rFonts w:hint="eastAsia" w:ascii="宋体" w:cs="Arial"/>
                <w:b w:val="0"/>
                <w:color w:val="000000"/>
                <w:sz w:val="24"/>
                <w:szCs w:val="2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5"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0" w:firstLineChars="200"/>
              <w:contextualSpacing/>
              <w:jc w:val="center"/>
              <w:rPr>
                <w:rFonts w:hint="eastAsia" w:ascii="宋体" w:cs="Arial"/>
                <w:b w:val="0"/>
                <w:color w:val="000000"/>
                <w:sz w:val="24"/>
                <w:szCs w:val="22"/>
                <w:lang w:bidi="ar-SA"/>
              </w:rPr>
            </w:pPr>
            <w:r>
              <w:rPr>
                <w:rFonts w:hint="eastAsia" w:ascii="宋体" w:cs="Arial"/>
                <w:b w:val="0"/>
                <w:color w:val="000000"/>
                <w:sz w:val="24"/>
                <w:szCs w:val="22"/>
                <w:lang w:bidi="ar-SA"/>
              </w:rPr>
              <w:t>基站</w:t>
            </w:r>
          </w:p>
        </w:tc>
        <w:tc>
          <w:tcPr>
            <w:tcW w:w="4412"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0" w:firstLineChars="200"/>
              <w:contextualSpacing/>
              <w:jc w:val="center"/>
              <w:rPr>
                <w:rFonts w:hint="default" w:ascii="宋体" w:eastAsia="宋体" w:cs="Arial"/>
                <w:b w:val="0"/>
                <w:color w:val="000000"/>
                <w:sz w:val="24"/>
                <w:szCs w:val="22"/>
                <w:lang w:val="en-US" w:eastAsia="zh-CN" w:bidi="ar-SA"/>
              </w:rPr>
            </w:pPr>
            <w:r>
              <w:rPr>
                <w:rFonts w:hint="eastAsia" w:ascii="宋体" w:cs="Arial"/>
                <w:b w:val="0"/>
                <w:color w:val="000000"/>
                <w:sz w:val="24"/>
                <w:szCs w:val="22"/>
                <w:lang w:val="en-US" w:eastAsia="zh-CN" w:bidi="ar-SA"/>
              </w:rPr>
              <w:t>1F</w:t>
            </w:r>
          </w:p>
        </w:tc>
        <w:tc>
          <w:tcPr>
            <w:tcW w:w="901"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0" w:firstLineChars="200"/>
              <w:contextualSpacing/>
              <w:jc w:val="center"/>
              <w:rPr>
                <w:rFonts w:hint="eastAsia" w:ascii="宋体" w:cs="Arial"/>
                <w:b w:val="0"/>
                <w:color w:val="000000"/>
                <w:sz w:val="24"/>
                <w:szCs w:val="2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5"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0" w:firstLineChars="200"/>
              <w:contextualSpacing/>
              <w:jc w:val="center"/>
              <w:rPr>
                <w:rFonts w:hint="eastAsia" w:ascii="宋体" w:cs="Arial"/>
                <w:b w:val="0"/>
                <w:color w:val="000000"/>
                <w:sz w:val="24"/>
                <w:szCs w:val="22"/>
                <w:lang w:bidi="ar-SA"/>
              </w:rPr>
            </w:pPr>
            <w:r>
              <w:rPr>
                <w:rFonts w:hint="eastAsia" w:ascii="宋体" w:cs="Arial"/>
                <w:b w:val="0"/>
                <w:color w:val="000000"/>
                <w:sz w:val="24"/>
                <w:szCs w:val="22"/>
                <w:lang w:bidi="ar-SA"/>
              </w:rPr>
              <w:t>开门方式</w:t>
            </w:r>
          </w:p>
        </w:tc>
        <w:tc>
          <w:tcPr>
            <w:tcW w:w="4412" w:type="dxa"/>
            <w:tcBorders>
              <w:top w:val="single" w:color="auto" w:sz="4" w:space="0"/>
              <w:left w:val="single" w:color="auto" w:sz="4" w:space="0"/>
              <w:bottom w:val="single" w:color="auto" w:sz="4" w:space="0"/>
              <w:right w:val="single" w:color="auto" w:sz="4" w:space="0"/>
            </w:tcBorders>
            <w:vAlign w:val="center"/>
          </w:tcPr>
          <w:p>
            <w:pPr>
              <w:tabs>
                <w:tab w:val="left" w:pos="1276"/>
              </w:tabs>
              <w:jc w:val="center"/>
              <w:textAlignment w:val="baseline"/>
              <w:rPr>
                <w:rFonts w:hint="eastAsia" w:ascii="宋体" w:hAnsi="宋体" w:eastAsia="宋体" w:cs="宋体"/>
                <w:b/>
                <w:kern w:val="2"/>
                <w:sz w:val="24"/>
                <w:szCs w:val="24"/>
                <w:highlight w:val="none"/>
                <w:lang w:val="en-US" w:eastAsia="zh-CN" w:bidi="ar-SA"/>
              </w:rPr>
            </w:pPr>
            <w:r>
              <w:rPr>
                <w:rFonts w:hint="eastAsia" w:ascii="宋体" w:hAnsi="宋体" w:eastAsia="宋体" w:cs="宋体"/>
                <w:sz w:val="24"/>
                <w:szCs w:val="24"/>
                <w:highlight w:val="none"/>
                <w:lang w:eastAsia="zh-CN"/>
              </w:rPr>
              <w:t>中分门</w:t>
            </w:r>
          </w:p>
        </w:tc>
        <w:tc>
          <w:tcPr>
            <w:tcW w:w="901" w:type="dxa"/>
            <w:tcBorders>
              <w:top w:val="single" w:color="auto" w:sz="4" w:space="0"/>
              <w:left w:val="single" w:color="auto" w:sz="4" w:space="0"/>
              <w:bottom w:val="single" w:color="auto" w:sz="4" w:space="0"/>
              <w:right w:val="single" w:color="auto" w:sz="4" w:space="0"/>
            </w:tcBorders>
            <w:vAlign w:val="center"/>
          </w:tcPr>
          <w:p>
            <w:pPr>
              <w:spacing w:before="50" w:after="50"/>
              <w:textAlignment w:val="baseline"/>
              <w:rPr>
                <w:rFonts w:hint="eastAsia" w:ascii="宋体" w:hAnsi="宋体" w:eastAsia="宋体" w:cs="宋体"/>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5"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0" w:firstLineChars="200"/>
              <w:contextualSpacing/>
              <w:jc w:val="center"/>
              <w:rPr>
                <w:rFonts w:hint="eastAsia" w:ascii="宋体" w:cs="Arial"/>
                <w:b w:val="0"/>
                <w:color w:val="000000"/>
                <w:sz w:val="24"/>
                <w:szCs w:val="22"/>
                <w:lang w:bidi="ar-SA"/>
              </w:rPr>
            </w:pPr>
            <w:r>
              <w:rPr>
                <w:rFonts w:hint="eastAsia" w:ascii="宋体" w:cs="Arial"/>
                <w:b w:val="0"/>
                <w:color w:val="000000"/>
                <w:sz w:val="24"/>
                <w:szCs w:val="22"/>
                <w:lang w:bidi="ar-SA"/>
              </w:rPr>
              <w:t>井道净尺寸 (宽×深)（mm）</w:t>
            </w:r>
          </w:p>
        </w:tc>
        <w:tc>
          <w:tcPr>
            <w:tcW w:w="4412"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0" w:firstLineChars="200"/>
              <w:contextualSpacing/>
              <w:jc w:val="center"/>
              <w:rPr>
                <w:rFonts w:hint="eastAsia" w:ascii="宋体" w:cs="Arial"/>
                <w:b w:val="0"/>
                <w:bCs/>
                <w:color w:val="000000"/>
                <w:sz w:val="24"/>
                <w:szCs w:val="22"/>
                <w:lang w:bidi="ar-SA"/>
              </w:rPr>
            </w:pPr>
            <w:r>
              <w:rPr>
                <w:rFonts w:hint="eastAsia" w:ascii="宋体" w:hAnsi="宋体" w:eastAsia="宋体" w:cs="宋体"/>
                <w:b w:val="0"/>
                <w:bCs/>
                <w:sz w:val="24"/>
                <w:szCs w:val="24"/>
                <w:lang w:val="en-US" w:eastAsia="zh-CN"/>
              </w:rPr>
              <w:t>2200mm</w:t>
            </w:r>
            <w:r>
              <w:rPr>
                <w:rFonts w:hint="eastAsia" w:ascii="宋体" w:hAnsi="宋体" w:eastAsia="宋体" w:cs="宋体"/>
                <w:b w:val="0"/>
                <w:bCs/>
                <w:spacing w:val="-6"/>
                <w:sz w:val="24"/>
                <w:szCs w:val="24"/>
                <w:lang w:eastAsia="zh-CN"/>
              </w:rPr>
              <w:t>×</w:t>
            </w:r>
            <w:r>
              <w:rPr>
                <w:rFonts w:hint="eastAsia" w:ascii="宋体" w:hAnsi="宋体" w:eastAsia="宋体" w:cs="宋体"/>
                <w:b w:val="0"/>
                <w:bCs/>
                <w:spacing w:val="-6"/>
                <w:sz w:val="24"/>
                <w:szCs w:val="24"/>
                <w:lang w:val="en-US" w:eastAsia="zh-CN"/>
              </w:rPr>
              <w:t>1400mm</w:t>
            </w:r>
          </w:p>
        </w:tc>
        <w:tc>
          <w:tcPr>
            <w:tcW w:w="901"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0" w:firstLineChars="200"/>
              <w:contextualSpacing/>
              <w:jc w:val="center"/>
              <w:rPr>
                <w:rFonts w:hint="eastAsia" w:ascii="宋体" w:cs="Arial"/>
                <w:b w:val="0"/>
                <w:color w:val="000000"/>
                <w:sz w:val="24"/>
                <w:szCs w:val="2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5"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0" w:firstLineChars="200"/>
              <w:contextualSpacing/>
              <w:jc w:val="center"/>
              <w:rPr>
                <w:rFonts w:hint="eastAsia" w:ascii="宋体" w:cs="Arial"/>
                <w:b w:val="0"/>
                <w:color w:val="000000"/>
                <w:sz w:val="24"/>
                <w:szCs w:val="22"/>
                <w:lang w:bidi="ar-SA"/>
              </w:rPr>
            </w:pPr>
            <w:r>
              <w:rPr>
                <w:rFonts w:hint="eastAsia" w:ascii="宋体" w:cs="Arial"/>
                <w:b w:val="0"/>
                <w:color w:val="000000"/>
                <w:sz w:val="24"/>
                <w:szCs w:val="22"/>
                <w:lang w:bidi="ar-SA"/>
              </w:rPr>
              <w:t>门洞净尺寸 (宽×高)(mm)</w:t>
            </w:r>
          </w:p>
        </w:tc>
        <w:tc>
          <w:tcPr>
            <w:tcW w:w="4412"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0" w:firstLineChars="200"/>
              <w:contextualSpacing/>
              <w:jc w:val="center"/>
              <w:rPr>
                <w:rFonts w:hint="default" w:ascii="宋体" w:eastAsia="宋体" w:cs="Arial"/>
                <w:b w:val="0"/>
                <w:bCs/>
                <w:color w:val="000000"/>
                <w:sz w:val="24"/>
                <w:szCs w:val="22"/>
                <w:lang w:val="en-US" w:eastAsia="zh-CN" w:bidi="ar-SA"/>
              </w:rPr>
            </w:pPr>
            <w:r>
              <w:rPr>
                <w:rFonts w:hint="eastAsia" w:ascii="宋体" w:cs="Arial"/>
                <w:b w:val="0"/>
                <w:bCs/>
                <w:color w:val="000000"/>
                <w:sz w:val="24"/>
                <w:szCs w:val="22"/>
                <w:lang w:val="en-US" w:eastAsia="zh-CN" w:bidi="ar-SA"/>
              </w:rPr>
              <w:t>1100</w:t>
            </w:r>
            <w:r>
              <w:rPr>
                <w:rFonts w:hint="eastAsia" w:ascii="宋体" w:hAnsi="宋体" w:eastAsia="宋体" w:cs="宋体"/>
                <w:b w:val="0"/>
                <w:bCs/>
                <w:spacing w:val="-6"/>
                <w:sz w:val="24"/>
                <w:szCs w:val="24"/>
                <w:lang w:val="en-US" w:eastAsia="zh-CN"/>
              </w:rPr>
              <w:t>mm</w:t>
            </w:r>
            <w:r>
              <w:rPr>
                <w:rFonts w:hint="eastAsia" w:ascii="宋体" w:cs="Arial"/>
                <w:b w:val="0"/>
                <w:bCs/>
                <w:color w:val="000000"/>
                <w:sz w:val="24"/>
                <w:szCs w:val="22"/>
                <w:lang w:val="en-US" w:eastAsia="zh-CN" w:bidi="ar-SA"/>
              </w:rPr>
              <w:t>*2200</w:t>
            </w:r>
            <w:r>
              <w:rPr>
                <w:rFonts w:hint="eastAsia" w:ascii="宋体" w:hAnsi="宋体" w:eastAsia="宋体" w:cs="宋体"/>
                <w:b w:val="0"/>
                <w:bCs/>
                <w:spacing w:val="-6"/>
                <w:sz w:val="24"/>
                <w:szCs w:val="24"/>
                <w:lang w:val="en-US" w:eastAsia="zh-CN"/>
              </w:rPr>
              <w:t>mm</w:t>
            </w:r>
          </w:p>
        </w:tc>
        <w:tc>
          <w:tcPr>
            <w:tcW w:w="901"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0" w:firstLineChars="200"/>
              <w:contextualSpacing/>
              <w:jc w:val="center"/>
              <w:rPr>
                <w:rFonts w:hint="eastAsia" w:ascii="宋体" w:cs="Arial"/>
                <w:b w:val="0"/>
                <w:color w:val="000000"/>
                <w:sz w:val="24"/>
                <w:szCs w:val="2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5"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0" w:firstLineChars="200"/>
              <w:contextualSpacing/>
              <w:jc w:val="center"/>
              <w:rPr>
                <w:rFonts w:hint="eastAsia" w:ascii="宋体" w:cs="Arial"/>
                <w:b w:val="0"/>
                <w:color w:val="000000"/>
                <w:sz w:val="24"/>
                <w:szCs w:val="22"/>
                <w:lang w:bidi="ar-SA"/>
              </w:rPr>
            </w:pPr>
            <w:r>
              <w:rPr>
                <w:rFonts w:hint="eastAsia" w:ascii="宋体" w:cs="Arial"/>
                <w:b w:val="0"/>
                <w:color w:val="000000"/>
                <w:sz w:val="24"/>
                <w:szCs w:val="22"/>
                <w:lang w:bidi="ar-SA"/>
              </w:rPr>
              <w:t>开门尺寸 (宽×高)(mm)</w:t>
            </w:r>
          </w:p>
        </w:tc>
        <w:tc>
          <w:tcPr>
            <w:tcW w:w="4412"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0" w:firstLineChars="200"/>
              <w:contextualSpacing/>
              <w:jc w:val="center"/>
              <w:rPr>
                <w:rFonts w:hint="eastAsia" w:ascii="宋体" w:cs="Arial"/>
                <w:b w:val="0"/>
                <w:bCs/>
                <w:color w:val="000000"/>
                <w:sz w:val="24"/>
                <w:szCs w:val="22"/>
                <w:lang w:bidi="ar-SA"/>
              </w:rPr>
            </w:pPr>
            <w:r>
              <w:rPr>
                <w:rFonts w:hint="eastAsia" w:ascii="宋体" w:hAnsi="宋体" w:eastAsia="宋体" w:cs="宋体"/>
                <w:b w:val="0"/>
                <w:bCs/>
                <w:sz w:val="24"/>
                <w:szCs w:val="24"/>
                <w:lang w:val="en-US" w:eastAsia="zh-CN"/>
              </w:rPr>
              <w:t>900mm</w:t>
            </w:r>
            <w:r>
              <w:rPr>
                <w:rFonts w:hint="eastAsia" w:ascii="宋体" w:hAnsi="宋体" w:eastAsia="宋体" w:cs="宋体"/>
                <w:b w:val="0"/>
                <w:bCs/>
                <w:spacing w:val="-6"/>
                <w:sz w:val="24"/>
                <w:szCs w:val="24"/>
                <w:lang w:eastAsia="zh-CN"/>
              </w:rPr>
              <w:t>×</w:t>
            </w:r>
            <w:r>
              <w:rPr>
                <w:rFonts w:hint="eastAsia" w:ascii="宋体" w:hAnsi="宋体" w:eastAsia="宋体" w:cs="宋体"/>
                <w:b w:val="0"/>
                <w:bCs/>
                <w:spacing w:val="-6"/>
                <w:sz w:val="24"/>
                <w:szCs w:val="24"/>
                <w:lang w:val="en-US" w:eastAsia="zh-CN"/>
              </w:rPr>
              <w:t>2100mm</w:t>
            </w:r>
          </w:p>
        </w:tc>
        <w:tc>
          <w:tcPr>
            <w:tcW w:w="901"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0" w:firstLineChars="200"/>
              <w:contextualSpacing/>
              <w:jc w:val="center"/>
              <w:rPr>
                <w:rFonts w:hint="eastAsia" w:ascii="宋体" w:cs="Arial"/>
                <w:b w:val="0"/>
                <w:color w:val="000000"/>
                <w:sz w:val="24"/>
                <w:szCs w:val="2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5"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0" w:firstLineChars="200"/>
              <w:contextualSpacing/>
              <w:jc w:val="center"/>
              <w:rPr>
                <w:rFonts w:hint="eastAsia" w:ascii="宋体" w:cs="Arial"/>
                <w:b w:val="0"/>
                <w:color w:val="000000"/>
                <w:sz w:val="24"/>
                <w:szCs w:val="22"/>
                <w:lang w:bidi="ar-SA"/>
              </w:rPr>
            </w:pPr>
            <w:r>
              <w:rPr>
                <w:rFonts w:hint="eastAsia" w:ascii="宋体" w:cs="Arial"/>
                <w:b w:val="0"/>
                <w:color w:val="000000"/>
                <w:sz w:val="24"/>
                <w:szCs w:val="22"/>
                <w:lang w:bidi="ar-SA"/>
              </w:rPr>
              <w:t>轿厢净尺寸</w:t>
            </w:r>
          </w:p>
          <w:p>
            <w:pPr>
              <w:pStyle w:val="7"/>
              <w:adjustRightInd w:val="0"/>
              <w:snapToGrid w:val="0"/>
              <w:spacing w:line="240" w:lineRule="auto"/>
              <w:ind w:firstLine="480" w:firstLineChars="200"/>
              <w:contextualSpacing/>
              <w:jc w:val="center"/>
              <w:rPr>
                <w:rFonts w:hint="eastAsia" w:ascii="宋体" w:cs="Arial"/>
                <w:b w:val="0"/>
                <w:color w:val="000000"/>
                <w:sz w:val="24"/>
                <w:szCs w:val="22"/>
                <w:lang w:bidi="ar-SA"/>
              </w:rPr>
            </w:pPr>
            <w:r>
              <w:rPr>
                <w:rFonts w:hint="eastAsia" w:ascii="宋体" w:cs="Arial"/>
                <w:b w:val="0"/>
                <w:color w:val="000000"/>
                <w:sz w:val="24"/>
                <w:szCs w:val="22"/>
                <w:lang w:bidi="ar-SA"/>
              </w:rPr>
              <w:t>(宽×深×高)(mm)</w:t>
            </w:r>
          </w:p>
        </w:tc>
        <w:tc>
          <w:tcPr>
            <w:tcW w:w="4412"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0" w:firstLineChars="200"/>
              <w:contextualSpacing/>
              <w:jc w:val="center"/>
              <w:rPr>
                <w:rFonts w:hint="eastAsia" w:ascii="宋体" w:cs="Arial"/>
                <w:b w:val="0"/>
                <w:bCs/>
                <w:color w:val="000000"/>
                <w:sz w:val="24"/>
                <w:szCs w:val="22"/>
                <w:lang w:bidi="ar-SA"/>
              </w:rPr>
            </w:pPr>
            <w:r>
              <w:rPr>
                <w:rFonts w:hint="eastAsia" w:ascii="宋体" w:hAnsi="宋体" w:eastAsia="宋体" w:cs="宋体"/>
                <w:b w:val="0"/>
                <w:bCs/>
                <w:sz w:val="24"/>
                <w:szCs w:val="24"/>
                <w:lang w:val="en-US" w:eastAsia="zh-CN"/>
              </w:rPr>
              <w:t>1600mm</w:t>
            </w:r>
            <w:r>
              <w:rPr>
                <w:rFonts w:hint="eastAsia" w:ascii="宋体" w:hAnsi="宋体" w:eastAsia="宋体" w:cs="宋体"/>
                <w:b w:val="0"/>
                <w:bCs/>
                <w:spacing w:val="-6"/>
                <w:sz w:val="24"/>
                <w:szCs w:val="24"/>
                <w:lang w:eastAsia="zh-CN"/>
              </w:rPr>
              <w:t>×</w:t>
            </w:r>
            <w:r>
              <w:rPr>
                <w:rFonts w:hint="eastAsia" w:ascii="宋体" w:hAnsi="宋体" w:eastAsia="宋体" w:cs="宋体"/>
                <w:b w:val="0"/>
                <w:bCs/>
                <w:spacing w:val="-6"/>
                <w:sz w:val="24"/>
                <w:szCs w:val="24"/>
                <w:lang w:val="en-US" w:eastAsia="zh-CN"/>
              </w:rPr>
              <w:t>1000mm</w:t>
            </w:r>
            <w:r>
              <w:rPr>
                <w:rFonts w:hint="eastAsia" w:ascii="宋体" w:hAnsi="宋体" w:eastAsia="宋体" w:cs="宋体"/>
                <w:b w:val="0"/>
                <w:bCs/>
                <w:spacing w:val="-6"/>
                <w:sz w:val="24"/>
                <w:szCs w:val="24"/>
                <w:lang w:eastAsia="zh-CN"/>
              </w:rPr>
              <w:t>×</w:t>
            </w:r>
            <w:r>
              <w:rPr>
                <w:rFonts w:hint="eastAsia" w:ascii="宋体" w:hAnsi="宋体" w:eastAsia="宋体" w:cs="宋体"/>
                <w:b w:val="0"/>
                <w:bCs/>
                <w:spacing w:val="-6"/>
                <w:sz w:val="24"/>
                <w:szCs w:val="24"/>
                <w:lang w:val="en-US" w:eastAsia="zh-CN"/>
              </w:rPr>
              <w:t>2500mm</w:t>
            </w:r>
          </w:p>
        </w:tc>
        <w:tc>
          <w:tcPr>
            <w:tcW w:w="901"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0" w:firstLineChars="200"/>
              <w:contextualSpacing/>
              <w:jc w:val="center"/>
              <w:rPr>
                <w:rFonts w:hint="eastAsia" w:ascii="宋体" w:cs="Arial"/>
                <w:b w:val="0"/>
                <w:color w:val="000000"/>
                <w:sz w:val="24"/>
                <w:szCs w:val="2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5"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0" w:firstLineChars="200"/>
              <w:contextualSpacing/>
              <w:jc w:val="center"/>
              <w:rPr>
                <w:rFonts w:hint="eastAsia" w:ascii="宋体" w:cs="Arial"/>
                <w:b w:val="0"/>
                <w:color w:val="000000"/>
                <w:sz w:val="24"/>
                <w:szCs w:val="22"/>
                <w:lang w:bidi="ar-SA"/>
              </w:rPr>
            </w:pPr>
            <w:r>
              <w:rPr>
                <w:rFonts w:hint="eastAsia" w:ascii="宋体" w:cs="Arial"/>
                <w:b w:val="0"/>
                <w:color w:val="000000"/>
                <w:sz w:val="24"/>
                <w:szCs w:val="22"/>
                <w:lang w:bidi="ar-SA"/>
              </w:rPr>
              <w:t>顶层高度</w:t>
            </w:r>
          </w:p>
        </w:tc>
        <w:tc>
          <w:tcPr>
            <w:tcW w:w="4412"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0" w:firstLineChars="200"/>
              <w:contextualSpacing/>
              <w:jc w:val="center"/>
              <w:rPr>
                <w:rFonts w:hint="eastAsia" w:ascii="宋体" w:cs="Arial"/>
                <w:b w:val="0"/>
                <w:bCs/>
                <w:color w:val="000000"/>
                <w:sz w:val="24"/>
                <w:szCs w:val="22"/>
                <w:lang w:bidi="ar-SA"/>
              </w:rPr>
            </w:pPr>
            <w:r>
              <w:rPr>
                <w:rFonts w:hint="eastAsia" w:ascii="宋体" w:hAnsi="宋体" w:eastAsia="宋体" w:cs="宋体"/>
                <w:b w:val="0"/>
                <w:bCs/>
                <w:sz w:val="24"/>
                <w:szCs w:val="24"/>
                <w:lang w:val="en-US" w:eastAsia="zh-CN"/>
              </w:rPr>
              <w:t>4500mm</w:t>
            </w:r>
          </w:p>
        </w:tc>
        <w:tc>
          <w:tcPr>
            <w:tcW w:w="901"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0" w:firstLineChars="200"/>
              <w:contextualSpacing/>
              <w:jc w:val="center"/>
              <w:rPr>
                <w:rFonts w:hint="eastAsia" w:ascii="宋体" w:cs="Arial"/>
                <w:b w:val="0"/>
                <w:color w:val="000000"/>
                <w:sz w:val="24"/>
                <w:szCs w:val="2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5"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0" w:firstLineChars="200"/>
              <w:contextualSpacing/>
              <w:jc w:val="center"/>
              <w:rPr>
                <w:rFonts w:hint="eastAsia" w:ascii="宋体" w:cs="Arial"/>
                <w:b w:val="0"/>
                <w:color w:val="000000"/>
                <w:sz w:val="24"/>
                <w:szCs w:val="22"/>
                <w:lang w:bidi="ar-SA"/>
              </w:rPr>
            </w:pPr>
            <w:r>
              <w:rPr>
                <w:rFonts w:hint="eastAsia" w:ascii="宋体" w:cs="Arial"/>
                <w:b w:val="0"/>
                <w:color w:val="000000"/>
                <w:sz w:val="24"/>
                <w:szCs w:val="22"/>
                <w:lang w:bidi="ar-SA"/>
              </w:rPr>
              <w:t>底坑深度</w:t>
            </w:r>
          </w:p>
        </w:tc>
        <w:tc>
          <w:tcPr>
            <w:tcW w:w="4412"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0" w:firstLineChars="200"/>
              <w:contextualSpacing/>
              <w:jc w:val="center"/>
              <w:rPr>
                <w:rFonts w:hint="eastAsia" w:ascii="宋体" w:cs="Arial"/>
                <w:b w:val="0"/>
                <w:bCs/>
                <w:color w:val="000000"/>
                <w:sz w:val="24"/>
                <w:szCs w:val="22"/>
                <w:lang w:bidi="ar-SA"/>
              </w:rPr>
            </w:pPr>
            <w:r>
              <w:rPr>
                <w:rFonts w:hint="eastAsia" w:ascii="宋体" w:hAnsi="宋体" w:eastAsia="宋体" w:cs="宋体"/>
                <w:b w:val="0"/>
                <w:bCs/>
                <w:sz w:val="24"/>
                <w:szCs w:val="24"/>
                <w:lang w:val="en-US" w:eastAsia="zh-CN"/>
              </w:rPr>
              <w:t>1500mm</w:t>
            </w:r>
          </w:p>
        </w:tc>
        <w:tc>
          <w:tcPr>
            <w:tcW w:w="901"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0" w:firstLineChars="200"/>
              <w:contextualSpacing/>
              <w:jc w:val="center"/>
              <w:rPr>
                <w:rFonts w:hint="eastAsia" w:ascii="宋体" w:cs="Arial"/>
                <w:b w:val="0"/>
                <w:color w:val="000000"/>
                <w:sz w:val="24"/>
                <w:szCs w:val="2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5"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0" w:firstLineChars="200"/>
              <w:contextualSpacing/>
              <w:jc w:val="center"/>
              <w:rPr>
                <w:rFonts w:hint="eastAsia" w:ascii="宋体" w:hAnsi="Calibri" w:eastAsia="宋体" w:cs="Arial"/>
                <w:b w:val="0"/>
                <w:color w:val="000000"/>
                <w:kern w:val="2"/>
                <w:sz w:val="24"/>
                <w:szCs w:val="22"/>
                <w:lang w:val="en-US" w:eastAsia="zh-CN" w:bidi="ar-SA"/>
              </w:rPr>
            </w:pPr>
            <w:r>
              <w:rPr>
                <w:rFonts w:hint="eastAsia" w:ascii="宋体" w:cs="Arial"/>
                <w:b w:val="0"/>
                <w:color w:val="000000"/>
                <w:sz w:val="24"/>
                <w:szCs w:val="22"/>
                <w:lang w:bidi="ar-SA"/>
              </w:rPr>
              <w:t>机房高度</w:t>
            </w:r>
          </w:p>
        </w:tc>
        <w:tc>
          <w:tcPr>
            <w:tcW w:w="4412"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0" w:firstLineChars="200"/>
              <w:contextualSpacing/>
              <w:jc w:val="center"/>
              <w:rPr>
                <w:rFonts w:hint="eastAsia" w:ascii="宋体" w:hAnsi="Calibri" w:eastAsia="宋体" w:cs="Arial"/>
                <w:b w:val="0"/>
                <w:bCs/>
                <w:color w:val="000000"/>
                <w:kern w:val="2"/>
                <w:sz w:val="24"/>
                <w:szCs w:val="22"/>
                <w:lang w:val="en-US" w:eastAsia="zh-CN" w:bidi="ar-SA"/>
              </w:rPr>
            </w:pPr>
            <w:r>
              <w:rPr>
                <w:rFonts w:hint="eastAsia" w:ascii="宋体" w:hAnsi="宋体" w:eastAsia="宋体" w:cs="宋体"/>
                <w:b w:val="0"/>
                <w:bCs/>
                <w:sz w:val="24"/>
                <w:szCs w:val="24"/>
                <w:lang w:val="en-US" w:eastAsia="zh-CN"/>
              </w:rPr>
              <w:t>18350mm</w:t>
            </w:r>
          </w:p>
        </w:tc>
        <w:tc>
          <w:tcPr>
            <w:tcW w:w="901"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0" w:firstLineChars="200"/>
              <w:contextualSpacing/>
              <w:jc w:val="center"/>
              <w:rPr>
                <w:rFonts w:hint="eastAsia" w:ascii="宋体" w:cs="Arial"/>
                <w:b w:val="0"/>
                <w:color w:val="000000"/>
                <w:sz w:val="24"/>
                <w:szCs w:val="2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5"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0" w:firstLineChars="200"/>
              <w:contextualSpacing/>
              <w:jc w:val="center"/>
              <w:rPr>
                <w:rFonts w:hint="eastAsia" w:ascii="宋体" w:cs="Arial"/>
                <w:b w:val="0"/>
                <w:color w:val="000000"/>
                <w:sz w:val="24"/>
                <w:szCs w:val="22"/>
                <w:lang w:bidi="ar-SA"/>
              </w:rPr>
            </w:pPr>
            <w:r>
              <w:rPr>
                <w:rFonts w:hint="eastAsia" w:cs="Arial"/>
                <w:b w:val="0"/>
                <w:color w:val="000000"/>
                <w:sz w:val="24"/>
                <w:szCs w:val="22"/>
                <w:lang w:eastAsia="zh-CN" w:bidi="ar-SA"/>
              </w:rPr>
              <w:t>备注</w:t>
            </w:r>
          </w:p>
        </w:tc>
        <w:tc>
          <w:tcPr>
            <w:tcW w:w="4412"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0" w:firstLineChars="200"/>
              <w:contextualSpacing/>
              <w:jc w:val="center"/>
              <w:rPr>
                <w:rFonts w:hint="eastAsia" w:ascii="宋体" w:eastAsia="宋体" w:cs="Arial"/>
                <w:b w:val="0"/>
                <w:bCs/>
                <w:color w:val="000000"/>
                <w:sz w:val="24"/>
                <w:szCs w:val="22"/>
                <w:lang w:val="en-US" w:eastAsia="zh-CN" w:bidi="ar-SA"/>
              </w:rPr>
            </w:pPr>
          </w:p>
        </w:tc>
        <w:tc>
          <w:tcPr>
            <w:tcW w:w="901" w:type="dxa"/>
            <w:tcBorders>
              <w:top w:val="single" w:color="auto" w:sz="4" w:space="0"/>
              <w:left w:val="single" w:color="auto" w:sz="4" w:space="0"/>
              <w:bottom w:val="single" w:color="auto" w:sz="4" w:space="0"/>
              <w:right w:val="single" w:color="auto" w:sz="4" w:space="0"/>
            </w:tcBorders>
            <w:vAlign w:val="center"/>
          </w:tcPr>
          <w:p>
            <w:pPr>
              <w:pStyle w:val="7"/>
              <w:adjustRightInd w:val="0"/>
              <w:snapToGrid w:val="0"/>
              <w:spacing w:line="240" w:lineRule="auto"/>
              <w:ind w:firstLine="480" w:firstLineChars="200"/>
              <w:contextualSpacing/>
              <w:jc w:val="center"/>
              <w:rPr>
                <w:rFonts w:hint="eastAsia" w:ascii="宋体" w:cs="Arial"/>
                <w:b w:val="0"/>
                <w:color w:val="000000"/>
                <w:sz w:val="24"/>
                <w:szCs w:val="22"/>
                <w:lang w:bidi="ar-SA"/>
              </w:rPr>
            </w:pPr>
          </w:p>
        </w:tc>
      </w:tr>
    </w:tbl>
    <w:p>
      <w:pPr>
        <w:pStyle w:val="7"/>
        <w:adjustRightInd w:val="0"/>
        <w:snapToGrid w:val="0"/>
        <w:spacing w:line="360" w:lineRule="auto"/>
        <w:ind w:firstLine="482" w:firstLineChars="200"/>
        <w:contextualSpacing/>
        <w:jc w:val="both"/>
        <w:rPr>
          <w:rFonts w:hint="eastAsia" w:ascii="宋体" w:eastAsia="宋体"/>
          <w:b/>
          <w:bCs/>
          <w:color w:val="000000"/>
          <w:sz w:val="24"/>
          <w:szCs w:val="22"/>
          <w:highlight w:val="none"/>
          <w:lang w:eastAsia="zh-CN"/>
        </w:rPr>
      </w:pPr>
      <w:r>
        <w:rPr>
          <w:rFonts w:hint="eastAsia"/>
          <w:b/>
          <w:bCs/>
          <w:color w:val="000000"/>
          <w:sz w:val="24"/>
          <w:szCs w:val="22"/>
          <w:highlight w:val="none"/>
          <w:lang w:eastAsia="zh-CN"/>
        </w:rPr>
        <w:t>备注：</w:t>
      </w:r>
      <w:r>
        <w:rPr>
          <w:rFonts w:hint="eastAsia" w:ascii="宋体"/>
          <w:b/>
          <w:bCs/>
          <w:color w:val="000000"/>
          <w:sz w:val="24"/>
          <w:szCs w:val="22"/>
          <w:highlight w:val="none"/>
        </w:rPr>
        <w:t>各</w:t>
      </w:r>
      <w:r>
        <w:rPr>
          <w:rFonts w:hint="eastAsia" w:ascii="宋体"/>
          <w:b/>
          <w:bCs/>
          <w:color w:val="000000"/>
          <w:sz w:val="24"/>
          <w:szCs w:val="22"/>
          <w:highlight w:val="none"/>
          <w:lang w:eastAsia="zh-CN"/>
        </w:rPr>
        <w:t>供应商</w:t>
      </w:r>
      <w:r>
        <w:rPr>
          <w:rFonts w:hint="eastAsia" w:ascii="宋体"/>
          <w:b/>
          <w:bCs/>
          <w:color w:val="000000"/>
          <w:sz w:val="24"/>
          <w:szCs w:val="22"/>
          <w:highlight w:val="none"/>
        </w:rPr>
        <w:t>须结合现场实际情况进行复核，最终以实地测量尺寸为准。</w:t>
      </w:r>
    </w:p>
    <w:p>
      <w:pPr>
        <w:adjustRightInd/>
        <w:snapToGrid/>
        <w:spacing w:line="360" w:lineRule="auto"/>
        <w:ind w:firstLine="482" w:firstLineChars="200"/>
        <w:rPr>
          <w:rFonts w:hint="eastAsia" w:ascii="宋体" w:eastAsia="宋体" w:cs="Arial"/>
          <w:b/>
          <w:bCs/>
          <w:color w:val="000000"/>
          <w:sz w:val="24"/>
          <w:szCs w:val="22"/>
          <w:lang w:eastAsia="zh-CN" w:bidi="ar-SA"/>
        </w:rPr>
      </w:pPr>
      <w:bookmarkStart w:id="721" w:name="_Toc277946763"/>
      <w:bookmarkStart w:id="722" w:name="_Toc83616205"/>
      <w:r>
        <w:rPr>
          <w:rFonts w:hint="eastAsia" w:ascii="宋体" w:cs="Arial"/>
          <w:b/>
          <w:bCs/>
          <w:color w:val="000000"/>
          <w:sz w:val="24"/>
          <w:szCs w:val="22"/>
          <w:lang w:val="en-US" w:eastAsia="zh-CN" w:bidi="ar-SA"/>
        </w:rPr>
        <w:t>二、</w:t>
      </w:r>
      <w:r>
        <w:rPr>
          <w:rFonts w:hint="eastAsia" w:ascii="宋体" w:eastAsia="宋体" w:cs="Arial"/>
          <w:b/>
          <w:bCs/>
          <w:color w:val="000000"/>
          <w:sz w:val="24"/>
          <w:szCs w:val="22"/>
          <w:lang w:bidi="ar-SA"/>
        </w:rPr>
        <w:t>货物需求</w:t>
      </w:r>
      <w:r>
        <w:rPr>
          <w:rFonts w:hint="eastAsia" w:ascii="宋体" w:eastAsia="宋体" w:cs="Arial"/>
          <w:b/>
          <w:bCs/>
          <w:color w:val="000000"/>
          <w:sz w:val="24"/>
          <w:szCs w:val="22"/>
          <w:lang w:eastAsia="zh-CN" w:bidi="ar-SA"/>
        </w:rPr>
        <w:t>：</w:t>
      </w:r>
    </w:p>
    <w:p>
      <w:pPr>
        <w:pStyle w:val="42"/>
        <w:rPr>
          <w:rFonts w:hint="eastAsia"/>
          <w:lang w:eastAsia="zh-CN"/>
        </w:rPr>
      </w:pPr>
    </w:p>
    <w:p>
      <w:pPr>
        <w:rPr>
          <w:rFonts w:hint="eastAsia" w:ascii="宋体" w:hAnsi="宋体" w:eastAsia="宋体" w:cs="宋体"/>
          <w:b/>
          <w:color w:val="auto"/>
          <w:sz w:val="24"/>
          <w:szCs w:val="24"/>
          <w:highlight w:val="none"/>
          <w:lang w:val="zh-CN"/>
        </w:rPr>
      </w:pPr>
      <w:r>
        <w:rPr>
          <w:rFonts w:hint="eastAsia" w:ascii="宋体"/>
          <w:b w:val="0"/>
          <w:color w:val="000000"/>
          <w:sz w:val="24"/>
          <w:szCs w:val="22"/>
          <w:lang w:val="en-US" w:eastAsia="zh-CN"/>
        </w:rPr>
        <w:t xml:space="preserve">2.1 </w:t>
      </w:r>
      <w:r>
        <w:rPr>
          <w:rFonts w:hint="eastAsia" w:ascii="宋体" w:hAnsi="宋体" w:eastAsia="宋体" w:cs="宋体"/>
          <w:b/>
          <w:color w:val="auto"/>
          <w:sz w:val="24"/>
          <w:szCs w:val="24"/>
          <w:highlight w:val="none"/>
          <w:lang w:val="zh-CN"/>
        </w:rPr>
        <w:t>技术指标参数</w:t>
      </w:r>
    </w:p>
    <w:tbl>
      <w:tblPr>
        <w:tblStyle w:val="35"/>
        <w:tblW w:w="8092" w:type="dxa"/>
        <w:tblInd w:w="130" w:type="dxa"/>
        <w:tblLayout w:type="fixed"/>
        <w:tblCellMar>
          <w:top w:w="0" w:type="dxa"/>
          <w:left w:w="0" w:type="dxa"/>
          <w:bottom w:w="0" w:type="dxa"/>
          <w:right w:w="0" w:type="dxa"/>
        </w:tblCellMar>
      </w:tblPr>
      <w:tblGrid>
        <w:gridCol w:w="579"/>
        <w:gridCol w:w="1276"/>
        <w:gridCol w:w="6237"/>
      </w:tblGrid>
      <w:tr>
        <w:tblPrEx>
          <w:tblCellMar>
            <w:top w:w="0" w:type="dxa"/>
            <w:left w:w="0" w:type="dxa"/>
            <w:bottom w:w="0" w:type="dxa"/>
            <w:right w:w="0" w:type="dxa"/>
          </w:tblCellMar>
        </w:tblPrEx>
        <w:trPr>
          <w:trHeight w:val="90"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2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名称</w:t>
            </w:r>
          </w:p>
        </w:tc>
        <w:tc>
          <w:tcPr>
            <w:tcW w:w="6237"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技术指标参数</w:t>
            </w:r>
          </w:p>
        </w:tc>
      </w:tr>
      <w:tr>
        <w:tblPrEx>
          <w:tblCellMar>
            <w:top w:w="0" w:type="dxa"/>
            <w:left w:w="0" w:type="dxa"/>
            <w:bottom w:w="0" w:type="dxa"/>
            <w:right w:w="0" w:type="dxa"/>
          </w:tblCellMar>
        </w:tblPrEx>
        <w:trPr>
          <w:trHeight w:val="531"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7513" w:type="dxa"/>
            <w:gridSpan w:val="2"/>
            <w:tcBorders>
              <w:top w:val="single" w:color="auto" w:sz="4" w:space="0"/>
              <w:left w:val="nil"/>
              <w:bottom w:val="single" w:color="auto" w:sz="4" w:space="0"/>
              <w:right w:val="single" w:color="auto" w:sz="4" w:space="0"/>
            </w:tcBorders>
            <w:noWrap w:val="0"/>
            <w:vAlign w:val="center"/>
          </w:tcPr>
          <w:p>
            <w:pPr>
              <w:spacing w:line="420" w:lineRule="exact"/>
              <w:rPr>
                <w:rFonts w:hint="eastAsia" w:ascii="宋体" w:hAnsi="宋体" w:cs="宋体"/>
                <w:b w:val="0"/>
                <w:bCs/>
                <w:color w:val="auto"/>
                <w:sz w:val="24"/>
                <w:szCs w:val="24"/>
                <w:highlight w:val="none"/>
              </w:rPr>
            </w:pPr>
            <w:r>
              <w:rPr>
                <w:rFonts w:hint="eastAsia" w:ascii="宋体" w:hAnsi="宋体" w:eastAsia="宋体" w:cs="宋体"/>
                <w:bCs/>
                <w:color w:val="auto"/>
                <w:sz w:val="24"/>
                <w:szCs w:val="24"/>
                <w:highlight w:val="none"/>
              </w:rPr>
              <w:t>备注：</w:t>
            </w:r>
            <w:r>
              <w:rPr>
                <w:rFonts w:hint="eastAsia" w:ascii="宋体" w:hAnsi="宋体" w:eastAsia="宋体" w:cs="宋体"/>
                <w:b w:val="0"/>
                <w:bCs/>
                <w:color w:val="auto"/>
                <w:sz w:val="24"/>
                <w:szCs w:val="24"/>
                <w:highlight w:val="none"/>
              </w:rPr>
              <w:t>控制柜中的控制系统、曳引机、门机要求与整机为同一品牌且为原厂原品牌工厂生产。关键安全部件限速器、缓冲器要求原厂原品牌工厂生产。</w:t>
            </w:r>
          </w:p>
          <w:p>
            <w:pPr>
              <w:pStyle w:val="30"/>
              <w:rPr>
                <w:rFonts w:hint="eastAsia"/>
              </w:rPr>
            </w:pPr>
          </w:p>
        </w:tc>
      </w:tr>
      <w:tr>
        <w:tblPrEx>
          <w:tblCellMar>
            <w:top w:w="0" w:type="dxa"/>
            <w:left w:w="0" w:type="dxa"/>
            <w:bottom w:w="0" w:type="dxa"/>
            <w:right w:w="0" w:type="dxa"/>
          </w:tblCellMar>
        </w:tblPrEx>
        <w:trPr>
          <w:trHeight w:val="483"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1276" w:type="dxa"/>
            <w:tcBorders>
              <w:top w:val="single" w:color="auto" w:sz="4" w:space="0"/>
              <w:left w:val="nil"/>
              <w:bottom w:val="single" w:color="auto" w:sz="4" w:space="0"/>
              <w:right w:val="single" w:color="auto" w:sz="4" w:space="0"/>
            </w:tcBorders>
            <w:noWrap w:val="0"/>
            <w:vAlign w:val="center"/>
          </w:tcPr>
          <w:p>
            <w:pPr>
              <w:spacing w:line="42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曳引机</w:t>
            </w:r>
          </w:p>
        </w:tc>
        <w:tc>
          <w:tcPr>
            <w:tcW w:w="6237" w:type="dxa"/>
            <w:tcBorders>
              <w:top w:val="single" w:color="auto" w:sz="4" w:space="0"/>
              <w:left w:val="nil"/>
              <w:bottom w:val="single" w:color="auto" w:sz="4" w:space="0"/>
              <w:right w:val="single" w:color="auto" w:sz="4" w:space="0"/>
            </w:tcBorders>
            <w:noWrap w:val="0"/>
            <w:vAlign w:val="center"/>
          </w:tcPr>
          <w:p>
            <w:pPr>
              <w:spacing w:line="42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永磁同步无齿轮曳引机</w:t>
            </w:r>
          </w:p>
        </w:tc>
      </w:tr>
      <w:tr>
        <w:tblPrEx>
          <w:tblCellMar>
            <w:top w:w="0" w:type="dxa"/>
            <w:left w:w="0" w:type="dxa"/>
            <w:bottom w:w="0" w:type="dxa"/>
            <w:right w:w="0" w:type="dxa"/>
          </w:tblCellMar>
        </w:tblPrEx>
        <w:trPr>
          <w:trHeight w:val="564"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1276" w:type="dxa"/>
            <w:tcBorders>
              <w:top w:val="single" w:color="auto" w:sz="4" w:space="0"/>
              <w:left w:val="nil"/>
              <w:bottom w:val="single" w:color="auto" w:sz="4" w:space="0"/>
              <w:right w:val="single" w:color="auto" w:sz="4" w:space="0"/>
            </w:tcBorders>
            <w:noWrap w:val="0"/>
            <w:vAlign w:val="center"/>
          </w:tcPr>
          <w:p>
            <w:pPr>
              <w:spacing w:line="42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控制柜</w:t>
            </w:r>
          </w:p>
        </w:tc>
        <w:tc>
          <w:tcPr>
            <w:tcW w:w="6237" w:type="dxa"/>
            <w:tcBorders>
              <w:top w:val="single" w:color="auto" w:sz="4" w:space="0"/>
              <w:left w:val="nil"/>
              <w:bottom w:val="single" w:color="auto" w:sz="4" w:space="0"/>
              <w:right w:val="single" w:color="auto" w:sz="4" w:space="0"/>
            </w:tcBorders>
            <w:noWrap w:val="0"/>
            <w:vAlign w:val="center"/>
          </w:tcPr>
          <w:p>
            <w:pPr>
              <w:spacing w:line="42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控制系统要求采用全电脑及模块集成电路控制系统,模块化微电脑处理器及技术先进的控制系统的先进可靠控制柜。</w:t>
            </w:r>
          </w:p>
        </w:tc>
      </w:tr>
      <w:tr>
        <w:tblPrEx>
          <w:tblCellMar>
            <w:top w:w="0" w:type="dxa"/>
            <w:left w:w="0" w:type="dxa"/>
            <w:bottom w:w="0" w:type="dxa"/>
            <w:right w:w="0" w:type="dxa"/>
          </w:tblCellMar>
        </w:tblPrEx>
        <w:trPr>
          <w:trHeight w:val="520"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1276" w:type="dxa"/>
            <w:tcBorders>
              <w:top w:val="single" w:color="auto" w:sz="4" w:space="0"/>
              <w:left w:val="nil"/>
              <w:bottom w:val="single" w:color="auto" w:sz="4" w:space="0"/>
              <w:right w:val="single" w:color="auto" w:sz="4" w:space="0"/>
            </w:tcBorders>
            <w:noWrap w:val="0"/>
            <w:vAlign w:val="center"/>
          </w:tcPr>
          <w:p>
            <w:pPr>
              <w:spacing w:line="42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门机</w:t>
            </w:r>
          </w:p>
        </w:tc>
        <w:tc>
          <w:tcPr>
            <w:tcW w:w="6237" w:type="dxa"/>
            <w:tcBorders>
              <w:top w:val="single" w:color="auto" w:sz="4" w:space="0"/>
              <w:left w:val="nil"/>
              <w:bottom w:val="single" w:color="auto" w:sz="4" w:space="0"/>
              <w:right w:val="single" w:color="auto" w:sz="4" w:space="0"/>
            </w:tcBorders>
            <w:noWrap w:val="0"/>
            <w:vAlign w:val="center"/>
          </w:tcPr>
          <w:p>
            <w:pPr>
              <w:spacing w:line="42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交流变频变压调速VVVF的先进可靠门机</w:t>
            </w:r>
          </w:p>
        </w:tc>
      </w:tr>
      <w:tr>
        <w:tblPrEx>
          <w:tblCellMar>
            <w:top w:w="0" w:type="dxa"/>
            <w:left w:w="0" w:type="dxa"/>
            <w:bottom w:w="0" w:type="dxa"/>
            <w:right w:w="0" w:type="dxa"/>
          </w:tblCellMar>
        </w:tblPrEx>
        <w:trPr>
          <w:trHeight w:val="419"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1276" w:type="dxa"/>
            <w:tcBorders>
              <w:top w:val="single" w:color="auto" w:sz="4" w:space="0"/>
              <w:left w:val="nil"/>
              <w:bottom w:val="single" w:color="auto" w:sz="4" w:space="0"/>
              <w:right w:val="single" w:color="auto" w:sz="4" w:space="0"/>
            </w:tcBorders>
            <w:noWrap w:val="0"/>
            <w:vAlign w:val="center"/>
          </w:tcPr>
          <w:p>
            <w:pPr>
              <w:spacing w:line="420" w:lineRule="exact"/>
              <w:rPr>
                <w:rFonts w:hint="eastAsia" w:ascii="宋体" w:hAnsi="宋体" w:eastAsia="宋体" w:cs="宋体"/>
                <w:b/>
                <w:bCs/>
                <w:color w:val="auto"/>
                <w:sz w:val="24"/>
                <w:szCs w:val="24"/>
                <w:highlight w:val="none"/>
              </w:rPr>
            </w:pPr>
            <w:r>
              <w:rPr>
                <w:rFonts w:hint="eastAsia" w:ascii="宋体" w:eastAsia="宋体" w:cs="Arial"/>
                <w:b/>
                <w:bCs/>
                <w:color w:val="000000"/>
                <w:kern w:val="2"/>
                <w:sz w:val="24"/>
                <w:szCs w:val="22"/>
                <w:highlight w:val="none"/>
                <w:lang w:val="en-US" w:eastAsia="zh-CN" w:bidi="ar-SA"/>
              </w:rPr>
              <w:t>★</w:t>
            </w:r>
            <w:r>
              <w:rPr>
                <w:rFonts w:hint="eastAsia" w:ascii="宋体" w:hAnsi="宋体" w:eastAsia="宋体" w:cs="宋体"/>
                <w:b/>
                <w:bCs/>
                <w:color w:val="auto"/>
                <w:sz w:val="24"/>
                <w:szCs w:val="24"/>
                <w:highlight w:val="none"/>
              </w:rPr>
              <w:t>光幕</w:t>
            </w:r>
          </w:p>
        </w:tc>
        <w:tc>
          <w:tcPr>
            <w:tcW w:w="6237" w:type="dxa"/>
            <w:tcBorders>
              <w:top w:val="single" w:color="auto" w:sz="4" w:space="0"/>
              <w:left w:val="nil"/>
              <w:bottom w:val="single" w:color="auto" w:sz="4" w:space="0"/>
              <w:right w:val="single" w:color="auto" w:sz="4" w:space="0"/>
            </w:tcBorders>
            <w:noWrap w:val="0"/>
            <w:vAlign w:val="center"/>
          </w:tcPr>
          <w:p>
            <w:pPr>
              <w:spacing w:line="42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≥154束</w:t>
            </w:r>
          </w:p>
        </w:tc>
      </w:tr>
      <w:tr>
        <w:tblPrEx>
          <w:tblCellMar>
            <w:top w:w="0" w:type="dxa"/>
            <w:left w:w="0" w:type="dxa"/>
            <w:bottom w:w="0" w:type="dxa"/>
            <w:right w:w="0" w:type="dxa"/>
          </w:tblCellMar>
        </w:tblPrEx>
        <w:trPr>
          <w:trHeight w:val="419"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c>
          <w:tcPr>
            <w:tcW w:w="1276" w:type="dxa"/>
            <w:tcBorders>
              <w:top w:val="single" w:color="auto" w:sz="4" w:space="0"/>
              <w:left w:val="nil"/>
              <w:bottom w:val="single" w:color="auto" w:sz="4" w:space="0"/>
              <w:right w:val="single" w:color="auto" w:sz="4" w:space="0"/>
            </w:tcBorders>
            <w:noWrap w:val="0"/>
            <w:vAlign w:val="center"/>
          </w:tcPr>
          <w:p>
            <w:pPr>
              <w:spacing w:line="420" w:lineRule="exact"/>
              <w:rPr>
                <w:rFonts w:hint="eastAsia" w:ascii="宋体" w:hAnsi="宋体" w:eastAsia="宋体" w:cs="宋体"/>
                <w:b/>
                <w:bCs/>
                <w:color w:val="auto"/>
                <w:sz w:val="24"/>
                <w:szCs w:val="24"/>
                <w:highlight w:val="none"/>
              </w:rPr>
            </w:pPr>
            <w:r>
              <w:rPr>
                <w:rFonts w:hint="eastAsia" w:ascii="宋体" w:eastAsia="宋体" w:cs="Arial"/>
                <w:b/>
                <w:bCs/>
                <w:color w:val="000000"/>
                <w:kern w:val="2"/>
                <w:sz w:val="24"/>
                <w:szCs w:val="22"/>
                <w:lang w:val="en-US" w:eastAsia="zh-CN" w:bidi="ar-SA"/>
              </w:rPr>
              <w:t>★</w:t>
            </w:r>
            <w:r>
              <w:rPr>
                <w:rFonts w:hint="eastAsia" w:ascii="宋体" w:hAnsi="宋体" w:eastAsia="宋体" w:cs="宋体"/>
                <w:b/>
                <w:bCs/>
                <w:color w:val="auto"/>
                <w:sz w:val="24"/>
                <w:szCs w:val="24"/>
                <w:highlight w:val="none"/>
              </w:rPr>
              <w:t>限速器</w:t>
            </w:r>
          </w:p>
        </w:tc>
        <w:tc>
          <w:tcPr>
            <w:tcW w:w="6237" w:type="dxa"/>
            <w:tcBorders>
              <w:top w:val="single" w:color="auto" w:sz="4" w:space="0"/>
              <w:left w:val="nil"/>
              <w:bottom w:val="single" w:color="auto" w:sz="4" w:space="0"/>
              <w:right w:val="single" w:color="auto" w:sz="4" w:space="0"/>
            </w:tcBorders>
            <w:noWrap w:val="0"/>
            <w:vAlign w:val="center"/>
          </w:tcPr>
          <w:p>
            <w:pPr>
              <w:spacing w:line="420" w:lineRule="exact"/>
              <w:rPr>
                <w:rFonts w:hint="eastAsia" w:ascii="宋体" w:hAnsi="宋体" w:eastAsia="宋体" w:cs="宋体"/>
                <w:b/>
                <w:bCs/>
                <w:color w:val="auto"/>
                <w:sz w:val="24"/>
                <w:szCs w:val="24"/>
                <w:highlight w:val="green"/>
              </w:rPr>
            </w:pPr>
            <w:r>
              <w:rPr>
                <w:rFonts w:hint="eastAsia" w:ascii="宋体" w:hAnsi="宋体" w:cs="宋体"/>
                <w:b/>
                <w:bCs/>
                <w:color w:val="auto"/>
                <w:sz w:val="24"/>
                <w:szCs w:val="24"/>
                <w:highlight w:val="none"/>
                <w:lang w:eastAsia="zh-CN"/>
              </w:rPr>
              <w:t>限速器轮径≥200，限速器钢丝绳≥6mm。</w:t>
            </w:r>
          </w:p>
        </w:tc>
      </w:tr>
      <w:tr>
        <w:tblPrEx>
          <w:tblCellMar>
            <w:top w:w="0" w:type="dxa"/>
            <w:left w:w="0" w:type="dxa"/>
            <w:bottom w:w="0" w:type="dxa"/>
            <w:right w:w="0" w:type="dxa"/>
          </w:tblCellMar>
        </w:tblPrEx>
        <w:trPr>
          <w:trHeight w:val="90"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p>
        </w:tc>
        <w:tc>
          <w:tcPr>
            <w:tcW w:w="1276" w:type="dxa"/>
            <w:tcBorders>
              <w:top w:val="single" w:color="auto" w:sz="4" w:space="0"/>
              <w:left w:val="nil"/>
              <w:bottom w:val="single" w:color="auto" w:sz="4" w:space="0"/>
              <w:right w:val="single" w:color="auto" w:sz="4" w:space="0"/>
            </w:tcBorders>
            <w:noWrap w:val="0"/>
            <w:vAlign w:val="center"/>
          </w:tcPr>
          <w:p>
            <w:pPr>
              <w:spacing w:line="420" w:lineRule="exact"/>
              <w:rPr>
                <w:rFonts w:hint="eastAsia" w:ascii="宋体" w:hAnsi="宋体" w:eastAsia="宋体" w:cs="宋体"/>
                <w:b/>
                <w:bCs/>
                <w:color w:val="auto"/>
                <w:sz w:val="24"/>
                <w:szCs w:val="24"/>
                <w:highlight w:val="none"/>
              </w:rPr>
            </w:pPr>
            <w:r>
              <w:rPr>
                <w:rFonts w:hint="eastAsia" w:ascii="宋体" w:eastAsia="宋体" w:cs="Arial"/>
                <w:b/>
                <w:bCs/>
                <w:color w:val="000000"/>
                <w:kern w:val="2"/>
                <w:sz w:val="24"/>
                <w:szCs w:val="22"/>
                <w:lang w:val="en-US" w:eastAsia="zh-CN" w:bidi="ar-SA"/>
              </w:rPr>
              <w:t>★</w:t>
            </w:r>
            <w:r>
              <w:rPr>
                <w:rFonts w:hint="eastAsia" w:ascii="宋体" w:hAnsi="宋体" w:eastAsia="宋体" w:cs="宋体"/>
                <w:b/>
                <w:bCs/>
                <w:color w:val="auto"/>
                <w:sz w:val="24"/>
                <w:szCs w:val="24"/>
                <w:highlight w:val="none"/>
              </w:rPr>
              <w:t>安全钳</w:t>
            </w:r>
          </w:p>
        </w:tc>
        <w:tc>
          <w:tcPr>
            <w:tcW w:w="6237" w:type="dxa"/>
            <w:tcBorders>
              <w:top w:val="single" w:color="auto" w:sz="4" w:space="0"/>
              <w:left w:val="nil"/>
              <w:bottom w:val="single" w:color="auto" w:sz="4" w:space="0"/>
              <w:right w:val="single" w:color="auto" w:sz="4" w:space="0"/>
            </w:tcBorders>
            <w:noWrap w:val="0"/>
            <w:vAlign w:val="center"/>
          </w:tcPr>
          <w:p>
            <w:pPr>
              <w:spacing w:line="420" w:lineRule="exact"/>
              <w:rPr>
                <w:rFonts w:hint="eastAsia" w:ascii="宋体" w:hAnsi="宋体" w:eastAsia="宋体" w:cs="宋体"/>
                <w:b/>
                <w:bCs/>
                <w:color w:val="auto"/>
                <w:sz w:val="24"/>
                <w:szCs w:val="24"/>
                <w:highlight w:val="green"/>
              </w:rPr>
            </w:pPr>
            <w:r>
              <w:rPr>
                <w:rFonts w:hint="eastAsia" w:ascii="宋体" w:hAnsi="宋体" w:cs="宋体"/>
                <w:b/>
                <w:bCs/>
                <w:color w:val="auto"/>
                <w:sz w:val="24"/>
                <w:szCs w:val="24"/>
                <w:highlight w:val="none"/>
                <w:lang w:eastAsia="zh-CN"/>
              </w:rPr>
              <w:t>渐进式安全钳，导轨宽度≥10mm。</w:t>
            </w:r>
          </w:p>
        </w:tc>
      </w:tr>
      <w:tr>
        <w:tblPrEx>
          <w:tblCellMar>
            <w:top w:w="0" w:type="dxa"/>
            <w:left w:w="0" w:type="dxa"/>
            <w:bottom w:w="0" w:type="dxa"/>
            <w:right w:w="0" w:type="dxa"/>
          </w:tblCellMar>
        </w:tblPrEx>
        <w:trPr>
          <w:trHeight w:val="419"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p>
        </w:tc>
        <w:tc>
          <w:tcPr>
            <w:tcW w:w="1276" w:type="dxa"/>
            <w:tcBorders>
              <w:top w:val="single" w:color="auto" w:sz="4" w:space="0"/>
              <w:left w:val="nil"/>
              <w:bottom w:val="single" w:color="auto" w:sz="4" w:space="0"/>
              <w:right w:val="single" w:color="auto" w:sz="4" w:space="0"/>
            </w:tcBorders>
            <w:noWrap w:val="0"/>
            <w:vAlign w:val="center"/>
          </w:tcPr>
          <w:p>
            <w:pPr>
              <w:spacing w:line="420" w:lineRule="exact"/>
              <w:rPr>
                <w:rFonts w:hint="eastAsia" w:ascii="宋体" w:hAnsi="宋体" w:eastAsia="宋体" w:cs="宋体"/>
                <w:b/>
                <w:bCs/>
                <w:color w:val="auto"/>
                <w:sz w:val="24"/>
                <w:szCs w:val="24"/>
                <w:highlight w:val="none"/>
              </w:rPr>
            </w:pPr>
            <w:r>
              <w:rPr>
                <w:rFonts w:hint="eastAsia" w:ascii="宋体" w:eastAsia="宋体" w:cs="Arial"/>
                <w:b/>
                <w:bCs/>
                <w:color w:val="000000"/>
                <w:kern w:val="2"/>
                <w:sz w:val="24"/>
                <w:szCs w:val="22"/>
                <w:lang w:val="en-US" w:eastAsia="zh-CN" w:bidi="ar-SA"/>
              </w:rPr>
              <w:t>★</w:t>
            </w:r>
            <w:r>
              <w:rPr>
                <w:rFonts w:hint="eastAsia" w:ascii="宋体" w:hAnsi="宋体" w:eastAsia="宋体" w:cs="宋体"/>
                <w:b/>
                <w:bCs/>
                <w:color w:val="auto"/>
                <w:sz w:val="24"/>
                <w:szCs w:val="24"/>
                <w:highlight w:val="none"/>
              </w:rPr>
              <w:t>缓冲器</w:t>
            </w:r>
          </w:p>
        </w:tc>
        <w:tc>
          <w:tcPr>
            <w:tcW w:w="6237" w:type="dxa"/>
            <w:tcBorders>
              <w:top w:val="single" w:color="auto" w:sz="4" w:space="0"/>
              <w:left w:val="nil"/>
              <w:bottom w:val="single" w:color="auto" w:sz="4" w:space="0"/>
              <w:right w:val="single" w:color="auto" w:sz="4" w:space="0"/>
            </w:tcBorders>
            <w:noWrap w:val="0"/>
            <w:vAlign w:val="center"/>
          </w:tcPr>
          <w:p>
            <w:pPr>
              <w:spacing w:line="420" w:lineRule="exact"/>
              <w:rPr>
                <w:rFonts w:hint="eastAsia" w:ascii="宋体" w:hAnsi="宋体" w:eastAsia="宋体" w:cs="宋体"/>
                <w:b/>
                <w:bCs/>
                <w:color w:val="auto"/>
                <w:sz w:val="24"/>
                <w:szCs w:val="24"/>
                <w:highlight w:val="green"/>
              </w:rPr>
            </w:pPr>
            <w:r>
              <w:rPr>
                <w:rFonts w:hint="eastAsia" w:ascii="宋体" w:hAnsi="宋体" w:eastAsia="宋体" w:cs="宋体"/>
                <w:b/>
                <w:bCs/>
                <w:i w:val="0"/>
                <w:iCs w:val="0"/>
                <w:caps w:val="0"/>
                <w:color w:val="auto"/>
                <w:spacing w:val="0"/>
                <w:sz w:val="24"/>
                <w:szCs w:val="24"/>
                <w:highlight w:val="none"/>
                <w:shd w:val="clear"/>
              </w:rPr>
              <w:t>液压式缓冲器</w:t>
            </w:r>
          </w:p>
        </w:tc>
      </w:tr>
      <w:tr>
        <w:tblPrEx>
          <w:tblCellMar>
            <w:top w:w="0" w:type="dxa"/>
            <w:left w:w="0" w:type="dxa"/>
            <w:bottom w:w="0" w:type="dxa"/>
            <w:right w:w="0" w:type="dxa"/>
          </w:tblCellMar>
        </w:tblPrEx>
        <w:trPr>
          <w:trHeight w:val="419"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w:t>
            </w:r>
          </w:p>
        </w:tc>
        <w:tc>
          <w:tcPr>
            <w:tcW w:w="1276" w:type="dxa"/>
            <w:tcBorders>
              <w:top w:val="single" w:color="auto" w:sz="4" w:space="0"/>
              <w:left w:val="nil"/>
              <w:bottom w:val="single" w:color="auto" w:sz="4" w:space="0"/>
              <w:right w:val="single" w:color="auto" w:sz="4" w:space="0"/>
            </w:tcBorders>
            <w:noWrap w:val="0"/>
            <w:vAlign w:val="center"/>
          </w:tcPr>
          <w:p>
            <w:pPr>
              <w:spacing w:line="42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调速系统</w:t>
            </w:r>
          </w:p>
        </w:tc>
        <w:tc>
          <w:tcPr>
            <w:tcW w:w="6237" w:type="dxa"/>
            <w:tcBorders>
              <w:top w:val="single" w:color="auto" w:sz="4" w:space="0"/>
              <w:left w:val="nil"/>
              <w:bottom w:val="single" w:color="auto" w:sz="4" w:space="0"/>
              <w:right w:val="single" w:color="auto" w:sz="4" w:space="0"/>
            </w:tcBorders>
            <w:noWrap w:val="0"/>
            <w:vAlign w:val="center"/>
          </w:tcPr>
          <w:p>
            <w:pPr>
              <w:spacing w:line="42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32位微机控制，交流变压变频（VVVF）驱动系统</w:t>
            </w:r>
          </w:p>
        </w:tc>
      </w:tr>
      <w:tr>
        <w:tblPrEx>
          <w:tblCellMar>
            <w:top w:w="0" w:type="dxa"/>
            <w:left w:w="0" w:type="dxa"/>
            <w:bottom w:w="0" w:type="dxa"/>
            <w:right w:w="0" w:type="dxa"/>
          </w:tblCellMar>
        </w:tblPrEx>
        <w:trPr>
          <w:trHeight w:val="419"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w:t>
            </w:r>
          </w:p>
        </w:tc>
        <w:tc>
          <w:tcPr>
            <w:tcW w:w="1276" w:type="dxa"/>
            <w:tcBorders>
              <w:top w:val="single" w:color="auto" w:sz="4" w:space="0"/>
              <w:left w:val="nil"/>
              <w:bottom w:val="single" w:color="auto" w:sz="4" w:space="0"/>
              <w:right w:val="single" w:color="auto" w:sz="4" w:space="0"/>
            </w:tcBorders>
            <w:noWrap w:val="0"/>
            <w:vAlign w:val="center"/>
          </w:tcPr>
          <w:p>
            <w:pPr>
              <w:spacing w:line="42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基站</w:t>
            </w:r>
          </w:p>
        </w:tc>
        <w:tc>
          <w:tcPr>
            <w:tcW w:w="6237" w:type="dxa"/>
            <w:tcBorders>
              <w:top w:val="single" w:color="auto" w:sz="4" w:space="0"/>
              <w:left w:val="nil"/>
              <w:bottom w:val="single" w:color="auto" w:sz="4" w:space="0"/>
              <w:right w:val="single" w:color="auto" w:sz="4" w:space="0"/>
            </w:tcBorders>
            <w:noWrap w:val="0"/>
            <w:vAlign w:val="center"/>
          </w:tcPr>
          <w:p>
            <w:pPr>
              <w:spacing w:line="42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层</w:t>
            </w:r>
          </w:p>
        </w:tc>
      </w:tr>
      <w:tr>
        <w:tblPrEx>
          <w:tblCellMar>
            <w:top w:w="0" w:type="dxa"/>
            <w:left w:w="0" w:type="dxa"/>
            <w:bottom w:w="0" w:type="dxa"/>
            <w:right w:w="0" w:type="dxa"/>
          </w:tblCellMar>
        </w:tblPrEx>
        <w:trPr>
          <w:trHeight w:val="419"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11</w:t>
            </w:r>
          </w:p>
        </w:tc>
        <w:tc>
          <w:tcPr>
            <w:tcW w:w="1276" w:type="dxa"/>
            <w:tcBorders>
              <w:top w:val="single" w:color="auto" w:sz="4" w:space="0"/>
              <w:left w:val="nil"/>
              <w:bottom w:val="single" w:color="auto" w:sz="4" w:space="0"/>
              <w:right w:val="single" w:color="auto" w:sz="4" w:space="0"/>
            </w:tcBorders>
            <w:noWrap w:val="0"/>
            <w:vAlign w:val="center"/>
          </w:tcPr>
          <w:p>
            <w:pPr>
              <w:spacing w:line="42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对重位置</w:t>
            </w:r>
          </w:p>
        </w:tc>
        <w:tc>
          <w:tcPr>
            <w:tcW w:w="6237" w:type="dxa"/>
            <w:tcBorders>
              <w:top w:val="single" w:color="auto" w:sz="4" w:space="0"/>
              <w:left w:val="nil"/>
              <w:bottom w:val="single" w:color="auto" w:sz="4" w:space="0"/>
              <w:right w:val="single" w:color="auto" w:sz="4" w:space="0"/>
            </w:tcBorders>
            <w:noWrap w:val="0"/>
            <w:vAlign w:val="center"/>
          </w:tcPr>
          <w:p>
            <w:pPr>
              <w:spacing w:line="42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电梯为侧置位置</w:t>
            </w:r>
          </w:p>
        </w:tc>
      </w:tr>
      <w:tr>
        <w:tblPrEx>
          <w:tblCellMar>
            <w:top w:w="0" w:type="dxa"/>
            <w:left w:w="0" w:type="dxa"/>
            <w:bottom w:w="0" w:type="dxa"/>
            <w:right w:w="0" w:type="dxa"/>
          </w:tblCellMar>
        </w:tblPrEx>
        <w:trPr>
          <w:trHeight w:val="419"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12</w:t>
            </w:r>
          </w:p>
        </w:tc>
        <w:tc>
          <w:tcPr>
            <w:tcW w:w="1276" w:type="dxa"/>
            <w:tcBorders>
              <w:top w:val="single" w:color="auto" w:sz="4" w:space="0"/>
              <w:left w:val="nil"/>
              <w:bottom w:val="single" w:color="auto" w:sz="4" w:space="0"/>
              <w:right w:val="single" w:color="auto" w:sz="4" w:space="0"/>
            </w:tcBorders>
            <w:noWrap w:val="0"/>
            <w:vAlign w:val="center"/>
          </w:tcPr>
          <w:p>
            <w:pPr>
              <w:spacing w:line="42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通讯系统（井道内）</w:t>
            </w:r>
          </w:p>
        </w:tc>
        <w:tc>
          <w:tcPr>
            <w:tcW w:w="6237" w:type="dxa"/>
            <w:tcBorders>
              <w:top w:val="single" w:color="auto" w:sz="4" w:space="0"/>
              <w:left w:val="nil"/>
              <w:bottom w:val="single" w:color="auto" w:sz="4" w:space="0"/>
              <w:right w:val="single" w:color="auto" w:sz="4" w:space="0"/>
            </w:tcBorders>
            <w:noWrap w:val="0"/>
            <w:vAlign w:val="center"/>
          </w:tcPr>
          <w:p>
            <w:pPr>
              <w:spacing w:line="42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采用串行连接方式</w:t>
            </w:r>
          </w:p>
        </w:tc>
      </w:tr>
      <w:tr>
        <w:tblPrEx>
          <w:tblCellMar>
            <w:top w:w="0" w:type="dxa"/>
            <w:left w:w="0" w:type="dxa"/>
            <w:bottom w:w="0" w:type="dxa"/>
            <w:right w:w="0" w:type="dxa"/>
          </w:tblCellMar>
        </w:tblPrEx>
        <w:trPr>
          <w:trHeight w:val="419"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13</w:t>
            </w:r>
          </w:p>
        </w:tc>
        <w:tc>
          <w:tcPr>
            <w:tcW w:w="1276" w:type="dxa"/>
            <w:tcBorders>
              <w:top w:val="single" w:color="auto" w:sz="4" w:space="0"/>
              <w:left w:val="nil"/>
              <w:bottom w:val="single" w:color="auto" w:sz="4" w:space="0"/>
              <w:right w:val="single" w:color="auto" w:sz="4" w:space="0"/>
            </w:tcBorders>
            <w:noWrap w:val="0"/>
            <w:vAlign w:val="center"/>
          </w:tcPr>
          <w:p>
            <w:pPr>
              <w:spacing w:line="42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导轨</w:t>
            </w:r>
          </w:p>
        </w:tc>
        <w:tc>
          <w:tcPr>
            <w:tcW w:w="6237" w:type="dxa"/>
            <w:tcBorders>
              <w:top w:val="single" w:color="auto" w:sz="4" w:space="0"/>
              <w:left w:val="nil"/>
              <w:bottom w:val="single" w:color="auto" w:sz="4" w:space="0"/>
              <w:right w:val="single" w:color="auto" w:sz="4" w:space="0"/>
            </w:tcBorders>
            <w:noWrap w:val="0"/>
            <w:vAlign w:val="center"/>
          </w:tcPr>
          <w:p>
            <w:pPr>
              <w:spacing w:line="42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电梯≥T</w:t>
            </w:r>
            <w:r>
              <w:rPr>
                <w:rFonts w:hint="eastAsia" w:ascii="宋体" w:hAnsi="宋体" w:eastAsia="宋体" w:cs="宋体"/>
                <w:bCs/>
                <w:color w:val="auto"/>
                <w:sz w:val="24"/>
                <w:szCs w:val="24"/>
                <w:highlight w:val="none"/>
                <w:lang w:val="en-US" w:eastAsia="zh-CN"/>
              </w:rPr>
              <w:t>75</w:t>
            </w:r>
          </w:p>
        </w:tc>
      </w:tr>
      <w:tr>
        <w:tblPrEx>
          <w:tblCellMar>
            <w:top w:w="0" w:type="dxa"/>
            <w:left w:w="0" w:type="dxa"/>
            <w:bottom w:w="0" w:type="dxa"/>
            <w:right w:w="0" w:type="dxa"/>
          </w:tblCellMar>
        </w:tblPrEx>
        <w:trPr>
          <w:trHeight w:val="90"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14</w:t>
            </w:r>
          </w:p>
        </w:tc>
        <w:tc>
          <w:tcPr>
            <w:tcW w:w="1276" w:type="dxa"/>
            <w:tcBorders>
              <w:top w:val="single" w:color="auto" w:sz="4" w:space="0"/>
              <w:left w:val="nil"/>
              <w:bottom w:val="single" w:color="auto" w:sz="4" w:space="0"/>
              <w:right w:val="single" w:color="auto" w:sz="4" w:space="0"/>
            </w:tcBorders>
            <w:noWrap w:val="0"/>
            <w:vAlign w:val="center"/>
          </w:tcPr>
          <w:p>
            <w:pPr>
              <w:spacing w:line="42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轿门/厅门</w:t>
            </w:r>
          </w:p>
        </w:tc>
        <w:tc>
          <w:tcPr>
            <w:tcW w:w="6237" w:type="dxa"/>
            <w:tcBorders>
              <w:top w:val="single" w:color="auto" w:sz="4" w:space="0"/>
              <w:left w:val="nil"/>
              <w:bottom w:val="single" w:color="auto" w:sz="4" w:space="0"/>
              <w:right w:val="single" w:color="auto" w:sz="4" w:space="0"/>
            </w:tcBorders>
            <w:noWrap w:val="0"/>
            <w:vAlign w:val="center"/>
          </w:tcPr>
          <w:p>
            <w:pPr>
              <w:spacing w:line="420" w:lineRule="exact"/>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优质304发纹不锈钢，</w:t>
            </w:r>
            <w:r>
              <w:rPr>
                <w:rFonts w:hint="eastAsia" w:ascii="宋体" w:hAnsi="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≥1.5mm直接板</w:t>
            </w:r>
            <w:r>
              <w:rPr>
                <w:rFonts w:hint="eastAsia" w:ascii="宋体" w:hAnsi="宋体" w:cs="宋体"/>
                <w:bCs/>
                <w:color w:val="auto"/>
                <w:sz w:val="24"/>
                <w:szCs w:val="24"/>
                <w:highlight w:val="none"/>
                <w:lang w:val="en-US" w:eastAsia="zh-CN"/>
              </w:rPr>
              <w:t xml:space="preserve">   </w:t>
            </w:r>
          </w:p>
        </w:tc>
      </w:tr>
      <w:tr>
        <w:tblPrEx>
          <w:tblCellMar>
            <w:top w:w="0" w:type="dxa"/>
            <w:left w:w="0" w:type="dxa"/>
            <w:bottom w:w="0" w:type="dxa"/>
            <w:right w:w="0" w:type="dxa"/>
          </w:tblCellMar>
        </w:tblPrEx>
        <w:trPr>
          <w:trHeight w:val="520"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15</w:t>
            </w:r>
          </w:p>
        </w:tc>
        <w:tc>
          <w:tcPr>
            <w:tcW w:w="1276" w:type="dxa"/>
            <w:tcBorders>
              <w:top w:val="single" w:color="auto" w:sz="4" w:space="0"/>
              <w:left w:val="nil"/>
              <w:bottom w:val="single" w:color="auto" w:sz="4" w:space="0"/>
              <w:right w:val="single" w:color="auto" w:sz="4" w:space="0"/>
            </w:tcBorders>
            <w:noWrap w:val="0"/>
            <w:vAlign w:val="center"/>
          </w:tcPr>
          <w:p>
            <w:pPr>
              <w:spacing w:line="42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门套</w:t>
            </w:r>
          </w:p>
        </w:tc>
        <w:tc>
          <w:tcPr>
            <w:tcW w:w="6237" w:type="dxa"/>
            <w:tcBorders>
              <w:top w:val="single" w:color="auto" w:sz="4" w:space="0"/>
              <w:left w:val="nil"/>
              <w:bottom w:val="single" w:color="auto" w:sz="4" w:space="0"/>
              <w:right w:val="single" w:color="auto" w:sz="4" w:space="0"/>
            </w:tcBorders>
            <w:noWrap w:val="0"/>
            <w:vAlign w:val="center"/>
          </w:tcPr>
          <w:p>
            <w:pPr>
              <w:spacing w:line="42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优质304发纹不锈钢，≥1.5mm直接板</w:t>
            </w:r>
          </w:p>
        </w:tc>
      </w:tr>
      <w:tr>
        <w:tblPrEx>
          <w:tblCellMar>
            <w:top w:w="0" w:type="dxa"/>
            <w:left w:w="0" w:type="dxa"/>
            <w:bottom w:w="0" w:type="dxa"/>
            <w:right w:w="0" w:type="dxa"/>
          </w:tblCellMar>
        </w:tblPrEx>
        <w:trPr>
          <w:trHeight w:val="419"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6</w:t>
            </w:r>
          </w:p>
        </w:tc>
        <w:tc>
          <w:tcPr>
            <w:tcW w:w="1276" w:type="dxa"/>
            <w:tcBorders>
              <w:top w:val="single" w:color="auto" w:sz="4" w:space="0"/>
              <w:left w:val="nil"/>
              <w:bottom w:val="single" w:color="auto" w:sz="4" w:space="0"/>
              <w:right w:val="single" w:color="auto" w:sz="4" w:space="0"/>
            </w:tcBorders>
            <w:noWrap w:val="0"/>
            <w:vAlign w:val="center"/>
          </w:tcPr>
          <w:p>
            <w:pPr>
              <w:spacing w:line="42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轿厢四壁</w:t>
            </w:r>
          </w:p>
        </w:tc>
        <w:tc>
          <w:tcPr>
            <w:tcW w:w="6237" w:type="dxa"/>
            <w:tcBorders>
              <w:top w:val="single" w:color="auto" w:sz="4" w:space="0"/>
              <w:left w:val="nil"/>
              <w:bottom w:val="single" w:color="auto" w:sz="4" w:space="0"/>
              <w:right w:val="single" w:color="auto" w:sz="4" w:space="0"/>
            </w:tcBorders>
            <w:noWrap w:val="0"/>
            <w:vAlign w:val="center"/>
          </w:tcPr>
          <w:p>
            <w:pPr>
              <w:spacing w:line="42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5+5钢化夹胶玻璃</w:t>
            </w:r>
          </w:p>
        </w:tc>
      </w:tr>
      <w:tr>
        <w:tblPrEx>
          <w:tblCellMar>
            <w:top w:w="0" w:type="dxa"/>
            <w:left w:w="0" w:type="dxa"/>
            <w:bottom w:w="0" w:type="dxa"/>
            <w:right w:w="0" w:type="dxa"/>
          </w:tblCellMar>
        </w:tblPrEx>
        <w:trPr>
          <w:trHeight w:val="419"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17</w:t>
            </w:r>
          </w:p>
        </w:tc>
        <w:tc>
          <w:tcPr>
            <w:tcW w:w="1276" w:type="dxa"/>
            <w:tcBorders>
              <w:top w:val="single" w:color="auto" w:sz="4" w:space="0"/>
              <w:left w:val="nil"/>
              <w:bottom w:val="single" w:color="auto" w:sz="4" w:space="0"/>
              <w:right w:val="single" w:color="auto" w:sz="4" w:space="0"/>
            </w:tcBorders>
            <w:noWrap w:val="0"/>
            <w:vAlign w:val="center"/>
          </w:tcPr>
          <w:p>
            <w:pPr>
              <w:spacing w:line="42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轿厢地面</w:t>
            </w:r>
          </w:p>
        </w:tc>
        <w:tc>
          <w:tcPr>
            <w:tcW w:w="6237" w:type="dxa"/>
            <w:tcBorders>
              <w:top w:val="single" w:color="auto" w:sz="4" w:space="0"/>
              <w:left w:val="nil"/>
              <w:bottom w:val="single" w:color="auto" w:sz="4" w:space="0"/>
              <w:right w:val="single" w:color="auto" w:sz="4" w:space="0"/>
            </w:tcBorders>
            <w:noWrap w:val="0"/>
            <w:vAlign w:val="center"/>
          </w:tcPr>
          <w:p>
            <w:pPr>
              <w:spacing w:line="420" w:lineRule="exac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PVC材质</w:t>
            </w:r>
          </w:p>
        </w:tc>
      </w:tr>
      <w:tr>
        <w:tblPrEx>
          <w:tblCellMar>
            <w:top w:w="0" w:type="dxa"/>
            <w:left w:w="0" w:type="dxa"/>
            <w:bottom w:w="0" w:type="dxa"/>
            <w:right w:w="0" w:type="dxa"/>
          </w:tblCellMar>
        </w:tblPrEx>
        <w:trPr>
          <w:trHeight w:val="419"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18</w:t>
            </w:r>
          </w:p>
        </w:tc>
        <w:tc>
          <w:tcPr>
            <w:tcW w:w="1276" w:type="dxa"/>
            <w:tcBorders>
              <w:top w:val="single" w:color="auto" w:sz="4" w:space="0"/>
              <w:left w:val="nil"/>
              <w:bottom w:val="single" w:color="auto" w:sz="4" w:space="0"/>
              <w:right w:val="single" w:color="auto" w:sz="4" w:space="0"/>
            </w:tcBorders>
            <w:noWrap w:val="0"/>
            <w:vAlign w:val="center"/>
          </w:tcPr>
          <w:p>
            <w:pPr>
              <w:spacing w:line="42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轿厢门坎</w:t>
            </w:r>
          </w:p>
        </w:tc>
        <w:tc>
          <w:tcPr>
            <w:tcW w:w="6237" w:type="dxa"/>
            <w:tcBorders>
              <w:top w:val="single" w:color="auto" w:sz="4" w:space="0"/>
              <w:left w:val="nil"/>
              <w:bottom w:val="single" w:color="auto" w:sz="4" w:space="0"/>
              <w:right w:val="single" w:color="auto" w:sz="4" w:space="0"/>
            </w:tcBorders>
            <w:noWrap w:val="0"/>
            <w:vAlign w:val="center"/>
          </w:tcPr>
          <w:p>
            <w:pPr>
              <w:spacing w:line="42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优质铝合金</w:t>
            </w:r>
          </w:p>
        </w:tc>
      </w:tr>
      <w:tr>
        <w:tblPrEx>
          <w:tblCellMar>
            <w:top w:w="0" w:type="dxa"/>
            <w:left w:w="0" w:type="dxa"/>
            <w:bottom w:w="0" w:type="dxa"/>
            <w:right w:w="0" w:type="dxa"/>
          </w:tblCellMar>
        </w:tblPrEx>
        <w:trPr>
          <w:trHeight w:val="90"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19</w:t>
            </w:r>
          </w:p>
        </w:tc>
        <w:tc>
          <w:tcPr>
            <w:tcW w:w="1276" w:type="dxa"/>
            <w:tcBorders>
              <w:top w:val="single" w:color="auto" w:sz="4" w:space="0"/>
              <w:left w:val="nil"/>
              <w:bottom w:val="single" w:color="auto" w:sz="4" w:space="0"/>
              <w:right w:val="single" w:color="auto" w:sz="4" w:space="0"/>
            </w:tcBorders>
            <w:noWrap w:val="0"/>
            <w:vAlign w:val="center"/>
          </w:tcPr>
          <w:p>
            <w:pPr>
              <w:spacing w:line="42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厅门坎</w:t>
            </w:r>
          </w:p>
        </w:tc>
        <w:tc>
          <w:tcPr>
            <w:tcW w:w="6237" w:type="dxa"/>
            <w:tcBorders>
              <w:top w:val="single" w:color="auto" w:sz="4" w:space="0"/>
              <w:left w:val="nil"/>
              <w:bottom w:val="single" w:color="auto" w:sz="4" w:space="0"/>
              <w:right w:val="single" w:color="auto" w:sz="4" w:space="0"/>
            </w:tcBorders>
            <w:noWrap w:val="0"/>
            <w:vAlign w:val="center"/>
          </w:tcPr>
          <w:p>
            <w:pPr>
              <w:spacing w:line="42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优质铝合金</w:t>
            </w:r>
          </w:p>
        </w:tc>
      </w:tr>
      <w:tr>
        <w:tblPrEx>
          <w:tblCellMar>
            <w:top w:w="0" w:type="dxa"/>
            <w:left w:w="0" w:type="dxa"/>
            <w:bottom w:w="0" w:type="dxa"/>
            <w:right w:w="0" w:type="dxa"/>
          </w:tblCellMar>
        </w:tblPrEx>
        <w:trPr>
          <w:trHeight w:val="913"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20</w:t>
            </w:r>
          </w:p>
        </w:tc>
        <w:tc>
          <w:tcPr>
            <w:tcW w:w="1276" w:type="dxa"/>
            <w:tcBorders>
              <w:top w:val="single" w:color="auto" w:sz="4" w:space="0"/>
              <w:left w:val="nil"/>
              <w:bottom w:val="single" w:color="auto" w:sz="4" w:space="0"/>
              <w:right w:val="single" w:color="auto" w:sz="4" w:space="0"/>
            </w:tcBorders>
            <w:noWrap w:val="0"/>
            <w:vAlign w:val="center"/>
          </w:tcPr>
          <w:p>
            <w:pPr>
              <w:spacing w:line="42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轿厢操纵盘和层站显示器</w:t>
            </w:r>
          </w:p>
        </w:tc>
        <w:tc>
          <w:tcPr>
            <w:tcW w:w="6237" w:type="dxa"/>
            <w:tcBorders>
              <w:top w:val="single" w:color="auto" w:sz="4" w:space="0"/>
              <w:left w:val="nil"/>
              <w:bottom w:val="single" w:color="auto" w:sz="4" w:space="0"/>
              <w:right w:val="single" w:color="auto" w:sz="4" w:space="0"/>
            </w:tcBorders>
            <w:noWrap w:val="0"/>
            <w:vAlign w:val="center"/>
          </w:tcPr>
          <w:p>
            <w:pPr>
              <w:spacing w:line="42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要求与轿壁整体式操纵盘，操纵盘放在轿厢前壁，在操纵盘上方设置一个楼层运行方向液晶显示屏，显示楼层数字、运行方向。</w:t>
            </w:r>
          </w:p>
        </w:tc>
      </w:tr>
      <w:tr>
        <w:tblPrEx>
          <w:tblCellMar>
            <w:top w:w="0" w:type="dxa"/>
            <w:left w:w="0" w:type="dxa"/>
            <w:bottom w:w="0" w:type="dxa"/>
            <w:right w:w="0" w:type="dxa"/>
          </w:tblCellMar>
        </w:tblPrEx>
        <w:trPr>
          <w:trHeight w:val="698"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21</w:t>
            </w:r>
          </w:p>
        </w:tc>
        <w:tc>
          <w:tcPr>
            <w:tcW w:w="1276" w:type="dxa"/>
            <w:tcBorders>
              <w:top w:val="single" w:color="auto" w:sz="4" w:space="0"/>
              <w:left w:val="nil"/>
              <w:bottom w:val="single" w:color="auto" w:sz="4" w:space="0"/>
              <w:right w:val="single" w:color="auto" w:sz="4" w:space="0"/>
            </w:tcBorders>
            <w:noWrap w:val="0"/>
            <w:vAlign w:val="center"/>
          </w:tcPr>
          <w:p>
            <w:pPr>
              <w:spacing w:line="42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轿厢配置</w:t>
            </w:r>
          </w:p>
        </w:tc>
        <w:tc>
          <w:tcPr>
            <w:tcW w:w="6237" w:type="dxa"/>
            <w:tcBorders>
              <w:top w:val="single" w:color="auto" w:sz="4" w:space="0"/>
              <w:left w:val="nil"/>
              <w:bottom w:val="single" w:color="auto" w:sz="4" w:space="0"/>
              <w:right w:val="single" w:color="auto" w:sz="4" w:space="0"/>
            </w:tcBorders>
            <w:noWrap w:val="0"/>
            <w:vAlign w:val="center"/>
          </w:tcPr>
          <w:p>
            <w:pPr>
              <w:spacing w:line="420" w:lineRule="exac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通风扇、空调、应急照明、轿厢至控制厢的同轴视频电缆、报警按钮、五方通话、摄像头预留孔等。</w:t>
            </w:r>
          </w:p>
        </w:tc>
      </w:tr>
      <w:tr>
        <w:tblPrEx>
          <w:tblCellMar>
            <w:top w:w="0" w:type="dxa"/>
            <w:left w:w="0" w:type="dxa"/>
            <w:bottom w:w="0" w:type="dxa"/>
            <w:right w:w="0" w:type="dxa"/>
          </w:tblCellMar>
        </w:tblPrEx>
        <w:trPr>
          <w:trHeight w:val="419"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22</w:t>
            </w:r>
          </w:p>
        </w:tc>
        <w:tc>
          <w:tcPr>
            <w:tcW w:w="1276" w:type="dxa"/>
            <w:tcBorders>
              <w:top w:val="single" w:color="auto" w:sz="4" w:space="0"/>
              <w:left w:val="nil"/>
              <w:bottom w:val="single" w:color="auto" w:sz="4" w:space="0"/>
              <w:right w:val="single" w:color="auto" w:sz="4" w:space="0"/>
            </w:tcBorders>
            <w:noWrap w:val="0"/>
            <w:vAlign w:val="center"/>
          </w:tcPr>
          <w:p>
            <w:pPr>
              <w:spacing w:line="42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无障碍</w:t>
            </w:r>
          </w:p>
        </w:tc>
        <w:tc>
          <w:tcPr>
            <w:tcW w:w="6237" w:type="dxa"/>
            <w:tcBorders>
              <w:top w:val="single" w:color="auto" w:sz="4" w:space="0"/>
              <w:left w:val="nil"/>
              <w:bottom w:val="single" w:color="auto" w:sz="4" w:space="0"/>
              <w:right w:val="single" w:color="auto" w:sz="4" w:space="0"/>
            </w:tcBorders>
            <w:noWrap w:val="0"/>
            <w:vAlign w:val="center"/>
          </w:tcPr>
          <w:p>
            <w:pPr>
              <w:spacing w:line="42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有</w:t>
            </w:r>
          </w:p>
        </w:tc>
      </w:tr>
      <w:tr>
        <w:tblPrEx>
          <w:tblCellMar>
            <w:top w:w="0" w:type="dxa"/>
            <w:left w:w="0" w:type="dxa"/>
            <w:bottom w:w="0" w:type="dxa"/>
            <w:right w:w="0" w:type="dxa"/>
          </w:tblCellMar>
        </w:tblPrEx>
        <w:trPr>
          <w:trHeight w:val="419"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23</w:t>
            </w:r>
          </w:p>
        </w:tc>
        <w:tc>
          <w:tcPr>
            <w:tcW w:w="1276" w:type="dxa"/>
            <w:tcBorders>
              <w:top w:val="single" w:color="auto" w:sz="4" w:space="0"/>
              <w:left w:val="nil"/>
              <w:bottom w:val="single" w:color="auto" w:sz="4" w:space="0"/>
              <w:right w:val="single" w:color="auto" w:sz="4" w:space="0"/>
            </w:tcBorders>
            <w:noWrap w:val="0"/>
            <w:vAlign w:val="center"/>
          </w:tcPr>
          <w:p>
            <w:pPr>
              <w:spacing w:line="42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空调</w:t>
            </w:r>
          </w:p>
        </w:tc>
        <w:tc>
          <w:tcPr>
            <w:tcW w:w="6237" w:type="dxa"/>
            <w:tcBorders>
              <w:top w:val="single" w:color="auto" w:sz="4" w:space="0"/>
              <w:left w:val="nil"/>
              <w:bottom w:val="single" w:color="auto" w:sz="4" w:space="0"/>
              <w:right w:val="single" w:color="auto" w:sz="4" w:space="0"/>
            </w:tcBorders>
            <w:noWrap w:val="0"/>
            <w:vAlign w:val="center"/>
          </w:tcPr>
          <w:p>
            <w:pPr>
              <w:spacing w:line="42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有</w:t>
            </w:r>
          </w:p>
        </w:tc>
      </w:tr>
      <w:tr>
        <w:tblPrEx>
          <w:tblCellMar>
            <w:top w:w="0" w:type="dxa"/>
            <w:left w:w="0" w:type="dxa"/>
            <w:bottom w:w="0" w:type="dxa"/>
            <w:right w:w="0" w:type="dxa"/>
          </w:tblCellMar>
        </w:tblPrEx>
        <w:trPr>
          <w:trHeight w:val="419" w:hRule="atLeast"/>
        </w:trPr>
        <w:tc>
          <w:tcPr>
            <w:tcW w:w="57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24</w:t>
            </w:r>
          </w:p>
        </w:tc>
        <w:tc>
          <w:tcPr>
            <w:tcW w:w="1276" w:type="dxa"/>
            <w:tcBorders>
              <w:top w:val="single" w:color="auto" w:sz="4" w:space="0"/>
              <w:left w:val="nil"/>
              <w:bottom w:val="single" w:color="auto" w:sz="4" w:space="0"/>
              <w:right w:val="single" w:color="auto" w:sz="4" w:space="0"/>
            </w:tcBorders>
            <w:noWrap w:val="0"/>
            <w:vAlign w:val="center"/>
          </w:tcPr>
          <w:p>
            <w:pPr>
              <w:spacing w:line="420" w:lineRule="exact"/>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副操纵箱</w:t>
            </w:r>
          </w:p>
        </w:tc>
        <w:tc>
          <w:tcPr>
            <w:tcW w:w="6237" w:type="dxa"/>
            <w:tcBorders>
              <w:top w:val="single" w:color="auto" w:sz="4" w:space="0"/>
              <w:left w:val="nil"/>
              <w:bottom w:val="single" w:color="auto" w:sz="4" w:space="0"/>
              <w:right w:val="single" w:color="auto" w:sz="4" w:space="0"/>
            </w:tcBorders>
            <w:noWrap w:val="0"/>
            <w:vAlign w:val="center"/>
          </w:tcPr>
          <w:p>
            <w:pPr>
              <w:spacing w:line="420" w:lineRule="exact"/>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有</w:t>
            </w:r>
          </w:p>
        </w:tc>
      </w:tr>
    </w:tbl>
    <w:p>
      <w:pPr>
        <w:pStyle w:val="42"/>
        <w:rPr>
          <w:rFonts w:hint="eastAsia"/>
        </w:rPr>
      </w:pPr>
    </w:p>
    <w:p>
      <w:pPr>
        <w:rPr>
          <w:rFonts w:hint="eastAsia" w:ascii="宋体" w:hAnsi="宋体" w:eastAsia="宋体" w:cs="宋体"/>
          <w:snapToGrid w:val="0"/>
          <w:color w:val="auto"/>
          <w:kern w:val="0"/>
          <w:sz w:val="24"/>
          <w:szCs w:val="24"/>
          <w:highlight w:val="none"/>
        </w:rPr>
      </w:pPr>
      <w:r>
        <w:rPr>
          <w:rFonts w:hint="eastAsia" w:ascii="宋体" w:hAnsi="宋体" w:cs="宋体"/>
          <w:b/>
          <w:color w:val="auto"/>
          <w:sz w:val="24"/>
          <w:szCs w:val="24"/>
          <w:highlight w:val="none"/>
          <w:lang w:val="en-US" w:eastAsia="zh-CN"/>
        </w:rPr>
        <w:t xml:space="preserve">2.2 </w:t>
      </w:r>
      <w:r>
        <w:rPr>
          <w:rFonts w:hint="eastAsia" w:ascii="宋体" w:hAnsi="宋体" w:eastAsia="宋体" w:cs="宋体"/>
          <w:b/>
          <w:color w:val="auto"/>
          <w:sz w:val="24"/>
          <w:szCs w:val="24"/>
          <w:highlight w:val="none"/>
          <w:lang w:val="zh-CN"/>
        </w:rPr>
        <w:t>配置要求</w:t>
      </w:r>
    </w:p>
    <w:tbl>
      <w:tblPr>
        <w:tblStyle w:val="35"/>
        <w:tblW w:w="8119" w:type="dxa"/>
        <w:tblInd w:w="103" w:type="dxa"/>
        <w:tblLayout w:type="fixed"/>
        <w:tblCellMar>
          <w:top w:w="0" w:type="dxa"/>
          <w:left w:w="0" w:type="dxa"/>
          <w:bottom w:w="0" w:type="dxa"/>
          <w:right w:w="0" w:type="dxa"/>
        </w:tblCellMar>
      </w:tblPr>
      <w:tblGrid>
        <w:gridCol w:w="709"/>
        <w:gridCol w:w="2012"/>
        <w:gridCol w:w="5398"/>
      </w:tblGrid>
      <w:tr>
        <w:tblPrEx>
          <w:tblCellMar>
            <w:top w:w="0" w:type="dxa"/>
            <w:left w:w="0" w:type="dxa"/>
            <w:bottom w:w="0" w:type="dxa"/>
            <w:right w:w="0" w:type="dxa"/>
          </w:tblCellMar>
        </w:tblPrEx>
        <w:trPr>
          <w:trHeight w:val="551"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序号</w:t>
            </w:r>
          </w:p>
        </w:tc>
        <w:tc>
          <w:tcPr>
            <w:tcW w:w="201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w:t>
            </w:r>
          </w:p>
        </w:tc>
        <w:tc>
          <w:tcPr>
            <w:tcW w:w="5398"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配置要求</w:t>
            </w:r>
          </w:p>
        </w:tc>
      </w:tr>
      <w:tr>
        <w:tblPrEx>
          <w:tblCellMar>
            <w:top w:w="0" w:type="dxa"/>
            <w:left w:w="0" w:type="dxa"/>
            <w:bottom w:w="0" w:type="dxa"/>
            <w:right w:w="0" w:type="dxa"/>
          </w:tblCellMar>
        </w:tblPrEx>
        <w:trPr>
          <w:trHeight w:val="52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2012"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门保护</w:t>
            </w:r>
          </w:p>
        </w:tc>
        <w:tc>
          <w:tcPr>
            <w:tcW w:w="5398"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红外线光幕保护，提供光束数</w:t>
            </w:r>
          </w:p>
        </w:tc>
      </w:tr>
      <w:tr>
        <w:tblPrEx>
          <w:tblCellMar>
            <w:top w:w="0" w:type="dxa"/>
            <w:left w:w="0" w:type="dxa"/>
            <w:bottom w:w="0" w:type="dxa"/>
            <w:right w:w="0" w:type="dxa"/>
          </w:tblCellMar>
        </w:tblPrEx>
        <w:trPr>
          <w:trHeight w:val="521"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p>
        </w:tc>
        <w:tc>
          <w:tcPr>
            <w:tcW w:w="2012"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平层精度</w:t>
            </w:r>
          </w:p>
        </w:tc>
        <w:tc>
          <w:tcPr>
            <w:tcW w:w="5398"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≤±3mm</w:t>
            </w:r>
          </w:p>
        </w:tc>
      </w:tr>
      <w:tr>
        <w:tblPrEx>
          <w:tblCellMar>
            <w:top w:w="0" w:type="dxa"/>
            <w:left w:w="0" w:type="dxa"/>
            <w:bottom w:w="0" w:type="dxa"/>
            <w:right w:w="0" w:type="dxa"/>
          </w:tblCellMar>
        </w:tblPrEx>
        <w:trPr>
          <w:trHeight w:val="41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p>
        </w:tc>
        <w:tc>
          <w:tcPr>
            <w:tcW w:w="2012"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噪音指标</w:t>
            </w:r>
          </w:p>
        </w:tc>
        <w:tc>
          <w:tcPr>
            <w:tcW w:w="5398"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轿厢≤5</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dB、开关门≤6</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dB</w:t>
            </w:r>
          </w:p>
        </w:tc>
      </w:tr>
      <w:tr>
        <w:tblPrEx>
          <w:tblCellMar>
            <w:top w:w="0" w:type="dxa"/>
            <w:left w:w="0" w:type="dxa"/>
            <w:bottom w:w="0" w:type="dxa"/>
            <w:right w:w="0" w:type="dxa"/>
          </w:tblCellMar>
        </w:tblPrEx>
        <w:trPr>
          <w:trHeight w:val="41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p>
        </w:tc>
        <w:tc>
          <w:tcPr>
            <w:tcW w:w="2012"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振动加速度</w:t>
            </w:r>
          </w:p>
        </w:tc>
        <w:tc>
          <w:tcPr>
            <w:tcW w:w="5398"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垂直≤2</w:t>
            </w:r>
            <w:r>
              <w:rPr>
                <w:rFonts w:hint="eastAsia" w:ascii="宋体" w:hAnsi="宋体" w:eastAsia="宋体" w:cs="宋体"/>
                <w:b w:val="0"/>
                <w:bCs w:val="0"/>
                <w:color w:val="auto"/>
                <w:sz w:val="24"/>
                <w:szCs w:val="24"/>
                <w:highlight w:val="none"/>
                <w:lang w:val="en-US" w:eastAsia="zh-CN"/>
              </w:rPr>
              <w:t>40</w:t>
            </w:r>
            <w:r>
              <w:rPr>
                <w:rFonts w:hint="eastAsia" w:ascii="宋体" w:hAnsi="宋体" w:eastAsia="宋体" w:cs="宋体"/>
                <w:b w:val="0"/>
                <w:bCs w:val="0"/>
                <w:color w:val="auto"/>
                <w:sz w:val="24"/>
                <w:szCs w:val="24"/>
                <w:highlight w:val="none"/>
              </w:rPr>
              <w:t>mm/s2，水平≤</w:t>
            </w:r>
            <w:r>
              <w:rPr>
                <w:rFonts w:hint="eastAsia" w:ascii="宋体" w:hAnsi="宋体" w:eastAsia="宋体" w:cs="宋体"/>
                <w:b w:val="0"/>
                <w:bCs w:val="0"/>
                <w:color w:val="auto"/>
                <w:sz w:val="24"/>
                <w:szCs w:val="24"/>
                <w:highlight w:val="none"/>
                <w:lang w:val="en-US" w:eastAsia="zh-CN"/>
              </w:rPr>
              <w:t>200</w:t>
            </w:r>
            <w:r>
              <w:rPr>
                <w:rFonts w:hint="eastAsia" w:ascii="宋体" w:hAnsi="宋体" w:eastAsia="宋体" w:cs="宋体"/>
                <w:b w:val="0"/>
                <w:bCs w:val="0"/>
                <w:color w:val="auto"/>
                <w:sz w:val="24"/>
                <w:szCs w:val="24"/>
                <w:highlight w:val="none"/>
              </w:rPr>
              <w:t>mm/s2</w:t>
            </w:r>
          </w:p>
        </w:tc>
      </w:tr>
      <w:tr>
        <w:tblPrEx>
          <w:tblCellMar>
            <w:top w:w="0" w:type="dxa"/>
            <w:left w:w="0" w:type="dxa"/>
            <w:bottom w:w="0" w:type="dxa"/>
            <w:right w:w="0" w:type="dxa"/>
          </w:tblCellMar>
        </w:tblPrEx>
        <w:trPr>
          <w:trHeight w:val="41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p>
        </w:tc>
        <w:tc>
          <w:tcPr>
            <w:tcW w:w="2012"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起制动加速度</w:t>
            </w:r>
          </w:p>
        </w:tc>
        <w:tc>
          <w:tcPr>
            <w:tcW w:w="5398"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在0.5-1m/s2 之间可调，最大≤1.5m/s2，同时满足整个时间-速度曲线应平滑。</w:t>
            </w:r>
          </w:p>
        </w:tc>
      </w:tr>
      <w:tr>
        <w:tblPrEx>
          <w:tblCellMar>
            <w:top w:w="0" w:type="dxa"/>
            <w:left w:w="0" w:type="dxa"/>
            <w:bottom w:w="0" w:type="dxa"/>
            <w:right w:w="0" w:type="dxa"/>
          </w:tblCellMar>
        </w:tblPrEx>
        <w:trPr>
          <w:trHeight w:val="41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w:t>
            </w:r>
          </w:p>
        </w:tc>
        <w:tc>
          <w:tcPr>
            <w:tcW w:w="2012"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平衡系数</w:t>
            </w:r>
          </w:p>
        </w:tc>
        <w:tc>
          <w:tcPr>
            <w:tcW w:w="5398"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在0.4-0.5 之间</w:t>
            </w:r>
          </w:p>
        </w:tc>
      </w:tr>
      <w:tr>
        <w:tblPrEx>
          <w:tblCellMar>
            <w:top w:w="0" w:type="dxa"/>
            <w:left w:w="0" w:type="dxa"/>
            <w:bottom w:w="0" w:type="dxa"/>
            <w:right w:w="0" w:type="dxa"/>
          </w:tblCellMar>
        </w:tblPrEx>
        <w:trPr>
          <w:trHeight w:val="41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w:t>
            </w:r>
          </w:p>
        </w:tc>
        <w:tc>
          <w:tcPr>
            <w:tcW w:w="2012"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称重装置</w:t>
            </w:r>
          </w:p>
        </w:tc>
        <w:tc>
          <w:tcPr>
            <w:tcW w:w="5398"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电子连续称重装置，精度≤5%，且不超过 50KG。</w:t>
            </w:r>
          </w:p>
        </w:tc>
      </w:tr>
      <w:tr>
        <w:tblPrEx>
          <w:tblCellMar>
            <w:top w:w="0" w:type="dxa"/>
            <w:left w:w="0" w:type="dxa"/>
            <w:bottom w:w="0" w:type="dxa"/>
            <w:right w:w="0" w:type="dxa"/>
          </w:tblCellMar>
        </w:tblPrEx>
        <w:trPr>
          <w:trHeight w:val="41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w:t>
            </w:r>
          </w:p>
        </w:tc>
        <w:tc>
          <w:tcPr>
            <w:tcW w:w="2012"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运行故障</w:t>
            </w:r>
          </w:p>
        </w:tc>
        <w:tc>
          <w:tcPr>
            <w:tcW w:w="5398"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电梯每起制动运行60000 次中不应超过 3次；每超出 1次，则该部电梯的保修期免费延长一年。</w:t>
            </w:r>
          </w:p>
        </w:tc>
      </w:tr>
      <w:tr>
        <w:tblPrEx>
          <w:tblCellMar>
            <w:top w:w="0" w:type="dxa"/>
            <w:left w:w="0" w:type="dxa"/>
            <w:bottom w:w="0" w:type="dxa"/>
            <w:right w:w="0" w:type="dxa"/>
          </w:tblCellMar>
        </w:tblPrEx>
        <w:trPr>
          <w:trHeight w:val="41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w:t>
            </w:r>
          </w:p>
        </w:tc>
        <w:tc>
          <w:tcPr>
            <w:tcW w:w="2012"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控制柜失效（故障）</w:t>
            </w:r>
          </w:p>
        </w:tc>
        <w:tc>
          <w:tcPr>
            <w:tcW w:w="5398"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电梯每起制动运行60000 次中不应超过 2次；每超出 1次，则该部电梯的保修期免费延长一年。</w:t>
            </w:r>
          </w:p>
        </w:tc>
      </w:tr>
    </w:tbl>
    <w:p>
      <w:pPr>
        <w:rPr>
          <w:rFonts w:hint="eastAsia" w:ascii="宋体" w:hAnsi="宋体" w:eastAsia="宋体" w:cs="宋体"/>
          <w:b/>
          <w:bCs/>
          <w:sz w:val="24"/>
          <w:szCs w:val="24"/>
          <w:highlight w:val="none"/>
          <w:lang w:val="en-US" w:eastAsia="zh-CN"/>
        </w:rPr>
      </w:pPr>
    </w:p>
    <w:p>
      <w:pPr>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2.3</w:t>
      </w:r>
      <w:r>
        <w:rPr>
          <w:rFonts w:hint="eastAsia" w:ascii="宋体" w:hAnsi="宋体" w:eastAsia="宋体" w:cs="宋体"/>
          <w:b/>
          <w:bCs/>
          <w:sz w:val="24"/>
          <w:szCs w:val="24"/>
          <w:highlight w:val="none"/>
          <w:lang w:val="en-US" w:eastAsia="zh-CN"/>
        </w:rPr>
        <w:t>功能要求</w:t>
      </w:r>
    </w:p>
    <w:tbl>
      <w:tblPr>
        <w:tblStyle w:val="35"/>
        <w:tblW w:w="887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410"/>
        <w:gridCol w:w="57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6" w:hRule="atLeast"/>
          <w:tblHeader/>
        </w:trPr>
        <w:tc>
          <w:tcPr>
            <w:tcW w:w="8874" w:type="dxa"/>
            <w:gridSpan w:val="3"/>
            <w:tcBorders>
              <w:bottom w:val="single" w:color="auto" w:sz="4" w:space="0"/>
            </w:tcBorders>
            <w:noWrap w:val="0"/>
            <w:vAlign w:val="center"/>
          </w:tcPr>
          <w:p>
            <w:pPr>
              <w:spacing w:before="93" w:beforeLines="30" w:after="93" w:afterLines="30" w:line="300" w:lineRule="atLeas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标准功能（Standard）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tblHeader/>
        </w:trPr>
        <w:tc>
          <w:tcPr>
            <w:tcW w:w="690" w:type="dxa"/>
            <w:tcBorders>
              <w:top w:val="single" w:color="auto" w:sz="4" w:space="0"/>
              <w:bottom w:val="single" w:color="auto" w:sz="4" w:space="0"/>
              <w:right w:val="dotted" w:color="auto" w:sz="4" w:space="0"/>
            </w:tcBorders>
            <w:shd w:val="clear" w:color="auto" w:fill="F2F2F2"/>
            <w:noWrap w:val="0"/>
            <w:vAlign w:val="center"/>
          </w:tcPr>
          <w:p>
            <w:pPr>
              <w:spacing w:before="93" w:beforeLines="30" w:after="93" w:afterLines="30" w:line="30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410" w:type="dxa"/>
            <w:tcBorders>
              <w:top w:val="single" w:color="auto" w:sz="4" w:space="0"/>
              <w:left w:val="dotted" w:color="auto" w:sz="4" w:space="0"/>
              <w:bottom w:val="single" w:color="auto" w:sz="4" w:space="0"/>
              <w:right w:val="dotted" w:color="auto" w:sz="4" w:space="0"/>
            </w:tcBorders>
            <w:shd w:val="clear" w:color="auto" w:fill="F2F2F2"/>
            <w:noWrap w:val="0"/>
            <w:vAlign w:val="center"/>
          </w:tcPr>
          <w:p>
            <w:pPr>
              <w:spacing w:before="93" w:beforeLines="30" w:after="93" w:afterLines="30" w:line="3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功能名称</w:t>
            </w:r>
          </w:p>
        </w:tc>
        <w:tc>
          <w:tcPr>
            <w:tcW w:w="5774" w:type="dxa"/>
            <w:tcBorders>
              <w:top w:val="single" w:color="auto" w:sz="4" w:space="0"/>
              <w:left w:val="dotted" w:color="auto" w:sz="4" w:space="0"/>
              <w:bottom w:val="single" w:color="auto" w:sz="4" w:space="0"/>
            </w:tcBorders>
            <w:shd w:val="clear" w:color="auto" w:fill="F2F2F2"/>
            <w:noWrap w:val="0"/>
            <w:vAlign w:val="center"/>
          </w:tcPr>
          <w:p>
            <w:pPr>
              <w:spacing w:before="93" w:beforeLines="30" w:after="93" w:afterLines="30" w:line="30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功能介绍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90"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spacing w:before="93" w:beforeLines="30" w:after="93" w:afterLines="30" w:line="3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检修运行</w:t>
            </w:r>
          </w:p>
        </w:tc>
        <w:tc>
          <w:tcPr>
            <w:tcW w:w="5774" w:type="dxa"/>
            <w:tcBorders>
              <w:top w:val="single" w:color="auto" w:sz="4" w:space="0"/>
              <w:left w:val="dotted" w:color="auto" w:sz="4" w:space="0"/>
              <w:bottom w:val="single" w:color="auto" w:sz="4" w:space="0"/>
            </w:tcBorders>
            <w:noWrap w:val="0"/>
            <w:vAlign w:val="center"/>
          </w:tcPr>
          <w:p>
            <w:pPr>
              <w:spacing w:before="93" w:beforeLines="30" w:after="93" w:afterLines="30" w:line="3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电梯进入检修状态，系统取消自动运行以及自动门的操作。按上（下）行按钮可使电梯以检修速度点动向上（向下）运行。松开按钮电梯立即停止运行。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spacing w:before="93" w:beforeLines="30" w:after="93" w:afterLines="30" w:line="3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直接停靠运行</w:t>
            </w:r>
          </w:p>
        </w:tc>
        <w:tc>
          <w:tcPr>
            <w:tcW w:w="5774" w:type="dxa"/>
            <w:tcBorders>
              <w:top w:val="single" w:color="auto" w:sz="4" w:space="0"/>
              <w:left w:val="dotted" w:color="auto" w:sz="4" w:space="0"/>
              <w:bottom w:val="single" w:color="auto" w:sz="4" w:space="0"/>
            </w:tcBorders>
            <w:noWrap w:val="0"/>
            <w:vAlign w:val="center"/>
          </w:tcPr>
          <w:p>
            <w:pPr>
              <w:spacing w:before="93" w:beforeLines="30" w:after="93" w:afterLines="30" w:line="3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以距离为原则，自动运算生成从启动到停车的平滑曲线，没有爬行，直接停靠在平层位置。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最佳曲线自动生成</w:t>
            </w:r>
          </w:p>
        </w:tc>
        <w:tc>
          <w:tcPr>
            <w:tcW w:w="5774" w:type="dxa"/>
            <w:tcBorders>
              <w:top w:val="single" w:color="auto" w:sz="4" w:space="0"/>
              <w:left w:val="dotted" w:color="auto" w:sz="4" w:space="0"/>
              <w:bottom w:val="single"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系统根据需要运行的距离，自动运算出最适合人机功能原理的曲线，没有个数的限制，而且不受短楼层的限制。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 xml:space="preserve">自救平层运行 </w:t>
            </w:r>
          </w:p>
        </w:tc>
        <w:tc>
          <w:tcPr>
            <w:tcW w:w="5774" w:type="dxa"/>
            <w:tcBorders>
              <w:top w:val="single" w:color="auto" w:sz="4" w:space="0"/>
              <w:left w:val="dotted" w:color="auto" w:sz="4" w:space="0"/>
              <w:bottom w:val="single"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当电梯处于非检修状态下，且未停在平层区，此时只要符合起动的安全要求，电梯将自动以慢速运行至最近平层区，然后开门。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司机操作运行</w:t>
            </w:r>
          </w:p>
        </w:tc>
        <w:tc>
          <w:tcPr>
            <w:tcW w:w="5774" w:type="dxa"/>
            <w:tcBorders>
              <w:top w:val="single" w:color="auto" w:sz="4" w:space="0"/>
              <w:left w:val="dotted" w:color="auto" w:sz="4" w:space="0"/>
              <w:bottom w:val="single"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通过操纵箱拨动开关可以选择司机操作。电梯可由司机选择运行方向和其它功能（比如直驶功能），电梯的关门是在司机持续按关门按钮的条件下进行的。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火灾应急返回</w:t>
            </w:r>
          </w:p>
        </w:tc>
        <w:tc>
          <w:tcPr>
            <w:tcW w:w="5774" w:type="dxa"/>
            <w:tcBorders>
              <w:top w:val="single" w:color="auto" w:sz="4" w:space="0"/>
              <w:left w:val="dotted" w:color="auto" w:sz="4" w:space="0"/>
              <w:bottom w:val="single"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接收到火警信号以后，电梯不再响应任何召唤和其他楼层的内选指令，以最快的方式运行到消防基站后，开门停梯。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自动返基站</w:t>
            </w:r>
          </w:p>
        </w:tc>
        <w:tc>
          <w:tcPr>
            <w:tcW w:w="5774" w:type="dxa"/>
            <w:tcBorders>
              <w:top w:val="single" w:color="auto" w:sz="4" w:space="0"/>
              <w:left w:val="dotted" w:color="auto" w:sz="4" w:space="0"/>
              <w:bottom w:val="single" w:color="auto" w:sz="4" w:space="0"/>
            </w:tcBorders>
            <w:noWrap w:val="0"/>
            <w:vAlign w:val="center"/>
          </w:tcPr>
          <w:p>
            <w:pPr>
              <w:spacing w:before="93" w:beforeLines="30" w:after="93" w:afterLines="30" w:line="3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当超过设定时间，仍无内部指令和层站召唤时，电梯自动返回基站等候乘客（0-240min）。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井道参数自学习</w:t>
            </w:r>
          </w:p>
        </w:tc>
        <w:tc>
          <w:tcPr>
            <w:tcW w:w="5774" w:type="dxa"/>
            <w:tcBorders>
              <w:top w:val="single" w:color="auto" w:sz="4" w:space="0"/>
              <w:left w:val="dotted" w:color="auto" w:sz="4" w:space="0"/>
              <w:bottom w:val="single"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系统在首次快车运行前，需要对井道的参数进行自学习，包括每层的层高、强迫减速开关位置。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锁梯功能</w:t>
            </w:r>
          </w:p>
        </w:tc>
        <w:tc>
          <w:tcPr>
            <w:tcW w:w="5774" w:type="dxa"/>
            <w:tcBorders>
              <w:top w:val="single" w:color="auto" w:sz="4" w:space="0"/>
              <w:left w:val="dotted" w:color="auto" w:sz="4" w:space="0"/>
              <w:bottom w:val="single"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自动运行状态下，锁梯开关动作后，消除所有召唤登记，然后返回锁梯基站，自动开门。此后停止电梯运行，关闭轿厢内照明与风扇。当锁梯开关被复位后电梯重新开始进入正常服务状态。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满载直驶</w:t>
            </w:r>
          </w:p>
        </w:tc>
        <w:tc>
          <w:tcPr>
            <w:tcW w:w="5774" w:type="dxa"/>
            <w:tcBorders>
              <w:top w:val="single" w:color="auto" w:sz="4" w:space="0"/>
              <w:left w:val="dotted" w:color="auto" w:sz="4" w:space="0"/>
              <w:bottom w:val="single" w:color="auto" w:sz="4" w:space="0"/>
            </w:tcBorders>
            <w:noWrap w:val="0"/>
            <w:vAlign w:val="center"/>
          </w:tcPr>
          <w:p>
            <w:pPr>
              <w:spacing w:before="93" w:beforeLines="30" w:after="93" w:afterLines="30" w:line="3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在自动无司机运行状态，当轿内满载时（一般为额定负载的80℅），电梯不响应经过的厅外召唤信号。但是，此时厅外召唤仍然可以登记，将会在下一次运行时服务 (单梯)。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照明、风扇节电功能</w:t>
            </w:r>
          </w:p>
        </w:tc>
        <w:tc>
          <w:tcPr>
            <w:tcW w:w="5774" w:type="dxa"/>
            <w:tcBorders>
              <w:top w:val="single" w:color="auto" w:sz="4" w:space="0"/>
              <w:left w:val="dotted" w:color="auto" w:sz="4" w:space="0"/>
              <w:bottom w:val="single" w:color="auto" w:sz="4" w:space="0"/>
            </w:tcBorders>
            <w:noWrap w:val="0"/>
            <w:vAlign w:val="center"/>
          </w:tcPr>
          <w:p>
            <w:pPr>
              <w:spacing w:before="93" w:beforeLines="30" w:after="93" w:afterLines="30" w:line="3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当超过设定时间，仍无内部指令和层站召唤时，则自动切断轿厢内照明、风扇等电源（0-240min）。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自动修正轿厢位置</w:t>
            </w:r>
          </w:p>
        </w:tc>
        <w:tc>
          <w:tcPr>
            <w:tcW w:w="5774" w:type="dxa"/>
            <w:tcBorders>
              <w:top w:val="single" w:color="auto" w:sz="4" w:space="0"/>
              <w:left w:val="dotted" w:color="auto" w:sz="4" w:space="0"/>
              <w:bottom w:val="single"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电梯每次运行到端站位置，系统自动根据第一级强迫减速开关检查和修正轿厢的位置信息，同时辅助特制的强迫减速减速度彻底消除冲顶和蹲底故障。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错误指令取消</w:t>
            </w:r>
          </w:p>
        </w:tc>
        <w:tc>
          <w:tcPr>
            <w:tcW w:w="5774" w:type="dxa"/>
            <w:tcBorders>
              <w:top w:val="single" w:color="auto" w:sz="4" w:space="0"/>
              <w:left w:val="dotted" w:color="auto" w:sz="4" w:space="0"/>
              <w:bottom w:val="single"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乘客在操纵箱内可以采用连续按动指令按钮两次的方法来取消上次错误登记的指令。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服务楼层设置</w:t>
            </w:r>
          </w:p>
        </w:tc>
        <w:tc>
          <w:tcPr>
            <w:tcW w:w="5774" w:type="dxa"/>
            <w:tcBorders>
              <w:top w:val="single" w:color="auto" w:sz="4" w:space="0"/>
              <w:left w:val="dotted" w:color="auto" w:sz="4" w:space="0"/>
              <w:bottom w:val="single" w:color="auto" w:sz="4" w:space="0"/>
            </w:tcBorders>
            <w:noWrap w:val="0"/>
            <w:vAlign w:val="center"/>
          </w:tcPr>
          <w:p>
            <w:pPr>
              <w:spacing w:before="93" w:beforeLines="30" w:after="93" w:afterLines="30" w:line="3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系统可根据需要灵活选择关闭或激活楼层及停站楼层。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反向自动消号</w:t>
            </w:r>
          </w:p>
        </w:tc>
        <w:tc>
          <w:tcPr>
            <w:tcW w:w="5774" w:type="dxa"/>
            <w:tcBorders>
              <w:top w:val="single" w:color="auto" w:sz="4" w:space="0"/>
              <w:left w:val="dotted" w:color="auto" w:sz="4" w:space="0"/>
              <w:bottom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当电梯运行到终端层站或者运行方向变更时，将此前所登记的反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重复关门</w:t>
            </w:r>
          </w:p>
        </w:tc>
        <w:tc>
          <w:tcPr>
            <w:tcW w:w="5774" w:type="dxa"/>
            <w:tcBorders>
              <w:top w:val="single" w:color="auto" w:sz="4" w:space="0"/>
              <w:left w:val="dotted" w:color="auto" w:sz="4" w:space="0"/>
              <w:bottom w:val="single"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电梯持续关门一定时间后，若门锁尚未闭合，则电梯自动开门，然后重复关门。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17</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本层厅外开门</w:t>
            </w:r>
          </w:p>
        </w:tc>
        <w:tc>
          <w:tcPr>
            <w:tcW w:w="5774" w:type="dxa"/>
            <w:tcBorders>
              <w:top w:val="single" w:color="auto" w:sz="4" w:space="0"/>
              <w:left w:val="dotted" w:color="auto" w:sz="4" w:space="0"/>
              <w:bottom w:val="single"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在无其它指令或外召的情况下，若轿厢停靠在某一层站，按下该层站外的召唤按钮后，轿厢门自动打开。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关门按钮提前关门</w:t>
            </w:r>
          </w:p>
        </w:tc>
        <w:tc>
          <w:tcPr>
            <w:tcW w:w="5774" w:type="dxa"/>
            <w:tcBorders>
              <w:top w:val="single" w:color="auto" w:sz="4" w:space="0"/>
              <w:left w:val="dotted" w:color="auto" w:sz="4" w:space="0"/>
              <w:bottom w:val="single"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电梯在自动运行模式下，处于开门保持时，可以通过关门按钮提前关门，以提高效率。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保持开门时间分类设定</w:t>
            </w:r>
          </w:p>
        </w:tc>
        <w:tc>
          <w:tcPr>
            <w:tcW w:w="5774" w:type="dxa"/>
            <w:tcBorders>
              <w:top w:val="single" w:color="auto" w:sz="4" w:space="0"/>
              <w:left w:val="dotted" w:color="auto" w:sz="4" w:space="0"/>
              <w:bottom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系统根据设定的时间自动判别召唤开门、指令开门、门保护开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开门保持操作功能</w:t>
            </w:r>
          </w:p>
        </w:tc>
        <w:tc>
          <w:tcPr>
            <w:tcW w:w="5774" w:type="dxa"/>
            <w:tcBorders>
              <w:top w:val="single" w:color="auto" w:sz="4" w:space="0"/>
              <w:left w:val="dotted" w:color="auto" w:sz="4" w:space="0"/>
              <w:bottom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按开门保持按钮，电梯延时关门，方便货物运输等需求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层楼显示按位设置</w:t>
            </w:r>
          </w:p>
        </w:tc>
        <w:tc>
          <w:tcPr>
            <w:tcW w:w="5774" w:type="dxa"/>
            <w:tcBorders>
              <w:top w:val="single" w:color="auto" w:sz="4" w:space="0"/>
              <w:left w:val="dotted" w:color="auto" w:sz="4" w:space="0"/>
              <w:bottom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系统允许每一层的显示使用0-</w:t>
            </w:r>
            <w:r>
              <w:rPr>
                <w:rFonts w:hint="eastAsia" w:ascii="宋体" w:hAnsi="宋体" w:cs="宋体"/>
                <w:sz w:val="24"/>
                <w:szCs w:val="24"/>
                <w:lang w:val="en-US" w:eastAsia="zh-CN"/>
              </w:rPr>
              <w:t>6</w:t>
            </w:r>
            <w:r>
              <w:rPr>
                <w:rFonts w:hint="eastAsia" w:ascii="宋体" w:hAnsi="宋体" w:eastAsia="宋体" w:cs="宋体"/>
                <w:sz w:val="24"/>
                <w:szCs w:val="24"/>
              </w:rPr>
              <w:t>，以及字母A.B.G.H.L.M.P.R之中的任意字符排列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spacing w:before="93" w:beforeLines="30" w:after="93" w:afterLines="30" w:line="30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全集选</w:t>
            </w:r>
          </w:p>
        </w:tc>
        <w:tc>
          <w:tcPr>
            <w:tcW w:w="5774" w:type="dxa"/>
            <w:tcBorders>
              <w:top w:val="single" w:color="auto" w:sz="4" w:space="0"/>
              <w:left w:val="dotted" w:color="auto" w:sz="4" w:space="0"/>
              <w:bottom w:val="single" w:color="auto" w:sz="4" w:space="0"/>
            </w:tcBorders>
            <w:noWrap w:val="0"/>
            <w:vAlign w:val="center"/>
          </w:tcPr>
          <w:p>
            <w:pPr>
              <w:spacing w:before="93" w:beforeLines="30" w:after="93" w:afterLines="30" w:line="30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在自动状态或司机状态，电梯在运行过程中，在响应轿内指令信号的同时，自动响应厅外上下召唤按钮信号，任何服务层的乘客，都可通过登记上下召唤信号召唤电梯。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23</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司机换向</w:t>
            </w:r>
          </w:p>
        </w:tc>
        <w:tc>
          <w:tcPr>
            <w:tcW w:w="5774" w:type="dxa"/>
            <w:tcBorders>
              <w:top w:val="single" w:color="auto" w:sz="4" w:space="0"/>
              <w:left w:val="dotted" w:color="auto" w:sz="4" w:space="0"/>
              <w:bottom w:val="single"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司机可通过专门的按钮选择电梯运行方向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24</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轿厢到站钟</w:t>
            </w:r>
          </w:p>
        </w:tc>
        <w:tc>
          <w:tcPr>
            <w:tcW w:w="5774" w:type="dxa"/>
            <w:tcBorders>
              <w:top w:val="single" w:color="auto" w:sz="4" w:space="0"/>
              <w:left w:val="dotted" w:color="auto" w:sz="4" w:space="0"/>
              <w:bottom w:val="single"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电梯按照乘客的要求到达目的楼层后，从轿顶板发出提示信号。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强迫减速监测功能</w:t>
            </w:r>
          </w:p>
        </w:tc>
        <w:tc>
          <w:tcPr>
            <w:tcW w:w="5774" w:type="dxa"/>
            <w:tcBorders>
              <w:top w:val="single" w:color="auto" w:sz="4" w:space="0"/>
              <w:left w:val="dotted" w:color="auto" w:sz="4" w:space="0"/>
              <w:bottom w:val="single"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系统在自动运行模式下，根据强迫减速开关位置、以及开关动作情况来监测、校正电梯轿厢的位置。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26</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平层微调</w:t>
            </w:r>
          </w:p>
        </w:tc>
        <w:tc>
          <w:tcPr>
            <w:tcW w:w="5774" w:type="dxa"/>
            <w:tcBorders>
              <w:top w:val="single" w:color="auto" w:sz="4" w:space="0"/>
              <w:left w:val="dotted" w:color="auto" w:sz="4" w:space="0"/>
              <w:bottom w:val="single" w:color="auto" w:sz="4" w:space="0"/>
            </w:tcBorders>
            <w:noWrap w:val="0"/>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通过F4-00参数的调整，可以对平层精度进行微调</w:t>
            </w:r>
            <w:r>
              <w:rPr>
                <w:rFonts w:hint="eastAsia" w:ascii="宋体" w:hAnsi="宋体" w:cs="宋体"/>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27</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换站停靠</w:t>
            </w:r>
          </w:p>
        </w:tc>
        <w:tc>
          <w:tcPr>
            <w:tcW w:w="5774" w:type="dxa"/>
            <w:tcBorders>
              <w:top w:val="single" w:color="auto" w:sz="4" w:space="0"/>
              <w:left w:val="dotted" w:color="auto" w:sz="4" w:space="0"/>
              <w:bottom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如果电梯在持续开门超过开门时间后，开门限位尚未动作，电梯就会变成关门状态，并在门关闭后，自动登记下一个层站运行；同时报E55号故障提示。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28</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故障历史记录</w:t>
            </w:r>
          </w:p>
        </w:tc>
        <w:tc>
          <w:tcPr>
            <w:tcW w:w="5774" w:type="dxa"/>
            <w:tcBorders>
              <w:top w:val="single" w:color="auto" w:sz="4" w:space="0"/>
              <w:left w:val="dotted" w:color="auto" w:sz="4" w:space="0"/>
              <w:bottom w:val="single"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系统具有11个故障记录，包括故障产生的时间与楼层等信息。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29</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对地短路检测</w:t>
            </w:r>
          </w:p>
        </w:tc>
        <w:tc>
          <w:tcPr>
            <w:tcW w:w="5774" w:type="dxa"/>
            <w:tcBorders>
              <w:top w:val="single" w:color="auto" w:sz="4" w:space="0"/>
              <w:left w:val="dotted" w:color="auto" w:sz="4" w:space="0"/>
              <w:bottom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系统在第1次上电的情况下可以对输出U、V、W进行检测，判断是否存在对地短路的情况。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超载保护</w:t>
            </w:r>
          </w:p>
        </w:tc>
        <w:tc>
          <w:tcPr>
            <w:tcW w:w="5774" w:type="dxa"/>
            <w:tcBorders>
              <w:top w:val="single" w:color="auto" w:sz="4" w:space="0"/>
              <w:left w:val="dotted" w:color="auto" w:sz="4" w:space="0"/>
              <w:bottom w:val="single"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当电梯内载重超过额定载重时电梯报警，停止运行。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31</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门光幕保护</w:t>
            </w:r>
          </w:p>
        </w:tc>
        <w:tc>
          <w:tcPr>
            <w:tcW w:w="5774" w:type="dxa"/>
            <w:tcBorders>
              <w:top w:val="single" w:color="auto" w:sz="4" w:space="0"/>
              <w:left w:val="dotted" w:color="auto" w:sz="4" w:space="0"/>
              <w:bottom w:val="single"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当关门过程中，门的中间有东西阻挡时，光幕保护动作，电梯转为开门。但光幕保护在消防操作时不起作用。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32</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门区外不能开门的保护</w:t>
            </w:r>
          </w:p>
        </w:tc>
        <w:tc>
          <w:tcPr>
            <w:tcW w:w="5774" w:type="dxa"/>
            <w:tcBorders>
              <w:top w:val="single" w:color="auto" w:sz="4" w:space="0"/>
              <w:left w:val="dotted" w:color="auto" w:sz="4" w:space="0"/>
              <w:bottom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系统在非门区状态，禁止自动开门。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33</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逆向运行保护</w:t>
            </w:r>
          </w:p>
        </w:tc>
        <w:tc>
          <w:tcPr>
            <w:tcW w:w="5774" w:type="dxa"/>
            <w:tcBorders>
              <w:top w:val="single" w:color="auto" w:sz="4" w:space="0"/>
              <w:left w:val="dotted" w:color="auto" w:sz="4" w:space="0"/>
              <w:bottom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系统对旋转编码器的反馈信号方向进行识别，在运行中判断电动机的实际运行方向，一旦为逆向运行则报警提示。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34</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防打滑保护</w:t>
            </w:r>
          </w:p>
        </w:tc>
        <w:tc>
          <w:tcPr>
            <w:tcW w:w="5774" w:type="dxa"/>
            <w:tcBorders>
              <w:top w:val="single" w:color="auto" w:sz="4" w:space="0"/>
              <w:left w:val="dotted" w:color="auto" w:sz="4" w:space="0"/>
              <w:bottom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在非检修状态，电梯运行过程中，如果连续运行了F9-02规定的时间（最大45秒）后，而且没有平层开关动作过，系统就认为检测到钢丝绳打滑故障，所以就停止轿厢一切运行。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35</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接触器触点检测保护</w:t>
            </w:r>
          </w:p>
        </w:tc>
        <w:tc>
          <w:tcPr>
            <w:tcW w:w="5774" w:type="dxa"/>
            <w:tcBorders>
              <w:top w:val="single" w:color="auto" w:sz="4" w:space="0"/>
              <w:left w:val="dotted" w:color="auto" w:sz="4" w:space="0"/>
              <w:bottom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电梯在运行或者停止状态下，检测到接触器的吸合状态异常时，系统自动保护。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36</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电机过电流保护</w:t>
            </w:r>
          </w:p>
        </w:tc>
        <w:tc>
          <w:tcPr>
            <w:tcW w:w="5774" w:type="dxa"/>
            <w:tcBorders>
              <w:top w:val="single" w:color="auto" w:sz="4" w:space="0"/>
              <w:left w:val="dotted" w:color="auto" w:sz="4" w:space="0"/>
              <w:bottom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检测到电机的电流大于最大允许值时，系统自动保护。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37</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电源过电压保护</w:t>
            </w:r>
          </w:p>
        </w:tc>
        <w:tc>
          <w:tcPr>
            <w:tcW w:w="5774" w:type="dxa"/>
            <w:tcBorders>
              <w:top w:val="single" w:color="auto" w:sz="4" w:space="0"/>
              <w:left w:val="dotted" w:color="auto" w:sz="4" w:space="0"/>
              <w:bottom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检测到电源电压大于最大允许值时，系统自动保。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38</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电机过载保护</w:t>
            </w:r>
          </w:p>
        </w:tc>
        <w:tc>
          <w:tcPr>
            <w:tcW w:w="5774" w:type="dxa"/>
            <w:tcBorders>
              <w:top w:val="single" w:color="auto" w:sz="4" w:space="0"/>
              <w:left w:val="dotted" w:color="auto" w:sz="4" w:space="0"/>
              <w:bottom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检测到电机过载，系统自动保护。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39</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编码器故障保护</w:t>
            </w:r>
          </w:p>
        </w:tc>
        <w:tc>
          <w:tcPr>
            <w:tcW w:w="5774" w:type="dxa"/>
            <w:tcBorders>
              <w:top w:val="single" w:color="auto" w:sz="4" w:space="0"/>
              <w:left w:val="dotted" w:color="auto" w:sz="4" w:space="0"/>
              <w:bottom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全系统只使用一个高速编码器来进行闭环矢量控制，如果该编码器发生故障，系统自动停机，杜绝因无法得知编码器故障引起的冲顶蹲底的故障。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井道自学习失败诊断</w:t>
            </w:r>
          </w:p>
        </w:tc>
        <w:tc>
          <w:tcPr>
            <w:tcW w:w="5774" w:type="dxa"/>
            <w:tcBorders>
              <w:top w:val="single" w:color="auto" w:sz="4" w:space="0"/>
              <w:left w:val="dotted" w:color="auto" w:sz="4" w:space="0"/>
              <w:bottom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没有正确的井道数据，电梯将不能正常运行，因此在井道自学习未能正确完成时设置了井道自学习失败诊断。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41</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驱动模块过热保护</w:t>
            </w:r>
          </w:p>
        </w:tc>
        <w:tc>
          <w:tcPr>
            <w:tcW w:w="5774" w:type="dxa"/>
            <w:tcBorders>
              <w:top w:val="single" w:color="auto" w:sz="4" w:space="0"/>
              <w:left w:val="dotted" w:color="auto" w:sz="4" w:space="0"/>
              <w:bottom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检测到驱动模块过热，系统自动保。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42</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门开关故障保护</w:t>
            </w:r>
          </w:p>
        </w:tc>
        <w:tc>
          <w:tcPr>
            <w:tcW w:w="5774" w:type="dxa"/>
            <w:tcBorders>
              <w:top w:val="single" w:color="auto" w:sz="4" w:space="0"/>
              <w:left w:val="dotted" w:color="auto" w:sz="4" w:space="0"/>
              <w:bottom w:val="single"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当检测到电梯开关门超过设定次数以后仍未有效关门，系统停止开关门并输出故障。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43</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运行中门锁断开保护</w:t>
            </w:r>
          </w:p>
        </w:tc>
        <w:tc>
          <w:tcPr>
            <w:tcW w:w="5774" w:type="dxa"/>
            <w:tcBorders>
              <w:top w:val="single" w:color="auto" w:sz="4" w:space="0"/>
              <w:left w:val="dotted" w:color="auto" w:sz="4" w:space="0"/>
              <w:bottom w:val="single"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电梯运行中检测到门锁断开，系统自动保护。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44</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限位开关保护</w:t>
            </w:r>
          </w:p>
        </w:tc>
        <w:tc>
          <w:tcPr>
            <w:tcW w:w="5774" w:type="dxa"/>
            <w:tcBorders>
              <w:top w:val="single" w:color="auto" w:sz="4" w:space="0"/>
              <w:left w:val="dotted" w:color="auto" w:sz="4" w:space="0"/>
              <w:bottom w:val="single"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上(下)限位开关动作后电梯禁止向上(下)运行，但是可以向向反方向运行。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45</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超速保护</w:t>
            </w:r>
          </w:p>
        </w:tc>
        <w:tc>
          <w:tcPr>
            <w:tcW w:w="5774" w:type="dxa"/>
            <w:tcBorders>
              <w:top w:val="single" w:color="auto" w:sz="4" w:space="0"/>
              <w:left w:val="dotted" w:color="auto" w:sz="4" w:space="0"/>
              <w:bottom w:val="single"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保证轿厢运行时的速度在安全控制范围内，以保证乘客和货物的安全。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46</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平层开关故障保护</w:t>
            </w:r>
          </w:p>
        </w:tc>
        <w:tc>
          <w:tcPr>
            <w:tcW w:w="5774" w:type="dxa"/>
            <w:tcBorders>
              <w:top w:val="single" w:color="auto" w:sz="4" w:space="0"/>
              <w:left w:val="dotted" w:color="auto" w:sz="4" w:space="0"/>
              <w:bottom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电梯在自动运行模式下，识别平层信号的粘连与丢失情况。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47</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CPU故障保护</w:t>
            </w:r>
          </w:p>
        </w:tc>
        <w:tc>
          <w:tcPr>
            <w:tcW w:w="5774" w:type="dxa"/>
            <w:tcBorders>
              <w:top w:val="single" w:color="auto" w:sz="4" w:space="0"/>
              <w:left w:val="dotted" w:color="auto" w:sz="4" w:space="0"/>
              <w:bottom w:val="single"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系统具有3个CPU，相互进行状态判断，一旦有异常则进行保护，封锁所有输出。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48</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输出接触器异常检测</w:t>
            </w:r>
          </w:p>
        </w:tc>
        <w:tc>
          <w:tcPr>
            <w:tcW w:w="5774" w:type="dxa"/>
            <w:tcBorders>
              <w:top w:val="single" w:color="auto" w:sz="4" w:space="0"/>
              <w:left w:val="dotted" w:color="auto" w:sz="4" w:space="0"/>
              <w:bottom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highlight w:val="none"/>
              </w:rPr>
              <w:t>在抱闸打开之前，通过检测输出电流的情况判断输出接触器是否连接</w:t>
            </w:r>
            <w:r>
              <w:rPr>
                <w:rFonts w:hint="eastAsia" w:ascii="宋体" w:hAnsi="宋体" w:cs="宋体"/>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49</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门锁短接保护</w:t>
            </w:r>
          </w:p>
        </w:tc>
        <w:tc>
          <w:tcPr>
            <w:tcW w:w="5774" w:type="dxa"/>
            <w:tcBorders>
              <w:top w:val="single" w:color="auto" w:sz="4" w:space="0"/>
              <w:left w:val="dotted" w:color="auto" w:sz="4" w:space="0"/>
              <w:bottom w:val="single"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电梯在自动运行模式下，每次开门到位均识别门锁是否存在异常。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应急照明</w:t>
            </w:r>
          </w:p>
        </w:tc>
        <w:tc>
          <w:tcPr>
            <w:tcW w:w="5774" w:type="dxa"/>
            <w:tcBorders>
              <w:top w:val="single" w:color="auto" w:sz="4" w:space="0"/>
              <w:left w:val="dotted" w:color="auto" w:sz="4" w:space="0"/>
              <w:bottom w:val="single"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电梯在正常使用中发生停电时，轿厢内的停电应急照明灯自动点亮，给轿厢内提供应急照明。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90" w:type="dxa"/>
            <w:tcBorders>
              <w:top w:val="single" w:color="auto" w:sz="4" w:space="0"/>
              <w:bottom w:val="single" w:color="auto" w:sz="4" w:space="0"/>
              <w:right w:val="dotted"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51</w:t>
            </w:r>
          </w:p>
        </w:tc>
        <w:tc>
          <w:tcPr>
            <w:tcW w:w="2410" w:type="dxa"/>
            <w:tcBorders>
              <w:top w:val="single" w:color="auto" w:sz="4" w:space="0"/>
              <w:left w:val="dotted" w:color="auto" w:sz="4" w:space="0"/>
              <w:bottom w:val="single" w:color="auto" w:sz="4" w:space="0"/>
              <w:right w:val="dotted" w:color="auto" w:sz="4" w:space="0"/>
            </w:tcBorders>
            <w:noWrap w:val="0"/>
            <w:vAlign w:val="center"/>
          </w:tcPr>
          <w:p>
            <w:pPr>
              <w:spacing w:before="93" w:beforeLines="30" w:after="93" w:afterLines="30" w:line="300" w:lineRule="atLeast"/>
              <w:rPr>
                <w:rFonts w:hint="eastAsia" w:ascii="宋体" w:hAnsi="宋体" w:eastAsia="宋体" w:cs="宋体"/>
                <w:sz w:val="24"/>
                <w:szCs w:val="24"/>
              </w:rPr>
            </w:pPr>
            <w:r>
              <w:rPr>
                <w:rFonts w:hint="eastAsia" w:ascii="宋体" w:hAnsi="宋体" w:eastAsia="宋体" w:cs="宋体"/>
                <w:sz w:val="24"/>
                <w:szCs w:val="24"/>
              </w:rPr>
              <w:t>五方通话</w:t>
            </w:r>
          </w:p>
        </w:tc>
        <w:tc>
          <w:tcPr>
            <w:tcW w:w="5774" w:type="dxa"/>
            <w:tcBorders>
              <w:top w:val="single" w:color="auto" w:sz="4" w:space="0"/>
              <w:left w:val="dotted" w:color="auto" w:sz="4" w:space="0"/>
              <w:bottom w:val="single" w:color="auto" w:sz="4" w:space="0"/>
            </w:tcBorders>
            <w:noWrap w:val="0"/>
            <w:vAlign w:val="center"/>
          </w:tcPr>
          <w:p>
            <w:pPr>
              <w:spacing w:before="93" w:beforeLines="30" w:after="93" w:afterLines="30" w:line="300" w:lineRule="atLeast"/>
              <w:rPr>
                <w:rFonts w:hint="eastAsia" w:ascii="宋体" w:hAnsi="宋体" w:eastAsia="宋体" w:cs="宋体"/>
                <w:sz w:val="24"/>
                <w:szCs w:val="24"/>
                <w:lang w:val="en-US" w:eastAsia="zh-CN"/>
              </w:rPr>
            </w:pPr>
            <w:r>
              <w:rPr>
                <w:rFonts w:hint="eastAsia" w:ascii="宋体" w:hAnsi="宋体" w:eastAsia="宋体" w:cs="宋体"/>
                <w:sz w:val="24"/>
                <w:szCs w:val="24"/>
              </w:rPr>
              <w:t>物业值班室、电梯机房（无电梯机房即顶楼控制柜）、轿顶、轿厢、底坑方之间要可通话</w:t>
            </w:r>
            <w:r>
              <w:rPr>
                <w:rFonts w:hint="eastAsia" w:ascii="宋体" w:hAnsi="宋体" w:cs="宋体"/>
                <w:sz w:val="24"/>
                <w:szCs w:val="24"/>
                <w:lang w:eastAsia="zh-CN"/>
              </w:rPr>
              <w:t>。</w:t>
            </w:r>
          </w:p>
        </w:tc>
      </w:tr>
    </w:tbl>
    <w:p>
      <w:pPr>
        <w:adjustRightInd w:val="0"/>
        <w:snapToGrid w:val="0"/>
        <w:spacing w:line="360" w:lineRule="auto"/>
        <w:ind w:firstLine="0"/>
        <w:rPr>
          <w:rFonts w:hint="eastAsia" w:ascii="宋体"/>
          <w:szCs w:val="21"/>
        </w:rPr>
      </w:pP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安全保护装置</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提供的电梯应实现电梯在正常运行状态、故障运行状态、停电、火灾状态等情况下必须的安全保护。包括（但不仅限于）下列安全保护装置，并应符合有关标准中的规定。</w:t>
      </w:r>
    </w:p>
    <w:p>
      <w:pPr>
        <w:numPr>
          <w:ilvl w:val="0"/>
          <w:numId w:val="5"/>
        </w:num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电机过电流、过负荷保护；断相和错相保护</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（2）上、下终点开关和上、下极限开关</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（3）缓冲器</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（4）限速器</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（5）安全钳（双向）</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（6）紧急停止按钮</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（7）层门安全设施</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（8）轿门安全设施</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（9）轿内、轿顶检修安全保护</w:t>
      </w:r>
    </w:p>
    <w:p>
      <w:pPr>
        <w:adjustRightInd w:val="0"/>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sz w:val="24"/>
          <w:szCs w:val="24"/>
          <w:highlight w:val="none"/>
        </w:rPr>
        <w:t>（10）应急平层救援装置</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电梯主要部件要求</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本次招标电梯要求运行安全、平稳、舒适，指令可靠，各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应根据需求将高性能高配置的电梯提供给</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请慎重选择投标梯型和部件种类，对主要部件的不同选择将会有不同的评标结果。</w:t>
      </w:r>
    </w:p>
    <w:p>
      <w:pPr>
        <w:adjustRightInd w:val="0"/>
        <w:snapToGrid w:val="0"/>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.1</w:t>
      </w:r>
      <w:r>
        <w:rPr>
          <w:rFonts w:hint="eastAsia" w:ascii="宋体" w:hAnsi="宋体" w:eastAsia="宋体" w:cs="宋体"/>
          <w:b/>
          <w:sz w:val="24"/>
          <w:szCs w:val="24"/>
          <w:highlight w:val="none"/>
        </w:rPr>
        <w:t>曳引机系统</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曳引机</w:t>
      </w:r>
      <w:r>
        <w:rPr>
          <w:rFonts w:hint="eastAsia" w:ascii="宋体" w:hAnsi="宋体" w:cs="宋体"/>
          <w:sz w:val="24"/>
          <w:szCs w:val="24"/>
          <w:highlight w:val="none"/>
          <w:lang w:val="en-US" w:eastAsia="zh-CN"/>
        </w:rPr>
        <w:t>原厂原品牌</w:t>
      </w:r>
      <w:r>
        <w:rPr>
          <w:rFonts w:hint="eastAsia" w:ascii="宋体" w:hAnsi="宋体" w:eastAsia="宋体" w:cs="宋体"/>
          <w:sz w:val="24"/>
          <w:szCs w:val="24"/>
          <w:highlight w:val="none"/>
        </w:rPr>
        <w:t>，主要部件先进可靠稳定</w:t>
      </w:r>
    </w:p>
    <w:p>
      <w:pPr>
        <w:adjustRightInd w:val="0"/>
        <w:snapToGrid w:val="0"/>
        <w:spacing w:line="360" w:lineRule="auto"/>
        <w:ind w:firstLine="480" w:firstLineChars="200"/>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驱动电机：</w:t>
      </w:r>
      <w:r>
        <w:rPr>
          <w:rFonts w:hint="eastAsia" w:ascii="宋体" w:hAnsi="宋体" w:cs="宋体"/>
          <w:sz w:val="24"/>
          <w:szCs w:val="24"/>
          <w:highlight w:val="none"/>
          <w:lang w:val="en-US" w:eastAsia="zh-CN"/>
        </w:rPr>
        <w:t>采用永磁同步无齿轮曳引机拖动系统</w:t>
      </w:r>
    </w:p>
    <w:p>
      <w:pPr>
        <w:adjustRightInd w:val="0"/>
        <w:snapToGrid w:val="0"/>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曳引轮系统具备上行超速保护装置</w:t>
      </w:r>
    </w:p>
    <w:p>
      <w:pPr>
        <w:adjustRightInd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2</w:t>
      </w: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5</w:t>
      </w:r>
      <w:r>
        <w:rPr>
          <w:rFonts w:hint="eastAsia" w:ascii="宋体" w:hAnsi="宋体" w:eastAsia="宋体" w:cs="宋体"/>
          <w:b/>
          <w:sz w:val="24"/>
          <w:szCs w:val="24"/>
          <w:highlight w:val="none"/>
        </w:rPr>
        <w:t>.2控制系统</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要求采用全数字控制，实现无机调速，提高电梯运行的平稳度，实现节能运行。</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轿厢和厅门：采用交流变频变压（VVVF）控制、</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速度控制回路和运行控制回路：要求采用不小于32位的微机控制，构成相互监控、分散执行的双重微机系统；</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主回路断路器、接触器和热继电器、二次回路控制继电器：要求选配优质名片产品。</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变频器、微机控制板;要求选配优质名牌产品。</w:t>
      </w:r>
    </w:p>
    <w:p>
      <w:pPr>
        <w:adjustRightInd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2</w:t>
      </w: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5</w:t>
      </w:r>
      <w:r>
        <w:rPr>
          <w:rFonts w:hint="eastAsia" w:ascii="宋体" w:hAnsi="宋体" w:eastAsia="宋体" w:cs="宋体"/>
          <w:b/>
          <w:sz w:val="24"/>
          <w:szCs w:val="24"/>
          <w:highlight w:val="none"/>
        </w:rPr>
        <w:t>.3门机系统：</w:t>
      </w:r>
    </w:p>
    <w:p>
      <w:pPr>
        <w:adjustRightInd/>
        <w:snapToGrid/>
        <w:spacing w:line="360" w:lineRule="auto"/>
        <w:ind w:firstLine="420" w:firstLineChars="200"/>
        <w:outlineLvl w:val="9"/>
        <w:rPr>
          <w:rFonts w:hint="eastAsia" w:ascii="宋体" w:hAnsi="宋体" w:eastAsia="宋体" w:cs="宋体"/>
          <w:sz w:val="24"/>
          <w:szCs w:val="24"/>
          <w:highlight w:val="none"/>
        </w:rPr>
      </w:pPr>
      <w:r>
        <w:rPr>
          <w:rFonts w:hint="eastAsia" w:ascii="宋体" w:hAnsi="宋体" w:eastAsia="宋体" w:cs="宋体"/>
          <w:szCs w:val="21"/>
          <w:highlight w:val="none"/>
          <w:u w:val="none"/>
        </w:rPr>
        <w:t>门机系统采用VVVF变频线性驱动门机</w:t>
      </w:r>
      <w:r>
        <w:rPr>
          <w:rFonts w:hint="eastAsia" w:ascii="宋体" w:hAnsi="宋体" w:cs="宋体"/>
          <w:szCs w:val="21"/>
          <w:highlight w:val="none"/>
          <w:u w:val="none"/>
          <w:lang w:eastAsia="zh-CN"/>
        </w:rPr>
        <w:t>。</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交流变频变压调速、红外线光幕门保护，要求门机控制板、光幕等主要部件选配优质名牌产品。</w:t>
      </w:r>
    </w:p>
    <w:p>
      <w:pPr>
        <w:adjustRightInd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2</w:t>
      </w: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5</w:t>
      </w:r>
      <w:r>
        <w:rPr>
          <w:rFonts w:hint="eastAsia" w:ascii="宋体" w:hAnsi="宋体" w:eastAsia="宋体" w:cs="宋体"/>
          <w:b/>
          <w:sz w:val="24"/>
          <w:szCs w:val="24"/>
          <w:highlight w:val="none"/>
        </w:rPr>
        <w:t>.4</w:t>
      </w:r>
      <w:r>
        <w:rPr>
          <w:rFonts w:hint="eastAsia" w:ascii="宋体" w:hAnsi="宋体" w:eastAsia="宋体" w:cs="宋体"/>
          <w:b/>
          <w:sz w:val="24"/>
          <w:szCs w:val="24"/>
          <w:highlight w:val="none"/>
          <w:lang w:eastAsia="zh-CN"/>
        </w:rPr>
        <w:t>供应商</w:t>
      </w:r>
      <w:r>
        <w:rPr>
          <w:rFonts w:hint="eastAsia" w:ascii="宋体" w:hAnsi="宋体" w:eastAsia="宋体" w:cs="宋体"/>
          <w:b/>
          <w:sz w:val="24"/>
          <w:szCs w:val="24"/>
          <w:highlight w:val="none"/>
        </w:rPr>
        <w:t>应在</w:t>
      </w:r>
      <w:r>
        <w:rPr>
          <w:rFonts w:hint="eastAsia" w:ascii="宋体" w:hAnsi="宋体" w:eastAsia="宋体" w:cs="宋体"/>
          <w:b/>
          <w:sz w:val="24"/>
          <w:szCs w:val="24"/>
          <w:highlight w:val="none"/>
          <w:lang w:eastAsia="zh-CN"/>
        </w:rPr>
        <w:t>响应文件中</w:t>
      </w:r>
      <w:r>
        <w:rPr>
          <w:rFonts w:hint="eastAsia" w:ascii="宋体" w:hAnsi="宋体" w:eastAsia="宋体" w:cs="宋体"/>
          <w:b/>
          <w:sz w:val="24"/>
          <w:szCs w:val="24"/>
          <w:highlight w:val="none"/>
        </w:rPr>
        <w:t>明确各主要部件的产地和制造商。</w:t>
      </w:r>
    </w:p>
    <w:p>
      <w:pPr>
        <w:pStyle w:val="7"/>
        <w:adjustRightInd w:val="0"/>
        <w:snapToGrid w:val="0"/>
        <w:spacing w:before="0" w:after="0" w:line="360" w:lineRule="auto"/>
        <w:ind w:firstLine="482" w:firstLineChars="200"/>
        <w:contextualSpacing/>
        <w:jc w:val="both"/>
        <w:rPr>
          <w:rFonts w:hint="eastAsia" w:ascii="宋体" w:hAnsi="宋体" w:eastAsia="宋体" w:cs="宋体"/>
          <w:sz w:val="24"/>
          <w:szCs w:val="24"/>
          <w:highlight w:val="none"/>
        </w:rPr>
      </w:pPr>
      <w:r>
        <w:rPr>
          <w:rFonts w:hint="eastAsia" w:hAnsi="宋体" w:cs="宋体"/>
          <w:sz w:val="24"/>
          <w:szCs w:val="24"/>
          <w:highlight w:val="none"/>
          <w:lang w:val="en-US" w:eastAsia="zh-CN"/>
        </w:rPr>
        <w:t>三、</w:t>
      </w:r>
      <w:r>
        <w:rPr>
          <w:rFonts w:hint="eastAsia" w:ascii="宋体" w:hAnsi="宋体" w:eastAsia="宋体" w:cs="宋体"/>
          <w:sz w:val="24"/>
          <w:szCs w:val="24"/>
          <w:highlight w:val="none"/>
        </w:rPr>
        <w:t>说明</w:t>
      </w:r>
    </w:p>
    <w:p>
      <w:pPr>
        <w:adjustRightInd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3</w:t>
      </w:r>
      <w:r>
        <w:rPr>
          <w:rFonts w:hint="eastAsia" w:ascii="宋体" w:hAnsi="宋体" w:eastAsia="宋体" w:cs="宋体"/>
          <w:b/>
          <w:sz w:val="24"/>
          <w:szCs w:val="24"/>
          <w:highlight w:val="none"/>
        </w:rPr>
        <w:t>.1工地条件</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所有</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提供的设备应能符合下列但不仅限于以下的环境条件。</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.1.1 适应性要求：</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（1）室外环境温度：-10℃～45℃</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（2）电源条件</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所有提供的设备和元器件的安装须符合和适应下列条件，不包括在另行条文中的说明。</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电压：～380V，3相5线，50Hz；～220V，单相,50Hz</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电压波动：-10%～+7%</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接地电阻要求：≤4欧姆</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.1.2抗地震要求：</w:t>
      </w:r>
    </w:p>
    <w:p>
      <w:pPr>
        <w:tabs>
          <w:tab w:val="left" w:pos="4860"/>
        </w:tabs>
        <w:adjustRightInd w:val="0"/>
        <w:snapToGrid w:val="0"/>
        <w:spacing w:line="360" w:lineRule="auto"/>
        <w:ind w:firstLine="440" w:firstLineChars="200"/>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rPr>
        <w:t>所有提供的设备，须适应6度地震烈度，建筑结构正常的前提下，能正常运行。</w:t>
      </w:r>
    </w:p>
    <w:p>
      <w:pPr>
        <w:tabs>
          <w:tab w:val="left" w:pos="4860"/>
        </w:tabs>
        <w:adjustRightInd w:val="0"/>
        <w:snapToGrid w:val="0"/>
        <w:spacing w:line="360" w:lineRule="auto"/>
        <w:ind w:firstLine="440" w:firstLineChars="200"/>
        <w:rPr>
          <w:rFonts w:hint="eastAsia" w:ascii="宋体" w:hAnsi="宋体" w:eastAsia="宋体" w:cs="宋体"/>
          <w:spacing w:val="-10"/>
          <w:sz w:val="24"/>
          <w:szCs w:val="24"/>
          <w:highlight w:val="none"/>
        </w:rPr>
      </w:pPr>
      <w:r>
        <w:rPr>
          <w:rFonts w:hint="eastAsia" w:ascii="宋体" w:hAnsi="宋体" w:eastAsia="宋体" w:cs="宋体"/>
          <w:spacing w:val="-10"/>
          <w:sz w:val="24"/>
          <w:szCs w:val="24"/>
          <w:highlight w:val="none"/>
          <w:lang w:val="en-US" w:eastAsia="zh-CN"/>
        </w:rPr>
        <w:t>3</w:t>
      </w:r>
      <w:r>
        <w:rPr>
          <w:rFonts w:hint="eastAsia" w:ascii="宋体" w:hAnsi="宋体" w:eastAsia="宋体" w:cs="宋体"/>
          <w:spacing w:val="-10"/>
          <w:sz w:val="24"/>
          <w:szCs w:val="24"/>
          <w:highlight w:val="none"/>
        </w:rPr>
        <w:t>.1.3其它要求：</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投标设备适用于用梯需要，要求技术先进，功能齐全，质量优良，运行可靠，设备外型美观、大气、简洁。</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应保证提供符合</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技术规格要求和现行的有关工业标准的优质产品。</w:t>
      </w:r>
    </w:p>
    <w:p>
      <w:pPr>
        <w:adjustRightInd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3</w:t>
      </w:r>
      <w:r>
        <w:rPr>
          <w:rFonts w:hint="eastAsia" w:ascii="宋体" w:hAnsi="宋体" w:eastAsia="宋体" w:cs="宋体"/>
          <w:b/>
          <w:sz w:val="24"/>
          <w:szCs w:val="24"/>
          <w:highlight w:val="none"/>
        </w:rPr>
        <w:t>.2工作范围</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.2.1</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需按本技术规格书的要求完成招标范围内设备的设计、制造、运输、装卸、安装、产品保护、调试试运行、有关行业专管部门验收、培训及售后服务等工作。按工作顺序提交所需的数据，所有数据必须符合本技术参数的要求。无论其是否将明细列在合同文件中。</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.2.2提供的设备</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需提供以下工作服务但不仅限于以下：</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在投标时应结合</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提供的设计图纸和目前工程土建施工实际情况，单独提供满足工程现场条件的土建设计数据，包括土建需要预留、预埋的部件和尺寸，机房层平面布置图等；</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b.按</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和设计需要完成设备的具体设计；</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c.提供详细构造图、设备样本和使用操作说明书；</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d.按</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认可的设计方案和材料进行加工、制造、供货；</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e.运输：</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负责设备运输至工程现场装置地点所有环节的运输。</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.2.3设备安装和调试</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需按</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的要求和认可，负责设备就位、安装、调试及试运行、直至验收通过（包括有关部门的检验费用）。</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提供安装所需的水电接口（水电费由</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承担，并与施工总承包人协商解决）、设备存放场地（</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负责场地的防潮）。</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b.</w:t>
      </w:r>
      <w:r>
        <w:rPr>
          <w:rFonts w:hint="eastAsia" w:ascii="宋体" w:hAnsi="宋体" w:eastAsia="宋体" w:cs="宋体"/>
          <w:sz w:val="24"/>
          <w:szCs w:val="24"/>
          <w:highlight w:val="none"/>
        </w:rPr>
        <w:t>在安装期间，</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和施工总承包人除提供堆放场所、电源（利用现场原有，</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现场指定）、水源（利用现场原有，</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现场指定）及井道与机房外，其余均由</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负责，所产生的费用全部包括在投标报价内，包括非土建施工原因引起的土建整改（如有）、脚手架、井道照明、共用井道固定导轨的钢梁、爬梯、钢牛腿、主机搁梁、装卸、就位、安装、调试、验收、质保期内维保服务及其他所需费用等）。</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c.</w:t>
      </w:r>
      <w:r>
        <w:rPr>
          <w:rFonts w:hint="eastAsia" w:ascii="宋体" w:hAnsi="宋体" w:eastAsia="宋体" w:cs="宋体"/>
          <w:sz w:val="24"/>
          <w:szCs w:val="24"/>
          <w:highlight w:val="none"/>
        </w:rPr>
        <w:t>本次设备安装作业不得转包。</w:t>
      </w:r>
      <w:r>
        <w:rPr>
          <w:rFonts w:hint="eastAsia" w:ascii="宋体" w:hAnsi="宋体" w:eastAsia="宋体" w:cs="宋体"/>
          <w:sz w:val="24"/>
          <w:szCs w:val="24"/>
          <w:highlight w:val="none"/>
          <w:lang w:eastAsia="zh-CN"/>
        </w:rPr>
        <w:t>响应文件中</w:t>
      </w:r>
      <w:r>
        <w:rPr>
          <w:rFonts w:hint="eastAsia" w:ascii="宋体" w:hAnsi="宋体" w:eastAsia="宋体" w:cs="宋体"/>
          <w:sz w:val="24"/>
          <w:szCs w:val="24"/>
          <w:highlight w:val="none"/>
        </w:rPr>
        <w:t>须明确负责此项目设备安装的队伍人员名单（包括项目负责人（项目经理）、安装调试技术人员的姓名、职称、身份证号、主要安装业绩）等，以便进场时核查。经</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核查认可后方可进行安装施工，且未经</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同意，不允许在施工期更换安装人员。</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d.</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必须负责所提供货物通过有关部门的验收，直至取得验收证书。验收费用（包括免保期内的验收费用）包含在投标总价中。</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e.</w:t>
      </w:r>
      <w:r>
        <w:rPr>
          <w:rFonts w:hint="eastAsia" w:ascii="宋体" w:hAnsi="宋体" w:eastAsia="宋体" w:cs="宋体"/>
          <w:sz w:val="24"/>
          <w:szCs w:val="24"/>
          <w:highlight w:val="none"/>
        </w:rPr>
        <w:t>设备安装验收合格并取得验收证书，交付</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使用以前的设备保护由</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负责。</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f.</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配合土建进行预埋工作、及时提供预埋件并复核土建井道及预埋尺寸。</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.2.4整套设备及其主要部件的原产地须明确地标明在</w:t>
      </w:r>
      <w:r>
        <w:rPr>
          <w:rFonts w:hint="eastAsia" w:ascii="宋体" w:hAnsi="宋体" w:eastAsia="宋体" w:cs="宋体"/>
          <w:sz w:val="24"/>
          <w:szCs w:val="24"/>
          <w:highlight w:val="none"/>
          <w:lang w:eastAsia="zh-CN"/>
        </w:rPr>
        <w:t>响应文件中</w:t>
      </w:r>
      <w:r>
        <w:rPr>
          <w:rFonts w:hint="eastAsia" w:ascii="宋体" w:hAnsi="宋体" w:eastAsia="宋体" w:cs="宋体"/>
          <w:sz w:val="24"/>
          <w:szCs w:val="24"/>
          <w:highlight w:val="none"/>
        </w:rPr>
        <w:t>。</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.2.5在投标之前，</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须仔细阅读</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，如发现有任何疑问、冲突或技术问题，</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须向</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咨询。</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.2.6</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须对</w:t>
      </w:r>
      <w:r>
        <w:rPr>
          <w:rFonts w:hint="eastAsia" w:ascii="宋体" w:hAnsi="宋体" w:eastAsia="宋体" w:cs="宋体"/>
          <w:sz w:val="24"/>
          <w:szCs w:val="24"/>
          <w:highlight w:val="none"/>
          <w:lang w:eastAsia="zh-CN"/>
        </w:rPr>
        <w:t>磋商文件中</w:t>
      </w:r>
      <w:r>
        <w:rPr>
          <w:rFonts w:hint="eastAsia" w:ascii="宋体" w:hAnsi="宋体" w:eastAsia="宋体" w:cs="宋体"/>
          <w:sz w:val="24"/>
          <w:szCs w:val="24"/>
          <w:highlight w:val="none"/>
        </w:rPr>
        <w:t>涉及到的专利负责，并保证不伤害</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的利益。在法律范围内，所有文字、商标和技术侵权造成的相关费用，</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概不负责。</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.2.7在</w:t>
      </w:r>
      <w:r>
        <w:rPr>
          <w:rFonts w:hint="eastAsia" w:ascii="宋体" w:hAnsi="宋体" w:eastAsia="宋体" w:cs="宋体"/>
          <w:sz w:val="24"/>
          <w:szCs w:val="24"/>
          <w:highlight w:val="none"/>
          <w:lang w:eastAsia="zh-CN"/>
        </w:rPr>
        <w:t>响应文件中</w:t>
      </w:r>
      <w:r>
        <w:rPr>
          <w:rFonts w:hint="eastAsia" w:ascii="宋体" w:hAnsi="宋体" w:eastAsia="宋体" w:cs="宋体"/>
          <w:sz w:val="24"/>
          <w:szCs w:val="24"/>
          <w:highlight w:val="none"/>
        </w:rPr>
        <w:t>设备包含原装进口部件的，交货时由</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负责办妥进口部件的所有手续、完交所有税费并附上产地证明文件、海关完税单、海运提单、报关单、商检证明文件等相关的进口证明资料。</w:t>
      </w:r>
    </w:p>
    <w:p>
      <w:pPr>
        <w:adjustRightInd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3</w:t>
      </w:r>
      <w:r>
        <w:rPr>
          <w:rFonts w:hint="eastAsia" w:ascii="宋体" w:hAnsi="宋体" w:eastAsia="宋体" w:cs="宋体"/>
          <w:b/>
          <w:sz w:val="24"/>
          <w:szCs w:val="24"/>
          <w:highlight w:val="none"/>
        </w:rPr>
        <w:t>.</w:t>
      </w:r>
      <w:r>
        <w:rPr>
          <w:rFonts w:hint="eastAsia" w:ascii="宋体" w:hAnsi="宋体" w:cs="宋体"/>
          <w:b/>
          <w:sz w:val="24"/>
          <w:szCs w:val="24"/>
          <w:highlight w:val="none"/>
          <w:lang w:val="en-US" w:eastAsia="zh-CN"/>
        </w:rPr>
        <w:t>3</w:t>
      </w:r>
      <w:r>
        <w:rPr>
          <w:rFonts w:hint="eastAsia" w:ascii="宋体" w:hAnsi="宋体" w:eastAsia="宋体" w:cs="宋体"/>
          <w:b/>
          <w:sz w:val="24"/>
          <w:szCs w:val="24"/>
          <w:highlight w:val="none"/>
        </w:rPr>
        <w:t>标准和规范</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成文时，下列所示标准和规范均有效。所有标准和规范都会被修订，</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应达到下列标准和规范最新版本的要求。</w:t>
      </w:r>
    </w:p>
    <w:p>
      <w:pPr>
        <w:ind w:firstLine="482"/>
        <w:rPr>
          <w:rFonts w:hint="eastAsia"/>
          <w:b w:val="0"/>
          <w:sz w:val="24"/>
          <w:szCs w:val="24"/>
          <w:highlight w:val="none"/>
        </w:rPr>
      </w:pPr>
      <w:r>
        <w:rPr>
          <w:rFonts w:hint="eastAsia"/>
          <w:kern w:val="2"/>
          <w:sz w:val="24"/>
          <w:szCs w:val="24"/>
          <w:highlight w:val="none"/>
        </w:rPr>
        <w:t>本工程所涉及到的设计、加工制造、设备材料选型、探伤、电气装置、检验、试验及施工安装等均应参照适合于该项目的相关标准、试验规范，以及技术规格书规定的有关要求。所有计量仪器必须符合国家标准。这些标准应包括中国国家标准及其它被普遍认可的中国标准（应包括但不仅限于以下</w:t>
      </w:r>
      <w:r>
        <w:rPr>
          <w:rFonts w:hint="eastAsia"/>
          <w:kern w:val="2"/>
          <w:sz w:val="24"/>
          <w:szCs w:val="24"/>
          <w:highlight w:val="none"/>
          <w:lang w:eastAsia="zh-CN"/>
        </w:rPr>
        <w:t>）</w:t>
      </w:r>
      <w:r>
        <w:rPr>
          <w:rFonts w:hint="eastAsia"/>
          <w:b w:val="0"/>
          <w:sz w:val="24"/>
          <w:szCs w:val="24"/>
          <w:highlight w:val="none"/>
        </w:rPr>
        <w:t>，如有修订，供应商应符合最新版本要求。</w:t>
      </w:r>
    </w:p>
    <w:p>
      <w:pPr>
        <w:pStyle w:val="4"/>
        <w:rPr>
          <w:rFonts w:hint="eastAsia"/>
          <w:highlight w:val="none"/>
        </w:rPr>
      </w:pP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中华人民共和国国务院第373号令《特种设备安全监察条例》</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GB/T7024-2008     《电梯、自动扶梯、自动人行道名词术语》</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GB7588-2003       《电梯制造和安装安全规范》</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GB24476-2009      《电梯、自动扶梯和自动人行道数据监视和记录规范》</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GB/T10060-2011    《电梯安装验收规范》</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GB/T10058-2009    《电梯技术条件》</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GB/T10059-2009    《电梯试验方法》</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TSGT7001-2009     《电梯监督检验和定期检验规则—曳引与强制驱动电梯》</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TSG/T5001-2009    《电梯使用管理与维护保养规则》</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GB50310-2002      《电梯工程施工质量验收规范》</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DB33728-2009      《电梯维修保养安全管理规范》</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GB18775-2002      《电梯维修规范》浙江省消防部门的条例及相关的国家消防规范</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·设备的电气装置应符合IEC标准</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·浙江省消防部门的条例及相关的中国国家消防规范</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·电力供应部门的供电规章条例</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·其他有关的中国规定</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·由</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认可的有关国际权威标准。</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遵守不限于此规格书中的标准时，应向</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及时解释清楚。</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.1上述技术标准和规范如与国家、国际最新标准相抵触或未能罗列完全时，应以国家、国际最新权威标准为依据。</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.2如果</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不能响应</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技术规格和要求的某项技术规格，</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应在规格、技术参数偏离表中说明偏离情况，并指出偏离后的费用增减情况。实质性要求的条款不允许偏离。</w:t>
      </w:r>
    </w:p>
    <w:p>
      <w:pPr>
        <w:pStyle w:val="7"/>
        <w:adjustRightInd w:val="0"/>
        <w:snapToGrid w:val="0"/>
        <w:spacing w:before="0" w:after="0" w:line="360" w:lineRule="auto"/>
        <w:ind w:firstLine="482" w:firstLineChars="200"/>
        <w:contextualSpacing/>
        <w:jc w:val="both"/>
        <w:rPr>
          <w:rFonts w:hint="eastAsia" w:ascii="宋体" w:hAnsi="宋体" w:eastAsia="宋体" w:cs="宋体"/>
          <w:sz w:val="24"/>
          <w:szCs w:val="24"/>
          <w:highlight w:val="none"/>
        </w:rPr>
      </w:pPr>
      <w:r>
        <w:rPr>
          <w:rFonts w:hint="eastAsia" w:hAnsi="宋体" w:cs="宋体"/>
          <w:sz w:val="24"/>
          <w:szCs w:val="24"/>
          <w:highlight w:val="none"/>
          <w:lang w:val="en-US" w:eastAsia="zh-CN"/>
        </w:rPr>
        <w:t>四、</w:t>
      </w:r>
      <w:r>
        <w:rPr>
          <w:rFonts w:hint="eastAsia" w:ascii="宋体" w:hAnsi="宋体" w:eastAsia="宋体" w:cs="宋体"/>
          <w:sz w:val="24"/>
          <w:szCs w:val="24"/>
          <w:highlight w:val="none"/>
          <w:lang w:eastAsia="zh-CN"/>
        </w:rPr>
        <w:t>磋商</w:t>
      </w:r>
      <w:r>
        <w:rPr>
          <w:rFonts w:hint="eastAsia" w:hAnsi="宋体" w:cs="宋体"/>
          <w:sz w:val="24"/>
          <w:szCs w:val="24"/>
          <w:highlight w:val="none"/>
          <w:lang w:eastAsia="zh-CN"/>
        </w:rPr>
        <w:t>响应</w:t>
      </w:r>
      <w:r>
        <w:rPr>
          <w:rFonts w:hint="eastAsia" w:ascii="宋体" w:hAnsi="宋体" w:eastAsia="宋体" w:cs="宋体"/>
          <w:sz w:val="24"/>
          <w:szCs w:val="24"/>
          <w:highlight w:val="none"/>
        </w:rPr>
        <w:t>文件的技术资料要求</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必须按规定要求提供</w:t>
      </w:r>
      <w:r>
        <w:rPr>
          <w:rFonts w:hint="eastAsia" w:ascii="宋体" w:hAnsi="宋体" w:cs="宋体"/>
          <w:sz w:val="24"/>
          <w:szCs w:val="24"/>
          <w:highlight w:val="none"/>
          <w:lang w:eastAsia="zh-CN"/>
        </w:rPr>
        <w:t>响应</w:t>
      </w:r>
      <w:r>
        <w:rPr>
          <w:rFonts w:hint="eastAsia" w:ascii="宋体" w:hAnsi="宋体" w:eastAsia="宋体" w:cs="宋体"/>
          <w:sz w:val="24"/>
          <w:szCs w:val="24"/>
          <w:highlight w:val="none"/>
        </w:rPr>
        <w:t>货物的详细技术资料。</w:t>
      </w:r>
      <w:r>
        <w:rPr>
          <w:rFonts w:hint="eastAsia" w:ascii="宋体" w:hAnsi="宋体" w:cs="宋体"/>
          <w:sz w:val="24"/>
          <w:szCs w:val="24"/>
          <w:highlight w:val="none"/>
          <w:lang w:eastAsia="zh-CN"/>
        </w:rPr>
        <w:t>响应</w:t>
      </w:r>
      <w:r>
        <w:rPr>
          <w:rFonts w:hint="eastAsia" w:ascii="宋体" w:hAnsi="宋体" w:eastAsia="宋体" w:cs="宋体"/>
          <w:sz w:val="24"/>
          <w:szCs w:val="24"/>
          <w:highlight w:val="none"/>
        </w:rPr>
        <w:t>技术文件至少包括货物的主要性能、技术参数、结构特点、适用范围以及相对于其他同级别品牌同类产品具有的优势等，所提供的参考资料应尽可能全</w:t>
      </w:r>
      <w:r>
        <w:rPr>
          <w:rFonts w:hint="eastAsia" w:ascii="宋体" w:hAnsi="宋体" w:eastAsia="宋体" w:cs="宋体"/>
          <w:sz w:val="24"/>
          <w:szCs w:val="24"/>
        </w:rPr>
        <w:t>面详细。</w:t>
      </w:r>
    </w:p>
    <w:p>
      <w:pPr>
        <w:pStyle w:val="7"/>
        <w:adjustRightInd w:val="0"/>
        <w:snapToGrid w:val="0"/>
        <w:spacing w:before="0" w:after="0" w:line="360" w:lineRule="auto"/>
        <w:ind w:firstLine="482" w:firstLineChars="200"/>
        <w:contextualSpacing/>
        <w:jc w:val="both"/>
        <w:rPr>
          <w:rFonts w:hint="eastAsia" w:ascii="宋体" w:hAnsi="宋体" w:eastAsia="宋体" w:cs="宋体"/>
          <w:sz w:val="24"/>
          <w:szCs w:val="24"/>
        </w:rPr>
      </w:pPr>
      <w:r>
        <w:rPr>
          <w:rFonts w:hint="eastAsia" w:hAnsi="宋体" w:cs="宋体"/>
          <w:sz w:val="24"/>
          <w:szCs w:val="24"/>
          <w:lang w:val="en-US" w:eastAsia="zh-CN"/>
        </w:rPr>
        <w:t>五、</w:t>
      </w:r>
      <w:r>
        <w:rPr>
          <w:rFonts w:hint="eastAsia" w:hAnsi="宋体" w:cs="宋体"/>
          <w:sz w:val="24"/>
          <w:szCs w:val="24"/>
          <w:lang w:eastAsia="zh-CN"/>
        </w:rPr>
        <w:t>买乙方</w:t>
      </w:r>
      <w:r>
        <w:rPr>
          <w:rFonts w:hint="eastAsia" w:ascii="宋体" w:hAnsi="宋体" w:eastAsia="宋体" w:cs="宋体"/>
          <w:sz w:val="24"/>
          <w:szCs w:val="24"/>
        </w:rPr>
        <w:t>式</w:t>
      </w:r>
    </w:p>
    <w:p>
      <w:pPr>
        <w:adjustRightInd w:val="0"/>
        <w:snapToGrid w:val="0"/>
        <w:spacing w:line="360" w:lineRule="auto"/>
        <w:ind w:right="-68" w:firstLine="448" w:firstLineChars="187"/>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.1本次</w:t>
      </w:r>
      <w:r>
        <w:rPr>
          <w:rFonts w:hint="eastAsia" w:ascii="宋体" w:hAnsi="宋体" w:eastAsia="宋体" w:cs="宋体"/>
          <w:sz w:val="24"/>
          <w:szCs w:val="24"/>
          <w:lang w:eastAsia="zh-CN"/>
        </w:rPr>
        <w:t>磋商</w:t>
      </w:r>
      <w:r>
        <w:rPr>
          <w:rFonts w:hint="eastAsia" w:ascii="宋体" w:hAnsi="宋体" w:eastAsia="宋体" w:cs="宋体"/>
          <w:sz w:val="24"/>
          <w:szCs w:val="24"/>
        </w:rPr>
        <w:t>的电梯设备为交钥匙工程（在正式电源未接通之前，所需试运行电源、电缆由</w:t>
      </w:r>
      <w:r>
        <w:rPr>
          <w:rFonts w:hint="eastAsia" w:ascii="宋体" w:hAnsi="宋体" w:cs="宋体"/>
          <w:sz w:val="24"/>
          <w:szCs w:val="24"/>
          <w:highlight w:val="none"/>
          <w:lang w:eastAsia="zh-CN"/>
        </w:rPr>
        <w:t>成交供应商</w:t>
      </w:r>
      <w:r>
        <w:rPr>
          <w:rFonts w:hint="eastAsia" w:ascii="宋体" w:hAnsi="宋体" w:eastAsia="宋体" w:cs="宋体"/>
          <w:sz w:val="24"/>
          <w:szCs w:val="24"/>
        </w:rPr>
        <w:t>自行负责）。</w:t>
      </w:r>
      <w:r>
        <w:rPr>
          <w:rFonts w:hint="eastAsia" w:ascii="宋体" w:hAnsi="宋体" w:eastAsia="宋体" w:cs="宋体"/>
          <w:spacing w:val="-4"/>
          <w:sz w:val="24"/>
          <w:szCs w:val="24"/>
          <w:lang w:eastAsia="zh-CN"/>
        </w:rPr>
        <w:t>供应商</w:t>
      </w:r>
      <w:r>
        <w:rPr>
          <w:rFonts w:hint="eastAsia" w:ascii="宋体" w:hAnsi="宋体" w:eastAsia="宋体" w:cs="宋体"/>
          <w:spacing w:val="-4"/>
          <w:sz w:val="24"/>
          <w:szCs w:val="24"/>
        </w:rPr>
        <w:t>需按本</w:t>
      </w:r>
      <w:r>
        <w:rPr>
          <w:rFonts w:hint="eastAsia" w:ascii="宋体" w:hAnsi="宋体" w:eastAsia="宋体" w:cs="宋体"/>
          <w:spacing w:val="-4"/>
          <w:sz w:val="24"/>
          <w:szCs w:val="24"/>
          <w:lang w:eastAsia="zh-CN"/>
        </w:rPr>
        <w:t>磋商文件</w:t>
      </w:r>
      <w:r>
        <w:rPr>
          <w:rFonts w:hint="eastAsia" w:ascii="宋体" w:hAnsi="宋体" w:eastAsia="宋体" w:cs="宋体"/>
          <w:spacing w:val="-4"/>
          <w:sz w:val="24"/>
          <w:szCs w:val="24"/>
        </w:rPr>
        <w:t>的要求完成设备的设计、制造、运输、装卸、安装、产品保护、调试、有关行业专管部门验收、培训及售后服务等工作。并按工作顺序提交所需的资料，所有资料必须符合本技术规格书的要求，无论其是否被明细列在合同文件中。</w:t>
      </w:r>
    </w:p>
    <w:p>
      <w:pPr>
        <w:adjustRightInd w:val="0"/>
        <w:snapToGrid w:val="0"/>
        <w:spacing w:line="360" w:lineRule="auto"/>
        <w:ind w:right="-68" w:firstLine="448" w:firstLineChars="187"/>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.2本工程实行包合同造价，包设计、制造、运输、装卸、安装、保险、产品保护、调试及试运行、有关行业专管部门验收（包括</w:t>
      </w:r>
      <w:r>
        <w:rPr>
          <w:rFonts w:hint="eastAsia" w:ascii="宋体" w:hAnsi="宋体" w:cs="宋体"/>
          <w:sz w:val="24"/>
          <w:szCs w:val="24"/>
          <w:lang w:eastAsia="zh-CN"/>
        </w:rPr>
        <w:t>采购人</w:t>
      </w:r>
      <w:r>
        <w:rPr>
          <w:rFonts w:hint="eastAsia" w:ascii="宋体" w:hAnsi="宋体" w:eastAsia="宋体" w:cs="宋体"/>
          <w:sz w:val="24"/>
          <w:szCs w:val="24"/>
        </w:rPr>
        <w:t>人员的上岗证培训、五方通话线缆、监控线缆到监控机房止），包工期、文明安全施工、培训及售后服务等工作的承包负责制。一旦中标，除</w:t>
      </w:r>
      <w:r>
        <w:rPr>
          <w:rFonts w:hint="eastAsia" w:ascii="宋体" w:hAnsi="宋体" w:cs="宋体"/>
          <w:sz w:val="24"/>
          <w:szCs w:val="24"/>
          <w:lang w:eastAsia="zh-CN"/>
        </w:rPr>
        <w:t>采购人</w:t>
      </w:r>
      <w:r>
        <w:rPr>
          <w:rFonts w:hint="eastAsia" w:ascii="宋体" w:hAnsi="宋体" w:eastAsia="宋体" w:cs="宋体"/>
          <w:sz w:val="24"/>
          <w:szCs w:val="24"/>
        </w:rPr>
        <w:t>原因调整设备清单外，总价不作调整。</w:t>
      </w:r>
    </w:p>
    <w:p>
      <w:pPr>
        <w:pStyle w:val="7"/>
        <w:adjustRightInd w:val="0"/>
        <w:snapToGrid w:val="0"/>
        <w:spacing w:before="0" w:after="0" w:line="360" w:lineRule="auto"/>
        <w:ind w:firstLine="482" w:firstLineChars="200"/>
        <w:contextualSpacing/>
        <w:jc w:val="both"/>
        <w:rPr>
          <w:rFonts w:hint="eastAsia" w:ascii="宋体" w:hAnsi="宋体" w:eastAsia="宋体" w:cs="宋体"/>
          <w:sz w:val="24"/>
          <w:szCs w:val="24"/>
        </w:rPr>
      </w:pPr>
      <w:r>
        <w:rPr>
          <w:rFonts w:hint="eastAsia" w:hAnsi="宋体" w:cs="宋体"/>
          <w:sz w:val="24"/>
          <w:szCs w:val="24"/>
          <w:lang w:val="en-US" w:eastAsia="zh-CN"/>
        </w:rPr>
        <w:t>六、</w:t>
      </w:r>
      <w:r>
        <w:rPr>
          <w:rFonts w:hint="eastAsia" w:ascii="宋体" w:hAnsi="宋体" w:eastAsia="宋体" w:cs="宋体"/>
          <w:sz w:val="24"/>
          <w:szCs w:val="24"/>
        </w:rPr>
        <w:t>伴随服务</w:t>
      </w:r>
    </w:p>
    <w:p>
      <w:pPr>
        <w:adjustRightInd w:val="0"/>
        <w:snapToGrid w:val="0"/>
        <w:spacing w:line="360" w:lineRule="auto"/>
        <w:ind w:right="-68" w:firstLine="448" w:firstLineChars="187"/>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.1提供的电梯须包括（但不限于）以下服务：</w:t>
      </w:r>
    </w:p>
    <w:p>
      <w:pPr>
        <w:adjustRightInd w:val="0"/>
        <w:snapToGrid w:val="0"/>
        <w:spacing w:line="360" w:lineRule="auto"/>
        <w:ind w:right="-68" w:firstLine="448" w:firstLineChars="187"/>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1.1土建设计所需资料，包括土建需要预留、预埋的部件及尺寸和轿厢平面图等；在墙璧、梁、地板或其它结构的所有沟槽和通道，必须根据现有土建结构开展，任何在结构内的挖掘，都须在具体施工图中标明，并提交</w:t>
      </w:r>
      <w:r>
        <w:rPr>
          <w:rFonts w:hint="eastAsia" w:ascii="宋体" w:hAnsi="宋体" w:cs="宋体"/>
          <w:sz w:val="24"/>
          <w:szCs w:val="24"/>
          <w:lang w:eastAsia="zh-CN"/>
        </w:rPr>
        <w:t>采购人</w:t>
      </w:r>
      <w:r>
        <w:rPr>
          <w:rFonts w:hint="eastAsia" w:ascii="宋体" w:hAnsi="宋体" w:eastAsia="宋体" w:cs="宋体"/>
          <w:sz w:val="24"/>
          <w:szCs w:val="24"/>
        </w:rPr>
        <w:t>认可；</w:t>
      </w:r>
    </w:p>
    <w:p>
      <w:pPr>
        <w:adjustRightInd w:val="0"/>
        <w:snapToGrid w:val="0"/>
        <w:spacing w:line="360" w:lineRule="auto"/>
        <w:ind w:right="-68" w:firstLine="448" w:firstLineChars="187"/>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.1.2踏勘现场，根据现场尺寸和</w:t>
      </w:r>
      <w:r>
        <w:rPr>
          <w:rFonts w:hint="eastAsia" w:ascii="宋体" w:hAnsi="宋体" w:cs="宋体"/>
          <w:sz w:val="24"/>
          <w:szCs w:val="24"/>
          <w:lang w:eastAsia="zh-CN"/>
        </w:rPr>
        <w:t>采购人</w:t>
      </w:r>
      <w:r>
        <w:rPr>
          <w:rFonts w:hint="eastAsia" w:ascii="宋体" w:hAnsi="宋体" w:eastAsia="宋体" w:cs="宋体"/>
          <w:sz w:val="24"/>
          <w:szCs w:val="24"/>
        </w:rPr>
        <w:t>要求完成设备的具体设计；</w:t>
      </w:r>
    </w:p>
    <w:p>
      <w:pPr>
        <w:adjustRightInd w:val="0"/>
        <w:snapToGrid w:val="0"/>
        <w:spacing w:line="360" w:lineRule="auto"/>
        <w:ind w:right="-68" w:firstLine="448" w:firstLineChars="187"/>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.1.3提供详细构造图、设备样本和使用操作说明书；</w:t>
      </w:r>
    </w:p>
    <w:p>
      <w:pPr>
        <w:adjustRightInd w:val="0"/>
        <w:snapToGrid w:val="0"/>
        <w:spacing w:line="360" w:lineRule="auto"/>
        <w:ind w:right="-70" w:firstLine="448" w:firstLineChars="187"/>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.1.4按</w:t>
      </w:r>
      <w:r>
        <w:rPr>
          <w:rFonts w:hint="eastAsia" w:ascii="宋体" w:hAnsi="宋体" w:cs="宋体"/>
          <w:sz w:val="24"/>
          <w:szCs w:val="24"/>
          <w:lang w:eastAsia="zh-CN"/>
        </w:rPr>
        <w:t>采购人</w:t>
      </w:r>
      <w:r>
        <w:rPr>
          <w:rFonts w:hint="eastAsia" w:ascii="宋体" w:hAnsi="宋体" w:eastAsia="宋体" w:cs="宋体"/>
          <w:sz w:val="24"/>
          <w:szCs w:val="24"/>
        </w:rPr>
        <w:t>认可的设计方案和材料进行加工、制造、供货、安装、调试、验收；</w:t>
      </w:r>
    </w:p>
    <w:p>
      <w:pPr>
        <w:adjustRightInd w:val="0"/>
        <w:snapToGrid w:val="0"/>
        <w:spacing w:line="360" w:lineRule="auto"/>
        <w:ind w:right="-70" w:firstLine="448" w:firstLineChars="187"/>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.1.5 运输：</w:t>
      </w:r>
      <w:r>
        <w:rPr>
          <w:rFonts w:hint="eastAsia" w:ascii="宋体" w:hAnsi="宋体" w:cs="宋体"/>
          <w:sz w:val="24"/>
          <w:szCs w:val="24"/>
          <w:highlight w:val="none"/>
          <w:lang w:eastAsia="zh-CN"/>
        </w:rPr>
        <w:t>成交供应商</w:t>
      </w:r>
      <w:r>
        <w:rPr>
          <w:rFonts w:hint="eastAsia" w:ascii="宋体" w:hAnsi="宋体" w:eastAsia="宋体" w:cs="宋体"/>
          <w:sz w:val="24"/>
          <w:szCs w:val="24"/>
        </w:rPr>
        <w:t>负责设备运输至建设工地，并负责卸货搬运；</w:t>
      </w:r>
    </w:p>
    <w:p>
      <w:pPr>
        <w:adjustRightInd w:val="0"/>
        <w:snapToGrid w:val="0"/>
        <w:spacing w:line="360" w:lineRule="auto"/>
        <w:ind w:right="-70" w:firstLine="448" w:firstLineChars="187"/>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.1.6 保管：</w:t>
      </w:r>
      <w:r>
        <w:rPr>
          <w:rFonts w:hint="eastAsia" w:ascii="宋体" w:hAnsi="宋体" w:cs="宋体"/>
          <w:sz w:val="24"/>
          <w:szCs w:val="24"/>
          <w:highlight w:val="none"/>
          <w:lang w:eastAsia="zh-CN"/>
        </w:rPr>
        <w:t>成交供应商</w:t>
      </w:r>
      <w:r>
        <w:rPr>
          <w:rFonts w:hint="eastAsia" w:ascii="宋体" w:hAnsi="宋体" w:eastAsia="宋体" w:cs="宋体"/>
          <w:sz w:val="24"/>
          <w:szCs w:val="24"/>
        </w:rPr>
        <w:t>负责到货设备的堆场、保管，场地自行解决。</w:t>
      </w:r>
    </w:p>
    <w:p>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6</w:t>
      </w:r>
      <w:r>
        <w:rPr>
          <w:rFonts w:hint="eastAsia" w:ascii="宋体" w:hAnsi="宋体" w:eastAsia="宋体" w:cs="宋体"/>
          <w:b/>
          <w:sz w:val="24"/>
          <w:szCs w:val="24"/>
        </w:rPr>
        <w:t>.2 设备的制造</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.2.1</w:t>
      </w:r>
      <w:r>
        <w:rPr>
          <w:rFonts w:hint="eastAsia" w:ascii="宋体" w:hAnsi="宋体" w:eastAsia="宋体" w:cs="宋体"/>
          <w:sz w:val="24"/>
          <w:szCs w:val="24"/>
          <w:lang w:eastAsia="zh-CN"/>
        </w:rPr>
        <w:t>供应商</w:t>
      </w:r>
      <w:r>
        <w:rPr>
          <w:rFonts w:hint="eastAsia" w:ascii="宋体" w:hAnsi="宋体" w:eastAsia="宋体" w:cs="宋体"/>
          <w:sz w:val="24"/>
          <w:szCs w:val="24"/>
        </w:rPr>
        <w:t>提供的设备是高品质的，技术要求也应该是最新的。</w:t>
      </w:r>
      <w:r>
        <w:rPr>
          <w:rFonts w:hint="eastAsia" w:ascii="宋体" w:hAnsi="宋体" w:eastAsia="宋体" w:cs="宋体"/>
          <w:sz w:val="24"/>
          <w:szCs w:val="24"/>
          <w:lang w:eastAsia="zh-CN"/>
        </w:rPr>
        <w:t>供应商</w:t>
      </w:r>
      <w:r>
        <w:rPr>
          <w:rFonts w:hint="eastAsia" w:ascii="宋体" w:hAnsi="宋体" w:eastAsia="宋体" w:cs="宋体"/>
          <w:sz w:val="24"/>
          <w:szCs w:val="24"/>
        </w:rPr>
        <w:t>提供的电梯设备应在噪音、振动、设备可靠性、性能等方面需符合国家最新标准和相应的国际标准。</w:t>
      </w:r>
    </w:p>
    <w:p>
      <w:pPr>
        <w:adjustRightInd w:val="0"/>
        <w:snapToGrid w:val="0"/>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lang w:val="en-US" w:eastAsia="zh-CN"/>
        </w:rPr>
        <w:t>6</w:t>
      </w:r>
      <w:r>
        <w:rPr>
          <w:rFonts w:hint="eastAsia" w:ascii="宋体" w:hAnsi="宋体" w:eastAsia="宋体" w:cs="宋体"/>
          <w:b/>
          <w:sz w:val="24"/>
          <w:szCs w:val="24"/>
        </w:rPr>
        <w:t>.2.</w:t>
      </w:r>
      <w:r>
        <w:rPr>
          <w:rFonts w:hint="eastAsia" w:ascii="宋体" w:hAnsi="宋体" w:eastAsia="宋体" w:cs="宋体"/>
          <w:b/>
          <w:sz w:val="24"/>
          <w:szCs w:val="24"/>
          <w:lang w:val="en-US" w:eastAsia="zh-CN"/>
        </w:rPr>
        <w:t>2</w:t>
      </w:r>
      <w:r>
        <w:rPr>
          <w:rFonts w:hint="eastAsia" w:ascii="宋体" w:hAnsi="宋体" w:eastAsia="宋体" w:cs="宋体"/>
          <w:b/>
          <w:sz w:val="24"/>
          <w:szCs w:val="24"/>
          <w:lang w:eastAsia="zh-CN"/>
        </w:rPr>
        <w:t>供应商</w:t>
      </w:r>
      <w:r>
        <w:rPr>
          <w:rFonts w:hint="eastAsia" w:ascii="宋体" w:hAnsi="宋体" w:eastAsia="宋体" w:cs="宋体"/>
          <w:b/>
          <w:sz w:val="24"/>
          <w:szCs w:val="24"/>
        </w:rPr>
        <w:t>提供的产品应该是全新的、未曾使用过的。</w:t>
      </w:r>
    </w:p>
    <w:p>
      <w:pPr>
        <w:adjustRightInd w:val="0"/>
        <w:snapToGrid w:val="0"/>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lang w:val="en-US" w:eastAsia="zh-CN"/>
        </w:rPr>
        <w:t>6</w:t>
      </w:r>
      <w:r>
        <w:rPr>
          <w:rFonts w:hint="eastAsia" w:ascii="宋体" w:hAnsi="宋体" w:eastAsia="宋体" w:cs="宋体"/>
          <w:b/>
          <w:sz w:val="24"/>
          <w:szCs w:val="24"/>
        </w:rPr>
        <w:t>.2.</w:t>
      </w:r>
      <w:r>
        <w:rPr>
          <w:rFonts w:hint="eastAsia" w:ascii="宋体" w:hAnsi="宋体" w:eastAsia="宋体" w:cs="宋体"/>
          <w:b/>
          <w:sz w:val="24"/>
          <w:szCs w:val="24"/>
          <w:lang w:val="en-US" w:eastAsia="zh-CN"/>
        </w:rPr>
        <w:t>3</w:t>
      </w:r>
      <w:r>
        <w:rPr>
          <w:rFonts w:hint="eastAsia" w:ascii="宋体" w:hAnsi="宋体" w:eastAsia="宋体" w:cs="宋体"/>
          <w:sz w:val="24"/>
          <w:szCs w:val="24"/>
        </w:rPr>
        <w:t>设备的各个部件须防火、耐压、耐用、漏电保护，易清洗及易维修，并符合有关规定。</w:t>
      </w:r>
    </w:p>
    <w:p>
      <w:pPr>
        <w:adjustRightInd w:val="0"/>
        <w:snapToGrid w:val="0"/>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lang w:val="en-US" w:eastAsia="zh-CN"/>
        </w:rPr>
        <w:t>6</w:t>
      </w:r>
      <w:r>
        <w:rPr>
          <w:rFonts w:hint="eastAsia" w:ascii="宋体" w:hAnsi="宋体" w:eastAsia="宋体" w:cs="宋体"/>
          <w:b/>
          <w:sz w:val="24"/>
          <w:szCs w:val="24"/>
        </w:rPr>
        <w:t>.2.</w:t>
      </w:r>
      <w:r>
        <w:rPr>
          <w:rFonts w:hint="eastAsia" w:ascii="宋体" w:hAnsi="宋体" w:eastAsia="宋体" w:cs="宋体"/>
          <w:b/>
          <w:sz w:val="24"/>
          <w:szCs w:val="24"/>
          <w:lang w:val="en-US" w:eastAsia="zh-CN"/>
        </w:rPr>
        <w:t>4</w:t>
      </w:r>
      <w:r>
        <w:rPr>
          <w:rFonts w:hint="eastAsia" w:ascii="宋体" w:hAnsi="宋体" w:eastAsia="宋体" w:cs="宋体"/>
          <w:b/>
          <w:sz w:val="24"/>
          <w:szCs w:val="24"/>
        </w:rPr>
        <w:t>制造监制</w:t>
      </w:r>
      <w:r>
        <w:rPr>
          <w:rFonts w:hint="eastAsia" w:ascii="宋体" w:hAnsi="宋体" w:cs="宋体"/>
          <w:b/>
          <w:sz w:val="24"/>
          <w:szCs w:val="24"/>
          <w:lang w:val="en-US" w:eastAsia="zh-CN"/>
        </w:rPr>
        <w:t xml:space="preserve"> </w:t>
      </w:r>
      <w:r>
        <w:rPr>
          <w:rFonts w:hint="eastAsia" w:ascii="宋体" w:hAnsi="宋体" w:eastAsia="宋体" w:cs="宋体"/>
          <w:sz w:val="24"/>
          <w:szCs w:val="24"/>
        </w:rPr>
        <w:t>在设备制造期间，</w:t>
      </w:r>
      <w:r>
        <w:rPr>
          <w:rFonts w:hint="eastAsia" w:ascii="宋体" w:hAnsi="宋体" w:cs="宋体"/>
          <w:sz w:val="24"/>
          <w:szCs w:val="24"/>
          <w:lang w:eastAsia="zh-CN"/>
        </w:rPr>
        <w:t>采购人</w:t>
      </w:r>
      <w:r>
        <w:rPr>
          <w:rFonts w:hint="eastAsia" w:ascii="宋体" w:hAnsi="宋体" w:eastAsia="宋体" w:cs="宋体"/>
          <w:sz w:val="24"/>
          <w:szCs w:val="24"/>
        </w:rPr>
        <w:t>有权在适当的时间到制造厂进行监造，在监造期间，制造商有责任提供有关设备包括各种数据，设备结构图和部件图的详细中文资料。但</w:t>
      </w:r>
      <w:r>
        <w:rPr>
          <w:rFonts w:hint="eastAsia" w:ascii="宋体" w:hAnsi="宋体" w:cs="宋体"/>
          <w:sz w:val="24"/>
          <w:szCs w:val="24"/>
          <w:lang w:eastAsia="zh-CN"/>
        </w:rPr>
        <w:t>采购人</w:t>
      </w:r>
      <w:r>
        <w:rPr>
          <w:rFonts w:hint="eastAsia" w:ascii="宋体" w:hAnsi="宋体" w:eastAsia="宋体" w:cs="宋体"/>
          <w:sz w:val="24"/>
          <w:szCs w:val="24"/>
        </w:rPr>
        <w:t>的监造并不解除制造商对所有产品在制造质量上应负的全部责任。</w:t>
      </w:r>
    </w:p>
    <w:p>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6</w:t>
      </w:r>
      <w:r>
        <w:rPr>
          <w:rFonts w:hint="eastAsia" w:ascii="宋体" w:hAnsi="宋体" w:eastAsia="宋体" w:cs="宋体"/>
          <w:b/>
          <w:sz w:val="24"/>
          <w:szCs w:val="24"/>
        </w:rPr>
        <w:t>.3设备的防护、包装及运输</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.3.1设备的防护及油漆。设备内、外表面应洁净，油漆表面应光洁，无折皱和剥落。</w:t>
      </w:r>
    </w:p>
    <w:p>
      <w:pPr>
        <w:adjustRightInd w:val="0"/>
        <w:snapToGrid w:val="0"/>
        <w:spacing w:line="360" w:lineRule="auto"/>
        <w:ind w:right="-86" w:rightChars="-41"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.3.2所有设备应合理、有效包装，以使其有效防止各种损坏，如受潮、受热、 剥落、腐蚀、变形等。</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3.3对不油漆且易磨损的零件应涂上高熔点或脂肪酸或其他保护功能的油脂以得到保护，并得到妥善包装后固定。机组所有开口处应封闭保护，以防止在运输人搬运途中异物进入。电动机、控制中心、排气装置和机组的控制器等均应加保护罩。</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.3.4随机的零部件、备品备件等散件应木箱包装。这些箱盒应适合于储存，储存年限应在包装上予以说明。</w:t>
      </w:r>
    </w:p>
    <w:p>
      <w:pPr>
        <w:adjustRightInd w:val="0"/>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lang w:val="en-US" w:eastAsia="zh-CN"/>
        </w:rPr>
        <w:t>6</w:t>
      </w:r>
      <w:r>
        <w:rPr>
          <w:rFonts w:hint="eastAsia" w:ascii="宋体" w:hAnsi="宋体" w:eastAsia="宋体" w:cs="宋体"/>
          <w:b/>
          <w:sz w:val="24"/>
          <w:szCs w:val="24"/>
        </w:rPr>
        <w:t>.3.5设备的包装费应包括在</w:t>
      </w:r>
      <w:r>
        <w:rPr>
          <w:rFonts w:hint="eastAsia" w:ascii="宋体" w:hAnsi="宋体" w:cs="宋体"/>
          <w:b/>
          <w:sz w:val="24"/>
          <w:szCs w:val="24"/>
          <w:lang w:eastAsia="zh-CN"/>
        </w:rPr>
        <w:t>磋商</w:t>
      </w:r>
      <w:r>
        <w:rPr>
          <w:rFonts w:hint="eastAsia" w:ascii="宋体" w:hAnsi="宋体" w:eastAsia="宋体" w:cs="宋体"/>
          <w:b/>
          <w:sz w:val="24"/>
          <w:szCs w:val="24"/>
        </w:rPr>
        <w:t>总价中，这些包装材料应属于</w:t>
      </w:r>
      <w:r>
        <w:rPr>
          <w:rFonts w:hint="eastAsia" w:ascii="宋体" w:hAnsi="宋体" w:cs="宋体"/>
          <w:b/>
          <w:sz w:val="24"/>
          <w:szCs w:val="24"/>
          <w:lang w:eastAsia="zh-CN"/>
        </w:rPr>
        <w:t>采购人</w:t>
      </w:r>
      <w:r>
        <w:rPr>
          <w:rFonts w:hint="eastAsia" w:ascii="宋体" w:hAnsi="宋体" w:eastAsia="宋体" w:cs="宋体"/>
          <w:b/>
          <w:sz w:val="24"/>
          <w:szCs w:val="24"/>
        </w:rPr>
        <w:t>所有</w:t>
      </w:r>
      <w:r>
        <w:rPr>
          <w:rFonts w:hint="eastAsia" w:ascii="宋体" w:hAnsi="宋体" w:eastAsia="宋体" w:cs="宋体"/>
          <w:sz w:val="24"/>
          <w:szCs w:val="24"/>
        </w:rPr>
        <w:t>。</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3.6在包装箱中，应附有产品合格证书（包括机组合格证、部件合格证、材料合格证等）、产品说明书、装箱单、易损件备件及专用工具清单，一套完整的经批准的图纸及有关技术文件资料。包装箱外面应注明数量、设备名称、编号、起吊位置、警示标志、外形尺寸、毛重等。所有文字应为中文或中、英文两种。以中文为准。</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.3.7</w:t>
      </w:r>
      <w:r>
        <w:rPr>
          <w:rFonts w:hint="eastAsia" w:ascii="宋体" w:hAnsi="宋体" w:eastAsia="宋体" w:cs="宋体"/>
          <w:sz w:val="24"/>
          <w:szCs w:val="24"/>
          <w:lang w:eastAsia="zh-CN"/>
        </w:rPr>
        <w:t>供应商</w:t>
      </w:r>
      <w:r>
        <w:rPr>
          <w:rFonts w:hint="eastAsia" w:ascii="宋体" w:hAnsi="宋体" w:eastAsia="宋体" w:cs="宋体"/>
          <w:sz w:val="24"/>
          <w:szCs w:val="24"/>
        </w:rPr>
        <w:t>应对设备的整个交货过程负责，包括运输、装卸、安装调试、装潢的安全。</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.3.8随包装箱携带的文件、资料应防潮密封，并放置在包装箱内明显处。</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.3.9</w:t>
      </w:r>
      <w:r>
        <w:rPr>
          <w:rFonts w:hint="eastAsia" w:ascii="宋体" w:hAnsi="宋体" w:eastAsia="宋体" w:cs="宋体"/>
          <w:sz w:val="24"/>
          <w:szCs w:val="24"/>
          <w:lang w:eastAsia="zh-CN"/>
        </w:rPr>
        <w:t>供应商</w:t>
      </w:r>
      <w:r>
        <w:rPr>
          <w:rFonts w:hint="eastAsia" w:ascii="宋体" w:hAnsi="宋体" w:eastAsia="宋体" w:cs="宋体"/>
          <w:sz w:val="24"/>
          <w:szCs w:val="24"/>
        </w:rPr>
        <w:t>应对设备国内运输、国内仓储和安装短驳做出详细计划。</w:t>
      </w:r>
    </w:p>
    <w:p>
      <w:pPr>
        <w:adjustRightInd w:val="0"/>
        <w:snapToGrid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.3.10</w:t>
      </w:r>
      <w:r>
        <w:rPr>
          <w:rFonts w:hint="eastAsia" w:ascii="宋体" w:hAnsi="宋体" w:eastAsia="宋体" w:cs="宋体"/>
          <w:sz w:val="24"/>
          <w:szCs w:val="24"/>
          <w:lang w:eastAsia="zh-CN"/>
        </w:rPr>
        <w:t>供应商</w:t>
      </w:r>
      <w:r>
        <w:rPr>
          <w:rFonts w:hint="eastAsia" w:ascii="宋体" w:hAnsi="宋体" w:eastAsia="宋体" w:cs="宋体"/>
          <w:sz w:val="24"/>
          <w:szCs w:val="24"/>
        </w:rPr>
        <w:t>应对</w:t>
      </w:r>
      <w:r>
        <w:rPr>
          <w:rFonts w:hint="eastAsia" w:ascii="宋体" w:hAnsi="宋体" w:cs="宋体"/>
          <w:sz w:val="24"/>
          <w:szCs w:val="24"/>
          <w:lang w:eastAsia="zh-CN"/>
        </w:rPr>
        <w:t>采购人</w:t>
      </w:r>
      <w:r>
        <w:rPr>
          <w:rFonts w:hint="eastAsia" w:ascii="宋体" w:hAnsi="宋体" w:eastAsia="宋体" w:cs="宋体"/>
          <w:sz w:val="24"/>
          <w:szCs w:val="24"/>
        </w:rPr>
        <w:t>施工现场提供的临时仓储条件做出明确详细的要求。</w:t>
      </w:r>
    </w:p>
    <w:p>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6</w:t>
      </w:r>
      <w:r>
        <w:rPr>
          <w:rFonts w:hint="eastAsia" w:ascii="宋体" w:hAnsi="宋体" w:eastAsia="宋体" w:cs="宋体"/>
          <w:b/>
          <w:sz w:val="24"/>
          <w:szCs w:val="24"/>
        </w:rPr>
        <w:t>.4到货验收</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.4.1在所供设备到工地时，需买卖双方协同监理单位共同验收。若发现任何损坏及质量问题，</w:t>
      </w:r>
      <w:r>
        <w:rPr>
          <w:rFonts w:hint="eastAsia" w:ascii="宋体" w:hAnsi="宋体" w:eastAsia="宋体" w:cs="宋体"/>
          <w:sz w:val="24"/>
          <w:szCs w:val="24"/>
          <w:lang w:eastAsia="zh-CN"/>
        </w:rPr>
        <w:t>供应商</w:t>
      </w:r>
      <w:r>
        <w:rPr>
          <w:rFonts w:hint="eastAsia" w:ascii="宋体" w:hAnsi="宋体" w:eastAsia="宋体" w:cs="宋体"/>
          <w:sz w:val="24"/>
          <w:szCs w:val="24"/>
        </w:rPr>
        <w:t>应负责更换零件，并妥善处理直至</w:t>
      </w:r>
      <w:r>
        <w:rPr>
          <w:rFonts w:hint="eastAsia" w:ascii="宋体" w:hAnsi="宋体" w:cs="宋体"/>
          <w:sz w:val="24"/>
          <w:szCs w:val="24"/>
          <w:lang w:eastAsia="zh-CN"/>
        </w:rPr>
        <w:t>采购人</w:t>
      </w:r>
      <w:r>
        <w:rPr>
          <w:rFonts w:hint="eastAsia" w:ascii="宋体" w:hAnsi="宋体" w:eastAsia="宋体" w:cs="宋体"/>
          <w:sz w:val="24"/>
          <w:szCs w:val="24"/>
        </w:rPr>
        <w:t>满意。</w:t>
      </w:r>
      <w:r>
        <w:rPr>
          <w:rFonts w:hint="eastAsia" w:ascii="宋体" w:hAnsi="宋体" w:eastAsia="宋体" w:cs="宋体"/>
          <w:bCs/>
          <w:sz w:val="24"/>
          <w:szCs w:val="24"/>
        </w:rPr>
        <w:t>此检验费需纳入投标总价。</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.4.2在建设单位工地少量的临时存放场地由</w:t>
      </w:r>
      <w:r>
        <w:rPr>
          <w:rFonts w:hint="eastAsia" w:ascii="宋体" w:hAnsi="宋体" w:cs="宋体"/>
          <w:sz w:val="24"/>
          <w:szCs w:val="24"/>
          <w:lang w:eastAsia="zh-CN"/>
        </w:rPr>
        <w:t>采购人</w:t>
      </w:r>
      <w:r>
        <w:rPr>
          <w:rFonts w:hint="eastAsia" w:ascii="宋体" w:hAnsi="宋体" w:eastAsia="宋体" w:cs="宋体"/>
          <w:sz w:val="24"/>
          <w:szCs w:val="24"/>
        </w:rPr>
        <w:t>协调，但</w:t>
      </w:r>
      <w:r>
        <w:rPr>
          <w:rFonts w:hint="eastAsia" w:ascii="宋体" w:hAnsi="宋体" w:eastAsia="宋体" w:cs="宋体"/>
          <w:sz w:val="24"/>
          <w:szCs w:val="24"/>
          <w:lang w:eastAsia="zh-CN"/>
        </w:rPr>
        <w:t>供应商</w:t>
      </w:r>
      <w:r>
        <w:rPr>
          <w:rFonts w:hint="eastAsia" w:ascii="宋体" w:hAnsi="宋体" w:eastAsia="宋体" w:cs="宋体"/>
          <w:sz w:val="24"/>
          <w:szCs w:val="24"/>
        </w:rPr>
        <w:t>应负责看管。</w:t>
      </w:r>
    </w:p>
    <w:p>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6</w:t>
      </w:r>
      <w:r>
        <w:rPr>
          <w:rFonts w:hint="eastAsia" w:ascii="宋体" w:hAnsi="宋体" w:eastAsia="宋体" w:cs="宋体"/>
          <w:b/>
          <w:sz w:val="24"/>
          <w:szCs w:val="24"/>
        </w:rPr>
        <w:t>.5 安装调试</w:t>
      </w:r>
    </w:p>
    <w:p>
      <w:pPr>
        <w:adjustRightInd w:val="0"/>
        <w:snapToGrid w:val="0"/>
        <w:spacing w:line="360" w:lineRule="auto"/>
        <w:ind w:right="-357" w:rightChars="-17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.5.1安装单位</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（1）安装工作由具有国家质量检验检疫总局颁发</w:t>
      </w:r>
      <w:r>
        <w:rPr>
          <w:rFonts w:hint="eastAsia" w:ascii="宋体" w:hAnsi="宋体" w:eastAsia="宋体" w:cs="宋体"/>
          <w:sz w:val="24"/>
          <w:szCs w:val="24"/>
          <w:highlight w:val="none"/>
        </w:rPr>
        <w:t>的</w:t>
      </w:r>
      <w:r>
        <w:rPr>
          <w:rFonts w:hint="eastAsia" w:ascii="宋体" w:hAnsi="宋体" w:eastAsia="宋体" w:cs="宋体"/>
          <w:b/>
          <w:kern w:val="0"/>
          <w:sz w:val="24"/>
          <w:szCs w:val="24"/>
          <w:highlight w:val="none"/>
          <w:lang w:bidi="ar-SA"/>
        </w:rPr>
        <w:t>《特种设备安装改造维修许可证（电梯）》</w:t>
      </w:r>
      <w:r>
        <w:rPr>
          <w:rFonts w:hint="eastAsia" w:ascii="宋体" w:hAnsi="宋体" w:cs="宋体"/>
          <w:b/>
          <w:kern w:val="0"/>
          <w:sz w:val="24"/>
          <w:szCs w:val="24"/>
          <w:highlight w:val="none"/>
          <w:lang w:val="en-US" w:eastAsia="zh-CN" w:bidi="ar-SA"/>
        </w:rPr>
        <w:t>A</w:t>
      </w:r>
      <w:r>
        <w:rPr>
          <w:rFonts w:hint="eastAsia" w:ascii="宋体" w:hAnsi="宋体" w:eastAsia="宋体" w:cs="宋体"/>
          <w:b/>
          <w:kern w:val="0"/>
          <w:sz w:val="24"/>
          <w:szCs w:val="24"/>
          <w:highlight w:val="none"/>
          <w:lang w:bidi="ar-SA"/>
        </w:rPr>
        <w:t>级证书及以上</w:t>
      </w:r>
      <w:r>
        <w:rPr>
          <w:rFonts w:hint="eastAsia" w:ascii="宋体" w:hAnsi="宋体" w:eastAsia="宋体" w:cs="宋体"/>
          <w:sz w:val="24"/>
          <w:szCs w:val="24"/>
          <w:highlight w:val="none"/>
        </w:rPr>
        <w:t>资质的单位进行。</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.5.2安装计划</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highlight w:val="none"/>
          <w:lang w:eastAsia="zh-CN"/>
        </w:rPr>
        <w:t>成交供应商</w:t>
      </w:r>
      <w:r>
        <w:rPr>
          <w:rFonts w:hint="eastAsia" w:ascii="宋体" w:hAnsi="宋体" w:eastAsia="宋体" w:cs="宋体"/>
          <w:sz w:val="24"/>
          <w:szCs w:val="24"/>
        </w:rPr>
        <w:t>须提供与工程建设总进度相适应的安装计划，并须由</w:t>
      </w:r>
      <w:r>
        <w:rPr>
          <w:rFonts w:hint="eastAsia" w:ascii="宋体" w:hAnsi="宋体" w:cs="宋体"/>
          <w:sz w:val="24"/>
          <w:szCs w:val="24"/>
          <w:lang w:eastAsia="zh-CN"/>
        </w:rPr>
        <w:t>采购人</w:t>
      </w:r>
      <w:r>
        <w:rPr>
          <w:rFonts w:hint="eastAsia" w:ascii="宋体" w:hAnsi="宋体" w:eastAsia="宋体" w:cs="宋体"/>
          <w:sz w:val="24"/>
          <w:szCs w:val="24"/>
        </w:rPr>
        <w:t>认可。安装小组人员数量必须满足工期要求，确保验收通过并移交</w:t>
      </w:r>
      <w:r>
        <w:rPr>
          <w:rFonts w:hint="eastAsia" w:ascii="宋体" w:hAnsi="宋体" w:cs="宋体"/>
          <w:sz w:val="24"/>
          <w:szCs w:val="24"/>
          <w:lang w:eastAsia="zh-CN"/>
        </w:rPr>
        <w:t>采购人</w:t>
      </w:r>
      <w:r>
        <w:rPr>
          <w:rFonts w:hint="eastAsia" w:ascii="宋体" w:hAnsi="宋体" w:eastAsia="宋体" w:cs="宋体"/>
          <w:sz w:val="24"/>
          <w:szCs w:val="24"/>
        </w:rPr>
        <w:t>。</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（2）安装计划制定后，安装单位联系电梯质监部门，进行安装申报。</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.5.3其它</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（1）本次招标设备的安装需要确保安装一次验收合格，</w:t>
      </w:r>
      <w:r>
        <w:rPr>
          <w:rFonts w:hint="eastAsia" w:ascii="宋体" w:hAnsi="宋体" w:cs="宋体"/>
          <w:sz w:val="24"/>
          <w:szCs w:val="24"/>
          <w:highlight w:val="none"/>
          <w:lang w:eastAsia="zh-CN"/>
        </w:rPr>
        <w:t>成交供应商</w:t>
      </w:r>
      <w:r>
        <w:rPr>
          <w:rFonts w:hint="eastAsia" w:ascii="宋体" w:hAnsi="宋体" w:eastAsia="宋体" w:cs="宋体"/>
          <w:sz w:val="24"/>
          <w:szCs w:val="24"/>
        </w:rPr>
        <w:t>应承担因报验而发生的一切费用。</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highlight w:val="none"/>
          <w:lang w:eastAsia="zh-CN"/>
        </w:rPr>
        <w:t>成交供应商</w:t>
      </w:r>
      <w:r>
        <w:rPr>
          <w:rFonts w:hint="eastAsia" w:ascii="宋体" w:hAnsi="宋体" w:eastAsia="宋体" w:cs="宋体"/>
          <w:sz w:val="24"/>
          <w:szCs w:val="24"/>
        </w:rPr>
        <w:t>应提供安装调试、负责进行电气、机械设备维修、操作及对操作、维护人员的培训。</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（3）设备安装施工安全及未交</w:t>
      </w:r>
      <w:r>
        <w:rPr>
          <w:rFonts w:hint="eastAsia" w:ascii="宋体" w:hAnsi="宋体" w:cs="宋体"/>
          <w:sz w:val="24"/>
          <w:szCs w:val="24"/>
          <w:lang w:eastAsia="zh-CN"/>
        </w:rPr>
        <w:t>采购人</w:t>
      </w:r>
      <w:r>
        <w:rPr>
          <w:rFonts w:hint="eastAsia" w:ascii="宋体" w:hAnsi="宋体" w:eastAsia="宋体" w:cs="宋体"/>
          <w:sz w:val="24"/>
          <w:szCs w:val="24"/>
        </w:rPr>
        <w:t>前的一切设备材料、成品保护由</w:t>
      </w:r>
      <w:r>
        <w:rPr>
          <w:rFonts w:hint="eastAsia" w:ascii="宋体" w:hAnsi="宋体" w:cs="宋体"/>
          <w:sz w:val="24"/>
          <w:szCs w:val="24"/>
          <w:highlight w:val="none"/>
          <w:lang w:eastAsia="zh-CN"/>
        </w:rPr>
        <w:t>成交供应商</w:t>
      </w:r>
      <w:r>
        <w:rPr>
          <w:rFonts w:hint="eastAsia" w:ascii="宋体" w:hAnsi="宋体" w:eastAsia="宋体" w:cs="宋体"/>
          <w:sz w:val="24"/>
          <w:szCs w:val="24"/>
        </w:rPr>
        <w:t>负责。</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highlight w:val="none"/>
          <w:lang w:eastAsia="zh-CN"/>
        </w:rPr>
        <w:t>成交供应商</w:t>
      </w:r>
      <w:r>
        <w:rPr>
          <w:rFonts w:hint="eastAsia" w:ascii="宋体" w:hAnsi="宋体" w:eastAsia="宋体" w:cs="宋体"/>
          <w:sz w:val="24"/>
          <w:szCs w:val="24"/>
        </w:rPr>
        <w:t>在签订合同后14日天内要根据现场施工情况绘制施工图，并提供给</w:t>
      </w:r>
      <w:r>
        <w:rPr>
          <w:rFonts w:hint="eastAsia" w:ascii="宋体" w:hAnsi="宋体" w:cs="宋体"/>
          <w:sz w:val="24"/>
          <w:szCs w:val="24"/>
          <w:lang w:eastAsia="zh-CN"/>
        </w:rPr>
        <w:t>采购人</w:t>
      </w:r>
      <w:r>
        <w:rPr>
          <w:rFonts w:hint="eastAsia" w:ascii="宋体" w:hAnsi="宋体" w:eastAsia="宋体" w:cs="宋体"/>
          <w:sz w:val="24"/>
          <w:szCs w:val="24"/>
        </w:rPr>
        <w:t>予以确认，如因提供图纸有误，而造成的一切增加费用，由</w:t>
      </w:r>
      <w:r>
        <w:rPr>
          <w:rFonts w:hint="eastAsia" w:ascii="宋体" w:hAnsi="宋体" w:cs="宋体"/>
          <w:sz w:val="24"/>
          <w:szCs w:val="24"/>
          <w:highlight w:val="none"/>
          <w:lang w:eastAsia="zh-CN"/>
        </w:rPr>
        <w:t>成交供应商</w:t>
      </w:r>
      <w:r>
        <w:rPr>
          <w:rFonts w:hint="eastAsia" w:ascii="宋体" w:hAnsi="宋体" w:eastAsia="宋体" w:cs="宋体"/>
          <w:sz w:val="24"/>
          <w:szCs w:val="24"/>
        </w:rPr>
        <w:t>自负。已确定的井道尺寸不再调整，由</w:t>
      </w:r>
      <w:r>
        <w:rPr>
          <w:rFonts w:hint="eastAsia" w:ascii="宋体" w:hAnsi="宋体" w:cs="宋体"/>
          <w:sz w:val="24"/>
          <w:szCs w:val="24"/>
          <w:highlight w:val="none"/>
          <w:lang w:eastAsia="zh-CN"/>
        </w:rPr>
        <w:t>成交供应商</w:t>
      </w:r>
      <w:r>
        <w:rPr>
          <w:rFonts w:hint="eastAsia" w:ascii="宋体" w:hAnsi="宋体" w:eastAsia="宋体" w:cs="宋体"/>
          <w:sz w:val="24"/>
          <w:szCs w:val="24"/>
        </w:rPr>
        <w:t>自行考虑安装，有关费用包含在投标报价中。</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highlight w:val="none"/>
          <w:lang w:eastAsia="zh-CN"/>
        </w:rPr>
        <w:t>成交供应商</w:t>
      </w:r>
      <w:r>
        <w:rPr>
          <w:rFonts w:hint="eastAsia" w:ascii="宋体" w:hAnsi="宋体" w:eastAsia="宋体" w:cs="宋体"/>
          <w:sz w:val="24"/>
          <w:szCs w:val="24"/>
        </w:rPr>
        <w:t>根据工程进度要求，负责进行预埋件的预埋工作，相关费用由</w:t>
      </w:r>
      <w:r>
        <w:rPr>
          <w:rFonts w:hint="eastAsia" w:ascii="宋体" w:hAnsi="宋体" w:cs="宋体"/>
          <w:sz w:val="24"/>
          <w:szCs w:val="24"/>
          <w:highlight w:val="none"/>
          <w:lang w:eastAsia="zh-CN"/>
        </w:rPr>
        <w:t>成交供应商</w:t>
      </w:r>
      <w:r>
        <w:rPr>
          <w:rFonts w:hint="eastAsia" w:ascii="宋体" w:hAnsi="宋体" w:eastAsia="宋体" w:cs="宋体"/>
          <w:sz w:val="24"/>
          <w:szCs w:val="24"/>
        </w:rPr>
        <w:t>承担，已包括在合同总价中。</w:t>
      </w:r>
    </w:p>
    <w:p>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6</w:t>
      </w:r>
      <w:r>
        <w:rPr>
          <w:rFonts w:hint="eastAsia" w:ascii="宋体" w:hAnsi="宋体" w:eastAsia="宋体" w:cs="宋体"/>
          <w:b/>
          <w:sz w:val="24"/>
          <w:szCs w:val="24"/>
        </w:rPr>
        <w:t>.6 现场管理</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.6.1 现场安装须符合国家的相关条例，服从</w:t>
      </w:r>
      <w:r>
        <w:rPr>
          <w:rFonts w:hint="eastAsia" w:ascii="宋体" w:hAnsi="宋体" w:cs="宋体"/>
          <w:sz w:val="24"/>
          <w:szCs w:val="24"/>
          <w:lang w:eastAsia="zh-CN"/>
        </w:rPr>
        <w:t>采购人</w:t>
      </w:r>
      <w:r>
        <w:rPr>
          <w:rFonts w:hint="eastAsia" w:ascii="宋体" w:hAnsi="宋体" w:eastAsia="宋体" w:cs="宋体"/>
          <w:sz w:val="24"/>
          <w:szCs w:val="24"/>
        </w:rPr>
        <w:t>的管理及检查，</w:t>
      </w:r>
      <w:r>
        <w:rPr>
          <w:rFonts w:hint="eastAsia" w:ascii="宋体" w:hAnsi="宋体" w:cs="宋体"/>
          <w:sz w:val="24"/>
          <w:szCs w:val="24"/>
          <w:highlight w:val="none"/>
          <w:lang w:eastAsia="zh-CN"/>
        </w:rPr>
        <w:t>成交供应商</w:t>
      </w:r>
      <w:r>
        <w:rPr>
          <w:rFonts w:hint="eastAsia" w:ascii="宋体" w:hAnsi="宋体" w:eastAsia="宋体" w:cs="宋体"/>
          <w:sz w:val="24"/>
          <w:szCs w:val="24"/>
        </w:rPr>
        <w:t>须派工程师负责安装监督，并需在安装期内提交安装的工作报告。</w:t>
      </w:r>
      <w:r>
        <w:rPr>
          <w:rFonts w:hint="eastAsia" w:ascii="宋体" w:hAnsi="宋体" w:cs="宋体"/>
          <w:sz w:val="24"/>
          <w:szCs w:val="24"/>
          <w:lang w:eastAsia="zh-CN"/>
        </w:rPr>
        <w:t>采购人</w:t>
      </w:r>
      <w:r>
        <w:rPr>
          <w:rFonts w:hint="eastAsia" w:ascii="宋体" w:hAnsi="宋体" w:eastAsia="宋体" w:cs="宋体"/>
          <w:sz w:val="24"/>
          <w:szCs w:val="24"/>
        </w:rPr>
        <w:t>保留有变更人员的权力。</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.6.2 如因</w:t>
      </w:r>
      <w:r>
        <w:rPr>
          <w:rFonts w:hint="eastAsia" w:ascii="宋体" w:hAnsi="宋体" w:cs="宋体"/>
          <w:sz w:val="24"/>
          <w:szCs w:val="24"/>
          <w:highlight w:val="none"/>
          <w:lang w:eastAsia="zh-CN"/>
        </w:rPr>
        <w:t>成交供应商</w:t>
      </w:r>
      <w:r>
        <w:rPr>
          <w:rFonts w:hint="eastAsia" w:ascii="宋体" w:hAnsi="宋体" w:eastAsia="宋体" w:cs="宋体"/>
          <w:sz w:val="24"/>
          <w:szCs w:val="24"/>
        </w:rPr>
        <w:t>原因在安装期间出现安全事故，应由</w:t>
      </w:r>
      <w:r>
        <w:rPr>
          <w:rFonts w:hint="eastAsia" w:ascii="宋体" w:hAnsi="宋体" w:cs="宋体"/>
          <w:sz w:val="24"/>
          <w:szCs w:val="24"/>
          <w:highlight w:val="none"/>
          <w:lang w:eastAsia="zh-CN"/>
        </w:rPr>
        <w:t>成交供应商</w:t>
      </w:r>
      <w:r>
        <w:rPr>
          <w:rFonts w:hint="eastAsia" w:ascii="宋体" w:hAnsi="宋体" w:eastAsia="宋体" w:cs="宋体"/>
          <w:sz w:val="24"/>
          <w:szCs w:val="24"/>
        </w:rPr>
        <w:t>承担由此而引起的全部损失。</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.6.3保证设备在安装起吊、运输过程中的安全。</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导轨在运输、装卸和吊装过程中的须做好防变形措施。在安装期间，</w:t>
      </w:r>
      <w:r>
        <w:rPr>
          <w:rFonts w:hint="eastAsia" w:ascii="宋体" w:hAnsi="宋体" w:cs="宋体"/>
          <w:sz w:val="24"/>
          <w:szCs w:val="24"/>
          <w:highlight w:val="none"/>
          <w:lang w:eastAsia="zh-CN"/>
        </w:rPr>
        <w:t>成交供应商</w:t>
      </w:r>
      <w:r>
        <w:rPr>
          <w:rFonts w:hint="eastAsia" w:ascii="宋体" w:hAnsi="宋体" w:eastAsia="宋体" w:cs="宋体"/>
          <w:sz w:val="24"/>
          <w:szCs w:val="24"/>
        </w:rPr>
        <w:t>负责安装中需要的起重、运输所需辅助设备，所有这些设备都须符合安全作业要求。</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.6.4在工地的建设活动中，</w:t>
      </w:r>
      <w:r>
        <w:rPr>
          <w:rFonts w:hint="eastAsia" w:ascii="宋体" w:hAnsi="宋体" w:cs="宋体"/>
          <w:sz w:val="24"/>
          <w:szCs w:val="24"/>
          <w:highlight w:val="none"/>
          <w:lang w:eastAsia="zh-CN"/>
        </w:rPr>
        <w:t>成交供应商</w:t>
      </w:r>
      <w:r>
        <w:rPr>
          <w:rFonts w:hint="eastAsia" w:ascii="宋体" w:hAnsi="宋体" w:eastAsia="宋体" w:cs="宋体"/>
          <w:sz w:val="24"/>
          <w:szCs w:val="24"/>
        </w:rPr>
        <w:t>有责任与监理单位、土建单位及其它供应商保持联系和合作。此责任应包括所有为了开展工作切实有效，所需的交换和提供数据、标准和资料等工作。</w:t>
      </w:r>
      <w:r>
        <w:rPr>
          <w:rFonts w:hint="eastAsia" w:ascii="宋体" w:hAnsi="宋体" w:cs="宋体"/>
          <w:sz w:val="24"/>
          <w:szCs w:val="24"/>
          <w:highlight w:val="none"/>
          <w:lang w:eastAsia="zh-CN"/>
        </w:rPr>
        <w:t>成交供应商</w:t>
      </w:r>
      <w:r>
        <w:rPr>
          <w:rFonts w:hint="eastAsia" w:ascii="宋体" w:hAnsi="宋体" w:eastAsia="宋体" w:cs="宋体"/>
          <w:sz w:val="24"/>
          <w:szCs w:val="24"/>
        </w:rPr>
        <w:t>须与总包单位签署总分包配合协议。</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.6.5</w:t>
      </w:r>
      <w:r>
        <w:rPr>
          <w:rFonts w:hint="eastAsia" w:ascii="宋体" w:hAnsi="宋体" w:cs="宋体"/>
          <w:sz w:val="24"/>
          <w:szCs w:val="24"/>
          <w:highlight w:val="none"/>
          <w:lang w:eastAsia="zh-CN"/>
        </w:rPr>
        <w:t>成交供应商</w:t>
      </w:r>
      <w:r>
        <w:rPr>
          <w:rFonts w:hint="eastAsia" w:ascii="宋体" w:hAnsi="宋体" w:eastAsia="宋体" w:cs="宋体"/>
          <w:sz w:val="24"/>
          <w:szCs w:val="24"/>
        </w:rPr>
        <w:t>须参加监理单位要求其参加的所有现场工程例会，并接受监理单位的统一管理，遵守工地的安全和建筑规定。</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.6.6</w:t>
      </w:r>
      <w:r>
        <w:rPr>
          <w:rFonts w:hint="eastAsia" w:ascii="宋体" w:hAnsi="宋体" w:cs="宋体"/>
          <w:sz w:val="24"/>
          <w:szCs w:val="24"/>
          <w:highlight w:val="none"/>
          <w:lang w:eastAsia="zh-CN"/>
        </w:rPr>
        <w:t>成交供应商</w:t>
      </w:r>
      <w:r>
        <w:rPr>
          <w:rFonts w:hint="eastAsia" w:ascii="宋体" w:hAnsi="宋体" w:eastAsia="宋体" w:cs="宋体"/>
          <w:sz w:val="24"/>
          <w:szCs w:val="24"/>
        </w:rPr>
        <w:t>应与所有相关的部门相联系，获得相关认可，以便设备能及时投入服务。</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.6.7</w:t>
      </w:r>
      <w:r>
        <w:rPr>
          <w:rFonts w:hint="eastAsia" w:ascii="宋体" w:hAnsi="宋体" w:cs="宋体"/>
          <w:sz w:val="24"/>
          <w:szCs w:val="24"/>
          <w:highlight w:val="none"/>
          <w:lang w:eastAsia="zh-CN"/>
        </w:rPr>
        <w:t>成交供应商</w:t>
      </w:r>
      <w:r>
        <w:rPr>
          <w:rFonts w:hint="eastAsia" w:ascii="宋体" w:hAnsi="宋体" w:eastAsia="宋体" w:cs="宋体"/>
          <w:sz w:val="24"/>
          <w:szCs w:val="24"/>
        </w:rPr>
        <w:t>应遵守有关部门的管理，并遵照相关的规定。</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.6.8</w:t>
      </w:r>
      <w:r>
        <w:rPr>
          <w:rFonts w:hint="eastAsia" w:ascii="宋体" w:hAnsi="宋体" w:cs="宋体"/>
          <w:sz w:val="24"/>
          <w:szCs w:val="24"/>
          <w:highlight w:val="none"/>
          <w:lang w:eastAsia="zh-CN"/>
        </w:rPr>
        <w:t>成交供应商</w:t>
      </w:r>
      <w:r>
        <w:rPr>
          <w:rFonts w:hint="eastAsia" w:ascii="宋体" w:hAnsi="宋体" w:eastAsia="宋体" w:cs="宋体"/>
          <w:sz w:val="24"/>
          <w:szCs w:val="24"/>
        </w:rPr>
        <w:t>应准备相关文件，包括上面提及部门认可所需的图纸。</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.6.9由于工程进度和正式使用的不同需求，</w:t>
      </w:r>
      <w:r>
        <w:rPr>
          <w:rFonts w:hint="eastAsia" w:ascii="宋体" w:hAnsi="宋体" w:cs="宋体"/>
          <w:sz w:val="24"/>
          <w:szCs w:val="24"/>
          <w:highlight w:val="none"/>
          <w:lang w:eastAsia="zh-CN"/>
        </w:rPr>
        <w:t>成交供应商</w:t>
      </w:r>
      <w:r>
        <w:rPr>
          <w:rFonts w:hint="eastAsia" w:ascii="宋体" w:hAnsi="宋体" w:eastAsia="宋体" w:cs="宋体"/>
          <w:sz w:val="24"/>
          <w:szCs w:val="24"/>
        </w:rPr>
        <w:t>有责任对提前投入使用的电梯做好保护措施。</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.6.10 所使用的辅助材料（如井道内照明灯、钢梁等未明确的材料）提供质保单或检验单，并经</w:t>
      </w:r>
      <w:r>
        <w:rPr>
          <w:rFonts w:hint="eastAsia" w:ascii="宋体" w:hAnsi="宋体" w:cs="宋体"/>
          <w:sz w:val="24"/>
          <w:szCs w:val="24"/>
          <w:lang w:eastAsia="zh-CN"/>
        </w:rPr>
        <w:t>采购人</w:t>
      </w:r>
      <w:r>
        <w:rPr>
          <w:rFonts w:hint="eastAsia" w:ascii="宋体" w:hAnsi="宋体" w:eastAsia="宋体" w:cs="宋体"/>
          <w:sz w:val="24"/>
          <w:szCs w:val="24"/>
        </w:rPr>
        <w:t>确认。</w:t>
      </w:r>
    </w:p>
    <w:p>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6</w:t>
      </w:r>
      <w:r>
        <w:rPr>
          <w:rFonts w:hint="eastAsia" w:ascii="宋体" w:hAnsi="宋体" w:eastAsia="宋体" w:cs="宋体"/>
          <w:b/>
          <w:sz w:val="24"/>
          <w:szCs w:val="24"/>
        </w:rPr>
        <w:t>.7 装潢</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.7.1在进入完工装潢之前，所有不需要特殊装潢并且是暴露的钢制件应在表面进行除锈防腐处理，若是非暴露的零件、部件、机器等，可在制造时进行除锈、防腐蚀处理，其防腐蚀措施必须得到</w:t>
      </w:r>
      <w:r>
        <w:rPr>
          <w:rFonts w:hint="eastAsia" w:ascii="宋体" w:hAnsi="宋体" w:cs="宋体"/>
          <w:sz w:val="24"/>
          <w:szCs w:val="24"/>
          <w:lang w:eastAsia="zh-CN"/>
        </w:rPr>
        <w:t>采购人</w:t>
      </w:r>
      <w:r>
        <w:rPr>
          <w:rFonts w:hint="eastAsia" w:ascii="宋体" w:hAnsi="宋体" w:eastAsia="宋体" w:cs="宋体"/>
          <w:sz w:val="24"/>
          <w:szCs w:val="24"/>
        </w:rPr>
        <w:t>的认可。</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lang w:val="en-US" w:eastAsia="zh-CN"/>
        </w:rPr>
        <w:t>6</w:t>
      </w:r>
      <w:r>
        <w:rPr>
          <w:rFonts w:hint="eastAsia" w:ascii="宋体" w:hAnsi="宋体" w:eastAsia="宋体" w:cs="宋体"/>
          <w:sz w:val="24"/>
          <w:szCs w:val="24"/>
        </w:rPr>
        <w:t>.7.2施工装潢保护</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电梯安装完毕，</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须对电梯轿厢进行保护确保电梯不受损伤。</w:t>
      </w:r>
    </w:p>
    <w:p>
      <w:pPr>
        <w:adjustRightInd w:val="0"/>
        <w:snapToGrid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.7.3厅门安装完毕后，</w:t>
      </w:r>
      <w:r>
        <w:rPr>
          <w:rFonts w:hint="eastAsia" w:ascii="宋体" w:hAnsi="宋体" w:cs="宋体"/>
          <w:sz w:val="24"/>
          <w:szCs w:val="24"/>
          <w:highlight w:val="none"/>
          <w:lang w:eastAsia="zh-CN"/>
        </w:rPr>
        <w:t>成交供应商</w:t>
      </w:r>
      <w:r>
        <w:rPr>
          <w:rFonts w:hint="eastAsia" w:ascii="宋体" w:hAnsi="宋体" w:eastAsia="宋体" w:cs="宋体"/>
          <w:sz w:val="24"/>
          <w:szCs w:val="24"/>
        </w:rPr>
        <w:t>须对候梯厅及井道内的缝隙、孔洞进行填补，以满足下一步装修需求</w:t>
      </w:r>
      <w:r>
        <w:rPr>
          <w:rFonts w:hint="eastAsia" w:ascii="宋体" w:hAnsi="宋体" w:eastAsia="宋体" w:cs="宋体"/>
          <w:b/>
          <w:sz w:val="24"/>
          <w:szCs w:val="24"/>
        </w:rPr>
        <w:t>。</w:t>
      </w:r>
    </w:p>
    <w:p>
      <w:pPr>
        <w:adjustRightInd w:val="0"/>
        <w:snapToGrid w:val="0"/>
        <w:spacing w:line="360" w:lineRule="auto"/>
        <w:ind w:firstLine="549" w:firstLineChars="228"/>
        <w:rPr>
          <w:rFonts w:hint="eastAsia" w:ascii="宋体" w:hAnsi="宋体" w:eastAsia="宋体" w:cs="宋体"/>
          <w:b/>
          <w:sz w:val="24"/>
          <w:szCs w:val="24"/>
        </w:rPr>
      </w:pPr>
      <w:r>
        <w:rPr>
          <w:rFonts w:hint="eastAsia" w:ascii="宋体" w:hAnsi="宋体" w:eastAsia="宋体" w:cs="宋体"/>
          <w:b/>
          <w:sz w:val="24"/>
          <w:szCs w:val="24"/>
          <w:lang w:val="en-US" w:eastAsia="zh-CN"/>
        </w:rPr>
        <w:t>6</w:t>
      </w:r>
      <w:r>
        <w:rPr>
          <w:rFonts w:hint="eastAsia" w:ascii="宋体" w:hAnsi="宋体" w:eastAsia="宋体" w:cs="宋体"/>
          <w:b/>
          <w:sz w:val="24"/>
          <w:szCs w:val="24"/>
        </w:rPr>
        <w:t>.8测试和试运行</w:t>
      </w:r>
    </w:p>
    <w:p>
      <w:pPr>
        <w:adjustRightInd w:val="0"/>
        <w:snapToGrid w:val="0"/>
        <w:spacing w:line="360" w:lineRule="auto"/>
        <w:ind w:firstLine="547" w:firstLineChars="228"/>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.8.1</w:t>
      </w:r>
      <w:r>
        <w:rPr>
          <w:rFonts w:hint="eastAsia" w:ascii="宋体" w:hAnsi="宋体" w:cs="宋体"/>
          <w:sz w:val="24"/>
          <w:szCs w:val="24"/>
          <w:highlight w:val="none"/>
          <w:lang w:eastAsia="zh-CN"/>
        </w:rPr>
        <w:t>成交供应商</w:t>
      </w:r>
      <w:r>
        <w:rPr>
          <w:rFonts w:hint="eastAsia" w:ascii="宋体" w:hAnsi="宋体" w:eastAsia="宋体" w:cs="宋体"/>
          <w:sz w:val="24"/>
          <w:szCs w:val="24"/>
        </w:rPr>
        <w:t>应派有多年工作经验的工程师在现场负责测试和调试，以检测其设计、制造、运行效果等。并提供所有测试和调试所需的工具、材料、仪器和劳务人员。</w:t>
      </w:r>
    </w:p>
    <w:p>
      <w:pPr>
        <w:adjustRightInd w:val="0"/>
        <w:snapToGrid w:val="0"/>
        <w:spacing w:line="360" w:lineRule="auto"/>
        <w:ind w:right="-252" w:rightChars="-120" w:firstLine="547" w:firstLineChars="228"/>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.8.2</w:t>
      </w:r>
      <w:r>
        <w:rPr>
          <w:rFonts w:hint="eastAsia" w:ascii="宋体" w:hAnsi="宋体" w:cs="宋体"/>
          <w:sz w:val="24"/>
          <w:szCs w:val="24"/>
          <w:highlight w:val="none"/>
          <w:lang w:eastAsia="zh-CN"/>
        </w:rPr>
        <w:t>成交供应商</w:t>
      </w:r>
      <w:r>
        <w:rPr>
          <w:rFonts w:hint="eastAsia" w:ascii="宋体" w:hAnsi="宋体" w:eastAsia="宋体" w:cs="宋体"/>
          <w:sz w:val="24"/>
          <w:szCs w:val="24"/>
        </w:rPr>
        <w:t>必须提交安装过程中的各工序的质检计划。</w:t>
      </w:r>
    </w:p>
    <w:p>
      <w:pPr>
        <w:adjustRightInd w:val="0"/>
        <w:snapToGrid w:val="0"/>
        <w:spacing w:line="360" w:lineRule="auto"/>
        <w:ind w:right="-252" w:rightChars="-120" w:firstLine="547" w:firstLineChars="228"/>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.8.3</w:t>
      </w:r>
      <w:r>
        <w:rPr>
          <w:rFonts w:hint="eastAsia" w:ascii="宋体" w:hAnsi="宋体" w:cs="宋体"/>
          <w:sz w:val="24"/>
          <w:szCs w:val="24"/>
          <w:highlight w:val="none"/>
          <w:lang w:eastAsia="zh-CN"/>
        </w:rPr>
        <w:t>成交供应商</w:t>
      </w:r>
      <w:r>
        <w:rPr>
          <w:rFonts w:hint="eastAsia" w:ascii="宋体" w:hAnsi="宋体" w:eastAsia="宋体" w:cs="宋体"/>
          <w:sz w:val="24"/>
          <w:szCs w:val="24"/>
        </w:rPr>
        <w:t>须在安装结束前2个星期，提交测试和调试方法及记录表格给</w:t>
      </w:r>
      <w:r>
        <w:rPr>
          <w:rFonts w:hint="eastAsia" w:ascii="宋体" w:hAnsi="宋体" w:cs="宋体"/>
          <w:sz w:val="24"/>
          <w:szCs w:val="24"/>
          <w:lang w:eastAsia="zh-CN"/>
        </w:rPr>
        <w:t>采购人</w:t>
      </w:r>
      <w:r>
        <w:rPr>
          <w:rFonts w:hint="eastAsia" w:ascii="宋体" w:hAnsi="宋体" w:eastAsia="宋体" w:cs="宋体"/>
          <w:sz w:val="24"/>
          <w:szCs w:val="24"/>
        </w:rPr>
        <w:t>。</w:t>
      </w:r>
    </w:p>
    <w:p>
      <w:pPr>
        <w:adjustRightInd w:val="0"/>
        <w:snapToGrid w:val="0"/>
        <w:spacing w:line="360" w:lineRule="auto"/>
        <w:ind w:firstLine="547" w:firstLineChars="228"/>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.8.4部分或全部测试需根据实际情况在安装期内或后进行。</w:t>
      </w:r>
    </w:p>
    <w:p>
      <w:pPr>
        <w:adjustRightInd w:val="0"/>
        <w:snapToGrid w:val="0"/>
        <w:spacing w:line="360" w:lineRule="auto"/>
        <w:ind w:firstLine="547" w:firstLineChars="228"/>
        <w:rPr>
          <w:rFonts w:hint="eastAsia" w:ascii="宋体" w:hAnsi="宋体" w:eastAsia="宋体" w:cs="宋体"/>
          <w:b/>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.8.5设备试运行应在有关部门及</w:t>
      </w:r>
      <w:r>
        <w:rPr>
          <w:rFonts w:hint="eastAsia" w:ascii="宋体" w:hAnsi="宋体" w:cs="宋体"/>
          <w:sz w:val="24"/>
          <w:szCs w:val="24"/>
          <w:lang w:eastAsia="zh-CN"/>
        </w:rPr>
        <w:t>采购人</w:t>
      </w:r>
      <w:r>
        <w:rPr>
          <w:rFonts w:hint="eastAsia" w:ascii="宋体" w:hAnsi="宋体" w:eastAsia="宋体" w:cs="宋体"/>
          <w:sz w:val="24"/>
          <w:szCs w:val="24"/>
        </w:rPr>
        <w:t>人员的监督下进行，此类监督不免除</w:t>
      </w:r>
      <w:r>
        <w:rPr>
          <w:rFonts w:hint="eastAsia" w:ascii="宋体" w:hAnsi="宋体" w:eastAsia="宋体" w:cs="宋体"/>
          <w:sz w:val="24"/>
          <w:szCs w:val="24"/>
          <w:lang w:eastAsia="zh-CN"/>
        </w:rPr>
        <w:t>供应商</w:t>
      </w:r>
      <w:r>
        <w:rPr>
          <w:rFonts w:hint="eastAsia" w:ascii="宋体" w:hAnsi="宋体" w:eastAsia="宋体" w:cs="宋体"/>
          <w:sz w:val="24"/>
          <w:szCs w:val="24"/>
        </w:rPr>
        <w:t>应承担的安全质量等应有的损失和责任。</w:t>
      </w:r>
    </w:p>
    <w:p>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6</w:t>
      </w:r>
      <w:r>
        <w:rPr>
          <w:rFonts w:hint="eastAsia" w:ascii="宋体" w:hAnsi="宋体" w:eastAsia="宋体" w:cs="宋体"/>
          <w:b/>
          <w:sz w:val="24"/>
          <w:szCs w:val="24"/>
        </w:rPr>
        <w:t>.9验收</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.9.1</w:t>
      </w:r>
      <w:r>
        <w:rPr>
          <w:rFonts w:hint="eastAsia" w:ascii="宋体" w:hAnsi="宋体" w:eastAsia="宋体" w:cs="宋体"/>
          <w:sz w:val="24"/>
          <w:szCs w:val="24"/>
          <w:lang w:eastAsia="zh-CN"/>
        </w:rPr>
        <w:t>供应商</w:t>
      </w:r>
      <w:r>
        <w:rPr>
          <w:rFonts w:hint="eastAsia" w:ascii="宋体" w:hAnsi="宋体" w:eastAsia="宋体" w:cs="宋体"/>
          <w:sz w:val="24"/>
          <w:szCs w:val="24"/>
        </w:rPr>
        <w:t>必须负责所提供货物通过质量技术监督部门组织的验收，直至取得验收证书。验收费用包含在投标总价中。</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.9.2验收合格条件</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（1）运行结果符合产品标准和技术规格书及合同要求。底坑</w:t>
      </w:r>
      <w:r>
        <w:rPr>
          <w:rFonts w:hint="eastAsia" w:ascii="宋体" w:hAnsi="宋体" w:eastAsia="宋体" w:cs="宋体"/>
          <w:bCs/>
          <w:sz w:val="24"/>
          <w:szCs w:val="24"/>
        </w:rPr>
        <w:t>须满足GB7588-2003标准中的</w:t>
      </w:r>
      <w:r>
        <w:rPr>
          <w:rFonts w:hint="eastAsia" w:ascii="宋体" w:hAnsi="宋体" w:eastAsia="宋体" w:cs="宋体"/>
          <w:bCs/>
          <w:sz w:val="24"/>
          <w:szCs w:val="24"/>
          <w:lang w:val="en-US" w:eastAsia="zh-CN"/>
        </w:rPr>
        <w:t>5</w:t>
      </w:r>
      <w:r>
        <w:rPr>
          <w:rFonts w:hint="eastAsia" w:ascii="宋体" w:hAnsi="宋体" w:eastAsia="宋体" w:cs="宋体"/>
          <w:bCs/>
          <w:sz w:val="24"/>
          <w:szCs w:val="24"/>
        </w:rPr>
        <w:t>.7.3.3条款要求。</w:t>
      </w:r>
    </w:p>
    <w:p>
      <w:pPr>
        <w:adjustRightInd w:val="0"/>
        <w:snapToGrid w:val="0"/>
        <w:spacing w:line="360" w:lineRule="auto"/>
        <w:ind w:right="-147" w:rightChars="-70" w:firstLine="480" w:firstLineChars="200"/>
        <w:rPr>
          <w:rFonts w:hint="eastAsia" w:ascii="宋体" w:hAnsi="宋体" w:eastAsia="宋体" w:cs="宋体"/>
          <w:sz w:val="24"/>
          <w:szCs w:val="24"/>
        </w:rPr>
      </w:pPr>
      <w:r>
        <w:rPr>
          <w:rFonts w:hint="eastAsia" w:ascii="宋体" w:hAnsi="宋体" w:eastAsia="宋体" w:cs="宋体"/>
          <w:sz w:val="24"/>
          <w:szCs w:val="24"/>
        </w:rPr>
        <w:t>（2）在进行测试和验收运行过程中发生的故障已被消除并得到</w:t>
      </w:r>
      <w:r>
        <w:rPr>
          <w:rFonts w:hint="eastAsia" w:ascii="宋体" w:hAnsi="宋体" w:cs="宋体"/>
          <w:sz w:val="24"/>
          <w:szCs w:val="24"/>
          <w:lang w:eastAsia="zh-CN"/>
        </w:rPr>
        <w:t>采购人</w:t>
      </w:r>
      <w:r>
        <w:rPr>
          <w:rFonts w:hint="eastAsia" w:ascii="宋体" w:hAnsi="宋体" w:eastAsia="宋体" w:cs="宋体"/>
          <w:sz w:val="24"/>
          <w:szCs w:val="24"/>
        </w:rPr>
        <w:t>的认可。</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（3）所有合同中规定的货物和材料都已提交。</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.9.3通过有关质量技术监督管理部门的验收，验收合格后交由</w:t>
      </w:r>
      <w:r>
        <w:rPr>
          <w:rFonts w:hint="eastAsia" w:ascii="宋体" w:hAnsi="宋体" w:cs="宋体"/>
          <w:sz w:val="24"/>
          <w:szCs w:val="24"/>
          <w:lang w:eastAsia="zh-CN"/>
        </w:rPr>
        <w:t>采购人</w:t>
      </w:r>
      <w:r>
        <w:rPr>
          <w:rFonts w:hint="eastAsia" w:ascii="宋体" w:hAnsi="宋体" w:eastAsia="宋体" w:cs="宋体"/>
          <w:sz w:val="24"/>
          <w:szCs w:val="24"/>
        </w:rPr>
        <w:t>使用。</w:t>
      </w:r>
    </w:p>
    <w:p>
      <w:pPr>
        <w:adjustRightInd w:val="0"/>
        <w:snapToGrid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.9.4整套设备图纸及技术文件都已提交并得到接受。</w:t>
      </w:r>
    </w:p>
    <w:p>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6</w:t>
      </w:r>
      <w:r>
        <w:rPr>
          <w:rFonts w:hint="eastAsia" w:ascii="宋体" w:hAnsi="宋体" w:eastAsia="宋体" w:cs="宋体"/>
          <w:b/>
          <w:sz w:val="24"/>
          <w:szCs w:val="24"/>
        </w:rPr>
        <w:t>.10产品保护</w:t>
      </w:r>
    </w:p>
    <w:p>
      <w:pPr>
        <w:adjustRightInd w:val="0"/>
        <w:snapToGrid w:val="0"/>
        <w:spacing w:line="360" w:lineRule="auto"/>
        <w:ind w:firstLine="464" w:firstLineChars="200"/>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6</w:t>
      </w:r>
      <w:r>
        <w:rPr>
          <w:rFonts w:hint="eastAsia" w:ascii="宋体" w:hAnsi="宋体" w:eastAsia="宋体" w:cs="宋体"/>
          <w:spacing w:val="-4"/>
          <w:sz w:val="24"/>
          <w:szCs w:val="24"/>
        </w:rPr>
        <w:t>.10.1设备安装验收合格，交付</w:t>
      </w:r>
      <w:r>
        <w:rPr>
          <w:rFonts w:hint="eastAsia" w:ascii="宋体" w:hAnsi="宋体" w:cs="宋体"/>
          <w:sz w:val="24"/>
          <w:szCs w:val="24"/>
          <w:lang w:eastAsia="zh-CN"/>
        </w:rPr>
        <w:t>采购人</w:t>
      </w:r>
      <w:r>
        <w:rPr>
          <w:rFonts w:hint="eastAsia" w:ascii="宋体" w:hAnsi="宋体" w:eastAsia="宋体" w:cs="宋体"/>
          <w:spacing w:val="-4"/>
          <w:sz w:val="24"/>
          <w:szCs w:val="24"/>
        </w:rPr>
        <w:t>使用以前的设备保护由</w:t>
      </w:r>
      <w:r>
        <w:rPr>
          <w:rFonts w:hint="eastAsia" w:ascii="宋体" w:hAnsi="宋体" w:eastAsia="宋体" w:cs="宋体"/>
          <w:spacing w:val="-4"/>
          <w:sz w:val="24"/>
          <w:szCs w:val="24"/>
          <w:lang w:eastAsia="zh-CN"/>
        </w:rPr>
        <w:t>供应商</w:t>
      </w:r>
      <w:r>
        <w:rPr>
          <w:rFonts w:hint="eastAsia" w:ascii="宋体" w:hAnsi="宋体" w:eastAsia="宋体" w:cs="宋体"/>
          <w:spacing w:val="-4"/>
          <w:sz w:val="24"/>
          <w:szCs w:val="24"/>
        </w:rPr>
        <w:t>负责。</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.10.2工程完成后，</w:t>
      </w:r>
      <w:r>
        <w:rPr>
          <w:rFonts w:hint="eastAsia" w:ascii="宋体" w:hAnsi="宋体" w:eastAsia="宋体" w:cs="宋体"/>
          <w:sz w:val="24"/>
          <w:szCs w:val="24"/>
          <w:lang w:eastAsia="zh-CN"/>
        </w:rPr>
        <w:t>供应商</w:t>
      </w:r>
      <w:r>
        <w:rPr>
          <w:rFonts w:hint="eastAsia" w:ascii="宋体" w:hAnsi="宋体" w:eastAsia="宋体" w:cs="宋体"/>
          <w:sz w:val="24"/>
          <w:szCs w:val="24"/>
        </w:rPr>
        <w:t>须负责全部设备的保护和清洁工作（包括白色宝丽板和粘纸）等工作，直至设备验收合格并正常运行后为止。在安装过程中，如建筑结构或其它设备被损坏</w:t>
      </w:r>
      <w:r>
        <w:rPr>
          <w:rFonts w:hint="eastAsia" w:ascii="宋体" w:hAnsi="宋体" w:eastAsia="宋体" w:cs="宋体"/>
          <w:sz w:val="24"/>
          <w:szCs w:val="24"/>
          <w:lang w:eastAsia="zh-CN"/>
        </w:rPr>
        <w:t>供应商</w:t>
      </w:r>
      <w:r>
        <w:rPr>
          <w:rFonts w:hint="eastAsia" w:ascii="宋体" w:hAnsi="宋体" w:eastAsia="宋体" w:cs="宋体"/>
          <w:sz w:val="24"/>
          <w:szCs w:val="24"/>
        </w:rPr>
        <w:t>将有责任修理或赔偿损失。</w:t>
      </w:r>
    </w:p>
    <w:p>
      <w:pPr>
        <w:adjustRightInd w:val="0"/>
        <w:snapToGrid w:val="0"/>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lang w:val="en-US" w:eastAsia="zh-CN"/>
        </w:rPr>
        <w:t>6</w:t>
      </w:r>
      <w:r>
        <w:rPr>
          <w:rFonts w:hint="eastAsia" w:ascii="宋体" w:hAnsi="宋体" w:eastAsia="宋体" w:cs="宋体"/>
          <w:b/>
          <w:sz w:val="24"/>
          <w:szCs w:val="24"/>
        </w:rPr>
        <w:t>.1</w:t>
      </w:r>
      <w:r>
        <w:rPr>
          <w:rFonts w:hint="eastAsia" w:ascii="宋体" w:hAnsi="宋体" w:cs="宋体"/>
          <w:b/>
          <w:sz w:val="24"/>
          <w:szCs w:val="24"/>
          <w:lang w:val="en-US" w:eastAsia="zh-CN"/>
        </w:rPr>
        <w:t>1</w:t>
      </w:r>
      <w:r>
        <w:rPr>
          <w:rFonts w:hint="eastAsia" w:ascii="宋体" w:hAnsi="宋体" w:eastAsia="宋体" w:cs="宋体"/>
          <w:b/>
          <w:sz w:val="24"/>
          <w:szCs w:val="24"/>
        </w:rPr>
        <w:t>备件供应</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对各种型号的设备须提供足够的备件、附件和易损件并保证是原厂生产的产品，以满足设备正常运行的需要。</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提供的设备备件应按标准制造，并有替换性和精确装配性。</w:t>
      </w:r>
    </w:p>
    <w:p>
      <w:pPr>
        <w:adjustRightInd w:val="0"/>
        <w:snapToGrid w:val="0"/>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lang w:val="en-US" w:eastAsia="zh-CN"/>
        </w:rPr>
        <w:t>6</w:t>
      </w:r>
      <w:r>
        <w:rPr>
          <w:rFonts w:hint="eastAsia" w:ascii="宋体" w:hAnsi="宋体" w:eastAsia="宋体" w:cs="宋体"/>
          <w:b/>
          <w:sz w:val="24"/>
          <w:szCs w:val="24"/>
        </w:rPr>
        <w:t>.1</w:t>
      </w:r>
      <w:r>
        <w:rPr>
          <w:rFonts w:hint="eastAsia" w:ascii="宋体" w:hAnsi="宋体" w:cs="宋体"/>
          <w:b/>
          <w:sz w:val="24"/>
          <w:szCs w:val="24"/>
          <w:lang w:val="en-US" w:eastAsia="zh-CN"/>
        </w:rPr>
        <w:t>2</w:t>
      </w:r>
      <w:r>
        <w:rPr>
          <w:rFonts w:hint="eastAsia" w:ascii="宋体" w:hAnsi="宋体" w:eastAsia="宋体" w:cs="宋体"/>
          <w:b/>
          <w:sz w:val="24"/>
          <w:szCs w:val="24"/>
        </w:rPr>
        <w:t>检验和维修设备及工具</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w:t>
      </w:r>
      <w:r>
        <w:rPr>
          <w:rFonts w:hint="eastAsia" w:ascii="宋体" w:hAnsi="宋体" w:cs="宋体"/>
          <w:sz w:val="24"/>
          <w:szCs w:val="24"/>
          <w:lang w:val="en-US" w:eastAsia="zh-CN"/>
        </w:rPr>
        <w:t>2</w:t>
      </w:r>
      <w:r>
        <w:rPr>
          <w:rFonts w:hint="eastAsia" w:ascii="宋体" w:hAnsi="宋体" w:eastAsia="宋体" w:cs="宋体"/>
          <w:sz w:val="24"/>
          <w:szCs w:val="24"/>
        </w:rPr>
        <w:t>.1须免费提供足够的常用检修设备。推荐的检修设备须在</w:t>
      </w:r>
      <w:r>
        <w:rPr>
          <w:rFonts w:hint="eastAsia" w:ascii="宋体" w:hAnsi="宋体" w:eastAsia="宋体" w:cs="宋体"/>
          <w:sz w:val="24"/>
          <w:szCs w:val="24"/>
          <w:lang w:eastAsia="zh-CN"/>
        </w:rPr>
        <w:t>响应文件中</w:t>
      </w:r>
      <w:r>
        <w:rPr>
          <w:rFonts w:hint="eastAsia" w:ascii="宋体" w:hAnsi="宋体" w:eastAsia="宋体" w:cs="宋体"/>
          <w:sz w:val="24"/>
          <w:szCs w:val="24"/>
        </w:rPr>
        <w:t>注明。这些设备及工具不能在安装时使用。</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w:t>
      </w:r>
      <w:r>
        <w:rPr>
          <w:rFonts w:hint="eastAsia" w:ascii="宋体" w:hAnsi="宋体" w:cs="宋体"/>
          <w:sz w:val="24"/>
          <w:szCs w:val="24"/>
          <w:lang w:val="en-US" w:eastAsia="zh-CN"/>
        </w:rPr>
        <w:t>2</w:t>
      </w:r>
      <w:r>
        <w:rPr>
          <w:rFonts w:hint="eastAsia" w:ascii="宋体" w:hAnsi="宋体" w:eastAsia="宋体" w:cs="宋体"/>
          <w:sz w:val="24"/>
          <w:szCs w:val="24"/>
        </w:rPr>
        <w:t>.2所有测试需要的附件、零部件和中文操作维修手册应与检修设备一并免费提供。</w:t>
      </w:r>
    </w:p>
    <w:p>
      <w:pPr>
        <w:adjustRightInd w:val="0"/>
        <w:snapToGrid w:val="0"/>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lang w:val="en-US" w:eastAsia="zh-CN"/>
        </w:rPr>
        <w:t>6</w:t>
      </w:r>
      <w:r>
        <w:rPr>
          <w:rFonts w:hint="eastAsia" w:ascii="宋体" w:hAnsi="宋体" w:eastAsia="宋体" w:cs="宋体"/>
          <w:b/>
          <w:sz w:val="24"/>
          <w:szCs w:val="24"/>
        </w:rPr>
        <w:t>.1</w:t>
      </w:r>
      <w:r>
        <w:rPr>
          <w:rFonts w:hint="eastAsia" w:ascii="宋体" w:hAnsi="宋体" w:cs="宋体"/>
          <w:b/>
          <w:sz w:val="24"/>
          <w:szCs w:val="24"/>
          <w:lang w:val="en-US" w:eastAsia="zh-CN"/>
        </w:rPr>
        <w:t>3</w:t>
      </w:r>
      <w:r>
        <w:rPr>
          <w:rFonts w:hint="eastAsia" w:ascii="宋体" w:hAnsi="宋体" w:eastAsia="宋体" w:cs="宋体"/>
          <w:b/>
          <w:sz w:val="24"/>
          <w:szCs w:val="24"/>
        </w:rPr>
        <w:t>商标与铭牌</w:t>
      </w:r>
    </w:p>
    <w:p>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cs="宋体"/>
          <w:sz w:val="24"/>
          <w:szCs w:val="24"/>
          <w:highlight w:val="none"/>
          <w:lang w:eastAsia="zh-CN"/>
        </w:rPr>
        <w:t>成交供应商</w:t>
      </w:r>
      <w:r>
        <w:rPr>
          <w:rFonts w:hint="eastAsia" w:ascii="宋体" w:hAnsi="宋体" w:eastAsia="宋体" w:cs="宋体"/>
          <w:sz w:val="24"/>
          <w:szCs w:val="24"/>
        </w:rPr>
        <w:t>提供的设备，其铭牌、使用标记、警示标记都应表示清楚。</w:t>
      </w:r>
    </w:p>
    <w:p>
      <w:pPr>
        <w:adjustRightInd w:val="0"/>
        <w:snapToGrid w:val="0"/>
        <w:spacing w:line="360" w:lineRule="auto"/>
        <w:ind w:right="-70" w:firstLine="451" w:firstLineChars="187"/>
        <w:rPr>
          <w:rFonts w:hint="eastAsia" w:ascii="宋体" w:hAnsi="宋体" w:eastAsia="宋体" w:cs="宋体"/>
          <w:b/>
          <w:sz w:val="24"/>
          <w:szCs w:val="24"/>
        </w:rPr>
      </w:pPr>
      <w:r>
        <w:rPr>
          <w:rFonts w:hint="eastAsia" w:ascii="宋体" w:hAnsi="宋体" w:eastAsia="宋体" w:cs="宋体"/>
          <w:b/>
          <w:sz w:val="24"/>
          <w:szCs w:val="24"/>
          <w:lang w:val="en-US" w:eastAsia="zh-CN"/>
        </w:rPr>
        <w:t>6</w:t>
      </w:r>
      <w:r>
        <w:rPr>
          <w:rFonts w:hint="eastAsia" w:ascii="宋体" w:hAnsi="宋体" w:eastAsia="宋体" w:cs="宋体"/>
          <w:b/>
          <w:sz w:val="24"/>
          <w:szCs w:val="24"/>
        </w:rPr>
        <w:t>.1</w:t>
      </w:r>
      <w:r>
        <w:rPr>
          <w:rFonts w:hint="eastAsia" w:ascii="宋体" w:hAnsi="宋体" w:cs="宋体"/>
          <w:b/>
          <w:sz w:val="24"/>
          <w:szCs w:val="24"/>
          <w:lang w:val="en-US" w:eastAsia="zh-CN"/>
        </w:rPr>
        <w:t>4</w:t>
      </w:r>
      <w:r>
        <w:rPr>
          <w:rFonts w:hint="eastAsia" w:ascii="宋体" w:hAnsi="宋体" w:eastAsia="宋体" w:cs="宋体"/>
          <w:b/>
          <w:sz w:val="24"/>
          <w:szCs w:val="24"/>
        </w:rPr>
        <w:t>技术资料</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w:t>
      </w:r>
      <w:r>
        <w:rPr>
          <w:rFonts w:hint="eastAsia" w:ascii="宋体" w:hAnsi="宋体" w:cs="宋体"/>
          <w:sz w:val="24"/>
          <w:szCs w:val="24"/>
          <w:lang w:val="en-US" w:eastAsia="zh-CN"/>
        </w:rPr>
        <w:t>4</w:t>
      </w:r>
      <w:r>
        <w:rPr>
          <w:rFonts w:hint="eastAsia" w:ascii="宋体" w:hAnsi="宋体" w:eastAsia="宋体" w:cs="宋体"/>
          <w:sz w:val="24"/>
          <w:szCs w:val="24"/>
        </w:rPr>
        <w:t>.1合同签订后须提交下列所有文件：</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w:t>
      </w:r>
      <w:r>
        <w:rPr>
          <w:rFonts w:hint="eastAsia" w:ascii="宋体" w:hAnsi="宋体" w:cs="宋体"/>
          <w:sz w:val="24"/>
          <w:szCs w:val="24"/>
          <w:lang w:val="en-US" w:eastAsia="zh-CN"/>
        </w:rPr>
        <w:t>4</w:t>
      </w:r>
      <w:r>
        <w:rPr>
          <w:rFonts w:hint="eastAsia" w:ascii="宋体" w:hAnsi="宋体" w:eastAsia="宋体" w:cs="宋体"/>
          <w:sz w:val="24"/>
          <w:szCs w:val="24"/>
        </w:rPr>
        <w:t>.2</w:t>
      </w:r>
      <w:r>
        <w:rPr>
          <w:rFonts w:hint="eastAsia" w:ascii="宋体" w:hAnsi="宋体" w:cs="宋体"/>
          <w:sz w:val="24"/>
          <w:szCs w:val="24"/>
          <w:lang w:eastAsia="zh-CN"/>
        </w:rPr>
        <w:t>采购人</w:t>
      </w:r>
      <w:r>
        <w:rPr>
          <w:rFonts w:hint="eastAsia" w:ascii="宋体" w:hAnsi="宋体" w:eastAsia="宋体" w:cs="宋体"/>
          <w:sz w:val="24"/>
          <w:szCs w:val="24"/>
        </w:rPr>
        <w:t>与</w:t>
      </w:r>
      <w:r>
        <w:rPr>
          <w:rFonts w:hint="eastAsia" w:ascii="宋体" w:hAnsi="宋体" w:cs="宋体"/>
          <w:sz w:val="24"/>
          <w:szCs w:val="24"/>
          <w:highlight w:val="none"/>
          <w:lang w:eastAsia="zh-CN"/>
        </w:rPr>
        <w:t>成交供应商</w:t>
      </w:r>
      <w:r>
        <w:rPr>
          <w:rFonts w:hint="eastAsia" w:ascii="宋体" w:hAnsi="宋体" w:eastAsia="宋体" w:cs="宋体"/>
          <w:sz w:val="24"/>
          <w:szCs w:val="24"/>
        </w:rPr>
        <w:t>签订合同后14日历天内，</w:t>
      </w:r>
      <w:r>
        <w:rPr>
          <w:rFonts w:hint="eastAsia" w:ascii="宋体" w:hAnsi="宋体" w:cs="宋体"/>
          <w:sz w:val="24"/>
          <w:szCs w:val="24"/>
          <w:highlight w:val="none"/>
          <w:lang w:eastAsia="zh-CN"/>
        </w:rPr>
        <w:t>成交供应商</w:t>
      </w:r>
      <w:r>
        <w:rPr>
          <w:rFonts w:hint="eastAsia" w:ascii="宋体" w:hAnsi="宋体" w:eastAsia="宋体" w:cs="宋体"/>
          <w:sz w:val="24"/>
          <w:szCs w:val="24"/>
        </w:rPr>
        <w:t>须按</w:t>
      </w:r>
      <w:r>
        <w:rPr>
          <w:rFonts w:hint="eastAsia" w:ascii="宋体" w:hAnsi="宋体" w:eastAsia="宋体" w:cs="宋体"/>
          <w:sz w:val="24"/>
          <w:szCs w:val="24"/>
          <w:lang w:eastAsia="zh-CN"/>
        </w:rPr>
        <w:t>磋商文件中</w:t>
      </w:r>
      <w:r>
        <w:rPr>
          <w:rFonts w:hint="eastAsia" w:ascii="宋体" w:hAnsi="宋体" w:eastAsia="宋体" w:cs="宋体"/>
          <w:sz w:val="24"/>
          <w:szCs w:val="24"/>
        </w:rPr>
        <w:t>要求的建设进度、施工图纸及现有的土建情况，提供下列资料，并对其提供的资料的真实性和技术符合性负责。</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1）系统图； 2）布置方案图； 3）井道尺寸剖面图及井道预留孔位置尺寸； 4）设计图； 5）电梯机房的平面布置图； 6）电路图； 7）接线图； 8）装配图； 9）埋件图； 10）</w:t>
      </w:r>
      <w:r>
        <w:rPr>
          <w:rFonts w:hint="eastAsia" w:ascii="宋体" w:hAnsi="宋体" w:cs="宋体"/>
          <w:sz w:val="24"/>
          <w:szCs w:val="24"/>
          <w:highlight w:val="none"/>
          <w:lang w:eastAsia="zh-CN"/>
        </w:rPr>
        <w:t>成交供应商</w:t>
      </w:r>
      <w:r>
        <w:rPr>
          <w:rFonts w:hint="eastAsia" w:ascii="宋体" w:hAnsi="宋体" w:eastAsia="宋体" w:cs="宋体"/>
          <w:sz w:val="24"/>
          <w:szCs w:val="24"/>
        </w:rPr>
        <w:t>认为有必要提供的其它文件和技术数据。</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highlight w:val="none"/>
          <w:lang w:eastAsia="zh-CN"/>
        </w:rPr>
        <w:t>成交供应商</w:t>
      </w:r>
      <w:r>
        <w:rPr>
          <w:rFonts w:hint="eastAsia" w:ascii="宋体" w:hAnsi="宋体" w:eastAsia="宋体" w:cs="宋体"/>
          <w:sz w:val="24"/>
          <w:szCs w:val="24"/>
        </w:rPr>
        <w:t>应在设备安装前30日向</w:t>
      </w:r>
      <w:r>
        <w:rPr>
          <w:rFonts w:hint="eastAsia" w:ascii="宋体" w:hAnsi="宋体" w:cs="宋体"/>
          <w:sz w:val="24"/>
          <w:szCs w:val="24"/>
          <w:lang w:eastAsia="zh-CN"/>
        </w:rPr>
        <w:t>采购人</w:t>
      </w:r>
      <w:r>
        <w:rPr>
          <w:rFonts w:hint="eastAsia" w:ascii="宋体" w:hAnsi="宋体" w:eastAsia="宋体" w:cs="宋体"/>
          <w:sz w:val="24"/>
          <w:szCs w:val="24"/>
        </w:rPr>
        <w:t>提供施工组织方案，供</w:t>
      </w:r>
      <w:r>
        <w:rPr>
          <w:rFonts w:hint="eastAsia" w:ascii="宋体" w:hAnsi="宋体" w:cs="宋体"/>
          <w:sz w:val="24"/>
          <w:szCs w:val="24"/>
          <w:lang w:eastAsia="zh-CN"/>
        </w:rPr>
        <w:t>采购人</w:t>
      </w:r>
      <w:r>
        <w:rPr>
          <w:rFonts w:hint="eastAsia" w:ascii="宋体" w:hAnsi="宋体" w:eastAsia="宋体" w:cs="宋体"/>
          <w:sz w:val="24"/>
          <w:szCs w:val="24"/>
        </w:rPr>
        <w:t>审核。</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w:t>
      </w:r>
      <w:r>
        <w:rPr>
          <w:rFonts w:hint="eastAsia" w:ascii="宋体" w:hAnsi="宋体" w:cs="宋体"/>
          <w:sz w:val="24"/>
          <w:szCs w:val="24"/>
          <w:lang w:val="en-US" w:eastAsia="zh-CN"/>
        </w:rPr>
        <w:t>4</w:t>
      </w:r>
      <w:r>
        <w:rPr>
          <w:rFonts w:hint="eastAsia" w:ascii="宋体" w:hAnsi="宋体" w:eastAsia="宋体" w:cs="宋体"/>
          <w:sz w:val="24"/>
          <w:szCs w:val="24"/>
        </w:rPr>
        <w:t>.3设计图纸要求</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a．图纸一式六份需交</w:t>
      </w:r>
      <w:r>
        <w:rPr>
          <w:rFonts w:hint="eastAsia" w:ascii="宋体" w:hAnsi="宋体" w:cs="宋体"/>
          <w:sz w:val="24"/>
          <w:szCs w:val="24"/>
          <w:lang w:eastAsia="zh-CN"/>
        </w:rPr>
        <w:t>采购人</w:t>
      </w:r>
      <w:r>
        <w:rPr>
          <w:rFonts w:hint="eastAsia" w:ascii="宋体" w:hAnsi="宋体" w:eastAsia="宋体" w:cs="宋体"/>
          <w:sz w:val="24"/>
          <w:szCs w:val="24"/>
        </w:rPr>
        <w:t>审查并认可。此类审查认可并不免除</w:t>
      </w:r>
      <w:r>
        <w:rPr>
          <w:rFonts w:hint="eastAsia" w:ascii="宋体" w:hAnsi="宋体" w:eastAsia="宋体" w:cs="宋体"/>
          <w:sz w:val="24"/>
          <w:szCs w:val="24"/>
          <w:lang w:eastAsia="zh-CN"/>
        </w:rPr>
        <w:t>供应商</w:t>
      </w:r>
      <w:r>
        <w:rPr>
          <w:rFonts w:hint="eastAsia" w:ascii="宋体" w:hAnsi="宋体" w:eastAsia="宋体" w:cs="宋体"/>
          <w:sz w:val="24"/>
          <w:szCs w:val="24"/>
        </w:rPr>
        <w:t>在本</w:t>
      </w:r>
      <w:r>
        <w:rPr>
          <w:rFonts w:hint="eastAsia" w:ascii="宋体" w:hAnsi="宋体" w:eastAsia="宋体" w:cs="宋体"/>
          <w:sz w:val="24"/>
          <w:szCs w:val="24"/>
          <w:lang w:eastAsia="zh-CN"/>
        </w:rPr>
        <w:t>磋商文件</w:t>
      </w:r>
      <w:r>
        <w:rPr>
          <w:rFonts w:hint="eastAsia" w:ascii="宋体" w:hAnsi="宋体" w:eastAsia="宋体" w:cs="宋体"/>
          <w:sz w:val="24"/>
          <w:szCs w:val="24"/>
        </w:rPr>
        <w:t>项下的责任义务。</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b．如果有任何图纸未被认可，须由</w:t>
      </w:r>
      <w:r>
        <w:rPr>
          <w:rFonts w:hint="eastAsia" w:ascii="宋体" w:hAnsi="宋体" w:eastAsia="宋体" w:cs="宋体"/>
          <w:sz w:val="24"/>
          <w:szCs w:val="24"/>
          <w:lang w:eastAsia="zh-CN"/>
        </w:rPr>
        <w:t>供应商</w:t>
      </w:r>
      <w:r>
        <w:rPr>
          <w:rFonts w:hint="eastAsia" w:ascii="宋体" w:hAnsi="宋体" w:eastAsia="宋体" w:cs="宋体"/>
          <w:sz w:val="24"/>
          <w:szCs w:val="24"/>
        </w:rPr>
        <w:t>按</w:t>
      </w:r>
      <w:r>
        <w:rPr>
          <w:rFonts w:hint="eastAsia" w:ascii="宋体" w:hAnsi="宋体" w:cs="宋体"/>
          <w:sz w:val="24"/>
          <w:szCs w:val="24"/>
          <w:lang w:eastAsia="zh-CN"/>
        </w:rPr>
        <w:t>采购人</w:t>
      </w:r>
      <w:r>
        <w:rPr>
          <w:rFonts w:hint="eastAsia" w:ascii="宋体" w:hAnsi="宋体" w:eastAsia="宋体" w:cs="宋体"/>
          <w:sz w:val="24"/>
          <w:szCs w:val="24"/>
        </w:rPr>
        <w:t>建议做好修改，并再次送审直到认可。</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w:t>
      </w:r>
      <w:r>
        <w:rPr>
          <w:rFonts w:hint="eastAsia" w:ascii="宋体" w:hAnsi="宋体" w:cs="宋体"/>
          <w:sz w:val="24"/>
          <w:szCs w:val="24"/>
          <w:lang w:val="en-US" w:eastAsia="zh-CN"/>
        </w:rPr>
        <w:t>4</w:t>
      </w:r>
      <w:r>
        <w:rPr>
          <w:rFonts w:hint="eastAsia" w:ascii="宋体" w:hAnsi="宋体" w:eastAsia="宋体" w:cs="宋体"/>
          <w:sz w:val="24"/>
          <w:szCs w:val="24"/>
        </w:rPr>
        <w:t>.4图纸审查包括：</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a．所有对土建的要求符合现有的实际情况，包括荷载、预留孔位置和尺寸、预埋件、机房楼板预留孔、吊装荷载、机房通道、底坑地基和用于固定的一些细节等。</w:t>
      </w:r>
    </w:p>
    <w:p>
      <w:pPr>
        <w:adjustRightInd w:val="0"/>
        <w:snapToGrid w:val="0"/>
        <w:spacing w:line="360" w:lineRule="auto"/>
        <w:ind w:right="-408" w:firstLine="480" w:firstLineChars="200"/>
        <w:rPr>
          <w:rFonts w:hint="eastAsia" w:ascii="宋体" w:hAnsi="宋体" w:eastAsia="宋体" w:cs="宋体"/>
          <w:sz w:val="24"/>
          <w:szCs w:val="24"/>
        </w:rPr>
      </w:pPr>
      <w:r>
        <w:rPr>
          <w:rFonts w:hint="eastAsia" w:ascii="宋体" w:hAnsi="宋体" w:eastAsia="宋体" w:cs="宋体"/>
          <w:sz w:val="24"/>
          <w:szCs w:val="24"/>
        </w:rPr>
        <w:t>所有对土建工程的要求须送交</w:t>
      </w:r>
      <w:r>
        <w:rPr>
          <w:rFonts w:hint="eastAsia" w:ascii="宋体" w:hAnsi="宋体" w:cs="宋体"/>
          <w:sz w:val="24"/>
          <w:szCs w:val="24"/>
          <w:lang w:eastAsia="zh-CN"/>
        </w:rPr>
        <w:t>采购人</w:t>
      </w:r>
      <w:r>
        <w:rPr>
          <w:rFonts w:hint="eastAsia" w:ascii="宋体" w:hAnsi="宋体" w:eastAsia="宋体" w:cs="宋体"/>
          <w:sz w:val="24"/>
          <w:szCs w:val="24"/>
        </w:rPr>
        <w:t>和</w:t>
      </w:r>
      <w:r>
        <w:rPr>
          <w:rFonts w:hint="eastAsia" w:ascii="宋体" w:hAnsi="宋体" w:cs="宋体"/>
          <w:sz w:val="24"/>
          <w:szCs w:val="24"/>
          <w:lang w:eastAsia="zh-CN"/>
        </w:rPr>
        <w:t>采购人</w:t>
      </w:r>
      <w:r>
        <w:rPr>
          <w:rFonts w:hint="eastAsia" w:ascii="宋体" w:hAnsi="宋体" w:eastAsia="宋体" w:cs="宋体"/>
          <w:sz w:val="24"/>
          <w:szCs w:val="24"/>
        </w:rPr>
        <w:t>委托的设计单位审查。</w:t>
      </w:r>
    </w:p>
    <w:p>
      <w:pPr>
        <w:adjustRightInd w:val="0"/>
        <w:snapToGrid w:val="0"/>
        <w:spacing w:line="360" w:lineRule="auto"/>
        <w:ind w:right="-408" w:firstLine="480" w:firstLineChars="200"/>
        <w:rPr>
          <w:rFonts w:hint="eastAsia" w:ascii="宋体" w:hAnsi="宋体" w:eastAsia="宋体" w:cs="宋体"/>
          <w:sz w:val="24"/>
          <w:szCs w:val="24"/>
        </w:rPr>
      </w:pPr>
      <w:r>
        <w:rPr>
          <w:rFonts w:hint="eastAsia" w:ascii="宋体" w:hAnsi="宋体" w:eastAsia="宋体" w:cs="宋体"/>
          <w:sz w:val="24"/>
          <w:szCs w:val="24"/>
        </w:rPr>
        <w:t>b.主要设备和装置须按额定值、外形、尺寸、表面装饰、维修、更换、安装方法等方面加以阐明。</w:t>
      </w:r>
    </w:p>
    <w:p>
      <w:pPr>
        <w:adjustRightInd w:val="0"/>
        <w:snapToGrid w:val="0"/>
        <w:spacing w:line="360" w:lineRule="auto"/>
        <w:ind w:right="-408" w:firstLine="480" w:firstLineChars="200"/>
        <w:rPr>
          <w:rFonts w:hint="eastAsia" w:ascii="宋体" w:hAnsi="宋体" w:eastAsia="宋体" w:cs="宋体"/>
          <w:sz w:val="24"/>
          <w:szCs w:val="24"/>
        </w:rPr>
      </w:pPr>
      <w:r>
        <w:rPr>
          <w:rFonts w:hint="eastAsia" w:ascii="宋体" w:hAnsi="宋体" w:eastAsia="宋体" w:cs="宋体"/>
          <w:sz w:val="24"/>
          <w:szCs w:val="24"/>
        </w:rPr>
        <w:t>c．与其他设备系统的连接示意图及工作范围（例如，消防系统、电气设备等）。</w:t>
      </w:r>
    </w:p>
    <w:p>
      <w:pPr>
        <w:adjustRightInd w:val="0"/>
        <w:snapToGrid w:val="0"/>
        <w:spacing w:line="360" w:lineRule="auto"/>
        <w:ind w:right="-408" w:firstLine="480" w:firstLineChars="200"/>
        <w:rPr>
          <w:rFonts w:hint="eastAsia" w:ascii="宋体" w:hAnsi="宋体" w:eastAsia="宋体" w:cs="宋体"/>
          <w:sz w:val="24"/>
          <w:szCs w:val="24"/>
        </w:rPr>
      </w:pPr>
      <w:r>
        <w:rPr>
          <w:rFonts w:hint="eastAsia" w:ascii="宋体" w:hAnsi="宋体" w:eastAsia="宋体" w:cs="宋体"/>
          <w:sz w:val="24"/>
          <w:szCs w:val="24"/>
        </w:rPr>
        <w:t>d．设备及装置的布置图、辅助线路图等等。所有设备、装置的线路图，都须用特殊的线标明，以防与其它线混同。</w:t>
      </w:r>
    </w:p>
    <w:p>
      <w:pPr>
        <w:adjustRightInd w:val="0"/>
        <w:snapToGrid w:val="0"/>
        <w:spacing w:line="360" w:lineRule="auto"/>
        <w:ind w:right="-408" w:firstLine="480" w:firstLineChars="200"/>
        <w:rPr>
          <w:rFonts w:hint="eastAsia" w:ascii="宋体" w:hAnsi="宋体" w:eastAsia="宋体" w:cs="宋体"/>
          <w:sz w:val="24"/>
          <w:szCs w:val="24"/>
        </w:rPr>
      </w:pPr>
      <w:r>
        <w:rPr>
          <w:rFonts w:hint="eastAsia" w:ascii="宋体" w:hAnsi="宋体" w:eastAsia="宋体" w:cs="宋体"/>
          <w:sz w:val="24"/>
          <w:szCs w:val="24"/>
        </w:rPr>
        <w:t>e．主要设备的交货程序，外形尺寸、重量和预留吊装位置和吊钩。</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f．主要设备的电源负荷和通风降温要求。</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g．应标明电梯机房的剖面以获得土建的认可。</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w:t>
      </w:r>
      <w:r>
        <w:rPr>
          <w:rFonts w:hint="eastAsia" w:ascii="宋体" w:hAnsi="宋体" w:cs="宋体"/>
          <w:sz w:val="24"/>
          <w:szCs w:val="24"/>
          <w:lang w:val="en-US" w:eastAsia="zh-CN"/>
        </w:rPr>
        <w:t>4</w:t>
      </w:r>
      <w:r>
        <w:rPr>
          <w:rFonts w:hint="eastAsia" w:ascii="宋体" w:hAnsi="宋体" w:eastAsia="宋体" w:cs="宋体"/>
          <w:sz w:val="24"/>
          <w:szCs w:val="24"/>
        </w:rPr>
        <w:t>.5</w:t>
      </w:r>
      <w:r>
        <w:rPr>
          <w:rFonts w:hint="eastAsia" w:ascii="宋体" w:hAnsi="宋体" w:eastAsia="宋体" w:cs="宋体"/>
          <w:sz w:val="24"/>
          <w:szCs w:val="24"/>
          <w:lang w:eastAsia="zh-CN"/>
        </w:rPr>
        <w:t>供应商</w:t>
      </w:r>
      <w:r>
        <w:rPr>
          <w:rFonts w:hint="eastAsia" w:ascii="宋体" w:hAnsi="宋体" w:eastAsia="宋体" w:cs="宋体"/>
          <w:sz w:val="24"/>
          <w:szCs w:val="24"/>
        </w:rPr>
        <w:t>在接到任何有关土建或结构设计的变更通知，须根据变更提供详细土建图。</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w:t>
      </w:r>
      <w:r>
        <w:rPr>
          <w:rFonts w:hint="eastAsia" w:ascii="宋体" w:hAnsi="宋体" w:cs="宋体"/>
          <w:sz w:val="24"/>
          <w:szCs w:val="24"/>
          <w:lang w:val="en-US" w:eastAsia="zh-CN"/>
        </w:rPr>
        <w:t>4</w:t>
      </w:r>
      <w:r>
        <w:rPr>
          <w:rFonts w:hint="eastAsia" w:ascii="宋体" w:hAnsi="宋体" w:eastAsia="宋体" w:cs="宋体"/>
          <w:sz w:val="24"/>
          <w:szCs w:val="24"/>
        </w:rPr>
        <w:t>.6</w:t>
      </w:r>
      <w:r>
        <w:rPr>
          <w:rFonts w:hint="eastAsia" w:ascii="宋体" w:hAnsi="宋体" w:eastAsia="宋体" w:cs="宋体"/>
          <w:sz w:val="24"/>
          <w:szCs w:val="24"/>
          <w:lang w:eastAsia="zh-CN"/>
        </w:rPr>
        <w:t>供应商</w:t>
      </w:r>
      <w:r>
        <w:rPr>
          <w:rFonts w:hint="eastAsia" w:ascii="宋体" w:hAnsi="宋体" w:eastAsia="宋体" w:cs="宋体"/>
          <w:sz w:val="24"/>
          <w:szCs w:val="24"/>
        </w:rPr>
        <w:t>须在完成合同范围的安装、调试验收完毕后，七天内提交所有相关的安装记录和工序验收记录并提交竣工图。</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w:t>
      </w:r>
      <w:r>
        <w:rPr>
          <w:rFonts w:hint="eastAsia" w:ascii="宋体" w:hAnsi="宋体" w:cs="宋体"/>
          <w:sz w:val="24"/>
          <w:szCs w:val="24"/>
          <w:lang w:val="en-US" w:eastAsia="zh-CN"/>
        </w:rPr>
        <w:t>4</w:t>
      </w:r>
      <w:r>
        <w:rPr>
          <w:rFonts w:hint="eastAsia" w:ascii="宋体" w:hAnsi="宋体" w:eastAsia="宋体" w:cs="宋体"/>
          <w:sz w:val="24"/>
          <w:szCs w:val="24"/>
        </w:rPr>
        <w:t>.7在培训期间，</w:t>
      </w:r>
      <w:r>
        <w:rPr>
          <w:rFonts w:hint="eastAsia" w:ascii="宋体" w:hAnsi="宋体" w:eastAsia="宋体" w:cs="宋体"/>
          <w:sz w:val="24"/>
          <w:szCs w:val="24"/>
          <w:lang w:eastAsia="zh-CN"/>
        </w:rPr>
        <w:t>供应商</w:t>
      </w:r>
      <w:r>
        <w:rPr>
          <w:rFonts w:hint="eastAsia" w:ascii="宋体" w:hAnsi="宋体" w:eastAsia="宋体" w:cs="宋体"/>
          <w:sz w:val="24"/>
          <w:szCs w:val="24"/>
        </w:rPr>
        <w:t>须免费提供中文培训材料给</w:t>
      </w:r>
      <w:r>
        <w:rPr>
          <w:rFonts w:hint="eastAsia" w:ascii="宋体" w:hAnsi="宋体" w:cs="宋体"/>
          <w:sz w:val="24"/>
          <w:szCs w:val="24"/>
          <w:lang w:eastAsia="zh-CN"/>
        </w:rPr>
        <w:t>采购人</w:t>
      </w:r>
      <w:r>
        <w:rPr>
          <w:rFonts w:hint="eastAsia" w:ascii="宋体" w:hAnsi="宋体" w:eastAsia="宋体" w:cs="宋体"/>
          <w:sz w:val="24"/>
          <w:szCs w:val="24"/>
        </w:rPr>
        <w:t>。</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w:t>
      </w:r>
      <w:r>
        <w:rPr>
          <w:rFonts w:hint="eastAsia" w:ascii="宋体" w:hAnsi="宋体" w:cs="宋体"/>
          <w:sz w:val="24"/>
          <w:szCs w:val="24"/>
          <w:lang w:val="en-US" w:eastAsia="zh-CN"/>
        </w:rPr>
        <w:t>4</w:t>
      </w:r>
      <w:r>
        <w:rPr>
          <w:rFonts w:hint="eastAsia" w:ascii="宋体" w:hAnsi="宋体" w:eastAsia="宋体" w:cs="宋体"/>
          <w:sz w:val="24"/>
          <w:szCs w:val="24"/>
        </w:rPr>
        <w:t>.8在正式交付运行前七天，</w:t>
      </w:r>
      <w:r>
        <w:rPr>
          <w:rFonts w:hint="eastAsia" w:ascii="宋体" w:hAnsi="宋体" w:eastAsia="宋体" w:cs="宋体"/>
          <w:sz w:val="24"/>
          <w:szCs w:val="24"/>
          <w:lang w:eastAsia="zh-CN"/>
        </w:rPr>
        <w:t>供应商</w:t>
      </w:r>
      <w:r>
        <w:rPr>
          <w:rFonts w:hint="eastAsia" w:ascii="宋体" w:hAnsi="宋体" w:eastAsia="宋体" w:cs="宋体"/>
          <w:sz w:val="24"/>
          <w:szCs w:val="24"/>
        </w:rPr>
        <w:t>需提交包括竣工图、控制、操作和维护手册一式六份，以便于</w:t>
      </w:r>
      <w:r>
        <w:rPr>
          <w:rFonts w:hint="eastAsia" w:ascii="宋体" w:hAnsi="宋体" w:cs="宋体"/>
          <w:sz w:val="24"/>
          <w:szCs w:val="24"/>
          <w:lang w:eastAsia="zh-CN"/>
        </w:rPr>
        <w:t>采购人</w:t>
      </w:r>
      <w:r>
        <w:rPr>
          <w:rFonts w:hint="eastAsia" w:ascii="宋体" w:hAnsi="宋体" w:eastAsia="宋体" w:cs="宋体"/>
          <w:sz w:val="24"/>
          <w:szCs w:val="24"/>
        </w:rPr>
        <w:t>和相关人员能预先对将要运行的设备和系统有所了解。</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每本手册应包括下列基本材料：</w:t>
      </w:r>
    </w:p>
    <w:p>
      <w:pPr>
        <w:adjustRightInd w:val="0"/>
        <w:snapToGrid w:val="0"/>
        <w:spacing w:line="360" w:lineRule="auto"/>
        <w:ind w:left="480"/>
        <w:rPr>
          <w:rFonts w:hint="eastAsia" w:ascii="宋体" w:hAnsi="宋体" w:eastAsia="宋体" w:cs="宋体"/>
          <w:sz w:val="24"/>
          <w:szCs w:val="24"/>
        </w:rPr>
      </w:pPr>
      <w:r>
        <w:rPr>
          <w:rFonts w:hint="eastAsia" w:ascii="宋体" w:hAnsi="宋体" w:eastAsia="宋体" w:cs="宋体"/>
          <w:sz w:val="24"/>
          <w:szCs w:val="24"/>
        </w:rPr>
        <w:t>a.有设备规格和详细操作说明。</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b.系统和主要部件常见故障说明，包括零部件图和总图，说明书应包括备件清单、操作和维修方法。</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c．例行维修保养项目和期限的建议。</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d．紧急安全措施的建议。</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e．紧急维修中心电话号码、地址，维修人员的电话号码。</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.15.9在设备测试期间，</w:t>
      </w:r>
      <w:r>
        <w:rPr>
          <w:rFonts w:hint="eastAsia" w:ascii="宋体" w:hAnsi="宋体" w:eastAsia="宋体" w:cs="宋体"/>
          <w:sz w:val="24"/>
          <w:szCs w:val="24"/>
          <w:lang w:eastAsia="zh-CN"/>
        </w:rPr>
        <w:t>供应商</w:t>
      </w:r>
      <w:r>
        <w:rPr>
          <w:rFonts w:hint="eastAsia" w:ascii="宋体" w:hAnsi="宋体" w:eastAsia="宋体" w:cs="宋体"/>
          <w:sz w:val="24"/>
          <w:szCs w:val="24"/>
        </w:rPr>
        <w:t>须提交一式六份各式报告给</w:t>
      </w:r>
      <w:r>
        <w:rPr>
          <w:rFonts w:hint="eastAsia" w:ascii="宋体" w:hAnsi="宋体" w:cs="宋体"/>
          <w:sz w:val="24"/>
          <w:szCs w:val="24"/>
          <w:lang w:eastAsia="zh-CN"/>
        </w:rPr>
        <w:t>采购人</w:t>
      </w:r>
      <w:r>
        <w:rPr>
          <w:rFonts w:hint="eastAsia" w:ascii="宋体" w:hAnsi="宋体" w:eastAsia="宋体" w:cs="宋体"/>
          <w:sz w:val="24"/>
          <w:szCs w:val="24"/>
        </w:rPr>
        <w:t>。</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.15.10提供资料时间</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须在合同签订后，制订出提交资料的进度表，此进度表应为</w:t>
      </w:r>
      <w:r>
        <w:rPr>
          <w:rFonts w:hint="eastAsia" w:ascii="宋体" w:hAnsi="宋体" w:cs="宋体"/>
          <w:sz w:val="24"/>
          <w:szCs w:val="24"/>
          <w:lang w:eastAsia="zh-CN"/>
        </w:rPr>
        <w:t>采购人</w:t>
      </w:r>
      <w:r>
        <w:rPr>
          <w:rFonts w:hint="eastAsia" w:ascii="宋体" w:hAnsi="宋体" w:eastAsia="宋体" w:cs="宋体"/>
          <w:sz w:val="24"/>
          <w:szCs w:val="24"/>
        </w:rPr>
        <w:t>所认可，并应符合设计、制造、土建安装、调试等工程建设进度的需要。</w:t>
      </w:r>
    </w:p>
    <w:p>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6</w:t>
      </w:r>
      <w:r>
        <w:rPr>
          <w:rFonts w:hint="eastAsia" w:ascii="宋体" w:hAnsi="宋体" w:eastAsia="宋体" w:cs="宋体"/>
          <w:b/>
          <w:sz w:val="24"/>
          <w:szCs w:val="24"/>
        </w:rPr>
        <w:t>.1</w:t>
      </w:r>
      <w:r>
        <w:rPr>
          <w:rFonts w:hint="eastAsia" w:ascii="宋体" w:hAnsi="宋体" w:cs="宋体"/>
          <w:b/>
          <w:sz w:val="24"/>
          <w:szCs w:val="24"/>
          <w:lang w:val="en-US" w:eastAsia="zh-CN"/>
        </w:rPr>
        <w:t>5</w:t>
      </w:r>
      <w:r>
        <w:rPr>
          <w:rFonts w:hint="eastAsia" w:ascii="宋体" w:hAnsi="宋体" w:eastAsia="宋体" w:cs="宋体"/>
          <w:b/>
          <w:sz w:val="24"/>
          <w:szCs w:val="24"/>
        </w:rPr>
        <w:t>技术培训</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w:t>
      </w:r>
      <w:r>
        <w:rPr>
          <w:rFonts w:hint="eastAsia" w:ascii="宋体" w:hAnsi="宋体" w:cs="宋体"/>
          <w:sz w:val="24"/>
          <w:szCs w:val="24"/>
          <w:lang w:val="en-US" w:eastAsia="zh-CN"/>
        </w:rPr>
        <w:t>5</w:t>
      </w:r>
      <w:r>
        <w:rPr>
          <w:rFonts w:hint="eastAsia" w:ascii="宋体" w:hAnsi="宋体" w:eastAsia="宋体" w:cs="宋体"/>
          <w:sz w:val="24"/>
          <w:szCs w:val="24"/>
        </w:rPr>
        <w:t>.1</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须对</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的技术操作人员进行培训。</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rPr>
        <w:t>须在</w:t>
      </w:r>
      <w:r>
        <w:rPr>
          <w:rFonts w:hint="eastAsia" w:ascii="宋体" w:hAnsi="宋体" w:eastAsia="宋体" w:cs="宋体"/>
          <w:sz w:val="24"/>
          <w:szCs w:val="24"/>
          <w:lang w:eastAsia="zh-CN"/>
        </w:rPr>
        <w:t>响应文件中</w:t>
      </w:r>
      <w:r>
        <w:rPr>
          <w:rFonts w:hint="eastAsia" w:ascii="宋体" w:hAnsi="宋体" w:eastAsia="宋体" w:cs="宋体"/>
          <w:sz w:val="24"/>
          <w:szCs w:val="24"/>
        </w:rPr>
        <w:t>提供详细的培训计划,包括培训内容、培训时间、培训地点、培训费用等。现场培训、非现场培训的费用单列，若不参加培训，费用在合同总价中扣除。</w:t>
      </w:r>
    </w:p>
    <w:p>
      <w:pPr>
        <w:adjustRightInd w:val="0"/>
        <w:snapToGrid w:val="0"/>
        <w:spacing w:line="360" w:lineRule="auto"/>
        <w:ind w:right="-147" w:rightChars="-7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w:t>
      </w:r>
      <w:r>
        <w:rPr>
          <w:rFonts w:hint="eastAsia" w:ascii="宋体" w:hAnsi="宋体" w:cs="宋体"/>
          <w:sz w:val="24"/>
          <w:szCs w:val="24"/>
          <w:lang w:val="en-US" w:eastAsia="zh-CN"/>
        </w:rPr>
        <w:t>5</w:t>
      </w:r>
      <w:r>
        <w:rPr>
          <w:rFonts w:hint="eastAsia" w:ascii="宋体" w:hAnsi="宋体" w:eastAsia="宋体" w:cs="宋体"/>
          <w:sz w:val="24"/>
          <w:szCs w:val="24"/>
        </w:rPr>
        <w:t>.2</w:t>
      </w:r>
      <w:r>
        <w:rPr>
          <w:rFonts w:hint="eastAsia" w:ascii="宋体" w:hAnsi="宋体" w:eastAsia="宋体" w:cs="宋体"/>
          <w:sz w:val="24"/>
          <w:szCs w:val="24"/>
          <w:lang w:eastAsia="zh-CN"/>
        </w:rPr>
        <w:t>供应商</w:t>
      </w:r>
      <w:r>
        <w:rPr>
          <w:rFonts w:hint="eastAsia" w:ascii="宋体" w:hAnsi="宋体" w:eastAsia="宋体" w:cs="宋体"/>
          <w:sz w:val="24"/>
          <w:szCs w:val="24"/>
        </w:rPr>
        <w:t>提供的负责培训的人员应具备同类产品5年以上的维修经验。</w:t>
      </w:r>
    </w:p>
    <w:p>
      <w:pPr>
        <w:adjustRightInd w:val="0"/>
        <w:snapToGrid w:val="0"/>
        <w:spacing w:line="360" w:lineRule="auto"/>
        <w:ind w:right="-70" w:firstLine="451" w:firstLineChars="187"/>
        <w:rPr>
          <w:rFonts w:hint="eastAsia" w:ascii="宋体" w:hAnsi="宋体" w:eastAsia="宋体" w:cs="宋体"/>
          <w:b/>
          <w:bCs/>
          <w:sz w:val="24"/>
          <w:szCs w:val="24"/>
        </w:rPr>
      </w:pP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.1</w:t>
      </w:r>
      <w:r>
        <w:rPr>
          <w:rFonts w:hint="eastAsia" w:ascii="宋体" w:hAnsi="宋体" w:cs="宋体"/>
          <w:b/>
          <w:bCs/>
          <w:sz w:val="24"/>
          <w:szCs w:val="24"/>
          <w:lang w:val="en-US" w:eastAsia="zh-CN"/>
        </w:rPr>
        <w:t>6</w:t>
      </w:r>
      <w:r>
        <w:rPr>
          <w:rFonts w:hint="eastAsia" w:ascii="宋体" w:hAnsi="宋体" w:eastAsia="宋体" w:cs="宋体"/>
          <w:b/>
          <w:bCs/>
          <w:sz w:val="24"/>
          <w:szCs w:val="24"/>
        </w:rPr>
        <w:t>知识产权</w:t>
      </w:r>
    </w:p>
    <w:p>
      <w:pPr>
        <w:adjustRightInd w:val="0"/>
        <w:snapToGrid w:val="0"/>
        <w:spacing w:line="360" w:lineRule="auto"/>
        <w:ind w:right="-70" w:firstLine="448" w:firstLineChars="187"/>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w:t>
      </w:r>
      <w:r>
        <w:rPr>
          <w:rFonts w:hint="eastAsia" w:ascii="宋体" w:hAnsi="宋体" w:cs="宋体"/>
          <w:sz w:val="24"/>
          <w:szCs w:val="24"/>
          <w:lang w:val="en-US" w:eastAsia="zh-CN"/>
        </w:rPr>
        <w:t>6</w:t>
      </w:r>
      <w:r>
        <w:rPr>
          <w:rFonts w:hint="eastAsia" w:ascii="宋体" w:hAnsi="宋体" w:eastAsia="宋体" w:cs="宋体"/>
          <w:sz w:val="24"/>
          <w:szCs w:val="24"/>
        </w:rPr>
        <w:t>.1</w:t>
      </w:r>
      <w:r>
        <w:rPr>
          <w:rFonts w:hint="eastAsia" w:ascii="宋体" w:hAnsi="宋体" w:eastAsia="宋体" w:cs="宋体"/>
          <w:sz w:val="24"/>
          <w:szCs w:val="24"/>
          <w:lang w:eastAsia="zh-CN"/>
        </w:rPr>
        <w:t>供应商</w:t>
      </w:r>
      <w:r>
        <w:rPr>
          <w:rFonts w:hint="eastAsia" w:ascii="宋体" w:hAnsi="宋体" w:eastAsia="宋体" w:cs="宋体"/>
          <w:sz w:val="24"/>
          <w:szCs w:val="24"/>
        </w:rPr>
        <w:t>须对</w:t>
      </w:r>
      <w:r>
        <w:rPr>
          <w:rFonts w:hint="eastAsia" w:ascii="宋体" w:hAnsi="宋体" w:eastAsia="宋体" w:cs="宋体"/>
          <w:sz w:val="24"/>
          <w:szCs w:val="24"/>
          <w:lang w:eastAsia="zh-CN"/>
        </w:rPr>
        <w:t>磋商文件中</w:t>
      </w:r>
      <w:r>
        <w:rPr>
          <w:rFonts w:hint="eastAsia" w:ascii="宋体" w:hAnsi="宋体" w:eastAsia="宋体" w:cs="宋体"/>
          <w:sz w:val="24"/>
          <w:szCs w:val="24"/>
        </w:rPr>
        <w:t>涉及到的专利负责，并保证不伤害</w:t>
      </w:r>
      <w:r>
        <w:rPr>
          <w:rFonts w:hint="eastAsia" w:ascii="宋体" w:hAnsi="宋体" w:cs="宋体"/>
          <w:sz w:val="24"/>
          <w:szCs w:val="24"/>
          <w:lang w:eastAsia="zh-CN"/>
        </w:rPr>
        <w:t>采购人</w:t>
      </w:r>
      <w:r>
        <w:rPr>
          <w:rFonts w:hint="eastAsia" w:ascii="宋体" w:hAnsi="宋体" w:eastAsia="宋体" w:cs="宋体"/>
          <w:sz w:val="24"/>
          <w:szCs w:val="24"/>
        </w:rPr>
        <w:t>的利益。在法律范围内，所有文字、商标和技术侵权造成的相关费用，</w:t>
      </w:r>
      <w:r>
        <w:rPr>
          <w:rFonts w:hint="eastAsia" w:ascii="宋体" w:hAnsi="宋体" w:cs="宋体"/>
          <w:sz w:val="24"/>
          <w:szCs w:val="24"/>
          <w:lang w:eastAsia="zh-CN"/>
        </w:rPr>
        <w:t>采购人</w:t>
      </w:r>
      <w:r>
        <w:rPr>
          <w:rFonts w:hint="eastAsia" w:ascii="宋体" w:hAnsi="宋体" w:eastAsia="宋体" w:cs="宋体"/>
          <w:sz w:val="24"/>
          <w:szCs w:val="24"/>
        </w:rPr>
        <w:t>概不负责。</w:t>
      </w:r>
    </w:p>
    <w:p>
      <w:pPr>
        <w:pStyle w:val="42"/>
        <w:ind w:left="0" w:leftChars="0" w:firstLine="0" w:firstLineChars="0"/>
        <w:rPr>
          <w:rFonts w:hint="eastAsia" w:ascii="宋体" w:hAnsi="宋体" w:eastAsia="宋体" w:cs="宋体"/>
          <w:sz w:val="24"/>
          <w:szCs w:val="24"/>
          <w:highlight w:val="none"/>
          <w:lang w:eastAsia="zh-CN"/>
        </w:rPr>
      </w:pPr>
    </w:p>
    <w:p>
      <w:pPr>
        <w:numPr>
          <w:ilvl w:val="0"/>
          <w:numId w:val="0"/>
        </w:numPr>
        <w:spacing w:line="360" w:lineRule="auto"/>
        <w:outlineLvl w:val="1"/>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zh-CN"/>
        </w:rPr>
        <w:t>▲</w:t>
      </w:r>
      <w:r>
        <w:rPr>
          <w:rFonts w:hint="eastAsia" w:ascii="宋体" w:hAnsi="宋体" w:cs="宋体"/>
          <w:b/>
          <w:color w:val="auto"/>
          <w:sz w:val="24"/>
          <w:szCs w:val="24"/>
          <w:highlight w:val="none"/>
          <w:lang w:eastAsia="zh-CN"/>
        </w:rPr>
        <w:t>七</w:t>
      </w:r>
      <w:r>
        <w:rPr>
          <w:rFonts w:hint="eastAsia" w:ascii="宋体" w:hAnsi="宋体" w:eastAsia="宋体" w:cs="宋体"/>
          <w:b/>
          <w:color w:val="auto"/>
          <w:sz w:val="24"/>
          <w:szCs w:val="24"/>
          <w:highlight w:val="none"/>
        </w:rPr>
        <w:t>、商务</w:t>
      </w:r>
      <w:r>
        <w:rPr>
          <w:rFonts w:hint="eastAsia" w:ascii="宋体" w:hAnsi="宋体" w:eastAsia="宋体" w:cs="宋体"/>
          <w:b/>
          <w:color w:val="000000"/>
          <w:sz w:val="24"/>
          <w:szCs w:val="24"/>
          <w:highlight w:val="none"/>
        </w:rPr>
        <w:t>要求表</w:t>
      </w:r>
    </w:p>
    <w:tbl>
      <w:tblPr>
        <w:tblStyle w:val="35"/>
        <w:tblW w:w="94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63"/>
        <w:gridCol w:w="78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2" w:hRule="atLeast"/>
          <w:jc w:val="center"/>
        </w:trPr>
        <w:tc>
          <w:tcPr>
            <w:tcW w:w="15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质保期</w:t>
            </w:r>
          </w:p>
        </w:tc>
        <w:tc>
          <w:tcPr>
            <w:tcW w:w="7889"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须对合同中规定的整套电梯提供不少于</w:t>
            </w:r>
            <w:r>
              <w:rPr>
                <w:rFonts w:hint="eastAsia" w:ascii="宋体" w:hAnsi="宋体" w:eastAsia="宋体" w:cs="宋体"/>
                <w:b/>
                <w:sz w:val="24"/>
                <w:szCs w:val="24"/>
                <w:highlight w:val="none"/>
                <w:lang w:eastAsia="zh-CN"/>
              </w:rPr>
              <w:t>3</w:t>
            </w:r>
            <w:r>
              <w:rPr>
                <w:rFonts w:hint="eastAsia" w:ascii="宋体" w:hAnsi="宋体" w:eastAsia="宋体" w:cs="宋体"/>
                <w:b/>
                <w:sz w:val="24"/>
                <w:szCs w:val="24"/>
                <w:highlight w:val="none"/>
                <w:lang w:val="en-US" w:eastAsia="zh-CN"/>
              </w:rPr>
              <w:t>6</w:t>
            </w:r>
            <w:r>
              <w:rPr>
                <w:rFonts w:hint="eastAsia" w:ascii="宋体" w:hAnsi="宋体" w:eastAsia="宋体" w:cs="宋体"/>
                <w:b/>
                <w:sz w:val="24"/>
                <w:szCs w:val="24"/>
                <w:highlight w:val="none"/>
              </w:rPr>
              <w:t>个月</w:t>
            </w:r>
            <w:r>
              <w:rPr>
                <w:rFonts w:hint="eastAsia" w:ascii="宋体" w:hAnsi="宋体" w:eastAsia="宋体" w:cs="宋体"/>
                <w:sz w:val="24"/>
                <w:szCs w:val="24"/>
                <w:highlight w:val="none"/>
              </w:rPr>
              <w:t>的质保期及免费维修和保养，时间从质监部门验收通过、</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接受并使用之日算起。免费维保期内如发生非人为原因引起的损坏，</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应及时免费更换或修理；由于非</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原因造成的零、部件损坏，</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有义务对损坏零部件作有偿的维修更换。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2" w:hRule="atLeast"/>
          <w:jc w:val="center"/>
        </w:trPr>
        <w:tc>
          <w:tcPr>
            <w:tcW w:w="15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cs="宋体"/>
                <w:b/>
                <w:color w:val="000000" w:themeColor="text1"/>
                <w:sz w:val="24"/>
                <w:szCs w:val="24"/>
                <w:highlight w:val="none"/>
                <w:lang w:eastAsia="zh-CN"/>
                <w14:textFill>
                  <w14:solidFill>
                    <w14:schemeClr w14:val="tx1"/>
                  </w14:solidFill>
                </w14:textFill>
              </w:rPr>
              <w:t>服务要求</w:t>
            </w:r>
          </w:p>
        </w:tc>
        <w:tc>
          <w:tcPr>
            <w:tcW w:w="78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(1)要求连续工作每天24小时，全年365天。</w:t>
            </w:r>
          </w:p>
          <w:p>
            <w:pPr>
              <w:adjustRightInd w:val="0"/>
              <w:snapToGrid w:val="0"/>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(2)正常使用寿命期要求15万小时以上。</w:t>
            </w:r>
          </w:p>
          <w:p>
            <w:pPr>
              <w:adjustRightInd w:val="0"/>
              <w:snapToGrid w:val="0"/>
              <w:spacing w:line="240" w:lineRule="auto"/>
              <w:ind w:left="0" w:leftChars="0" w:firstLine="0" w:firstLineChars="0"/>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val="en-US" w:eastAsia="zh-CN"/>
              </w:rPr>
              <w:t>(3)在确定认可的材质、工艺要求前提下，其外观质量和舒适感应有可比性的优越。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9" w:hRule="atLeast"/>
          <w:jc w:val="center"/>
        </w:trPr>
        <w:tc>
          <w:tcPr>
            <w:tcW w:w="15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售后服务承诺</w:t>
            </w:r>
          </w:p>
        </w:tc>
        <w:tc>
          <w:tcPr>
            <w:tcW w:w="78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维修点须设在项目就近地，可以处理所有的维修服务，且需提供</w:t>
            </w:r>
            <w:r>
              <w:rPr>
                <w:rFonts w:hint="eastAsia" w:ascii="宋体" w:hAnsi="宋体" w:eastAsia="宋体" w:cs="宋体"/>
                <w:b/>
                <w:sz w:val="24"/>
                <w:szCs w:val="24"/>
                <w:highlight w:val="none"/>
              </w:rPr>
              <w:t>24小时</w:t>
            </w:r>
            <w:r>
              <w:rPr>
                <w:rFonts w:hint="eastAsia" w:ascii="宋体" w:hAnsi="宋体" w:eastAsia="宋体" w:cs="宋体"/>
                <w:sz w:val="24"/>
                <w:szCs w:val="24"/>
                <w:highlight w:val="none"/>
              </w:rPr>
              <w:t>服务，维修人员需在接到维修电话后</w:t>
            </w:r>
            <w:r>
              <w:rPr>
                <w:rFonts w:hint="eastAsia" w:ascii="宋体" w:hAnsi="宋体" w:eastAsia="宋体" w:cs="宋体"/>
                <w:b/>
                <w:bCs/>
                <w:sz w:val="24"/>
                <w:szCs w:val="24"/>
                <w:highlight w:val="none"/>
              </w:rPr>
              <w:t>30分钟</w:t>
            </w:r>
            <w:r>
              <w:rPr>
                <w:rFonts w:hint="eastAsia" w:ascii="宋体" w:hAnsi="宋体" w:eastAsia="宋体" w:cs="宋体"/>
                <w:b/>
                <w:sz w:val="24"/>
                <w:szCs w:val="24"/>
                <w:highlight w:val="none"/>
              </w:rPr>
              <w:t>内</w:t>
            </w:r>
            <w:r>
              <w:rPr>
                <w:rFonts w:hint="eastAsia" w:ascii="宋体" w:hAnsi="宋体" w:eastAsia="宋体" w:cs="宋体"/>
                <w:sz w:val="24"/>
                <w:szCs w:val="24"/>
                <w:highlight w:val="none"/>
              </w:rPr>
              <w:t>赶到现场，提供不间断的服务直到结束。维修点需提供足够的备件以适应</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维修需求。一般故障20分钟排除，每超过一次延长二个月保修期。如</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未按承诺时间到场处理，或经处理在约定时间内无法解决，</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可动用质保金另行组织维修，不足部分由</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负责补足，</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承担由此造成的全部损失和法律责任。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jc w:val="center"/>
        </w:trPr>
        <w:tc>
          <w:tcPr>
            <w:tcW w:w="15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履约保证金</w:t>
            </w:r>
          </w:p>
        </w:tc>
        <w:tc>
          <w:tcPr>
            <w:tcW w:w="7889"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firstLineChars="0"/>
              <w:rPr>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成交供应商签订合同前必须向采购人提交合同金</w:t>
            </w:r>
            <w:r>
              <w:rPr>
                <w:rFonts w:hint="eastAsia" w:ascii="宋体" w:hAnsi="宋体" w:eastAsia="宋体" w:cs="宋体"/>
                <w:kern w:val="2"/>
                <w:sz w:val="24"/>
                <w:szCs w:val="24"/>
                <w:highlight w:val="none"/>
                <w:lang w:val="en-US" w:eastAsia="zh-CN" w:bidi="ar-SA"/>
              </w:rPr>
              <w:t>额的</w:t>
            </w:r>
            <w:r>
              <w:rPr>
                <w:rFonts w:hint="eastAsia" w:ascii="宋体" w:hAnsi="宋体"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zh-CN" w:bidi="ar-SA"/>
              </w:rPr>
              <w:t>%作为</w:t>
            </w:r>
            <w:r>
              <w:rPr>
                <w:rFonts w:hint="eastAsia" w:ascii="宋体" w:hAnsi="宋体" w:eastAsia="宋体" w:cs="宋体"/>
                <w:kern w:val="2"/>
                <w:sz w:val="24"/>
                <w:szCs w:val="24"/>
                <w:lang w:val="en-US" w:eastAsia="zh-CN" w:bidi="ar-SA"/>
              </w:rPr>
              <w:t>本合同的履约保证金，合同履行</w:t>
            </w:r>
            <w:r>
              <w:rPr>
                <w:rFonts w:hint="eastAsia" w:ascii="宋体" w:hAnsi="宋体" w:eastAsia="宋体" w:cs="宋体"/>
                <w:kern w:val="2"/>
                <w:sz w:val="24"/>
                <w:szCs w:val="24"/>
                <w:highlight w:val="none"/>
                <w:lang w:val="en-US" w:eastAsia="zh-CN" w:bidi="ar-SA"/>
              </w:rPr>
              <w:t>完毕后，</w:t>
            </w:r>
            <w:r>
              <w:rPr>
                <w:rFonts w:hint="eastAsia" w:ascii="宋体" w:hAnsi="宋体" w:cs="宋体"/>
                <w:kern w:val="2"/>
                <w:sz w:val="24"/>
                <w:szCs w:val="24"/>
                <w:highlight w:val="none"/>
                <w:lang w:val="en-US" w:eastAsia="zh-CN" w:bidi="ar-SA"/>
              </w:rPr>
              <w:t>采购人</w:t>
            </w:r>
            <w:r>
              <w:rPr>
                <w:rFonts w:hint="eastAsia" w:ascii="宋体" w:hAnsi="宋体" w:eastAsia="宋体" w:cs="宋体"/>
                <w:kern w:val="2"/>
                <w:sz w:val="24"/>
                <w:szCs w:val="24"/>
                <w:highlight w:val="none"/>
                <w:lang w:val="en-US" w:eastAsia="zh-CN" w:bidi="ar-SA"/>
              </w:rPr>
              <w:t>根</w:t>
            </w:r>
            <w:r>
              <w:rPr>
                <w:rFonts w:hint="eastAsia" w:ascii="宋体" w:hAnsi="宋体" w:eastAsia="宋体" w:cs="宋体"/>
                <w:kern w:val="2"/>
                <w:sz w:val="24"/>
                <w:szCs w:val="24"/>
                <w:lang w:val="en-US" w:eastAsia="zh-CN" w:bidi="ar-SA"/>
              </w:rPr>
              <w:t>据</w:t>
            </w:r>
            <w:r>
              <w:rPr>
                <w:rFonts w:hint="eastAsia" w:ascii="宋体" w:hAnsi="宋体" w:cs="宋体"/>
                <w:sz w:val="24"/>
                <w:szCs w:val="24"/>
                <w:highlight w:val="none"/>
                <w:lang w:eastAsia="zh-CN"/>
              </w:rPr>
              <w:t>成交供应商</w:t>
            </w:r>
            <w:r>
              <w:rPr>
                <w:rFonts w:hint="eastAsia" w:ascii="宋体" w:hAnsi="宋体" w:eastAsia="宋体" w:cs="宋体"/>
                <w:kern w:val="2"/>
                <w:sz w:val="24"/>
                <w:szCs w:val="24"/>
                <w:lang w:val="en-US" w:eastAsia="zh-CN" w:bidi="ar-SA"/>
              </w:rPr>
              <w:t>履约情况，按原汇款路径无息返还履约保证金。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15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交货期及交货地点</w:t>
            </w:r>
          </w:p>
        </w:tc>
        <w:tc>
          <w:tcPr>
            <w:tcW w:w="788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（1）合同签订生</w:t>
            </w:r>
            <w:r>
              <w:rPr>
                <w:rFonts w:hint="eastAsia" w:ascii="宋体" w:hAnsi="宋体" w:eastAsia="宋体" w:cs="宋体"/>
                <w:color w:val="auto"/>
                <w:kern w:val="2"/>
                <w:sz w:val="24"/>
                <w:szCs w:val="24"/>
                <w:highlight w:val="none"/>
                <w:lang w:val="en-US" w:eastAsia="zh-CN" w:bidi="ar-SA"/>
              </w:rPr>
              <w:t>效后的</w:t>
            </w:r>
            <w:r>
              <w:rPr>
                <w:rFonts w:hint="eastAsia" w:ascii="宋体" w:hAnsi="宋体" w:cs="宋体"/>
                <w:color w:val="auto"/>
                <w:kern w:val="2"/>
                <w:sz w:val="24"/>
                <w:szCs w:val="24"/>
                <w:highlight w:val="none"/>
                <w:lang w:val="en-US" w:eastAsia="zh-CN" w:bidi="ar-SA"/>
              </w:rPr>
              <w:t>60</w:t>
            </w:r>
            <w:r>
              <w:rPr>
                <w:rFonts w:hint="eastAsia" w:ascii="宋体" w:hAnsi="宋体" w:eastAsia="宋体" w:cs="宋体"/>
                <w:kern w:val="2"/>
                <w:sz w:val="24"/>
                <w:szCs w:val="24"/>
                <w:highlight w:val="none"/>
                <w:lang w:val="en-US" w:eastAsia="zh-CN" w:bidi="ar-SA"/>
              </w:rPr>
              <w:t>日历</w:t>
            </w:r>
            <w:r>
              <w:rPr>
                <w:rFonts w:hint="eastAsia" w:ascii="宋体" w:hAnsi="宋体" w:eastAsia="宋体" w:cs="宋体"/>
                <w:color w:val="auto"/>
                <w:kern w:val="2"/>
                <w:sz w:val="24"/>
                <w:szCs w:val="24"/>
                <w:highlight w:val="none"/>
                <w:lang w:val="en-US" w:eastAsia="zh-CN" w:bidi="ar-SA"/>
              </w:rPr>
              <w:t>天内全部</w:t>
            </w:r>
            <w:r>
              <w:rPr>
                <w:rFonts w:hint="eastAsia" w:ascii="宋体" w:hAnsi="宋体" w:eastAsia="宋体" w:cs="宋体"/>
                <w:kern w:val="2"/>
                <w:sz w:val="24"/>
                <w:szCs w:val="24"/>
                <w:highlight w:val="none"/>
                <w:lang w:val="en-US" w:eastAsia="zh-CN" w:bidi="ar-SA"/>
              </w:rPr>
              <w:t>货物供货、安装调试完毕并经采购人验收合格。</w:t>
            </w:r>
          </w:p>
          <w:p>
            <w:pPr>
              <w:spacing w:line="360" w:lineRule="exact"/>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（2）交货、安装地点：</w:t>
            </w:r>
            <w:r>
              <w:rPr>
                <w:rFonts w:hint="eastAsia" w:ascii="宋体" w:cs="宋体"/>
                <w:color w:val="auto"/>
                <w:sz w:val="24"/>
                <w:highlight w:val="none"/>
                <w:lang w:eastAsia="zh-CN"/>
              </w:rPr>
              <w:t>长兴县退役军人事务局</w:t>
            </w:r>
            <w:r>
              <w:rPr>
                <w:rFonts w:hint="eastAsia" w:ascii="宋体" w:hAnsi="宋体" w:eastAsia="宋体" w:cs="宋体"/>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15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auto"/>
                <w:sz w:val="24"/>
                <w:szCs w:val="24"/>
                <w:highlight w:val="none"/>
              </w:rPr>
              <w:t>付款方式</w:t>
            </w:r>
          </w:p>
        </w:tc>
        <w:tc>
          <w:tcPr>
            <w:tcW w:w="7889" w:type="dxa"/>
            <w:tcBorders>
              <w:top w:val="single" w:color="auto" w:sz="4" w:space="0"/>
              <w:left w:val="single" w:color="auto" w:sz="4" w:space="0"/>
              <w:bottom w:val="single" w:color="auto" w:sz="4" w:space="0"/>
              <w:right w:val="single" w:color="auto" w:sz="4" w:space="0"/>
            </w:tcBorders>
            <w:vAlign w:val="center"/>
          </w:tcPr>
          <w:p>
            <w:pPr>
              <w:pStyle w:val="2"/>
              <w:numPr>
                <w:ilvl w:val="0"/>
                <w:numId w:val="0"/>
              </w:numPr>
              <w:spacing w:line="360" w:lineRule="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根据省财政厅《关于进一步发挥政府采购政策功能全力推动经济稳进提质的通知》（浙财采监【2022】3号）要求，制定如下付款方式：</w:t>
            </w:r>
          </w:p>
          <w:p>
            <w:pPr>
              <w:pStyle w:val="2"/>
              <w:numPr>
                <w:ilvl w:val="0"/>
                <w:numId w:val="0"/>
              </w:numPr>
              <w:spacing w:line="360" w:lineRule="auto"/>
              <w:rPr>
                <w:rFonts w:hint="eastAsia" w:ascii="宋体" w:hAnsi="宋体" w:eastAsia="宋体" w:cs="宋体"/>
                <w:kern w:val="1"/>
                <w:sz w:val="24"/>
                <w:szCs w:val="24"/>
                <w:highlight w:val="none"/>
                <w:lang w:val="en-US" w:eastAsia="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kern w:val="1"/>
                <w:sz w:val="24"/>
                <w:szCs w:val="24"/>
                <w:highlight w:val="none"/>
                <w:lang w:val="en-US" w:eastAsia="zh-CN"/>
              </w:rPr>
              <w:t>、</w:t>
            </w:r>
            <w:r>
              <w:rPr>
                <w:rFonts w:hint="eastAsia" w:ascii="宋体" w:hAnsi="宋体" w:eastAsia="宋体" w:cs="宋体"/>
                <w:kern w:val="1"/>
                <w:sz w:val="24"/>
                <w:szCs w:val="24"/>
                <w:highlight w:val="none"/>
                <w:lang w:eastAsia="zh-CN"/>
              </w:rPr>
              <w:t>如</w:t>
            </w:r>
            <w:r>
              <w:rPr>
                <w:rFonts w:hint="eastAsia" w:ascii="宋体" w:hAnsi="宋体" w:eastAsia="宋体" w:cs="宋体"/>
                <w:kern w:val="1"/>
                <w:sz w:val="24"/>
                <w:szCs w:val="24"/>
                <w:highlight w:val="none"/>
                <w:lang w:val="en-US" w:eastAsia="zh-CN"/>
              </w:rPr>
              <w:t>中</w:t>
            </w:r>
            <w:r>
              <w:rPr>
                <w:rFonts w:hint="eastAsia" w:ascii="宋体" w:hAnsi="宋体" w:eastAsia="宋体" w:cs="宋体"/>
                <w:kern w:val="1"/>
                <w:sz w:val="24"/>
                <w:szCs w:val="24"/>
                <w:highlight w:val="none"/>
                <w:lang w:eastAsia="zh-CN"/>
              </w:rPr>
              <w:t>小微企业</w:t>
            </w:r>
            <w:r>
              <w:rPr>
                <w:rFonts w:hint="eastAsia" w:hAnsi="宋体" w:cs="宋体"/>
                <w:kern w:val="1"/>
                <w:sz w:val="24"/>
                <w:szCs w:val="24"/>
                <w:highlight w:val="none"/>
                <w:lang w:eastAsia="zh-CN"/>
              </w:rPr>
              <w:t>成交</w:t>
            </w:r>
            <w:r>
              <w:rPr>
                <w:rFonts w:hint="eastAsia" w:ascii="宋体" w:hAnsi="宋体" w:eastAsia="宋体" w:cs="宋体"/>
                <w:kern w:val="1"/>
                <w:sz w:val="24"/>
                <w:szCs w:val="24"/>
                <w:highlight w:val="none"/>
                <w:lang w:eastAsia="zh-CN"/>
              </w:rPr>
              <w:t>，</w:t>
            </w:r>
            <w:r>
              <w:rPr>
                <w:rFonts w:hint="eastAsia" w:ascii="宋体" w:hAnsi="宋体" w:eastAsia="宋体" w:cs="宋体"/>
                <w:kern w:val="1"/>
                <w:sz w:val="24"/>
                <w:szCs w:val="24"/>
                <w:highlight w:val="none"/>
              </w:rPr>
              <w:t>项目合同签订后</w:t>
            </w:r>
            <w:r>
              <w:rPr>
                <w:rFonts w:hint="eastAsia" w:ascii="宋体" w:hAnsi="宋体" w:eastAsia="宋体" w:cs="宋体"/>
                <w:kern w:val="1"/>
                <w:sz w:val="24"/>
                <w:szCs w:val="24"/>
                <w:highlight w:val="none"/>
                <w:lang w:eastAsia="zh-CN"/>
              </w:rPr>
              <w:t>七个工作</w:t>
            </w:r>
            <w:r>
              <w:rPr>
                <w:rFonts w:hint="eastAsia" w:ascii="宋体" w:hAnsi="宋体" w:eastAsia="宋体" w:cs="宋体"/>
                <w:kern w:val="1"/>
                <w:sz w:val="24"/>
                <w:szCs w:val="24"/>
                <w:highlight w:val="none"/>
              </w:rPr>
              <w:t>日内支付合同总金额的</w:t>
            </w:r>
            <w:r>
              <w:rPr>
                <w:rFonts w:hint="eastAsia" w:hAnsi="宋体" w:cs="宋体"/>
                <w:kern w:val="1"/>
                <w:sz w:val="24"/>
                <w:szCs w:val="24"/>
                <w:highlight w:val="none"/>
                <w:lang w:val="en-US" w:eastAsia="zh-CN"/>
              </w:rPr>
              <w:t>4</w:t>
            </w:r>
            <w:r>
              <w:rPr>
                <w:rFonts w:hint="eastAsia" w:ascii="宋体" w:hAnsi="宋体" w:eastAsia="宋体" w:cs="宋体"/>
                <w:kern w:val="1"/>
                <w:sz w:val="24"/>
                <w:szCs w:val="24"/>
                <w:highlight w:val="none"/>
              </w:rPr>
              <w:t>0%</w:t>
            </w:r>
            <w:r>
              <w:rPr>
                <w:rFonts w:hint="eastAsia" w:ascii="宋体" w:hAnsi="宋体" w:eastAsia="宋体" w:cs="宋体"/>
                <w:kern w:val="1"/>
                <w:sz w:val="24"/>
                <w:szCs w:val="24"/>
                <w:highlight w:val="none"/>
                <w:lang w:eastAsia="zh-CN"/>
              </w:rPr>
              <w:t>（如若不是中小微企业中标直接从第</w:t>
            </w:r>
            <w:r>
              <w:rPr>
                <w:rFonts w:hint="eastAsia" w:ascii="宋体" w:hAnsi="宋体" w:eastAsia="宋体" w:cs="宋体"/>
                <w:kern w:val="1"/>
                <w:sz w:val="24"/>
                <w:szCs w:val="24"/>
                <w:highlight w:val="none"/>
                <w:lang w:val="en-US" w:eastAsia="zh-CN"/>
              </w:rPr>
              <w:t>2点开始支付</w:t>
            </w:r>
            <w:r>
              <w:rPr>
                <w:rFonts w:hint="eastAsia" w:ascii="宋体" w:hAnsi="宋体" w:eastAsia="宋体" w:cs="宋体"/>
                <w:kern w:val="1"/>
                <w:sz w:val="24"/>
                <w:szCs w:val="24"/>
                <w:highlight w:val="none"/>
                <w:lang w:eastAsia="zh-CN"/>
              </w:rPr>
              <w:t>）</w:t>
            </w:r>
            <w:r>
              <w:rPr>
                <w:rFonts w:hint="eastAsia" w:ascii="宋体" w:hAnsi="宋体" w:eastAsia="宋体" w:cs="宋体"/>
                <w:kern w:val="1"/>
                <w:sz w:val="24"/>
                <w:szCs w:val="24"/>
                <w:highlight w:val="none"/>
                <w:lang w:val="en-US" w:eastAsia="zh-CN"/>
              </w:rPr>
              <w:t>；</w:t>
            </w:r>
          </w:p>
          <w:p>
            <w:pPr>
              <w:pStyle w:val="2"/>
              <w:numPr>
                <w:ilvl w:val="0"/>
                <w:numId w:val="0"/>
              </w:numPr>
              <w:spacing w:line="360" w:lineRule="auto"/>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lang w:val="en-US" w:eastAsia="zh-CN"/>
              </w:rPr>
              <w:t>2、</w:t>
            </w:r>
            <w:r>
              <w:rPr>
                <w:rFonts w:hint="eastAsia" w:ascii="宋体" w:hAnsi="宋体" w:eastAsia="宋体" w:cs="宋体"/>
                <w:kern w:val="1"/>
                <w:sz w:val="24"/>
                <w:szCs w:val="24"/>
                <w:highlight w:val="none"/>
              </w:rPr>
              <w:t>全部货物送达现场后支付合同总价的</w:t>
            </w:r>
            <w:r>
              <w:rPr>
                <w:rFonts w:hint="eastAsia" w:ascii="宋体" w:hAnsi="宋体" w:eastAsia="宋体" w:cs="宋体"/>
                <w:kern w:val="1"/>
                <w:sz w:val="24"/>
                <w:szCs w:val="24"/>
                <w:highlight w:val="none"/>
                <w:lang w:val="en-US" w:eastAsia="zh-CN"/>
              </w:rPr>
              <w:t>70</w:t>
            </w:r>
            <w:r>
              <w:rPr>
                <w:rFonts w:hint="eastAsia" w:ascii="宋体" w:hAnsi="宋体" w:eastAsia="宋体" w:cs="宋体"/>
                <w:kern w:val="1"/>
                <w:sz w:val="24"/>
                <w:szCs w:val="24"/>
                <w:highlight w:val="none"/>
              </w:rPr>
              <w:t>%；</w:t>
            </w:r>
          </w:p>
          <w:p>
            <w:pPr>
              <w:pStyle w:val="2"/>
              <w:numPr>
                <w:ilvl w:val="0"/>
                <w:numId w:val="0"/>
              </w:numPr>
              <w:spacing w:line="360" w:lineRule="auto"/>
              <w:rPr>
                <w:rFonts w:hint="eastAsia" w:ascii="宋体" w:hAnsi="宋体" w:eastAsia="宋体" w:cs="宋体"/>
                <w:sz w:val="24"/>
                <w:szCs w:val="24"/>
              </w:rPr>
            </w:pPr>
            <w:r>
              <w:rPr>
                <w:rFonts w:hint="eastAsia" w:ascii="宋体" w:hAnsi="宋体" w:eastAsia="宋体" w:cs="宋体"/>
                <w:kern w:val="1"/>
                <w:sz w:val="24"/>
                <w:szCs w:val="24"/>
                <w:highlight w:val="none"/>
                <w:lang w:val="en-US" w:eastAsia="zh-CN"/>
              </w:rPr>
              <w:t>3、</w:t>
            </w:r>
            <w:r>
              <w:rPr>
                <w:rFonts w:hint="eastAsia" w:ascii="宋体" w:hAnsi="宋体" w:eastAsia="宋体" w:cs="宋体"/>
                <w:kern w:val="1"/>
                <w:sz w:val="24"/>
                <w:szCs w:val="24"/>
                <w:highlight w:val="none"/>
              </w:rPr>
              <w:t>全部货物安装</w:t>
            </w:r>
            <w:r>
              <w:rPr>
                <w:rFonts w:hint="eastAsia" w:hAnsi="宋体" w:cs="宋体"/>
                <w:kern w:val="1"/>
                <w:sz w:val="24"/>
                <w:szCs w:val="24"/>
                <w:highlight w:val="none"/>
                <w:lang w:eastAsia="zh-CN"/>
              </w:rPr>
              <w:t>调试</w:t>
            </w:r>
            <w:r>
              <w:rPr>
                <w:rFonts w:hint="eastAsia" w:ascii="宋体" w:hAnsi="宋体" w:eastAsia="宋体" w:cs="宋体"/>
                <w:kern w:val="1"/>
                <w:sz w:val="24"/>
                <w:szCs w:val="24"/>
                <w:highlight w:val="none"/>
              </w:rPr>
              <w:t>完毕并验收合格后，付至结算价的100%。</w:t>
            </w:r>
          </w:p>
        </w:tc>
      </w:tr>
    </w:tbl>
    <w:p>
      <w:pPr>
        <w:pStyle w:val="5"/>
        <w:rPr>
          <w:rFonts w:hint="eastAsia" w:ascii="宋体" w:hAnsi="宋体" w:eastAsia="宋体" w:cs="宋体"/>
          <w:sz w:val="24"/>
          <w:szCs w:val="24"/>
        </w:rPr>
      </w:pPr>
    </w:p>
    <w:p>
      <w:pPr>
        <w:pStyle w:val="7"/>
        <w:adjustRightInd w:val="0"/>
        <w:snapToGrid w:val="0"/>
        <w:spacing w:line="240" w:lineRule="auto"/>
        <w:ind w:firstLine="482" w:firstLineChars="200"/>
        <w:contextualSpacing/>
        <w:jc w:val="left"/>
        <w:rPr>
          <w:rFonts w:hint="eastAsia" w:ascii="宋体" w:hAnsi="Calibri" w:eastAsia="宋体" w:cs="Arial"/>
          <w:b/>
          <w:bCs/>
          <w:color w:val="000000"/>
          <w:sz w:val="24"/>
          <w:szCs w:val="22"/>
          <w:lang w:val="en-US" w:eastAsia="zh-CN"/>
        </w:rPr>
      </w:pPr>
    </w:p>
    <w:p>
      <w:pPr>
        <w:pStyle w:val="7"/>
        <w:adjustRightInd w:val="0"/>
        <w:snapToGrid w:val="0"/>
        <w:spacing w:line="240" w:lineRule="auto"/>
        <w:ind w:firstLine="482" w:firstLineChars="200"/>
        <w:contextualSpacing/>
        <w:jc w:val="left"/>
        <w:rPr>
          <w:rFonts w:hint="eastAsia" w:ascii="宋体" w:hAnsi="Calibri" w:eastAsia="宋体" w:cs="Arial"/>
          <w:b/>
          <w:bCs/>
          <w:color w:val="000000"/>
          <w:sz w:val="24"/>
          <w:szCs w:val="22"/>
          <w:lang w:val="en-US" w:eastAsia="zh-CN"/>
        </w:rPr>
      </w:pPr>
    </w:p>
    <w:bookmarkEnd w:id="676"/>
    <w:bookmarkEnd w:id="677"/>
    <w:bookmarkEnd w:id="678"/>
    <w:bookmarkEnd w:id="679"/>
    <w:bookmarkEnd w:id="680"/>
    <w:bookmarkEnd w:id="681"/>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Pr>
        <w:pStyle w:val="2"/>
        <w:rPr>
          <w:rFonts w:hint="eastAsia" w:ascii="宋体" w:hAnsi="Calibri" w:eastAsia="宋体" w:cs="Arial"/>
          <w:b/>
          <w:bCs/>
          <w:color w:val="000000"/>
          <w:sz w:val="24"/>
          <w:szCs w:val="22"/>
          <w:lang w:val="en-US" w:eastAsia="zh-CN"/>
        </w:rPr>
      </w:pPr>
      <w:bookmarkStart w:id="723" w:name="_Toc21578"/>
      <w:bookmarkStart w:id="724" w:name="_Toc19667"/>
      <w:bookmarkStart w:id="725" w:name="_Toc524600107"/>
      <w:bookmarkStart w:id="726" w:name="_Toc25448"/>
      <w:bookmarkStart w:id="727" w:name="_Toc751"/>
      <w:bookmarkStart w:id="728" w:name="_Toc24086"/>
      <w:bookmarkStart w:id="729" w:name="_Toc484"/>
      <w:bookmarkStart w:id="730" w:name="_Toc7212"/>
      <w:bookmarkStart w:id="731" w:name="_Toc23736"/>
      <w:bookmarkStart w:id="732" w:name="_Toc12601"/>
      <w:bookmarkStart w:id="733" w:name="_Toc27705"/>
      <w:bookmarkStart w:id="734" w:name="_Toc16203"/>
      <w:bookmarkStart w:id="735" w:name="_Toc17745"/>
      <w:bookmarkStart w:id="736" w:name="_Toc9767"/>
      <w:bookmarkStart w:id="737" w:name="_Toc6484"/>
      <w:bookmarkStart w:id="738" w:name="_Toc12635"/>
      <w:bookmarkStart w:id="739" w:name="_Toc6948"/>
      <w:bookmarkStart w:id="740" w:name="_Toc524600112"/>
      <w:bookmarkStart w:id="741" w:name="_Toc27949"/>
      <w:bookmarkStart w:id="742" w:name="_Toc31469"/>
      <w:bookmarkStart w:id="743" w:name="_Toc18650"/>
      <w:bookmarkStart w:id="744" w:name="_Toc25789"/>
      <w:bookmarkStart w:id="745" w:name="_Toc20089"/>
      <w:bookmarkStart w:id="746" w:name="_Toc21725"/>
      <w:bookmarkStart w:id="747" w:name="_Toc6578"/>
      <w:bookmarkStart w:id="748" w:name="_Toc2979"/>
      <w:bookmarkStart w:id="749" w:name="_Toc14380"/>
      <w:bookmarkStart w:id="750" w:name="_Toc15740"/>
      <w:bookmarkStart w:id="751" w:name="_Toc574"/>
      <w:bookmarkStart w:id="752" w:name="_Toc17139"/>
      <w:bookmarkStart w:id="753" w:name="_Toc21618"/>
      <w:bookmarkStart w:id="754" w:name="_Toc15683"/>
      <w:bookmarkStart w:id="755" w:name="_Toc32229"/>
      <w:bookmarkStart w:id="756" w:name="_Toc14935"/>
      <w:bookmarkStart w:id="757" w:name="_Toc28397"/>
      <w:bookmarkStart w:id="758" w:name="_Toc20598"/>
      <w:bookmarkStart w:id="759" w:name="_Toc9587"/>
      <w:bookmarkStart w:id="760" w:name="_Toc6708"/>
    </w:p>
    <w:p>
      <w:pPr>
        <w:pStyle w:val="2"/>
        <w:rPr>
          <w:rFonts w:hint="eastAsia" w:ascii="宋体" w:hAnsi="Calibri" w:eastAsia="宋体" w:cs="Arial"/>
          <w:b/>
          <w:bCs/>
          <w:color w:val="000000"/>
          <w:sz w:val="24"/>
          <w:szCs w:val="22"/>
          <w:lang w:val="en-US" w:eastAsia="zh-CN"/>
        </w:rPr>
      </w:pPr>
    </w:p>
    <w:p>
      <w:pPr>
        <w:pStyle w:val="2"/>
        <w:rPr>
          <w:rFonts w:hint="eastAsia" w:ascii="宋体" w:hAnsi="Calibri" w:eastAsia="宋体" w:cs="Arial"/>
          <w:b/>
          <w:bCs/>
          <w:color w:val="000000"/>
          <w:sz w:val="24"/>
          <w:szCs w:val="22"/>
          <w:lang w:val="en-US" w:eastAsia="zh-CN"/>
        </w:rPr>
      </w:pPr>
    </w:p>
    <w:p>
      <w:pPr>
        <w:jc w:val="both"/>
        <w:outlineLvl w:val="1"/>
        <w:rPr>
          <w:rFonts w:hint="eastAsia" w:ascii="黑体" w:eastAsia="黑体"/>
          <w:b/>
          <w:color w:val="000000"/>
          <w:sz w:val="32"/>
          <w:szCs w:val="32"/>
          <w:highlight w:val="none"/>
        </w:rPr>
        <w:sectPr>
          <w:headerReference r:id="rId6" w:type="default"/>
          <w:footerReference r:id="rId7" w:type="default"/>
          <w:pgSz w:w="11906" w:h="16838"/>
          <w:pgMar w:top="1440" w:right="1559" w:bottom="1440" w:left="1797" w:header="851" w:footer="992" w:gutter="0"/>
          <w:pgBorders>
            <w:top w:val="none" w:sz="0" w:space="0"/>
            <w:left w:val="none" w:sz="0" w:space="0"/>
            <w:bottom w:val="none" w:sz="0" w:space="0"/>
            <w:right w:val="none" w:sz="0" w:space="0"/>
          </w:pgBorders>
          <w:cols w:equalWidth="0" w:num="1">
            <w:col w:w="8551"/>
          </w:cols>
          <w:docGrid w:linePitch="312" w:charSpace="0"/>
        </w:sectPr>
      </w:pPr>
    </w:p>
    <w:p>
      <w:pPr>
        <w:jc w:val="center"/>
        <w:outlineLvl w:val="1"/>
        <w:rPr>
          <w:rFonts w:ascii="黑体" w:eastAsia="黑体"/>
          <w:b/>
          <w:color w:val="000000"/>
          <w:sz w:val="32"/>
          <w:szCs w:val="32"/>
          <w:highlight w:val="none"/>
        </w:rPr>
      </w:pPr>
      <w:r>
        <w:rPr>
          <w:rFonts w:hint="eastAsia" w:ascii="黑体" w:eastAsia="黑体"/>
          <w:b/>
          <w:color w:val="000000"/>
          <w:sz w:val="32"/>
          <w:szCs w:val="32"/>
          <w:highlight w:val="none"/>
        </w:rPr>
        <w:t>第四章 磋商办法和标准</w:t>
      </w:r>
      <w:bookmarkEnd w:id="723"/>
      <w:bookmarkEnd w:id="724"/>
      <w:bookmarkEnd w:id="725"/>
      <w:bookmarkEnd w:id="726"/>
      <w:bookmarkEnd w:id="727"/>
      <w:bookmarkEnd w:id="728"/>
      <w:bookmarkEnd w:id="729"/>
      <w:bookmarkEnd w:id="730"/>
      <w:bookmarkEnd w:id="731"/>
    </w:p>
    <w:p>
      <w:pPr>
        <w:ind w:firstLine="404"/>
        <w:rPr>
          <w:rFonts w:ascii="宋体"/>
          <w:highlight w:val="none"/>
        </w:rPr>
      </w:pPr>
      <w:bookmarkStart w:id="761" w:name="EB41fcb57fb45844bf9ae7e87f409d5b27"/>
      <w:bookmarkEnd w:id="761"/>
      <w:bookmarkStart w:id="762" w:name="EB0fb595c169c04d0fb0b2bbf69c75f3de"/>
      <w:bookmarkEnd w:id="762"/>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根据《政府采购法》、《政府采购实施条例》、《政府采购竞争性磋商采购方式管理暂行办法》等相关规定确定以下磋商办法、步骤及标准。</w:t>
      </w:r>
    </w:p>
    <w:p>
      <w:pPr>
        <w:pStyle w:val="22"/>
        <w:snapToGrid w:val="0"/>
        <w:outlineLvl w:val="1"/>
        <w:rPr>
          <w:b/>
          <w:color w:val="000000"/>
          <w:sz w:val="28"/>
          <w:highlight w:val="none"/>
        </w:rPr>
      </w:pPr>
      <w:bookmarkStart w:id="763" w:name="_Toc23697"/>
      <w:bookmarkStart w:id="764" w:name="_Toc8138"/>
      <w:bookmarkStart w:id="765" w:name="_Toc19784"/>
      <w:bookmarkStart w:id="766" w:name="_Toc12637"/>
      <w:bookmarkStart w:id="767" w:name="_Toc459223859"/>
      <w:bookmarkStart w:id="768" w:name="_Toc23923"/>
      <w:bookmarkStart w:id="769" w:name="_Toc24957"/>
      <w:bookmarkStart w:id="770" w:name="_Toc21908"/>
      <w:bookmarkStart w:id="771" w:name="_Toc459227385"/>
      <w:bookmarkStart w:id="772" w:name="_Toc31725"/>
      <w:bookmarkStart w:id="773" w:name="_Toc14578"/>
      <w:bookmarkStart w:id="774" w:name="_Toc15761"/>
      <w:bookmarkStart w:id="775" w:name="_Toc20316"/>
      <w:bookmarkStart w:id="776" w:name="_Toc11906"/>
      <w:bookmarkStart w:id="777" w:name="_Toc459297225"/>
      <w:bookmarkStart w:id="778" w:name="_Toc205"/>
      <w:bookmarkStart w:id="779" w:name="_Toc27388"/>
      <w:bookmarkStart w:id="780" w:name="_Toc28095"/>
      <w:bookmarkStart w:id="781" w:name="_Toc524600108"/>
      <w:bookmarkStart w:id="782" w:name="_Toc26172"/>
      <w:bookmarkStart w:id="783" w:name="_Toc29977"/>
      <w:bookmarkStart w:id="784" w:name="_Toc5204"/>
      <w:bookmarkStart w:id="785" w:name="_Toc13356"/>
      <w:bookmarkStart w:id="786" w:name="_Toc23683"/>
      <w:bookmarkStart w:id="787" w:name="_Toc2879"/>
      <w:bookmarkStart w:id="788" w:name="_Toc6703"/>
      <w:bookmarkStart w:id="789" w:name="_Toc5493"/>
      <w:bookmarkStart w:id="790" w:name="_Toc459226635"/>
      <w:bookmarkStart w:id="791" w:name="_Toc459227618"/>
      <w:bookmarkStart w:id="792" w:name="_Toc24662"/>
      <w:bookmarkStart w:id="793" w:name="_Toc22820"/>
      <w:bookmarkStart w:id="794" w:name="_Toc1939"/>
      <w:bookmarkStart w:id="795" w:name="_Toc468535471"/>
      <w:r>
        <w:rPr>
          <w:rFonts w:hint="eastAsia"/>
          <w:b/>
          <w:color w:val="000000"/>
          <w:sz w:val="28"/>
          <w:highlight w:val="none"/>
        </w:rPr>
        <w:t>1.磋商办法</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pPr>
        <w:pStyle w:val="9"/>
        <w:spacing w:line="400" w:lineRule="exact"/>
        <w:ind w:firstLine="482" w:firstLineChars="201"/>
        <w:rPr>
          <w:rFonts w:hint="eastAsia" w:ascii="宋体"/>
          <w:b/>
          <w:bCs/>
          <w:color w:val="auto"/>
          <w:sz w:val="24"/>
          <w:highlight w:val="none"/>
        </w:rPr>
      </w:pPr>
      <w:r>
        <w:rPr>
          <w:rFonts w:hint="eastAsia" w:ascii="宋体"/>
          <w:color w:val="auto"/>
          <w:sz w:val="24"/>
          <w:highlight w:val="none"/>
        </w:rPr>
        <w:t>本次磋商采用综合评分法。</w:t>
      </w:r>
      <w:r>
        <w:rPr>
          <w:rFonts w:hint="eastAsia" w:ascii="宋体"/>
          <w:b/>
          <w:bCs/>
          <w:color w:val="auto"/>
          <w:sz w:val="24"/>
          <w:highlight w:val="none"/>
        </w:rPr>
        <w:t>总分为100分</w:t>
      </w:r>
      <w:r>
        <w:rPr>
          <w:rFonts w:hint="eastAsia" w:ascii="宋体"/>
          <w:b/>
          <w:bCs/>
          <w:color w:val="auto"/>
          <w:sz w:val="24"/>
          <w:highlight w:val="none"/>
          <w:lang w:eastAsia="zh-CN"/>
        </w:rPr>
        <w:t>，</w:t>
      </w:r>
      <w:r>
        <w:rPr>
          <w:rFonts w:hint="eastAsia" w:ascii="宋体"/>
          <w:b/>
          <w:bCs/>
          <w:color w:val="auto"/>
          <w:sz w:val="24"/>
          <w:highlight w:val="none"/>
        </w:rPr>
        <w:t>其中技术、商务、资信及其它分值为</w:t>
      </w:r>
      <w:r>
        <w:rPr>
          <w:rFonts w:hint="eastAsia" w:ascii="宋体"/>
          <w:b/>
          <w:bCs/>
          <w:color w:val="auto"/>
          <w:sz w:val="24"/>
          <w:highlight w:val="none"/>
          <w:lang w:val="en-US" w:eastAsia="zh-CN"/>
        </w:rPr>
        <w:t>70</w:t>
      </w:r>
      <w:r>
        <w:rPr>
          <w:rFonts w:hint="eastAsia" w:ascii="宋体"/>
          <w:b/>
          <w:bCs/>
          <w:color w:val="auto"/>
          <w:sz w:val="24"/>
          <w:highlight w:val="none"/>
        </w:rPr>
        <w:t>分，价格分值为</w:t>
      </w:r>
      <w:r>
        <w:rPr>
          <w:rFonts w:hint="eastAsia" w:ascii="宋体"/>
          <w:b/>
          <w:bCs/>
          <w:color w:val="auto"/>
          <w:sz w:val="24"/>
          <w:highlight w:val="none"/>
          <w:lang w:val="en-US" w:eastAsia="zh-CN"/>
        </w:rPr>
        <w:t>3</w:t>
      </w:r>
      <w:r>
        <w:rPr>
          <w:rFonts w:hint="eastAsia" w:ascii="宋体"/>
          <w:b/>
          <w:bCs/>
          <w:color w:val="auto"/>
          <w:sz w:val="24"/>
          <w:highlight w:val="none"/>
        </w:rPr>
        <w:t>0分。</w:t>
      </w:r>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供应商磋商综合得分=技术、商务、资信及其它分+价格分</w:t>
      </w:r>
    </w:p>
    <w:p>
      <w:pPr>
        <w:pStyle w:val="22"/>
        <w:snapToGrid w:val="0"/>
        <w:outlineLvl w:val="1"/>
        <w:rPr>
          <w:b/>
          <w:color w:val="000000"/>
          <w:sz w:val="28"/>
          <w:highlight w:val="none"/>
        </w:rPr>
      </w:pPr>
      <w:bookmarkStart w:id="796" w:name="_Toc2234"/>
      <w:bookmarkStart w:id="797" w:name="_Toc27018"/>
      <w:bookmarkStart w:id="798" w:name="_Toc468535472"/>
      <w:bookmarkStart w:id="799" w:name="_Toc30478"/>
      <w:bookmarkStart w:id="800" w:name="_Toc459223860"/>
      <w:bookmarkStart w:id="801" w:name="_Toc7543"/>
      <w:bookmarkStart w:id="802" w:name="_Toc25859"/>
      <w:bookmarkStart w:id="803" w:name="_Toc10996"/>
      <w:bookmarkStart w:id="804" w:name="_Toc459227386"/>
      <w:bookmarkStart w:id="805" w:name="_Toc30323"/>
      <w:bookmarkStart w:id="806" w:name="_Toc524600109"/>
      <w:bookmarkStart w:id="807" w:name="_Toc14247"/>
      <w:bookmarkStart w:id="808" w:name="_Toc30178"/>
      <w:bookmarkStart w:id="809" w:name="_Toc23771"/>
      <w:bookmarkStart w:id="810" w:name="_Toc26757"/>
      <w:bookmarkStart w:id="811" w:name="_Toc18086"/>
      <w:bookmarkStart w:id="812" w:name="_Toc32526"/>
      <w:bookmarkStart w:id="813" w:name="_Toc7167"/>
      <w:bookmarkStart w:id="814" w:name="_Toc11917"/>
      <w:bookmarkStart w:id="815" w:name="_Toc459227619"/>
      <w:bookmarkStart w:id="816" w:name="_Toc11598"/>
      <w:bookmarkStart w:id="817" w:name="_Toc25661"/>
      <w:bookmarkStart w:id="818" w:name="_Toc13470"/>
      <w:bookmarkStart w:id="819" w:name="_Toc459297226"/>
      <w:bookmarkStart w:id="820" w:name="_Toc1368"/>
      <w:bookmarkStart w:id="821" w:name="_Toc27105"/>
      <w:bookmarkStart w:id="822" w:name="_Toc25575"/>
      <w:bookmarkStart w:id="823" w:name="_Toc6804"/>
      <w:bookmarkStart w:id="824" w:name="_Toc28177"/>
      <w:bookmarkStart w:id="825" w:name="_Toc7849"/>
      <w:bookmarkStart w:id="826" w:name="_Toc26524"/>
      <w:bookmarkStart w:id="827" w:name="_Toc459226636"/>
      <w:bookmarkStart w:id="828" w:name="_Toc27131"/>
      <w:bookmarkStart w:id="829" w:name="_Toc5747"/>
      <w:bookmarkStart w:id="830" w:name="_Toc29865"/>
      <w:r>
        <w:rPr>
          <w:rFonts w:hint="eastAsia"/>
          <w:b/>
          <w:color w:val="000000"/>
          <w:sz w:val="28"/>
          <w:highlight w:val="none"/>
        </w:rPr>
        <w:t>2.磋商步骤</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pPr>
        <w:spacing w:line="440" w:lineRule="exact"/>
        <w:ind w:firstLine="482" w:firstLineChars="200"/>
        <w:rPr>
          <w:rFonts w:ascii="宋体"/>
          <w:b/>
          <w:bCs/>
          <w:color w:val="000000"/>
          <w:sz w:val="24"/>
          <w:highlight w:val="none"/>
        </w:rPr>
      </w:pPr>
      <w:bookmarkStart w:id="831" w:name="_Toc27182"/>
      <w:bookmarkStart w:id="832" w:name="_Toc21741"/>
      <w:bookmarkStart w:id="833" w:name="_Toc21833"/>
      <w:bookmarkStart w:id="834" w:name="_Toc10158"/>
      <w:r>
        <w:rPr>
          <w:rFonts w:hint="eastAsia" w:ascii="宋体"/>
          <w:b/>
          <w:bCs/>
          <w:color w:val="000000"/>
          <w:sz w:val="24"/>
          <w:highlight w:val="none"/>
        </w:rPr>
        <w:t>本项目原则上采用政采云电子招投标开标及评审程序，但有下情形之一的，按以下情况处理：</w:t>
      </w:r>
    </w:p>
    <w:p>
      <w:pPr>
        <w:pStyle w:val="22"/>
        <w:snapToGrid w:val="0"/>
        <w:ind w:firstLine="482" w:firstLineChars="200"/>
        <w:outlineLvl w:val="1"/>
        <w:rPr>
          <w:rFonts w:hint="eastAsia" w:eastAsia="宋体"/>
          <w:b/>
          <w:bCs/>
          <w:color w:val="000000"/>
          <w:sz w:val="24"/>
          <w:szCs w:val="22"/>
          <w:highlight w:val="none"/>
          <w:lang w:eastAsia="zh-CN"/>
        </w:rPr>
      </w:pPr>
      <w:r>
        <w:rPr>
          <w:b/>
          <w:bCs/>
          <w:color w:val="000000"/>
          <w:sz w:val="24"/>
          <w:szCs w:val="22"/>
          <w:highlight w:val="none"/>
        </w:rPr>
        <w:t>①</w:t>
      </w:r>
      <w:r>
        <w:rPr>
          <w:rFonts w:hint="eastAsia"/>
          <w:b/>
          <w:bCs/>
          <w:color w:val="000000"/>
          <w:sz w:val="24"/>
          <w:szCs w:val="22"/>
          <w:highlight w:val="none"/>
        </w:rPr>
        <w:t>若供应商在规定时间内无法解密或解密失败，长兴县政府采购中心将开启所有供应商递交的以介质存储的数据电文形式的备份磋商响应文件，上传至政采云平台项目采购模块，以完成开标，电子磋商响应文件自动失效</w:t>
      </w:r>
      <w:r>
        <w:rPr>
          <w:rFonts w:hint="eastAsia"/>
          <w:b/>
          <w:bCs/>
          <w:color w:val="000000"/>
          <w:sz w:val="24"/>
          <w:szCs w:val="22"/>
          <w:highlight w:val="none"/>
          <w:lang w:eastAsia="zh-CN"/>
        </w:rPr>
        <w:t>；</w:t>
      </w:r>
    </w:p>
    <w:p>
      <w:pPr>
        <w:pStyle w:val="22"/>
        <w:snapToGrid w:val="0"/>
        <w:ind w:firstLine="482" w:firstLineChars="200"/>
        <w:outlineLvl w:val="1"/>
        <w:rPr>
          <w:b/>
          <w:bCs/>
          <w:color w:val="000000"/>
          <w:sz w:val="24"/>
          <w:szCs w:val="22"/>
          <w:highlight w:val="none"/>
        </w:rPr>
      </w:pPr>
      <w:r>
        <w:rPr>
          <w:b/>
          <w:bCs/>
          <w:color w:val="000000"/>
          <w:sz w:val="24"/>
          <w:szCs w:val="22"/>
          <w:highlight w:val="none"/>
        </w:rPr>
        <w:t>②</w:t>
      </w:r>
      <w:r>
        <w:rPr>
          <w:rFonts w:hint="eastAsia"/>
          <w:b/>
          <w:bCs/>
          <w:color w:val="000000"/>
          <w:sz w:val="24"/>
          <w:szCs w:val="22"/>
          <w:highlight w:val="none"/>
        </w:rPr>
        <w:t>若因政采云平台原因无法读取或电子开评标无法正常进行，长兴县政府采购中心将开启所有供应商递交的纸质备份磋商响应文件，以完成开标，电子磋商响应文件及以介质存储的数据电文形式的备份磋商响应文件自动失效。</w:t>
      </w:r>
    </w:p>
    <w:p>
      <w:pPr>
        <w:pStyle w:val="22"/>
        <w:spacing w:line="400" w:lineRule="exact"/>
        <w:ind w:left="484"/>
        <w:contextualSpacing/>
        <w:outlineLvl w:val="2"/>
        <w:rPr>
          <w:b/>
          <w:sz w:val="24"/>
          <w:szCs w:val="22"/>
          <w:highlight w:val="none"/>
        </w:rPr>
      </w:pPr>
      <w:r>
        <w:rPr>
          <w:rFonts w:hint="eastAsia"/>
          <w:b/>
          <w:sz w:val="24"/>
          <w:szCs w:val="22"/>
          <w:highlight w:val="none"/>
        </w:rPr>
        <w:t>2.1资格性检查</w:t>
      </w:r>
      <w:bookmarkEnd w:id="831"/>
      <w:bookmarkEnd w:id="832"/>
      <w:bookmarkEnd w:id="833"/>
      <w:bookmarkEnd w:id="834"/>
    </w:p>
    <w:p>
      <w:pPr>
        <w:pStyle w:val="22"/>
        <w:spacing w:line="400" w:lineRule="exact"/>
        <w:ind w:left="484"/>
        <w:contextualSpacing/>
        <w:rPr>
          <w:b/>
          <w:sz w:val="24"/>
          <w:szCs w:val="22"/>
          <w:highlight w:val="none"/>
        </w:rPr>
      </w:pPr>
      <w:r>
        <w:rPr>
          <w:rFonts w:hint="eastAsia"/>
          <w:color w:val="000000"/>
          <w:sz w:val="24"/>
          <w:highlight w:val="none"/>
        </w:rPr>
        <w:t>采购人根据资格性检查内容和标准进行资格性检查。</w:t>
      </w:r>
    </w:p>
    <w:p>
      <w:pPr>
        <w:pStyle w:val="22"/>
        <w:spacing w:line="400" w:lineRule="exact"/>
        <w:ind w:left="484"/>
        <w:contextualSpacing/>
        <w:outlineLvl w:val="2"/>
        <w:rPr>
          <w:b/>
          <w:sz w:val="24"/>
          <w:szCs w:val="22"/>
          <w:highlight w:val="none"/>
        </w:rPr>
      </w:pPr>
      <w:bookmarkStart w:id="835" w:name="_Toc2439"/>
      <w:bookmarkStart w:id="836" w:name="_Toc6773"/>
      <w:bookmarkStart w:id="837" w:name="_Toc7601"/>
      <w:bookmarkStart w:id="838" w:name="_Toc32098"/>
      <w:r>
        <w:rPr>
          <w:rFonts w:hint="eastAsia"/>
          <w:b/>
          <w:sz w:val="24"/>
          <w:szCs w:val="22"/>
          <w:highlight w:val="none"/>
        </w:rPr>
        <w:t>2.2技术文件符合性检查</w:t>
      </w:r>
      <w:bookmarkEnd w:id="835"/>
      <w:bookmarkEnd w:id="836"/>
      <w:bookmarkEnd w:id="837"/>
      <w:bookmarkEnd w:id="838"/>
    </w:p>
    <w:p>
      <w:pPr>
        <w:pStyle w:val="9"/>
        <w:spacing w:line="400" w:lineRule="exact"/>
        <w:ind w:firstLine="480"/>
        <w:rPr>
          <w:rFonts w:ascii="宋体"/>
          <w:color w:val="000000"/>
          <w:sz w:val="24"/>
          <w:highlight w:val="none"/>
        </w:rPr>
      </w:pPr>
      <w:r>
        <w:rPr>
          <w:rFonts w:hint="eastAsia" w:ascii="宋体"/>
          <w:color w:val="000000"/>
          <w:sz w:val="24"/>
          <w:highlight w:val="none"/>
        </w:rPr>
        <w:t>磋商小组对通过资格性检查的磋商响应文件，按磋商文件要求的技术文件符合性检查内容和标准，进行技术符合性审查。</w:t>
      </w:r>
    </w:p>
    <w:p>
      <w:pPr>
        <w:pStyle w:val="22"/>
        <w:spacing w:line="400" w:lineRule="exact"/>
        <w:ind w:firstLine="484" w:firstLineChars="201"/>
        <w:contextualSpacing/>
        <w:outlineLvl w:val="2"/>
        <w:rPr>
          <w:b/>
          <w:sz w:val="24"/>
          <w:szCs w:val="22"/>
          <w:highlight w:val="none"/>
        </w:rPr>
      </w:pPr>
      <w:r>
        <w:rPr>
          <w:rFonts w:hint="eastAsia"/>
          <w:b/>
          <w:sz w:val="24"/>
          <w:szCs w:val="22"/>
          <w:highlight w:val="none"/>
        </w:rPr>
        <w:t>2.3磋商过程</w:t>
      </w:r>
    </w:p>
    <w:p>
      <w:pPr>
        <w:pStyle w:val="9"/>
        <w:spacing w:line="400" w:lineRule="exact"/>
        <w:ind w:firstLine="480"/>
        <w:rPr>
          <w:rFonts w:ascii="宋体"/>
          <w:color w:val="000000"/>
          <w:sz w:val="24"/>
          <w:highlight w:val="none"/>
        </w:rPr>
      </w:pPr>
      <w:r>
        <w:rPr>
          <w:rFonts w:hint="eastAsia" w:ascii="宋体"/>
          <w:color w:val="000000"/>
          <w:sz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spacing w:line="440" w:lineRule="exact"/>
        <w:ind w:firstLine="482" w:firstLineChars="200"/>
        <w:rPr>
          <w:rFonts w:ascii="宋体"/>
          <w:b/>
          <w:bCs/>
          <w:color w:val="000000"/>
          <w:sz w:val="24"/>
          <w:highlight w:val="none"/>
        </w:rPr>
      </w:pPr>
      <w:r>
        <w:rPr>
          <w:rFonts w:hint="eastAsia" w:ascii="宋体"/>
          <w:b/>
          <w:bCs/>
          <w:color w:val="000000"/>
          <w:sz w:val="24"/>
          <w:highlight w:val="none"/>
        </w:rPr>
        <w:t>电子招投标评审过程：</w:t>
      </w:r>
    </w:p>
    <w:p>
      <w:pPr>
        <w:spacing w:line="440" w:lineRule="exact"/>
        <w:ind w:firstLine="482" w:firstLineChars="200"/>
        <w:rPr>
          <w:rFonts w:ascii="宋体"/>
          <w:b/>
          <w:bCs/>
          <w:color w:val="000000"/>
          <w:sz w:val="24"/>
          <w:highlight w:val="none"/>
        </w:rPr>
      </w:pPr>
      <w:r>
        <w:rPr>
          <w:rFonts w:ascii="宋体"/>
          <w:b/>
          <w:bCs/>
          <w:color w:val="000000"/>
          <w:sz w:val="24"/>
          <w:highlight w:val="none"/>
        </w:rPr>
        <w:t>①</w:t>
      </w:r>
      <w:r>
        <w:rPr>
          <w:rFonts w:hint="eastAsia" w:ascii="宋体"/>
          <w:b/>
          <w:bCs/>
          <w:color w:val="000000"/>
          <w:sz w:val="24"/>
          <w:highlight w:val="none"/>
        </w:rPr>
        <w:t>磋商小组对商务技术响应文件进行评审；</w:t>
      </w:r>
    </w:p>
    <w:p>
      <w:pPr>
        <w:spacing w:line="440" w:lineRule="exact"/>
        <w:ind w:firstLine="482" w:firstLineChars="200"/>
        <w:rPr>
          <w:rFonts w:ascii="宋体"/>
          <w:b/>
          <w:bCs/>
          <w:color w:val="000000"/>
          <w:sz w:val="24"/>
          <w:highlight w:val="none"/>
        </w:rPr>
      </w:pPr>
      <w:r>
        <w:rPr>
          <w:rFonts w:ascii="宋体"/>
          <w:b/>
          <w:bCs/>
          <w:color w:val="000000"/>
          <w:sz w:val="24"/>
          <w:highlight w:val="none"/>
        </w:rPr>
        <w:t>②</w:t>
      </w:r>
      <w:r>
        <w:rPr>
          <w:rFonts w:hint="eastAsia" w:ascii="宋体"/>
          <w:b/>
          <w:bCs/>
          <w:color w:val="000000"/>
          <w:sz w:val="24"/>
          <w:highlight w:val="none"/>
        </w:rPr>
        <w:t>在系统上公开资格和商务技术评审结果；</w:t>
      </w:r>
    </w:p>
    <w:p>
      <w:pPr>
        <w:spacing w:line="440" w:lineRule="exact"/>
        <w:ind w:firstLine="482" w:firstLineChars="200"/>
        <w:rPr>
          <w:rFonts w:ascii="宋体"/>
          <w:b/>
          <w:bCs/>
          <w:color w:val="000000"/>
          <w:sz w:val="24"/>
          <w:highlight w:val="none"/>
        </w:rPr>
      </w:pPr>
      <w:r>
        <w:rPr>
          <w:rFonts w:ascii="宋体"/>
          <w:b/>
          <w:bCs/>
          <w:color w:val="000000"/>
          <w:sz w:val="24"/>
          <w:highlight w:val="none"/>
        </w:rPr>
        <w:t>③</w:t>
      </w:r>
      <w:r>
        <w:rPr>
          <w:rFonts w:hint="eastAsia" w:ascii="宋体"/>
          <w:b/>
          <w:bCs/>
          <w:color w:val="000000"/>
          <w:sz w:val="24"/>
          <w:highlight w:val="none"/>
        </w:rPr>
        <w:t>在系统上公开报价开标情况；</w:t>
      </w:r>
    </w:p>
    <w:p>
      <w:pPr>
        <w:spacing w:line="440" w:lineRule="exact"/>
        <w:ind w:firstLine="482" w:firstLineChars="200"/>
        <w:rPr>
          <w:rFonts w:ascii="宋体"/>
          <w:b/>
          <w:bCs/>
          <w:color w:val="000000"/>
          <w:sz w:val="24"/>
          <w:highlight w:val="none"/>
        </w:rPr>
      </w:pPr>
      <w:r>
        <w:rPr>
          <w:rFonts w:hint="eastAsia" w:ascii="宋体"/>
          <w:b/>
          <w:bCs/>
          <w:color w:val="000000"/>
          <w:sz w:val="24"/>
          <w:highlight w:val="none"/>
        </w:rPr>
        <w:t>④磋商小组对报价情况进行评审；</w:t>
      </w:r>
    </w:p>
    <w:p>
      <w:pPr>
        <w:spacing w:line="440" w:lineRule="exact"/>
        <w:ind w:firstLine="482" w:firstLineChars="200"/>
        <w:rPr>
          <w:rFonts w:ascii="宋体"/>
          <w:b/>
          <w:bCs/>
          <w:color w:val="000000"/>
          <w:sz w:val="24"/>
          <w:highlight w:val="none"/>
        </w:rPr>
      </w:pPr>
      <w:r>
        <w:rPr>
          <w:rFonts w:hint="eastAsia" w:ascii="宋体"/>
          <w:b/>
          <w:bCs/>
          <w:color w:val="000000"/>
          <w:sz w:val="24"/>
          <w:highlight w:val="none"/>
        </w:rPr>
        <w:t>⑤在系统上公布磋商结果。</w:t>
      </w:r>
    </w:p>
    <w:p>
      <w:pPr>
        <w:pStyle w:val="9"/>
        <w:spacing w:line="400" w:lineRule="exact"/>
        <w:ind w:firstLine="482"/>
        <w:rPr>
          <w:rFonts w:ascii="宋体"/>
          <w:color w:val="000000"/>
          <w:sz w:val="24"/>
          <w:highlight w:val="none"/>
        </w:rPr>
      </w:pPr>
      <w:r>
        <w:rPr>
          <w:rFonts w:hint="eastAsia" w:ascii="宋体"/>
          <w:b/>
          <w:bCs/>
          <w:color w:val="000000"/>
          <w:sz w:val="24"/>
          <w:highlight w:val="none"/>
        </w:rPr>
        <w:t>特别说明：政采云公司如对电子化开标及评审程序有调整的，按调整后的程序操作。</w:t>
      </w:r>
    </w:p>
    <w:p>
      <w:pPr>
        <w:pStyle w:val="22"/>
        <w:spacing w:line="400" w:lineRule="exact"/>
        <w:ind w:firstLine="484" w:firstLineChars="201"/>
        <w:contextualSpacing/>
        <w:outlineLvl w:val="2"/>
        <w:rPr>
          <w:b/>
          <w:sz w:val="24"/>
          <w:szCs w:val="22"/>
          <w:highlight w:val="none"/>
        </w:rPr>
      </w:pPr>
      <w:bookmarkStart w:id="839" w:name="_Toc169"/>
      <w:bookmarkStart w:id="840" w:name="_Toc281"/>
      <w:bookmarkStart w:id="841" w:name="_Toc23827"/>
      <w:bookmarkStart w:id="842" w:name="_Toc5408"/>
      <w:r>
        <w:rPr>
          <w:rFonts w:hint="eastAsia"/>
          <w:b/>
          <w:sz w:val="24"/>
          <w:szCs w:val="22"/>
          <w:highlight w:val="none"/>
        </w:rPr>
        <w:t>2.4技术及其它评审</w:t>
      </w:r>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磋商小组对资格性和符合性检查通过的磋商响应文件进行技术及其它评审。</w:t>
      </w:r>
    </w:p>
    <w:p>
      <w:pPr>
        <w:pStyle w:val="22"/>
        <w:spacing w:line="400" w:lineRule="exact"/>
        <w:ind w:firstLine="484" w:firstLineChars="201"/>
        <w:contextualSpacing/>
        <w:outlineLvl w:val="2"/>
        <w:rPr>
          <w:b/>
          <w:sz w:val="24"/>
          <w:szCs w:val="22"/>
          <w:highlight w:val="none"/>
        </w:rPr>
      </w:pPr>
      <w:r>
        <w:rPr>
          <w:rFonts w:hint="eastAsia"/>
          <w:b/>
          <w:sz w:val="24"/>
          <w:szCs w:val="22"/>
          <w:highlight w:val="none"/>
        </w:rPr>
        <w:t>2.5商务、资信及其他评审</w:t>
      </w:r>
      <w:bookmarkEnd w:id="839"/>
      <w:bookmarkEnd w:id="840"/>
      <w:bookmarkEnd w:id="841"/>
      <w:bookmarkEnd w:id="842"/>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磋商小组对资格性和符合性检查合格的磋商响应文件进行商务、资信评审。</w:t>
      </w:r>
    </w:p>
    <w:p>
      <w:pPr>
        <w:pStyle w:val="22"/>
        <w:spacing w:line="400" w:lineRule="exact"/>
        <w:ind w:left="484"/>
        <w:contextualSpacing/>
        <w:outlineLvl w:val="2"/>
        <w:rPr>
          <w:b/>
          <w:sz w:val="24"/>
          <w:szCs w:val="22"/>
          <w:highlight w:val="none"/>
        </w:rPr>
      </w:pPr>
      <w:bookmarkStart w:id="843" w:name="_Toc12320"/>
      <w:bookmarkStart w:id="844" w:name="_Toc11853"/>
      <w:bookmarkStart w:id="845" w:name="_Toc13739"/>
      <w:bookmarkStart w:id="846" w:name="_Toc1013"/>
      <w:r>
        <w:rPr>
          <w:rFonts w:hint="eastAsia"/>
          <w:b/>
          <w:sz w:val="24"/>
          <w:szCs w:val="22"/>
          <w:highlight w:val="none"/>
        </w:rPr>
        <w:t>2.6报价文件符合性检查</w:t>
      </w:r>
      <w:bookmarkEnd w:id="843"/>
      <w:bookmarkEnd w:id="844"/>
      <w:bookmarkEnd w:id="845"/>
      <w:bookmarkEnd w:id="846"/>
    </w:p>
    <w:p>
      <w:pPr>
        <w:pStyle w:val="9"/>
        <w:spacing w:line="400" w:lineRule="exact"/>
        <w:ind w:firstLine="720" w:firstLineChars="300"/>
        <w:rPr>
          <w:rFonts w:ascii="宋体"/>
          <w:color w:val="000000"/>
          <w:sz w:val="24"/>
          <w:highlight w:val="none"/>
        </w:rPr>
      </w:pPr>
      <w:r>
        <w:rPr>
          <w:rFonts w:hint="eastAsia" w:ascii="宋体"/>
          <w:color w:val="000000"/>
          <w:sz w:val="24"/>
          <w:highlight w:val="none"/>
        </w:rPr>
        <w:t>磋商小组对通过技术评审的磋商响应文件，进行报价文件的符合性检查。</w:t>
      </w:r>
    </w:p>
    <w:p>
      <w:pPr>
        <w:pStyle w:val="22"/>
        <w:ind w:left="484"/>
        <w:contextualSpacing/>
        <w:outlineLvl w:val="2"/>
        <w:rPr>
          <w:b/>
          <w:sz w:val="24"/>
          <w:szCs w:val="22"/>
          <w:highlight w:val="none"/>
        </w:rPr>
      </w:pPr>
      <w:r>
        <w:rPr>
          <w:rFonts w:hint="eastAsia"/>
          <w:b/>
          <w:sz w:val="24"/>
          <w:szCs w:val="22"/>
          <w:highlight w:val="none"/>
        </w:rPr>
        <w:t>2.7价格及其他内容磋商</w:t>
      </w:r>
    </w:p>
    <w:p>
      <w:pPr>
        <w:ind w:left="142" w:firstLine="480" w:firstLineChars="200"/>
        <w:rPr>
          <w:rFonts w:ascii="宋体"/>
          <w:b/>
          <w:sz w:val="24"/>
          <w:highlight w:val="none"/>
        </w:rPr>
      </w:pPr>
      <w:r>
        <w:rPr>
          <w:rFonts w:hint="eastAsia" w:ascii="宋体"/>
          <w:color w:val="000000"/>
          <w:sz w:val="24"/>
          <w:highlight w:val="none"/>
        </w:rPr>
        <w:t>磋商分二轮进行，首次报价在响应文件中体现；最终报价在磋商结束后由所有参加磋商的供应商在规定的时间内在政采云平台完成报价。</w:t>
      </w:r>
    </w:p>
    <w:p>
      <w:pPr>
        <w:pStyle w:val="22"/>
        <w:spacing w:line="400" w:lineRule="exact"/>
        <w:ind w:firstLine="484" w:firstLineChars="201"/>
        <w:contextualSpacing/>
        <w:outlineLvl w:val="2"/>
        <w:rPr>
          <w:b/>
          <w:sz w:val="24"/>
          <w:szCs w:val="22"/>
          <w:highlight w:val="none"/>
        </w:rPr>
      </w:pPr>
      <w:bookmarkStart w:id="847" w:name="_Toc16263"/>
      <w:bookmarkStart w:id="848" w:name="_Toc11594"/>
      <w:bookmarkStart w:id="849" w:name="_Toc3878"/>
      <w:bookmarkStart w:id="850" w:name="_Toc2167"/>
      <w:r>
        <w:rPr>
          <w:rFonts w:hint="eastAsia"/>
          <w:b/>
          <w:sz w:val="24"/>
          <w:szCs w:val="22"/>
          <w:highlight w:val="none"/>
        </w:rPr>
        <w:t>2.8计分办法</w:t>
      </w:r>
      <w:bookmarkEnd w:id="847"/>
      <w:bookmarkEnd w:id="848"/>
      <w:bookmarkEnd w:id="849"/>
      <w:bookmarkEnd w:id="850"/>
    </w:p>
    <w:p>
      <w:pPr>
        <w:pStyle w:val="9"/>
        <w:spacing w:line="400" w:lineRule="exact"/>
        <w:ind w:firstLine="482" w:firstLineChars="201"/>
        <w:rPr>
          <w:rFonts w:ascii="宋体"/>
          <w:color w:val="000000"/>
          <w:sz w:val="24"/>
          <w:highlight w:val="none"/>
        </w:rPr>
      </w:pPr>
      <w:r>
        <w:rPr>
          <w:rFonts w:hint="eastAsia" w:ascii="宋体"/>
          <w:color w:val="000000"/>
          <w:sz w:val="24"/>
          <w:highlight w:val="none"/>
        </w:rPr>
        <w:t>2.8.1</w:t>
      </w:r>
      <w:r>
        <w:rPr>
          <w:rFonts w:hint="eastAsia"/>
          <w:color w:val="000000"/>
          <w:sz w:val="24"/>
          <w:szCs w:val="24"/>
          <w:highlight w:val="none"/>
        </w:rPr>
        <w:t>磋商小组成员</w:t>
      </w:r>
      <w:r>
        <w:rPr>
          <w:rFonts w:hint="eastAsia" w:ascii="宋体"/>
          <w:color w:val="000000"/>
          <w:sz w:val="24"/>
          <w:highlight w:val="none"/>
        </w:rPr>
        <w:t>的总分进行汇总。各项统计结果均精确到小数点后两位。</w:t>
      </w:r>
    </w:p>
    <w:p>
      <w:pPr>
        <w:adjustRightInd w:val="0"/>
        <w:spacing w:line="400" w:lineRule="exact"/>
        <w:ind w:firstLine="480" w:firstLineChars="200"/>
        <w:rPr>
          <w:rFonts w:ascii="宋体"/>
          <w:color w:val="000000"/>
          <w:sz w:val="24"/>
          <w:highlight w:val="none"/>
        </w:rPr>
      </w:pPr>
      <w:bookmarkStart w:id="851" w:name="EB11d8c23399cd452da4cef6cedf9a4b8c"/>
      <w:r>
        <w:rPr>
          <w:rFonts w:hint="eastAsia" w:ascii="宋体"/>
          <w:sz w:val="24"/>
          <w:highlight w:val="none"/>
        </w:rPr>
        <w:t>2.8.2</w:t>
      </w:r>
      <w:r>
        <w:rPr>
          <w:rFonts w:hint="eastAsia" w:ascii="宋体"/>
          <w:sz w:val="24"/>
          <w:highlight w:val="none"/>
          <w:lang w:val="zh-CN"/>
        </w:rPr>
        <w:t>技术分按照磋商小组成员的独立评分结果汇总数后的算术平均分计算，计算公式为：技术商务资信及其他分=磋商小组评分合计数/磋商小组组成人员数。</w:t>
      </w:r>
    </w:p>
    <w:bookmarkEnd w:id="851"/>
    <w:p>
      <w:pPr>
        <w:pStyle w:val="22"/>
        <w:spacing w:line="400" w:lineRule="exact"/>
        <w:ind w:firstLine="484" w:firstLineChars="201"/>
        <w:contextualSpacing/>
        <w:outlineLvl w:val="2"/>
        <w:rPr>
          <w:b/>
          <w:sz w:val="24"/>
          <w:szCs w:val="22"/>
          <w:highlight w:val="none"/>
        </w:rPr>
      </w:pPr>
      <w:bookmarkStart w:id="852" w:name="_Toc22446"/>
      <w:bookmarkStart w:id="853" w:name="_Toc20278"/>
      <w:bookmarkStart w:id="854" w:name="_Toc25562"/>
      <w:bookmarkStart w:id="855" w:name="_Toc10952"/>
      <w:r>
        <w:rPr>
          <w:rFonts w:hint="eastAsia"/>
          <w:b/>
          <w:sz w:val="24"/>
          <w:szCs w:val="22"/>
          <w:highlight w:val="none"/>
        </w:rPr>
        <w:t>2.9推荐成交候选人</w:t>
      </w:r>
      <w:bookmarkEnd w:id="852"/>
      <w:bookmarkEnd w:id="853"/>
      <w:bookmarkEnd w:id="854"/>
      <w:bookmarkEnd w:id="855"/>
    </w:p>
    <w:p>
      <w:pPr>
        <w:pStyle w:val="9"/>
        <w:spacing w:line="500" w:lineRule="exact"/>
        <w:ind w:firstLine="480"/>
        <w:rPr>
          <w:rFonts w:hint="eastAsia" w:ascii="宋体"/>
          <w:sz w:val="24"/>
          <w:highlight w:val="none"/>
          <w:lang w:val="zh-CN"/>
        </w:rPr>
      </w:pPr>
      <w:bookmarkStart w:id="856" w:name="EB98d57edfe07e4b55b346c6b7f8da3ba2"/>
      <w:r>
        <w:rPr>
          <w:rFonts w:hint="eastAsia" w:ascii="宋体"/>
          <w:sz w:val="24"/>
          <w:highlight w:val="none"/>
          <w:lang w:val="zh-CN"/>
        </w:rPr>
        <w:t>磋商小组按照磋商文件确定的磋商方法、步骤、标准，对磋商响应文件进行磋商。按磋商后得分由高到底顺序排列。得分相同的，按磋商报价由低到高的顺序排列。得分且报价相同的，按技术指标优劣顺序排列。磋商小组依据对各磋商响应文件的磋商结果，</w:t>
      </w:r>
      <w:bookmarkEnd w:id="856"/>
      <w:bookmarkStart w:id="857" w:name="EB7d037d78d92144ec8693f550f4f92d16"/>
      <w:bookmarkEnd w:id="857"/>
      <w:r>
        <w:rPr>
          <w:rFonts w:hint="eastAsia" w:ascii="宋体"/>
          <w:sz w:val="24"/>
          <w:highlight w:val="none"/>
          <w:lang w:val="zh-CN"/>
        </w:rPr>
        <w:t>按各供应商的得分由高到低的顺序推荐</w:t>
      </w:r>
      <w:r>
        <w:rPr>
          <w:rFonts w:hint="eastAsia" w:ascii="宋体"/>
          <w:sz w:val="24"/>
          <w:highlight w:val="none"/>
          <w:lang w:val="en-US" w:eastAsia="zh-CN"/>
        </w:rPr>
        <w:t>3名</w:t>
      </w:r>
      <w:r>
        <w:rPr>
          <w:rFonts w:hint="eastAsia" w:ascii="宋体"/>
          <w:sz w:val="24"/>
          <w:highlight w:val="none"/>
          <w:lang w:val="zh-CN"/>
        </w:rPr>
        <w:t>为成交候选供应商，并确定得分最高者为中标候选供应商。</w:t>
      </w:r>
    </w:p>
    <w:p>
      <w:pPr>
        <w:ind w:firstLine="404"/>
        <w:rPr>
          <w:rFonts w:ascii="宋体"/>
          <w:color w:val="000080"/>
          <w:sz w:val="20"/>
          <w:highlight w:val="none"/>
        </w:rPr>
      </w:pPr>
    </w:p>
    <w:p>
      <w:pPr>
        <w:pStyle w:val="22"/>
        <w:snapToGrid w:val="0"/>
        <w:outlineLvl w:val="1"/>
        <w:rPr>
          <w:b/>
          <w:color w:val="000000"/>
          <w:sz w:val="28"/>
          <w:highlight w:val="none"/>
        </w:rPr>
      </w:pPr>
      <w:bookmarkStart w:id="858" w:name="_Toc18430"/>
      <w:bookmarkStart w:id="859" w:name="_Toc27283"/>
      <w:bookmarkStart w:id="860" w:name="_Toc4668"/>
      <w:bookmarkStart w:id="861" w:name="_Toc459227620"/>
      <w:bookmarkStart w:id="862" w:name="_Toc653"/>
      <w:bookmarkStart w:id="863" w:name="_Toc31331"/>
      <w:bookmarkStart w:id="864" w:name="_Toc17335"/>
      <w:bookmarkStart w:id="865" w:name="_Toc1382"/>
      <w:bookmarkStart w:id="866" w:name="_Toc16054"/>
      <w:bookmarkStart w:id="867" w:name="_Toc524600110"/>
      <w:bookmarkStart w:id="868" w:name="_Toc3011"/>
      <w:bookmarkStart w:id="869" w:name="_Toc27448"/>
      <w:bookmarkStart w:id="870" w:name="_Toc7003"/>
      <w:bookmarkStart w:id="871" w:name="_Toc32629"/>
      <w:bookmarkStart w:id="872" w:name="_Toc6341"/>
      <w:bookmarkStart w:id="873" w:name="_Toc459226637"/>
      <w:bookmarkStart w:id="874" w:name="_Toc30751"/>
      <w:bookmarkStart w:id="875" w:name="_Toc22484"/>
      <w:bookmarkStart w:id="876" w:name="_Toc23175"/>
      <w:bookmarkStart w:id="877" w:name="_Toc5965"/>
      <w:bookmarkStart w:id="878" w:name="_Toc459223861"/>
      <w:bookmarkStart w:id="879" w:name="_Toc459297227"/>
      <w:bookmarkStart w:id="880" w:name="_Toc13678"/>
      <w:bookmarkStart w:id="881" w:name="_Toc6184"/>
      <w:bookmarkStart w:id="882" w:name="_Toc19530"/>
      <w:bookmarkStart w:id="883" w:name="_Toc24221"/>
      <w:bookmarkStart w:id="884" w:name="_Toc28546"/>
      <w:bookmarkStart w:id="885" w:name="_Toc25124"/>
      <w:bookmarkStart w:id="886" w:name="_Toc468535473"/>
      <w:bookmarkStart w:id="887" w:name="_Toc22130"/>
      <w:bookmarkStart w:id="888" w:name="_Toc20588"/>
      <w:bookmarkStart w:id="889" w:name="_Toc459227387"/>
      <w:bookmarkStart w:id="890" w:name="_Toc15322"/>
      <w:bookmarkStart w:id="891" w:name="_Toc20506"/>
      <w:bookmarkStart w:id="892" w:name="_Toc12848"/>
      <w:r>
        <w:rPr>
          <w:rFonts w:hint="eastAsia"/>
          <w:b/>
          <w:color w:val="000000"/>
          <w:sz w:val="28"/>
          <w:highlight w:val="none"/>
        </w:rPr>
        <w:t>3.磋商标准</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
      <w:pPr>
        <w:pStyle w:val="22"/>
        <w:spacing w:line="400" w:lineRule="exact"/>
        <w:ind w:firstLine="484" w:firstLineChars="201"/>
        <w:contextualSpacing/>
        <w:jc w:val="center"/>
        <w:outlineLvl w:val="2"/>
        <w:rPr>
          <w:rFonts w:hint="eastAsia"/>
          <w:b/>
          <w:sz w:val="24"/>
          <w:szCs w:val="22"/>
          <w:highlight w:val="none"/>
        </w:rPr>
      </w:pPr>
      <w:bookmarkStart w:id="893" w:name="_Toc14794"/>
      <w:bookmarkStart w:id="894" w:name="_Toc21502"/>
      <w:bookmarkStart w:id="895" w:name="_Toc2087"/>
      <w:bookmarkStart w:id="896" w:name="_Toc9980"/>
      <w:r>
        <w:rPr>
          <w:rFonts w:hint="eastAsia"/>
          <w:b/>
          <w:sz w:val="24"/>
          <w:szCs w:val="22"/>
          <w:highlight w:val="none"/>
        </w:rPr>
        <w:t>3.1资格性检查内容及标准</w:t>
      </w:r>
      <w:bookmarkEnd w:id="893"/>
      <w:bookmarkEnd w:id="894"/>
      <w:bookmarkEnd w:id="895"/>
      <w:bookmarkEnd w:id="896"/>
    </w:p>
    <w:p>
      <w:pPr>
        <w:pStyle w:val="9"/>
        <w:jc w:val="center"/>
      </w:pPr>
    </w:p>
    <w:tbl>
      <w:tblPr>
        <w:tblStyle w:val="35"/>
        <w:tblW w:w="8947"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714"/>
        <w:gridCol w:w="720"/>
        <w:gridCol w:w="2410"/>
        <w:gridCol w:w="5103"/>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1434" w:type="dxa"/>
            <w:gridSpan w:val="2"/>
            <w:tcBorders>
              <w:top w:val="outset" w:color="auto" w:sz="6" w:space="0"/>
              <w:left w:val="outset" w:color="auto" w:sz="6" w:space="0"/>
              <w:bottom w:val="outset" w:color="auto" w:sz="6" w:space="0"/>
              <w:right w:val="outset" w:color="auto" w:sz="6" w:space="0"/>
            </w:tcBorders>
            <w:vAlign w:val="center"/>
          </w:tcPr>
          <w:p>
            <w:pPr>
              <w:adjustRightInd w:val="0"/>
              <w:spacing w:line="400" w:lineRule="exact"/>
              <w:ind w:firstLine="482" w:firstLineChars="200"/>
              <w:rPr>
                <w:rFonts w:ascii="宋体"/>
                <w:b/>
                <w:sz w:val="24"/>
                <w:szCs w:val="24"/>
                <w:highlight w:val="none"/>
                <w:lang w:val="zh-CN"/>
              </w:rPr>
            </w:pPr>
            <w:r>
              <w:rPr>
                <w:rFonts w:hint="eastAsia" w:ascii="宋体"/>
                <w:b/>
                <w:sz w:val="24"/>
                <w:szCs w:val="24"/>
                <w:highlight w:val="none"/>
                <w:lang w:val="zh-CN"/>
              </w:rPr>
              <w:t>序号</w:t>
            </w:r>
          </w:p>
        </w:tc>
        <w:tc>
          <w:tcPr>
            <w:tcW w:w="2410"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ind w:firstLine="482" w:firstLineChars="200"/>
              <w:jc w:val="center"/>
              <w:rPr>
                <w:rFonts w:ascii="宋体"/>
                <w:b/>
                <w:sz w:val="24"/>
                <w:szCs w:val="24"/>
                <w:highlight w:val="none"/>
                <w:lang w:val="zh-CN"/>
              </w:rPr>
            </w:pPr>
            <w:r>
              <w:rPr>
                <w:rFonts w:hint="eastAsia" w:ascii="宋体"/>
                <w:b/>
                <w:sz w:val="24"/>
                <w:szCs w:val="24"/>
                <w:highlight w:val="none"/>
                <w:lang w:val="zh-CN"/>
              </w:rPr>
              <w:t>检查内容</w:t>
            </w:r>
          </w:p>
        </w:tc>
        <w:tc>
          <w:tcPr>
            <w:tcW w:w="5103"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ind w:firstLine="482" w:firstLineChars="200"/>
              <w:jc w:val="center"/>
              <w:rPr>
                <w:rFonts w:ascii="宋体"/>
                <w:b/>
                <w:sz w:val="24"/>
                <w:szCs w:val="24"/>
                <w:highlight w:val="none"/>
                <w:lang w:val="zh-CN"/>
              </w:rPr>
            </w:pPr>
            <w:r>
              <w:rPr>
                <w:rFonts w:hint="eastAsia" w:ascii="宋体"/>
                <w:b/>
                <w:sz w:val="24"/>
                <w:szCs w:val="24"/>
                <w:highlight w:val="none"/>
                <w:lang w:val="zh-CN"/>
              </w:rPr>
              <w:t>检查标准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17" w:hRule="atLeast"/>
        </w:trPr>
        <w:tc>
          <w:tcPr>
            <w:tcW w:w="714" w:type="dxa"/>
            <w:vMerge w:val="restart"/>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ascii="宋体"/>
                <w:sz w:val="24"/>
                <w:szCs w:val="24"/>
                <w:highlight w:val="none"/>
                <w:lang w:val="zh-CN"/>
              </w:rPr>
            </w:pPr>
            <w:r>
              <w:rPr>
                <w:rFonts w:hint="eastAsia" w:ascii="宋体"/>
                <w:sz w:val="24"/>
                <w:szCs w:val="24"/>
                <w:highlight w:val="none"/>
              </w:rPr>
              <w:t>3.1.1</w:t>
            </w:r>
          </w:p>
        </w:tc>
        <w:tc>
          <w:tcPr>
            <w:tcW w:w="720" w:type="dxa"/>
            <w:vMerge w:val="restart"/>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hint="eastAsia" w:ascii="宋体"/>
                <w:sz w:val="24"/>
                <w:szCs w:val="24"/>
                <w:highlight w:val="none"/>
                <w:lang w:val="zh-CN"/>
              </w:rPr>
            </w:pPr>
            <w:r>
              <w:rPr>
                <w:rFonts w:hint="eastAsia" w:ascii="宋体"/>
                <w:sz w:val="24"/>
                <w:szCs w:val="24"/>
                <w:highlight w:val="none"/>
                <w:lang w:val="zh-CN"/>
              </w:rPr>
              <w:t>资</w:t>
            </w:r>
          </w:p>
          <w:p>
            <w:pPr>
              <w:adjustRightInd w:val="0"/>
              <w:spacing w:line="400" w:lineRule="exact"/>
              <w:jc w:val="center"/>
              <w:rPr>
                <w:rFonts w:hint="eastAsia" w:ascii="宋体"/>
                <w:sz w:val="24"/>
                <w:szCs w:val="24"/>
                <w:highlight w:val="none"/>
                <w:lang w:val="zh-CN"/>
              </w:rPr>
            </w:pPr>
            <w:r>
              <w:rPr>
                <w:rFonts w:hint="eastAsia" w:ascii="宋体"/>
                <w:sz w:val="24"/>
                <w:szCs w:val="24"/>
                <w:highlight w:val="none"/>
                <w:lang w:val="zh-CN"/>
              </w:rPr>
              <w:t>格</w:t>
            </w:r>
          </w:p>
          <w:p>
            <w:pPr>
              <w:adjustRightInd w:val="0"/>
              <w:spacing w:line="400" w:lineRule="exact"/>
              <w:jc w:val="center"/>
              <w:rPr>
                <w:rFonts w:hint="eastAsia" w:ascii="宋体"/>
                <w:sz w:val="24"/>
                <w:szCs w:val="24"/>
                <w:highlight w:val="none"/>
                <w:lang w:val="zh-CN"/>
              </w:rPr>
            </w:pPr>
            <w:r>
              <w:rPr>
                <w:rFonts w:hint="eastAsia" w:ascii="宋体"/>
                <w:sz w:val="24"/>
                <w:szCs w:val="24"/>
                <w:highlight w:val="none"/>
                <w:lang w:val="zh-CN"/>
              </w:rPr>
              <w:t>性</w:t>
            </w:r>
          </w:p>
          <w:p>
            <w:pPr>
              <w:adjustRightInd w:val="0"/>
              <w:spacing w:line="400" w:lineRule="exact"/>
              <w:jc w:val="center"/>
              <w:rPr>
                <w:rFonts w:hint="eastAsia" w:ascii="宋体"/>
                <w:sz w:val="24"/>
                <w:szCs w:val="24"/>
                <w:highlight w:val="none"/>
                <w:lang w:val="zh-CN"/>
              </w:rPr>
            </w:pPr>
            <w:r>
              <w:rPr>
                <w:rFonts w:hint="eastAsia" w:ascii="宋体"/>
                <w:sz w:val="24"/>
                <w:szCs w:val="24"/>
                <w:highlight w:val="none"/>
                <w:lang w:val="zh-CN"/>
              </w:rPr>
              <w:t>检</w:t>
            </w:r>
          </w:p>
          <w:p>
            <w:pPr>
              <w:adjustRightInd w:val="0"/>
              <w:spacing w:line="400" w:lineRule="exact"/>
              <w:jc w:val="center"/>
              <w:rPr>
                <w:rFonts w:ascii="宋体"/>
                <w:sz w:val="24"/>
                <w:szCs w:val="24"/>
                <w:highlight w:val="none"/>
                <w:lang w:val="zh-CN"/>
              </w:rPr>
            </w:pPr>
            <w:r>
              <w:rPr>
                <w:rFonts w:hint="eastAsia" w:ascii="宋体"/>
                <w:sz w:val="24"/>
                <w:szCs w:val="24"/>
                <w:highlight w:val="none"/>
                <w:lang w:val="zh-CN"/>
              </w:rPr>
              <w:t>查</w:t>
            </w:r>
          </w:p>
        </w:tc>
        <w:tc>
          <w:tcPr>
            <w:tcW w:w="2410"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ind w:firstLine="480" w:firstLineChars="200"/>
              <w:jc w:val="center"/>
              <w:rPr>
                <w:rFonts w:ascii="宋体"/>
                <w:sz w:val="24"/>
                <w:szCs w:val="24"/>
                <w:highlight w:val="none"/>
                <w:lang w:val="zh-CN"/>
              </w:rPr>
            </w:pPr>
            <w:r>
              <w:rPr>
                <w:rFonts w:hint="eastAsia" w:ascii="宋体"/>
                <w:sz w:val="24"/>
                <w:szCs w:val="24"/>
                <w:highlight w:val="none"/>
                <w:lang w:val="zh-CN"/>
              </w:rPr>
              <w:t>营业执照</w:t>
            </w:r>
          </w:p>
        </w:tc>
        <w:tc>
          <w:tcPr>
            <w:tcW w:w="5103"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left"/>
              <w:rPr>
                <w:rFonts w:ascii="宋体"/>
                <w:sz w:val="24"/>
                <w:szCs w:val="24"/>
                <w:highlight w:val="none"/>
                <w:lang w:val="zh-CN"/>
              </w:rPr>
            </w:pPr>
            <w:r>
              <w:rPr>
                <w:rFonts w:hint="eastAsia" w:ascii="宋体"/>
                <w:sz w:val="24"/>
                <w:szCs w:val="24"/>
                <w:highlight w:val="none"/>
                <w:lang w:val="zh-CN"/>
              </w:rPr>
              <w:t>具备有效的营业执照</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10" w:hRule="atLeast"/>
        </w:trPr>
        <w:tc>
          <w:tcPr>
            <w:tcW w:w="714" w:type="dxa"/>
            <w:vMerge w:val="continue"/>
            <w:tcBorders>
              <w:top w:val="outset" w:color="auto" w:sz="6" w:space="0"/>
              <w:left w:val="outset" w:color="auto" w:sz="6" w:space="0"/>
              <w:bottom w:val="outset" w:color="auto" w:sz="6" w:space="0"/>
              <w:right w:val="outset" w:color="auto" w:sz="6" w:space="0"/>
            </w:tcBorders>
            <w:vAlign w:val="center"/>
          </w:tcPr>
          <w:p>
            <w:pPr>
              <w:rPr>
                <w:sz w:val="24"/>
                <w:szCs w:val="24"/>
                <w:highlight w:val="none"/>
              </w:rPr>
            </w:pPr>
          </w:p>
        </w:tc>
        <w:tc>
          <w:tcPr>
            <w:tcW w:w="720" w:type="dxa"/>
            <w:vMerge w:val="continue"/>
            <w:tcBorders>
              <w:top w:val="outset" w:color="auto" w:sz="6" w:space="0"/>
              <w:left w:val="outset" w:color="auto" w:sz="6" w:space="0"/>
              <w:bottom w:val="outset" w:color="auto" w:sz="6" w:space="0"/>
              <w:right w:val="outset" w:color="auto" w:sz="6" w:space="0"/>
            </w:tcBorders>
            <w:vAlign w:val="center"/>
          </w:tcPr>
          <w:p>
            <w:pPr>
              <w:rPr>
                <w:sz w:val="24"/>
                <w:szCs w:val="24"/>
                <w:highlight w:val="none"/>
              </w:rPr>
            </w:pPr>
          </w:p>
        </w:tc>
        <w:tc>
          <w:tcPr>
            <w:tcW w:w="2410"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ascii="宋体"/>
                <w:sz w:val="24"/>
                <w:szCs w:val="24"/>
                <w:highlight w:val="none"/>
                <w:lang w:val="zh-CN"/>
              </w:rPr>
            </w:pPr>
            <w:r>
              <w:rPr>
                <w:rFonts w:hint="eastAsia" w:ascii="宋体"/>
                <w:sz w:val="24"/>
                <w:szCs w:val="24"/>
                <w:highlight w:val="none"/>
                <w:lang w:val="zh-CN"/>
              </w:rPr>
              <w:t>其他要求</w:t>
            </w:r>
          </w:p>
        </w:tc>
        <w:tc>
          <w:tcPr>
            <w:tcW w:w="5103" w:type="dxa"/>
            <w:tcBorders>
              <w:top w:val="outset" w:color="auto" w:sz="6" w:space="0"/>
              <w:left w:val="outset" w:color="auto" w:sz="6" w:space="0"/>
              <w:bottom w:val="outset" w:color="auto" w:sz="6" w:space="0"/>
              <w:right w:val="outset" w:color="auto" w:sz="6" w:space="0"/>
            </w:tcBorders>
            <w:vAlign w:val="center"/>
          </w:tcPr>
          <w:p>
            <w:pPr>
              <w:numPr>
                <w:ilvl w:val="255"/>
                <w:numId w:val="0"/>
              </w:numPr>
              <w:adjustRightInd w:val="0"/>
              <w:spacing w:line="400" w:lineRule="exact"/>
              <w:jc w:val="left"/>
              <w:rPr>
                <w:rFonts w:ascii="宋体" w:hAnsi="宋体" w:cs="宋体"/>
                <w:sz w:val="24"/>
                <w:highlight w:val="none"/>
                <w:lang w:val="zh-CN"/>
              </w:rPr>
            </w:pPr>
            <w:r>
              <w:rPr>
                <w:rFonts w:hint="eastAsia" w:ascii="宋体" w:hAnsi="宋体" w:cs="Arial"/>
                <w:color w:val="auto"/>
                <w:kern w:val="2"/>
                <w:sz w:val="24"/>
                <w:szCs w:val="24"/>
                <w:highlight w:val="none"/>
                <w:lang w:val="en-US" w:eastAsia="zh-CN" w:bidi="ar-SA"/>
              </w:rPr>
              <w:t>1.</w:t>
            </w:r>
            <w:r>
              <w:rPr>
                <w:rFonts w:hint="eastAsia" w:ascii="宋体" w:hAnsi="宋体" w:cs="宋体"/>
                <w:sz w:val="24"/>
                <w:highlight w:val="none"/>
                <w:lang w:val="zh-CN"/>
              </w:rPr>
              <w:t>供应商符合参加政府采购活动资格条件，满足《中华人民共和国政府采购法》第二十二条规定</w:t>
            </w:r>
            <w:r>
              <w:rPr>
                <w:rFonts w:hint="eastAsia" w:ascii="宋体" w:hAnsi="宋体" w:cs="Arial"/>
                <w:color w:val="auto"/>
                <w:kern w:val="2"/>
                <w:sz w:val="24"/>
                <w:szCs w:val="24"/>
                <w:highlight w:val="none"/>
                <w:lang w:val="en-US" w:eastAsia="zh-CN" w:bidi="ar-SA"/>
              </w:rPr>
              <w:t>（</w:t>
            </w:r>
            <w:r>
              <w:rPr>
                <w:rFonts w:hint="eastAsia" w:ascii="宋体" w:hAnsi="宋体" w:cs="宋体"/>
                <w:sz w:val="24"/>
                <w:lang w:val="zh-CN"/>
              </w:rPr>
              <w:t>即</w:t>
            </w:r>
            <w:r>
              <w:rPr>
                <w:rFonts w:hint="eastAsia" w:ascii="宋体" w:hAnsi="宋体" w:cs="Arial"/>
                <w:color w:val="auto"/>
                <w:kern w:val="2"/>
                <w:sz w:val="24"/>
                <w:szCs w:val="24"/>
                <w:highlight w:val="none"/>
                <w:lang w:val="en-US" w:eastAsia="zh-CN" w:bidi="ar-SA"/>
              </w:rPr>
              <w:t>磋商声明书）</w:t>
            </w:r>
            <w:r>
              <w:rPr>
                <w:rFonts w:hint="eastAsia" w:ascii="宋体" w:hAnsi="宋体" w:cs="宋体"/>
                <w:sz w:val="24"/>
                <w:highlight w:val="none"/>
                <w:lang w:val="zh-CN"/>
              </w:rPr>
              <w:t>；</w:t>
            </w:r>
          </w:p>
          <w:p>
            <w:pPr>
              <w:numPr>
                <w:ilvl w:val="0"/>
                <w:numId w:val="0"/>
              </w:numPr>
              <w:adjustRightInd w:val="0"/>
              <w:spacing w:line="400" w:lineRule="exact"/>
              <w:jc w:val="left"/>
              <w:rPr>
                <w:rFonts w:hint="eastAsia" w:eastAsia="宋体"/>
                <w:lang w:val="en-US" w:eastAsia="zh-CN"/>
              </w:rPr>
            </w:pPr>
            <w:r>
              <w:rPr>
                <w:rFonts w:hint="eastAsia" w:ascii="宋体" w:hAnsi="宋体" w:eastAsia="宋体" w:cs="Arial"/>
                <w:color w:val="auto"/>
                <w:kern w:val="2"/>
                <w:sz w:val="24"/>
                <w:szCs w:val="24"/>
                <w:highlight w:val="none"/>
                <w:lang w:val="en-US" w:eastAsia="zh-CN" w:bidi="ar-SA"/>
              </w:rPr>
              <w:t>2.</w:t>
            </w:r>
            <w:r>
              <w:rPr>
                <w:rFonts w:hint="eastAsia" w:ascii="宋体" w:hAnsi="宋体" w:eastAsia="宋体" w:cs="Arial"/>
                <w:color w:val="auto"/>
                <w:kern w:val="2"/>
                <w:sz w:val="24"/>
                <w:szCs w:val="24"/>
                <w:highlight w:val="none"/>
                <w:lang w:val="zh-CN" w:eastAsia="zh-CN" w:bidi="ar-SA"/>
              </w:rPr>
              <w:t>未被</w:t>
            </w:r>
            <w:r>
              <w:rPr>
                <w:rFonts w:hint="eastAsia" w:ascii="宋体" w:hAnsi="宋体" w:eastAsia="宋体" w:cs="Arial"/>
                <w:color w:val="auto"/>
                <w:kern w:val="2"/>
                <w:sz w:val="24"/>
                <w:szCs w:val="24"/>
                <w:highlight w:val="none"/>
                <w:lang w:val="en-US" w:eastAsia="zh-CN" w:bidi="ar-SA"/>
              </w:rPr>
              <w:t>“</w:t>
            </w:r>
            <w:r>
              <w:rPr>
                <w:rFonts w:hint="eastAsia" w:ascii="宋体" w:hAnsi="宋体" w:eastAsia="宋体" w:cs="Arial"/>
                <w:color w:val="auto"/>
                <w:kern w:val="2"/>
                <w:sz w:val="24"/>
                <w:szCs w:val="24"/>
                <w:highlight w:val="none"/>
                <w:lang w:val="zh-CN" w:eastAsia="zh-CN" w:bidi="ar-SA"/>
              </w:rPr>
              <w:t>信用中国</w:t>
            </w:r>
            <w:r>
              <w:rPr>
                <w:rFonts w:hint="eastAsia" w:ascii="宋体" w:hAnsi="宋体" w:eastAsia="宋体" w:cs="Arial"/>
                <w:color w:val="auto"/>
                <w:kern w:val="2"/>
                <w:sz w:val="24"/>
                <w:szCs w:val="24"/>
                <w:highlight w:val="none"/>
                <w:lang w:val="en-US" w:eastAsia="zh-CN" w:bidi="ar-SA"/>
              </w:rPr>
              <w:t>”（www.creditchina.gov.cn）</w:t>
            </w:r>
            <w:r>
              <w:rPr>
                <w:rFonts w:hint="eastAsia" w:ascii="宋体" w:hAnsi="宋体" w:eastAsia="宋体" w:cs="Arial"/>
                <w:color w:val="auto"/>
                <w:kern w:val="2"/>
                <w:sz w:val="24"/>
                <w:szCs w:val="24"/>
                <w:highlight w:val="none"/>
                <w:lang w:val="zh-CN" w:eastAsia="zh-CN" w:bidi="ar-SA"/>
              </w:rPr>
              <w:t>、中国政府采购网</w:t>
            </w:r>
            <w:r>
              <w:rPr>
                <w:rFonts w:hint="eastAsia" w:ascii="宋体" w:hAnsi="宋体" w:eastAsia="宋体" w:cs="Arial"/>
                <w:color w:val="auto"/>
                <w:kern w:val="2"/>
                <w:sz w:val="24"/>
                <w:szCs w:val="24"/>
                <w:highlight w:val="none"/>
                <w:lang w:val="en-US" w:eastAsia="zh-CN" w:bidi="ar-SA"/>
              </w:rPr>
              <w:t>（www.ccgp.gov.cn）</w:t>
            </w:r>
            <w:r>
              <w:rPr>
                <w:rFonts w:hint="eastAsia" w:ascii="宋体" w:hAnsi="宋体" w:eastAsia="宋体" w:cs="Arial"/>
                <w:color w:val="auto"/>
                <w:kern w:val="2"/>
                <w:sz w:val="24"/>
                <w:szCs w:val="24"/>
                <w:highlight w:val="none"/>
                <w:lang w:val="zh-CN" w:eastAsia="zh-CN" w:bidi="ar-SA"/>
              </w:rPr>
              <w:t>列入失信被执行人、重大税收违法案件当事人名单、政府采购严重违法失信行为记录名单情况的磋商声明书</w:t>
            </w:r>
            <w:r>
              <w:rPr>
                <w:rFonts w:hint="eastAsia" w:ascii="宋体" w:hAnsi="宋体" w:cs="Arial"/>
                <w:color w:val="auto"/>
                <w:kern w:val="2"/>
                <w:sz w:val="24"/>
                <w:szCs w:val="24"/>
                <w:highlight w:val="none"/>
                <w:lang w:val="en-US" w:eastAsia="zh-CN" w:bidi="ar-SA"/>
              </w:rPr>
              <w:t>（</w:t>
            </w:r>
            <w:r>
              <w:rPr>
                <w:rFonts w:hint="eastAsia" w:ascii="宋体" w:hAnsi="宋体" w:cs="宋体"/>
                <w:sz w:val="24"/>
                <w:lang w:val="zh-CN"/>
              </w:rPr>
              <w:t>即</w:t>
            </w:r>
            <w:r>
              <w:rPr>
                <w:rFonts w:hint="eastAsia" w:ascii="宋体" w:hAnsi="宋体" w:cs="Arial"/>
                <w:color w:val="auto"/>
                <w:kern w:val="2"/>
                <w:sz w:val="24"/>
                <w:szCs w:val="24"/>
                <w:highlight w:val="none"/>
                <w:lang w:val="en-US" w:eastAsia="zh-CN" w:bidi="ar-SA"/>
              </w:rPr>
              <w:t>磋商声明书）；</w:t>
            </w:r>
          </w:p>
          <w:p>
            <w:pPr>
              <w:adjustRightInd w:val="0"/>
              <w:spacing w:line="400" w:lineRule="exact"/>
              <w:jc w:val="left"/>
              <w:rPr>
                <w:rFonts w:hint="eastAsia" w:ascii="宋体" w:hAnsi="宋体" w:eastAsia="宋体" w:cs="Arial"/>
                <w:color w:val="auto"/>
                <w:kern w:val="2"/>
                <w:sz w:val="24"/>
                <w:szCs w:val="24"/>
                <w:highlight w:val="none"/>
                <w:lang w:val="zh-CN" w:eastAsia="zh-CN" w:bidi="ar-SA"/>
              </w:rPr>
            </w:pPr>
            <w:r>
              <w:rPr>
                <w:rFonts w:hint="eastAsia" w:ascii="宋体" w:hAnsi="宋体" w:eastAsia="宋体" w:cs="Arial"/>
                <w:color w:val="auto"/>
                <w:kern w:val="2"/>
                <w:sz w:val="24"/>
                <w:szCs w:val="24"/>
                <w:highlight w:val="none"/>
                <w:lang w:val="en-US" w:eastAsia="zh-CN" w:bidi="ar-SA"/>
              </w:rPr>
              <w:t>3.</w:t>
            </w:r>
            <w:r>
              <w:rPr>
                <w:rFonts w:hint="eastAsia" w:ascii="宋体" w:hAnsi="宋体" w:eastAsia="宋体" w:cs="Arial"/>
                <w:color w:val="auto"/>
                <w:kern w:val="2"/>
                <w:sz w:val="24"/>
                <w:szCs w:val="24"/>
                <w:highlight w:val="none"/>
                <w:lang w:val="zh-CN" w:eastAsia="zh-CN" w:bidi="ar-SA"/>
              </w:rPr>
              <w:t>如无独立法人资格的分公司（如金融、保险、通讯等特定行业的全国性企业所设立的区域性分支机构）参加磋商的，应提供具有法人资格的总公司授权的授权书；</w:t>
            </w:r>
          </w:p>
          <w:p>
            <w:pPr>
              <w:adjustRightInd w:val="0"/>
              <w:spacing w:line="400" w:lineRule="exact"/>
              <w:jc w:val="left"/>
              <w:rPr>
                <w:rFonts w:hint="eastAsia" w:ascii="宋体" w:hAnsi="宋体" w:eastAsia="宋体" w:cs="Arial"/>
                <w:color w:val="auto"/>
                <w:kern w:val="2"/>
                <w:sz w:val="24"/>
                <w:szCs w:val="24"/>
                <w:highlight w:val="none"/>
                <w:lang w:val="zh-CN" w:eastAsia="zh-CN" w:bidi="ar-SA"/>
              </w:rPr>
            </w:pPr>
            <w:r>
              <w:rPr>
                <w:rFonts w:hint="eastAsia" w:ascii="宋体" w:hAnsi="宋体" w:eastAsia="宋体" w:cs="Arial"/>
                <w:color w:val="auto"/>
                <w:kern w:val="2"/>
                <w:sz w:val="24"/>
                <w:szCs w:val="24"/>
                <w:highlight w:val="none"/>
                <w:lang w:val="en-US" w:eastAsia="zh-CN" w:bidi="ar-SA"/>
              </w:rPr>
              <w:t>4.</w:t>
            </w:r>
            <w:r>
              <w:rPr>
                <w:rFonts w:hint="eastAsia" w:ascii="宋体" w:hAnsi="宋体" w:eastAsia="宋体" w:cs="Arial"/>
                <w:color w:val="auto"/>
                <w:kern w:val="2"/>
                <w:sz w:val="24"/>
                <w:szCs w:val="24"/>
                <w:highlight w:val="none"/>
                <w:lang w:val="zh-CN" w:eastAsia="zh-CN" w:bidi="ar-SA"/>
              </w:rPr>
              <w:t>如个体工商户、个人独资企业、合伙企业，应提供房产权证或其他有效财产证明材料，证明其具备实际承担责任的能力和法定的缔结合同能力。</w:t>
            </w:r>
          </w:p>
          <w:p>
            <w:pPr>
              <w:adjustRightInd w:val="0"/>
              <w:spacing w:line="400" w:lineRule="exact"/>
              <w:jc w:val="left"/>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zh-CN" w:eastAsia="zh-CN" w:bidi="ar-SA"/>
              </w:rPr>
              <w:t>5.</w:t>
            </w:r>
            <w:r>
              <w:rPr>
                <w:rFonts w:hint="eastAsia" w:ascii="宋体" w:hAnsi="宋体" w:eastAsia="宋体" w:cs="Arial"/>
                <w:color w:val="auto"/>
                <w:kern w:val="2"/>
                <w:sz w:val="24"/>
                <w:szCs w:val="24"/>
                <w:highlight w:val="none"/>
                <w:lang w:val="en-US" w:eastAsia="zh-CN" w:bidi="ar-SA"/>
              </w:rPr>
              <w:t>单位负责人为同一人或者存在直接控股、管理关系的不同供应商，不得同时参加同一合同项下的</w:t>
            </w:r>
            <w:r>
              <w:rPr>
                <w:rFonts w:hint="eastAsia" w:ascii="宋体" w:hAnsi="宋体" w:cs="Arial"/>
                <w:color w:val="auto"/>
                <w:kern w:val="2"/>
                <w:sz w:val="24"/>
                <w:szCs w:val="24"/>
                <w:highlight w:val="none"/>
                <w:lang w:val="en-US" w:eastAsia="zh-CN" w:bidi="ar-SA"/>
              </w:rPr>
              <w:t>响应</w:t>
            </w:r>
            <w:r>
              <w:rPr>
                <w:rFonts w:hint="eastAsia" w:ascii="宋体" w:hAnsi="宋体" w:eastAsia="宋体" w:cs="Arial"/>
                <w:color w:val="auto"/>
                <w:kern w:val="2"/>
                <w:sz w:val="24"/>
                <w:szCs w:val="24"/>
                <w:highlight w:val="none"/>
                <w:lang w:val="zh-CN" w:eastAsia="zh-CN" w:bidi="ar-SA"/>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14" w:type="dxa"/>
            <w:vMerge w:val="continue"/>
            <w:tcBorders>
              <w:top w:val="outset" w:color="auto" w:sz="6" w:space="0"/>
              <w:left w:val="outset" w:color="auto" w:sz="6" w:space="0"/>
              <w:bottom w:val="outset" w:color="auto" w:sz="6" w:space="0"/>
              <w:right w:val="outset" w:color="auto" w:sz="6" w:space="0"/>
            </w:tcBorders>
            <w:vAlign w:val="center"/>
          </w:tcPr>
          <w:p>
            <w:pPr>
              <w:rPr>
                <w:sz w:val="24"/>
                <w:szCs w:val="24"/>
                <w:highlight w:val="none"/>
              </w:rPr>
            </w:pPr>
          </w:p>
        </w:tc>
        <w:tc>
          <w:tcPr>
            <w:tcW w:w="720" w:type="dxa"/>
            <w:vMerge w:val="continue"/>
            <w:tcBorders>
              <w:top w:val="outset" w:color="auto" w:sz="6" w:space="0"/>
              <w:left w:val="outset" w:color="auto" w:sz="6" w:space="0"/>
              <w:bottom w:val="outset" w:color="auto" w:sz="6" w:space="0"/>
              <w:right w:val="outset" w:color="auto" w:sz="6" w:space="0"/>
            </w:tcBorders>
            <w:vAlign w:val="center"/>
          </w:tcPr>
          <w:p>
            <w:pPr>
              <w:rPr>
                <w:sz w:val="24"/>
                <w:szCs w:val="24"/>
                <w:highlight w:val="none"/>
              </w:rPr>
            </w:pPr>
          </w:p>
        </w:tc>
        <w:tc>
          <w:tcPr>
            <w:tcW w:w="2410"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法人</w:t>
            </w:r>
            <w:r>
              <w:rPr>
                <w:rFonts w:hint="eastAsia" w:ascii="宋体" w:hAnsi="宋体" w:cs="宋体"/>
                <w:sz w:val="24"/>
                <w:szCs w:val="24"/>
                <w:highlight w:val="none"/>
              </w:rPr>
              <w:t>或</w:t>
            </w:r>
            <w:r>
              <w:rPr>
                <w:rFonts w:hint="eastAsia" w:ascii="宋体" w:hAnsi="宋体" w:cs="宋体"/>
                <w:sz w:val="24"/>
                <w:szCs w:val="24"/>
                <w:highlight w:val="none"/>
                <w:lang w:val="zh-CN"/>
              </w:rPr>
              <w:t>委托</w:t>
            </w:r>
          </w:p>
          <w:p>
            <w:pPr>
              <w:adjustRightInd w:val="0"/>
              <w:spacing w:line="400" w:lineRule="exact"/>
              <w:jc w:val="center"/>
              <w:rPr>
                <w:rFonts w:ascii="宋体"/>
                <w:sz w:val="24"/>
                <w:szCs w:val="24"/>
                <w:highlight w:val="none"/>
                <w:lang w:val="zh-CN"/>
              </w:rPr>
            </w:pPr>
            <w:r>
              <w:rPr>
                <w:rFonts w:hint="eastAsia" w:ascii="宋体" w:hAnsi="宋体" w:cs="宋体"/>
                <w:sz w:val="24"/>
                <w:szCs w:val="24"/>
                <w:highlight w:val="none"/>
                <w:lang w:val="zh-CN"/>
              </w:rPr>
              <w:t>代理人资格</w:t>
            </w:r>
          </w:p>
        </w:tc>
        <w:tc>
          <w:tcPr>
            <w:tcW w:w="5103"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left"/>
              <w:rPr>
                <w:rFonts w:hint="eastAsia" w:ascii="宋体" w:hAnsi="宋体" w:eastAsia="宋体" w:cs="Arial"/>
                <w:color w:val="auto"/>
                <w:kern w:val="2"/>
                <w:sz w:val="24"/>
                <w:szCs w:val="24"/>
                <w:highlight w:val="none"/>
                <w:lang w:val="zh-CN" w:eastAsia="zh-CN" w:bidi="ar-SA"/>
              </w:rPr>
            </w:pPr>
            <w:r>
              <w:rPr>
                <w:rFonts w:hint="eastAsia" w:ascii="宋体" w:hAnsi="宋体" w:eastAsia="宋体" w:cs="Arial"/>
                <w:color w:val="auto"/>
                <w:kern w:val="2"/>
                <w:sz w:val="24"/>
                <w:szCs w:val="24"/>
                <w:highlight w:val="none"/>
                <w:lang w:val="zh-CN" w:eastAsia="zh-CN" w:bidi="ar-SA"/>
              </w:rPr>
              <w:t>具有法定代表人资格证明及</w:t>
            </w:r>
            <w:r>
              <w:rPr>
                <w:rFonts w:hint="eastAsia" w:ascii="宋体" w:hAnsi="宋体" w:eastAsia="宋体" w:cs="Arial"/>
                <w:color w:val="auto"/>
                <w:kern w:val="2"/>
                <w:sz w:val="24"/>
                <w:szCs w:val="24"/>
                <w:highlight w:val="none"/>
                <w:lang w:val="en-US" w:eastAsia="zh-CN" w:bidi="ar-SA"/>
              </w:rPr>
              <w:t>身份证或法定代表人委托书及身份证</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85" w:hRule="atLeast"/>
        </w:trPr>
        <w:tc>
          <w:tcPr>
            <w:tcW w:w="714" w:type="dxa"/>
            <w:tcBorders>
              <w:top w:val="outset" w:color="auto" w:sz="6" w:space="0"/>
              <w:left w:val="outset" w:color="auto" w:sz="6" w:space="0"/>
              <w:bottom w:val="outset" w:color="auto" w:sz="6" w:space="0"/>
              <w:right w:val="outset" w:color="auto" w:sz="6" w:space="0"/>
            </w:tcBorders>
            <w:vAlign w:val="center"/>
          </w:tcPr>
          <w:p>
            <w:pPr>
              <w:rPr>
                <w:sz w:val="24"/>
                <w:szCs w:val="24"/>
                <w:highlight w:val="none"/>
              </w:rPr>
            </w:pPr>
            <w:bookmarkStart w:id="897" w:name="EB3241587383784471a09312dcf1b05752"/>
          </w:p>
        </w:tc>
        <w:tc>
          <w:tcPr>
            <w:tcW w:w="720" w:type="dxa"/>
            <w:tcBorders>
              <w:top w:val="outset" w:color="auto" w:sz="6" w:space="0"/>
              <w:left w:val="outset" w:color="auto" w:sz="6" w:space="0"/>
              <w:bottom w:val="outset" w:color="auto" w:sz="6" w:space="0"/>
              <w:right w:val="outset" w:color="auto" w:sz="6" w:space="0"/>
            </w:tcBorders>
            <w:vAlign w:val="center"/>
          </w:tcPr>
          <w:p>
            <w:pPr>
              <w:rPr>
                <w:sz w:val="24"/>
                <w:szCs w:val="24"/>
                <w:highlight w:val="none"/>
              </w:rPr>
            </w:pPr>
          </w:p>
        </w:tc>
        <w:tc>
          <w:tcPr>
            <w:tcW w:w="2410" w:type="dxa"/>
            <w:tcBorders>
              <w:top w:val="outset" w:color="auto" w:sz="6" w:space="0"/>
              <w:left w:val="outset" w:color="auto" w:sz="6" w:space="0"/>
              <w:right w:val="outset" w:color="auto" w:sz="6" w:space="0"/>
            </w:tcBorders>
            <w:vAlign w:val="center"/>
          </w:tcPr>
          <w:p>
            <w:pPr>
              <w:adjustRightInd w:val="0"/>
              <w:spacing w:line="400" w:lineRule="exact"/>
              <w:jc w:val="center"/>
              <w:rPr>
                <w:rFonts w:hint="eastAsia" w:ascii="宋体"/>
                <w:b/>
                <w:bCs/>
                <w:sz w:val="24"/>
                <w:szCs w:val="24"/>
                <w:highlight w:val="none"/>
                <w:lang w:val="zh-CN"/>
              </w:rPr>
            </w:pPr>
            <w:r>
              <w:rPr>
                <w:rFonts w:hint="eastAsia" w:ascii="宋体"/>
                <w:sz w:val="24"/>
                <w:szCs w:val="24"/>
                <w:highlight w:val="none"/>
                <w:lang w:val="zh-CN"/>
              </w:rPr>
              <w:t>其他资质要求</w:t>
            </w:r>
          </w:p>
        </w:tc>
        <w:tc>
          <w:tcPr>
            <w:tcW w:w="5103" w:type="dxa"/>
            <w:tcBorders>
              <w:top w:val="outset" w:color="auto" w:sz="6" w:space="0"/>
              <w:left w:val="outset" w:color="auto" w:sz="6" w:space="0"/>
              <w:right w:val="outset" w:color="auto" w:sz="6" w:space="0"/>
            </w:tcBorders>
            <w:vAlign w:val="center"/>
          </w:tcPr>
          <w:p>
            <w:pPr>
              <w:adjustRightInd w:val="0"/>
              <w:spacing w:line="400" w:lineRule="exact"/>
              <w:jc w:val="left"/>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详</w:t>
            </w:r>
            <w:r>
              <w:rPr>
                <w:rFonts w:hint="eastAsia" w:ascii="宋体" w:hAnsi="宋体" w:cs="Arial"/>
                <w:color w:val="auto"/>
                <w:kern w:val="2"/>
                <w:sz w:val="24"/>
                <w:szCs w:val="24"/>
                <w:highlight w:val="none"/>
                <w:lang w:val="en-US" w:eastAsia="zh-CN" w:bidi="ar-SA"/>
              </w:rPr>
              <w:t>供应商</w:t>
            </w:r>
            <w:r>
              <w:rPr>
                <w:rFonts w:hint="eastAsia" w:ascii="宋体" w:hAnsi="宋体" w:eastAsia="宋体" w:cs="Arial"/>
                <w:color w:val="auto"/>
                <w:kern w:val="2"/>
                <w:sz w:val="24"/>
                <w:szCs w:val="24"/>
                <w:highlight w:val="none"/>
                <w:lang w:val="en-US" w:eastAsia="zh-CN" w:bidi="ar-SA"/>
              </w:rPr>
              <w:t>须知前附表1.5.1项规定</w:t>
            </w:r>
          </w:p>
          <w:p>
            <w:pPr>
              <w:pStyle w:val="5"/>
              <w:rPr>
                <w:rFonts w:hint="eastAsia" w:ascii="宋体" w:hAnsi="宋体" w:eastAsia="宋体" w:cs="Arial"/>
                <w:color w:val="auto"/>
                <w:kern w:val="2"/>
                <w:sz w:val="24"/>
                <w:szCs w:val="24"/>
                <w:highlight w:val="none"/>
                <w:lang w:val="zh-CN" w:eastAsia="zh-CN" w:bidi="ar-SA"/>
              </w:rPr>
            </w:pPr>
          </w:p>
        </w:tc>
      </w:tr>
    </w:tbl>
    <w:p>
      <w:pPr>
        <w:spacing w:after="280" w:afterAutospacing="1" w:line="400" w:lineRule="exact"/>
        <w:ind w:firstLine="482" w:firstLineChars="201"/>
        <w:contextualSpacing/>
        <w:jc w:val="both"/>
        <w:outlineLvl w:val="2"/>
        <w:rPr>
          <w:rFonts w:hint="eastAsia" w:ascii="宋体" w:hAnsi="宋体" w:cs="宋体"/>
          <w:sz w:val="24"/>
          <w:highlight w:val="none"/>
          <w:lang w:val="zh-CN"/>
        </w:rPr>
      </w:pPr>
      <w:r>
        <w:rPr>
          <w:rFonts w:hint="eastAsia" w:ascii="宋体" w:hAnsi="宋体" w:cs="宋体"/>
          <w:sz w:val="24"/>
          <w:highlight w:val="none"/>
        </w:rPr>
        <w:t>▲</w:t>
      </w:r>
      <w:r>
        <w:rPr>
          <w:rFonts w:hint="eastAsia" w:ascii="宋体" w:hAnsi="宋体" w:cs="宋体"/>
          <w:b/>
          <w:bCs/>
          <w:sz w:val="28"/>
          <w:szCs w:val="28"/>
          <w:highlight w:val="none"/>
        </w:rPr>
        <w:t>注：</w:t>
      </w:r>
      <w:r>
        <w:rPr>
          <w:rFonts w:hint="eastAsia" w:ascii="宋体" w:hAnsi="宋体" w:cs="宋体"/>
          <w:b/>
          <w:bCs/>
          <w:color w:val="auto"/>
          <w:sz w:val="24"/>
          <w:highlight w:val="none"/>
        </w:rPr>
        <w:t>以上检查内容必须全部符合检查标准，否则为无效标。</w:t>
      </w:r>
    </w:p>
    <w:p>
      <w:pPr>
        <w:pStyle w:val="2"/>
        <w:rPr>
          <w:rFonts w:hint="eastAsia"/>
          <w:highlight w:val="none"/>
          <w:lang w:val="zh-CN"/>
        </w:rPr>
      </w:pPr>
    </w:p>
    <w:p>
      <w:pPr>
        <w:pStyle w:val="2"/>
        <w:rPr>
          <w:rFonts w:hint="eastAsia" w:ascii="宋体" w:hAnsi="宋体" w:cs="宋体"/>
          <w:sz w:val="24"/>
          <w:highlight w:val="none"/>
          <w:lang w:val="zh-CN"/>
        </w:rPr>
      </w:pPr>
    </w:p>
    <w:p>
      <w:pPr>
        <w:pStyle w:val="22"/>
        <w:spacing w:line="400" w:lineRule="exact"/>
        <w:ind w:firstLine="484" w:firstLineChars="201"/>
        <w:contextualSpacing/>
        <w:jc w:val="center"/>
        <w:outlineLvl w:val="2"/>
        <w:rPr>
          <w:rFonts w:hint="eastAsia"/>
          <w:b/>
          <w:sz w:val="24"/>
          <w:szCs w:val="22"/>
          <w:highlight w:val="none"/>
        </w:rPr>
      </w:pPr>
      <w:bookmarkStart w:id="898" w:name="_Toc28091"/>
      <w:r>
        <w:rPr>
          <w:rFonts w:hint="eastAsia"/>
          <w:b/>
          <w:sz w:val="24"/>
          <w:szCs w:val="22"/>
          <w:highlight w:val="none"/>
        </w:rPr>
        <w:t>3.2技术文件符合性检查内容及标准</w:t>
      </w:r>
      <w:bookmarkEnd w:id="898"/>
    </w:p>
    <w:p>
      <w:pPr>
        <w:pStyle w:val="9"/>
        <w:jc w:val="center"/>
      </w:pPr>
    </w:p>
    <w:tbl>
      <w:tblPr>
        <w:tblStyle w:val="35"/>
        <w:tblW w:w="8947"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714"/>
        <w:gridCol w:w="720"/>
        <w:gridCol w:w="2730"/>
        <w:gridCol w:w="4783"/>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8" w:hRule="atLeast"/>
        </w:trPr>
        <w:tc>
          <w:tcPr>
            <w:tcW w:w="1434" w:type="dxa"/>
            <w:gridSpan w:val="2"/>
            <w:tcBorders>
              <w:top w:val="outset" w:color="auto" w:sz="6" w:space="0"/>
              <w:left w:val="outset" w:color="auto" w:sz="6" w:space="0"/>
              <w:bottom w:val="outset" w:color="auto" w:sz="6" w:space="0"/>
              <w:right w:val="outset" w:color="auto" w:sz="6" w:space="0"/>
            </w:tcBorders>
            <w:vAlign w:val="center"/>
          </w:tcPr>
          <w:p>
            <w:pPr>
              <w:adjustRightInd w:val="0"/>
              <w:spacing w:line="400" w:lineRule="exact"/>
              <w:ind w:firstLine="482" w:firstLineChars="200"/>
              <w:rPr>
                <w:rFonts w:ascii="宋体"/>
                <w:b/>
                <w:sz w:val="24"/>
                <w:highlight w:val="none"/>
                <w:lang w:val="zh-CN"/>
              </w:rPr>
            </w:pPr>
            <w:r>
              <w:rPr>
                <w:rFonts w:hint="eastAsia" w:ascii="宋体"/>
                <w:b/>
                <w:sz w:val="24"/>
                <w:highlight w:val="none"/>
                <w:lang w:val="zh-CN"/>
              </w:rPr>
              <w:t>序号</w:t>
            </w:r>
          </w:p>
        </w:tc>
        <w:tc>
          <w:tcPr>
            <w:tcW w:w="2730"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ind w:firstLine="482" w:firstLineChars="200"/>
              <w:jc w:val="center"/>
              <w:rPr>
                <w:rFonts w:ascii="宋体"/>
                <w:b/>
                <w:sz w:val="24"/>
                <w:highlight w:val="none"/>
                <w:lang w:val="zh-CN"/>
              </w:rPr>
            </w:pPr>
            <w:r>
              <w:rPr>
                <w:rFonts w:hint="eastAsia" w:ascii="宋体"/>
                <w:b/>
                <w:sz w:val="24"/>
                <w:highlight w:val="none"/>
                <w:lang w:val="zh-CN"/>
              </w:rPr>
              <w:t>检查内容</w:t>
            </w:r>
          </w:p>
        </w:tc>
        <w:tc>
          <w:tcPr>
            <w:tcW w:w="4783"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ind w:firstLine="482" w:firstLineChars="200"/>
              <w:jc w:val="center"/>
              <w:rPr>
                <w:rFonts w:ascii="宋体"/>
                <w:b/>
                <w:sz w:val="24"/>
                <w:highlight w:val="none"/>
                <w:lang w:val="zh-CN"/>
              </w:rPr>
            </w:pPr>
            <w:r>
              <w:rPr>
                <w:rFonts w:hint="eastAsia" w:ascii="宋体"/>
                <w:b/>
                <w:sz w:val="24"/>
                <w:highlight w:val="none"/>
                <w:lang w:val="zh-CN"/>
              </w:rPr>
              <w:t>检查标准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24" w:hRule="atLeast"/>
        </w:trPr>
        <w:tc>
          <w:tcPr>
            <w:tcW w:w="714" w:type="dxa"/>
            <w:vMerge w:val="restart"/>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ascii="宋体"/>
                <w:sz w:val="24"/>
                <w:highlight w:val="none"/>
                <w:lang w:val="zh-CN"/>
              </w:rPr>
            </w:pPr>
            <w:r>
              <w:rPr>
                <w:rFonts w:hint="eastAsia" w:ascii="宋体"/>
                <w:sz w:val="24"/>
                <w:highlight w:val="none"/>
              </w:rPr>
              <w:t>3.2.1</w:t>
            </w:r>
          </w:p>
        </w:tc>
        <w:tc>
          <w:tcPr>
            <w:tcW w:w="720" w:type="dxa"/>
            <w:vMerge w:val="restart"/>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hint="eastAsia" w:ascii="宋体"/>
                <w:sz w:val="24"/>
                <w:highlight w:val="none"/>
                <w:lang w:val="zh-CN"/>
              </w:rPr>
            </w:pPr>
            <w:r>
              <w:rPr>
                <w:rFonts w:hint="eastAsia" w:ascii="宋体"/>
                <w:sz w:val="24"/>
                <w:highlight w:val="none"/>
                <w:lang w:val="zh-CN"/>
              </w:rPr>
              <w:t>符</w:t>
            </w:r>
          </w:p>
          <w:p>
            <w:pPr>
              <w:adjustRightInd w:val="0"/>
              <w:spacing w:line="400" w:lineRule="exact"/>
              <w:jc w:val="center"/>
              <w:rPr>
                <w:rFonts w:hint="eastAsia" w:ascii="宋体"/>
                <w:sz w:val="24"/>
                <w:highlight w:val="none"/>
                <w:lang w:val="zh-CN"/>
              </w:rPr>
            </w:pPr>
            <w:r>
              <w:rPr>
                <w:rFonts w:hint="eastAsia" w:ascii="宋体"/>
                <w:sz w:val="24"/>
                <w:highlight w:val="none"/>
                <w:lang w:val="zh-CN"/>
              </w:rPr>
              <w:t>合</w:t>
            </w:r>
          </w:p>
          <w:p>
            <w:pPr>
              <w:adjustRightInd w:val="0"/>
              <w:spacing w:line="400" w:lineRule="exact"/>
              <w:jc w:val="center"/>
              <w:rPr>
                <w:rFonts w:hint="eastAsia" w:ascii="宋体"/>
                <w:sz w:val="24"/>
                <w:highlight w:val="none"/>
                <w:lang w:val="zh-CN"/>
              </w:rPr>
            </w:pPr>
            <w:r>
              <w:rPr>
                <w:rFonts w:hint="eastAsia" w:ascii="宋体"/>
                <w:sz w:val="24"/>
                <w:highlight w:val="none"/>
                <w:lang w:val="zh-CN"/>
              </w:rPr>
              <w:t>性</w:t>
            </w:r>
          </w:p>
          <w:p>
            <w:pPr>
              <w:adjustRightInd w:val="0"/>
              <w:spacing w:line="400" w:lineRule="exact"/>
              <w:jc w:val="center"/>
              <w:rPr>
                <w:rFonts w:hint="eastAsia" w:ascii="宋体"/>
                <w:sz w:val="24"/>
                <w:highlight w:val="none"/>
                <w:lang w:val="zh-CN"/>
              </w:rPr>
            </w:pPr>
            <w:r>
              <w:rPr>
                <w:rFonts w:hint="eastAsia" w:ascii="宋体"/>
                <w:sz w:val="24"/>
                <w:highlight w:val="none"/>
                <w:lang w:val="zh-CN"/>
              </w:rPr>
              <w:t>检</w:t>
            </w:r>
          </w:p>
          <w:p>
            <w:pPr>
              <w:adjustRightInd w:val="0"/>
              <w:spacing w:line="400" w:lineRule="exact"/>
              <w:jc w:val="center"/>
              <w:rPr>
                <w:rFonts w:ascii="宋体"/>
                <w:sz w:val="24"/>
                <w:highlight w:val="none"/>
                <w:lang w:val="zh-CN"/>
              </w:rPr>
            </w:pPr>
            <w:r>
              <w:rPr>
                <w:rFonts w:hint="eastAsia" w:ascii="宋体"/>
                <w:sz w:val="24"/>
                <w:highlight w:val="none"/>
                <w:lang w:val="zh-CN"/>
              </w:rPr>
              <w:t>查</w:t>
            </w:r>
          </w:p>
        </w:tc>
        <w:tc>
          <w:tcPr>
            <w:tcW w:w="2730"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ascii="宋体"/>
                <w:sz w:val="24"/>
                <w:highlight w:val="none"/>
                <w:lang w:val="zh-CN"/>
              </w:rPr>
            </w:pPr>
            <w:r>
              <w:rPr>
                <w:rFonts w:hint="eastAsia" w:ascii="宋体"/>
                <w:sz w:val="24"/>
                <w:highlight w:val="none"/>
                <w:lang w:val="zh-CN"/>
              </w:rPr>
              <w:t>供应商名称</w:t>
            </w:r>
          </w:p>
        </w:tc>
        <w:tc>
          <w:tcPr>
            <w:tcW w:w="4783"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left"/>
              <w:rPr>
                <w:rFonts w:ascii="宋体"/>
                <w:sz w:val="24"/>
                <w:highlight w:val="none"/>
                <w:lang w:val="zh-CN"/>
              </w:rPr>
            </w:pPr>
            <w:r>
              <w:rPr>
                <w:rFonts w:hint="eastAsia" w:ascii="宋体"/>
                <w:sz w:val="24"/>
                <w:highlight w:val="none"/>
                <w:lang w:val="zh-CN"/>
              </w:rPr>
              <w:t>与营业执照一致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714" w:type="dxa"/>
            <w:vMerge w:val="continue"/>
            <w:tcBorders>
              <w:top w:val="outset" w:color="auto" w:sz="6" w:space="0"/>
              <w:left w:val="outset" w:color="auto" w:sz="6" w:space="0"/>
              <w:bottom w:val="outset" w:color="auto" w:sz="6" w:space="0"/>
              <w:right w:val="outset" w:color="auto" w:sz="6" w:space="0"/>
            </w:tcBorders>
            <w:vAlign w:val="center"/>
          </w:tcPr>
          <w:p>
            <w:pPr>
              <w:rPr>
                <w:highlight w:val="none"/>
              </w:rPr>
            </w:pPr>
          </w:p>
        </w:tc>
        <w:tc>
          <w:tcPr>
            <w:tcW w:w="720" w:type="dxa"/>
            <w:vMerge w:val="continue"/>
            <w:tcBorders>
              <w:top w:val="outset" w:color="auto" w:sz="6" w:space="0"/>
              <w:left w:val="outset" w:color="auto" w:sz="6" w:space="0"/>
              <w:bottom w:val="outset" w:color="auto" w:sz="6" w:space="0"/>
              <w:right w:val="outset" w:color="auto" w:sz="6" w:space="0"/>
            </w:tcBorders>
            <w:vAlign w:val="center"/>
          </w:tcPr>
          <w:p>
            <w:pPr>
              <w:rPr>
                <w:highlight w:val="none"/>
              </w:rPr>
            </w:pPr>
          </w:p>
        </w:tc>
        <w:tc>
          <w:tcPr>
            <w:tcW w:w="2730"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ascii="宋体"/>
                <w:sz w:val="24"/>
                <w:highlight w:val="none"/>
                <w:lang w:val="zh-CN"/>
              </w:rPr>
            </w:pPr>
            <w:r>
              <w:rPr>
                <w:rFonts w:hint="eastAsia" w:ascii="宋体"/>
                <w:sz w:val="24"/>
                <w:highlight w:val="none"/>
                <w:lang w:val="zh-CN"/>
              </w:rPr>
              <w:t>磋商响应文件盖章、签字</w:t>
            </w:r>
          </w:p>
        </w:tc>
        <w:tc>
          <w:tcPr>
            <w:tcW w:w="4783"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left"/>
              <w:rPr>
                <w:rFonts w:ascii="宋体"/>
                <w:sz w:val="24"/>
                <w:highlight w:val="none"/>
                <w:lang w:val="zh-CN"/>
              </w:rPr>
            </w:pPr>
            <w:r>
              <w:rPr>
                <w:rFonts w:hint="eastAsia" w:ascii="宋体"/>
                <w:sz w:val="24"/>
                <w:highlight w:val="none"/>
                <w:lang w:val="zh-CN"/>
              </w:rPr>
              <w:t>符合磋商文件要求在规定区域加盖单位公章和法定代表人</w:t>
            </w:r>
            <w:r>
              <w:rPr>
                <w:rFonts w:hint="eastAsia" w:ascii="宋体"/>
                <w:sz w:val="24"/>
                <w:highlight w:val="none"/>
              </w:rPr>
              <w:t>签字或</w:t>
            </w:r>
            <w:r>
              <w:rPr>
                <w:rFonts w:hint="eastAsia" w:ascii="宋体"/>
                <w:sz w:val="24"/>
                <w:highlight w:val="none"/>
                <w:lang w:val="zh-CN"/>
              </w:rPr>
              <w:t>印章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76" w:hRule="atLeast"/>
        </w:trPr>
        <w:tc>
          <w:tcPr>
            <w:tcW w:w="714" w:type="dxa"/>
            <w:vMerge w:val="continue"/>
            <w:tcBorders>
              <w:top w:val="outset" w:color="auto" w:sz="6" w:space="0"/>
              <w:left w:val="outset" w:color="auto" w:sz="6" w:space="0"/>
              <w:bottom w:val="outset" w:color="auto" w:sz="6" w:space="0"/>
              <w:right w:val="outset" w:color="auto" w:sz="6" w:space="0"/>
            </w:tcBorders>
            <w:vAlign w:val="center"/>
          </w:tcPr>
          <w:p>
            <w:pPr>
              <w:rPr>
                <w:highlight w:val="none"/>
              </w:rPr>
            </w:pPr>
          </w:p>
        </w:tc>
        <w:tc>
          <w:tcPr>
            <w:tcW w:w="720" w:type="dxa"/>
            <w:vMerge w:val="continue"/>
            <w:tcBorders>
              <w:top w:val="outset" w:color="auto" w:sz="6" w:space="0"/>
              <w:left w:val="outset" w:color="auto" w:sz="6" w:space="0"/>
              <w:bottom w:val="outset" w:color="auto" w:sz="6" w:space="0"/>
              <w:right w:val="outset" w:color="auto" w:sz="6" w:space="0"/>
            </w:tcBorders>
            <w:vAlign w:val="center"/>
          </w:tcPr>
          <w:p>
            <w:pPr>
              <w:rPr>
                <w:highlight w:val="none"/>
              </w:rPr>
            </w:pPr>
          </w:p>
        </w:tc>
        <w:tc>
          <w:tcPr>
            <w:tcW w:w="2730" w:type="dxa"/>
            <w:vMerge w:val="restart"/>
            <w:tcBorders>
              <w:top w:val="outset" w:color="auto" w:sz="6" w:space="0"/>
              <w:left w:val="outset" w:color="auto" w:sz="6" w:space="0"/>
              <w:right w:val="outset" w:color="auto" w:sz="6" w:space="0"/>
            </w:tcBorders>
            <w:vAlign w:val="center"/>
          </w:tcPr>
          <w:p>
            <w:pPr>
              <w:adjustRightInd w:val="0"/>
              <w:spacing w:line="400" w:lineRule="exact"/>
              <w:jc w:val="center"/>
              <w:rPr>
                <w:rFonts w:ascii="宋体"/>
                <w:sz w:val="24"/>
                <w:highlight w:val="none"/>
                <w:lang w:val="zh-CN"/>
              </w:rPr>
            </w:pPr>
            <w:r>
              <w:rPr>
                <w:rFonts w:hint="eastAsia" w:ascii="宋体"/>
                <w:sz w:val="24"/>
                <w:highlight w:val="none"/>
              </w:rPr>
              <w:t>采购需求</w:t>
            </w:r>
          </w:p>
        </w:tc>
        <w:tc>
          <w:tcPr>
            <w:tcW w:w="4783"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left"/>
              <w:rPr>
                <w:rFonts w:ascii="宋体"/>
                <w:sz w:val="24"/>
                <w:highlight w:val="none"/>
                <w:lang w:val="zh-CN"/>
              </w:rPr>
            </w:pPr>
            <w:r>
              <w:rPr>
                <w:rFonts w:hint="eastAsia" w:ascii="宋体"/>
                <w:sz w:val="24"/>
                <w:highlight w:val="none"/>
              </w:rPr>
              <w:t>技术指标实质性响应符合性</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82" w:hRule="atLeast"/>
        </w:trPr>
        <w:tc>
          <w:tcPr>
            <w:tcW w:w="714" w:type="dxa"/>
            <w:vMerge w:val="continue"/>
            <w:tcBorders>
              <w:top w:val="outset" w:color="auto" w:sz="6" w:space="0"/>
              <w:left w:val="outset" w:color="auto" w:sz="6" w:space="0"/>
              <w:bottom w:val="outset" w:color="auto" w:sz="6" w:space="0"/>
              <w:right w:val="outset" w:color="auto" w:sz="6" w:space="0"/>
            </w:tcBorders>
            <w:vAlign w:val="center"/>
          </w:tcPr>
          <w:p>
            <w:pPr>
              <w:rPr>
                <w:highlight w:val="none"/>
              </w:rPr>
            </w:pPr>
          </w:p>
        </w:tc>
        <w:tc>
          <w:tcPr>
            <w:tcW w:w="720" w:type="dxa"/>
            <w:vMerge w:val="continue"/>
            <w:tcBorders>
              <w:top w:val="outset" w:color="auto" w:sz="6" w:space="0"/>
              <w:left w:val="outset" w:color="auto" w:sz="6" w:space="0"/>
              <w:bottom w:val="outset" w:color="auto" w:sz="6" w:space="0"/>
              <w:right w:val="outset" w:color="auto" w:sz="6" w:space="0"/>
            </w:tcBorders>
            <w:vAlign w:val="center"/>
          </w:tcPr>
          <w:p>
            <w:pPr>
              <w:rPr>
                <w:highlight w:val="none"/>
              </w:rPr>
            </w:pPr>
          </w:p>
        </w:tc>
        <w:tc>
          <w:tcPr>
            <w:tcW w:w="2730" w:type="dxa"/>
            <w:vMerge w:val="continue"/>
            <w:tcBorders>
              <w:left w:val="outset" w:color="auto" w:sz="6" w:space="0"/>
              <w:bottom w:val="outset" w:color="auto" w:sz="6" w:space="0"/>
              <w:right w:val="outset" w:color="auto" w:sz="6" w:space="0"/>
            </w:tcBorders>
            <w:vAlign w:val="center"/>
          </w:tcPr>
          <w:p>
            <w:pPr>
              <w:rPr>
                <w:highlight w:val="none"/>
              </w:rPr>
            </w:pPr>
          </w:p>
        </w:tc>
        <w:tc>
          <w:tcPr>
            <w:tcW w:w="4783"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left"/>
              <w:rPr>
                <w:rFonts w:ascii="宋体"/>
                <w:sz w:val="24"/>
                <w:highlight w:val="none"/>
                <w:lang w:val="zh-CN"/>
              </w:rPr>
            </w:pPr>
            <w:r>
              <w:rPr>
                <w:rFonts w:hint="eastAsia" w:ascii="宋体"/>
                <w:sz w:val="24"/>
                <w:highlight w:val="none"/>
              </w:rPr>
              <w:t>商务响应表符合性</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2" w:hRule="atLeast"/>
        </w:trPr>
        <w:tc>
          <w:tcPr>
            <w:tcW w:w="714" w:type="dxa"/>
            <w:vMerge w:val="continue"/>
            <w:tcBorders>
              <w:top w:val="outset" w:color="auto" w:sz="6" w:space="0"/>
              <w:left w:val="outset" w:color="auto" w:sz="6" w:space="0"/>
              <w:bottom w:val="outset" w:color="auto" w:sz="6" w:space="0"/>
              <w:right w:val="outset" w:color="auto" w:sz="6" w:space="0"/>
            </w:tcBorders>
            <w:vAlign w:val="center"/>
          </w:tcPr>
          <w:p>
            <w:pPr>
              <w:rPr>
                <w:highlight w:val="none"/>
              </w:rPr>
            </w:pPr>
          </w:p>
        </w:tc>
        <w:tc>
          <w:tcPr>
            <w:tcW w:w="720" w:type="dxa"/>
            <w:vMerge w:val="continue"/>
            <w:tcBorders>
              <w:top w:val="outset" w:color="auto" w:sz="6" w:space="0"/>
              <w:left w:val="outset" w:color="auto" w:sz="6" w:space="0"/>
              <w:bottom w:val="outset" w:color="auto" w:sz="6" w:space="0"/>
              <w:right w:val="outset" w:color="auto" w:sz="6" w:space="0"/>
            </w:tcBorders>
            <w:vAlign w:val="center"/>
          </w:tcPr>
          <w:p>
            <w:pPr>
              <w:rPr>
                <w:highlight w:val="none"/>
              </w:rPr>
            </w:pPr>
          </w:p>
        </w:tc>
        <w:tc>
          <w:tcPr>
            <w:tcW w:w="2730"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center"/>
              <w:rPr>
                <w:rFonts w:ascii="宋体"/>
                <w:sz w:val="24"/>
                <w:highlight w:val="none"/>
                <w:lang w:val="zh-CN"/>
              </w:rPr>
            </w:pPr>
            <w:r>
              <w:rPr>
                <w:rFonts w:hint="eastAsia" w:ascii="宋体"/>
                <w:sz w:val="24"/>
                <w:highlight w:val="none"/>
              </w:rPr>
              <w:t>无效条款</w:t>
            </w:r>
          </w:p>
        </w:tc>
        <w:tc>
          <w:tcPr>
            <w:tcW w:w="4783" w:type="dxa"/>
            <w:tcBorders>
              <w:top w:val="outset" w:color="auto" w:sz="6" w:space="0"/>
              <w:left w:val="outset" w:color="auto" w:sz="6" w:space="0"/>
              <w:bottom w:val="outset" w:color="auto" w:sz="6" w:space="0"/>
              <w:right w:val="outset" w:color="auto" w:sz="6" w:space="0"/>
            </w:tcBorders>
            <w:vAlign w:val="center"/>
          </w:tcPr>
          <w:p>
            <w:pPr>
              <w:adjustRightInd w:val="0"/>
              <w:spacing w:line="400" w:lineRule="exact"/>
              <w:jc w:val="left"/>
              <w:rPr>
                <w:rFonts w:ascii="宋体"/>
                <w:sz w:val="24"/>
                <w:highlight w:val="none"/>
                <w:lang w:val="zh-CN"/>
              </w:rPr>
            </w:pPr>
            <w:r>
              <w:rPr>
                <w:rFonts w:hint="eastAsia" w:ascii="宋体"/>
                <w:sz w:val="24"/>
                <w:highlight w:val="none"/>
              </w:rPr>
              <w:t>不存在磋商文件中规定的无效条款情形</w:t>
            </w:r>
          </w:p>
        </w:tc>
      </w:tr>
    </w:tbl>
    <w:p>
      <w:pPr>
        <w:spacing w:after="280" w:afterAutospacing="1"/>
        <w:rPr>
          <w:rFonts w:hint="eastAsia" w:ascii="宋体"/>
          <w:b/>
          <w:bCs/>
          <w:color w:val="000000"/>
          <w:sz w:val="24"/>
          <w:highlight w:val="none"/>
        </w:rPr>
      </w:pPr>
      <w:r>
        <w:rPr>
          <w:rFonts w:hint="eastAsia" w:ascii="宋体"/>
          <w:color w:val="000000"/>
          <w:sz w:val="24"/>
          <w:highlight w:val="none"/>
        </w:rPr>
        <w:t>▲</w:t>
      </w:r>
      <w:bookmarkEnd w:id="897"/>
      <w:r>
        <w:rPr>
          <w:rFonts w:hint="eastAsia" w:ascii="宋体"/>
          <w:b/>
          <w:bCs/>
          <w:color w:val="000080"/>
          <w:sz w:val="28"/>
          <w:szCs w:val="28"/>
          <w:highlight w:val="none"/>
        </w:rPr>
        <w:t>注：</w:t>
      </w:r>
      <w:r>
        <w:rPr>
          <w:rFonts w:hint="eastAsia" w:ascii="宋体"/>
          <w:b/>
          <w:bCs/>
          <w:color w:val="000000"/>
          <w:sz w:val="24"/>
          <w:highlight w:val="none"/>
        </w:rPr>
        <w:t>以上检查内容必须全部符合检查标准，否则为无效标。</w:t>
      </w:r>
      <w:bookmarkStart w:id="899" w:name="_Toc7269"/>
    </w:p>
    <w:p>
      <w:pPr>
        <w:pStyle w:val="3"/>
        <w:rPr>
          <w:rFonts w:hint="eastAsia" w:ascii="宋体"/>
          <w:b/>
          <w:bCs/>
          <w:color w:val="000000"/>
          <w:sz w:val="24"/>
          <w:highlight w:val="none"/>
        </w:rPr>
      </w:pPr>
    </w:p>
    <w:p>
      <w:pPr>
        <w:pStyle w:val="5"/>
        <w:ind w:left="0" w:leftChars="0" w:firstLine="0" w:firstLineChars="0"/>
        <w:rPr>
          <w:rFonts w:hint="eastAsia"/>
        </w:rPr>
        <w:sectPr>
          <w:pgSz w:w="11906" w:h="16838"/>
          <w:pgMar w:top="1440" w:right="1559" w:bottom="1440" w:left="1797" w:header="851" w:footer="992" w:gutter="0"/>
          <w:pgBorders>
            <w:top w:val="none" w:sz="0" w:space="0"/>
            <w:left w:val="none" w:sz="0" w:space="0"/>
            <w:bottom w:val="none" w:sz="0" w:space="0"/>
            <w:right w:val="none" w:sz="0" w:space="0"/>
          </w:pgBorders>
          <w:cols w:equalWidth="0" w:num="1">
            <w:col w:w="8551"/>
          </w:cols>
          <w:docGrid w:linePitch="312" w:charSpace="0"/>
        </w:sectPr>
      </w:pPr>
    </w:p>
    <w:p>
      <w:pPr>
        <w:pStyle w:val="30"/>
        <w:rPr>
          <w:rFonts w:hint="eastAsia"/>
        </w:rPr>
      </w:pPr>
    </w:p>
    <w:bookmarkEnd w:id="899"/>
    <w:p>
      <w:pPr>
        <w:pStyle w:val="5"/>
        <w:ind w:left="0" w:leftChars="0" w:firstLine="0" w:firstLineChars="0"/>
        <w:jc w:val="center"/>
        <w:rPr>
          <w:rFonts w:hint="eastAsia" w:ascii="宋体" w:hAnsi="宋体"/>
          <w:b/>
          <w:sz w:val="24"/>
          <w:highlight w:val="none"/>
        </w:rPr>
      </w:pPr>
      <w:r>
        <w:rPr>
          <w:rFonts w:ascii="宋体" w:hAnsi="宋体"/>
          <w:b/>
          <w:sz w:val="24"/>
          <w:highlight w:val="none"/>
        </w:rPr>
        <w:t>3.3</w:t>
      </w:r>
      <w:r>
        <w:rPr>
          <w:rFonts w:hint="eastAsia" w:ascii="宋体" w:hAnsi="宋体"/>
          <w:b/>
          <w:sz w:val="24"/>
          <w:highlight w:val="none"/>
        </w:rPr>
        <w:t>技术评审内容及标准</w:t>
      </w:r>
    </w:p>
    <w:tbl>
      <w:tblPr>
        <w:tblStyle w:val="35"/>
        <w:tblW w:w="87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080"/>
        <w:gridCol w:w="1080"/>
        <w:gridCol w:w="1080"/>
        <w:gridCol w:w="43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评审项</w:t>
            </w:r>
          </w:p>
        </w:tc>
        <w:tc>
          <w:tcPr>
            <w:tcW w:w="108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08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评审内容</w:t>
            </w:r>
          </w:p>
        </w:tc>
        <w:tc>
          <w:tcPr>
            <w:tcW w:w="1080" w:type="dxa"/>
            <w:tcBorders>
              <w:top w:val="single" w:color="000000" w:sz="8" w:space="0"/>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438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w:t>
            </w:r>
            <w:r>
              <w:rPr>
                <w:rFonts w:hint="eastAsia" w:ascii="宋体" w:hAnsi="宋体" w:cs="宋体"/>
                <w:i w:val="0"/>
                <w:iCs w:val="0"/>
                <w:color w:val="000000"/>
                <w:kern w:val="0"/>
                <w:sz w:val="24"/>
                <w:szCs w:val="24"/>
                <w:u w:val="none"/>
                <w:lang w:val="en-US" w:eastAsia="zh-CN" w:bidi="ar"/>
              </w:rPr>
              <w:t>得</w:t>
            </w:r>
            <w:r>
              <w:rPr>
                <w:rFonts w:hint="eastAsia" w:ascii="宋体" w:hAnsi="宋体" w:eastAsia="宋体" w:cs="宋体"/>
                <w:i w:val="0"/>
                <w:iCs w:val="0"/>
                <w:color w:val="000000"/>
                <w:kern w:val="0"/>
                <w:sz w:val="24"/>
                <w:szCs w:val="24"/>
                <w:u w:val="none"/>
                <w:lang w:val="en-US" w:eastAsia="zh-CN" w:bidi="ar"/>
              </w:rPr>
              <w:t>分（52分）</w:t>
            </w:r>
          </w:p>
        </w:tc>
        <w:tc>
          <w:tcPr>
            <w:tcW w:w="1080" w:type="dxa"/>
            <w:vMerge w:val="restar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3.3.1</w:t>
            </w:r>
          </w:p>
        </w:tc>
        <w:tc>
          <w:tcPr>
            <w:tcW w:w="108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货物技术指标</w:t>
            </w:r>
          </w:p>
        </w:tc>
        <w:tc>
          <w:tcPr>
            <w:tcW w:w="1080" w:type="dxa"/>
            <w:vMerge w:val="restart"/>
            <w:tcBorders>
              <w:top w:val="single" w:color="000000" w:sz="8" w:space="0"/>
              <w:left w:val="nil"/>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30.5</w:t>
            </w:r>
          </w:p>
        </w:tc>
        <w:tc>
          <w:tcPr>
            <w:tcW w:w="4384"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一、根据供应商所投产品，满足磋商文件“第三章 采购需求”中：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8" w:space="0"/>
              <w:left w:val="nil"/>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384"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（1）整机性能:电梯型号的配置档次、整机可靠性、平层精度、噪声、振动加速度、设计寿命等进行评分，每项得0.5分，最高得3分。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8" w:space="0"/>
              <w:left w:val="nil"/>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384"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（提供整机型式试验报告）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8" w:space="0"/>
              <w:left w:val="nil"/>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384"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曳引驱动系统：速度传感器、减速装置、驱动电机、制动器、编码器、整机品牌技术先进性，及根据供应商提供产品的驱动主机防水，防尘等级的对比，及制动器抱闸使用寿命等进行评分，每项得0.5分，最高得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8" w:space="0"/>
              <w:left w:val="nil"/>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384"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（提供曳引机型式试验报告）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8" w:space="0"/>
              <w:left w:val="nil"/>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384"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（3）控制系统：装置结构、逆变器件、控制CPU、制动方式、对电机控制方式、主要接触器、整机品牌等进行评分，每项得0.5分，最高得3分。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8" w:space="0"/>
              <w:left w:val="nil"/>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384"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（提供控制柜型式试验报告）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8" w:space="0"/>
              <w:left w:val="nil"/>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384"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（4）门机系统：门机种类、变频器、编码器、近门保护、整机品牌、技术先进性等进行评分，每项得0.5分，最高得3分。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8" w:space="0"/>
              <w:left w:val="nil"/>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384"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（提供门机型式试验报告）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1"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8" w:space="0"/>
              <w:left w:val="nil"/>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38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（5）其他：轿厢悬挂装置、导轨品质和规格、对重块材质、超载保护装置、曳引钢丝绳、随行电缆品牌、技术先进性等进行评分，每项得0.5分，最高得4分。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8" w:space="0"/>
              <w:left w:val="nil"/>
              <w:bottom w:val="single" w:color="auto"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8" w:space="0"/>
              <w:left w:val="nil"/>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8" w:space="0"/>
              <w:left w:val="nil"/>
              <w:bottom w:val="single" w:color="auto"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384"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二、根据供应商所投产品除以上</w:t>
            </w:r>
            <w:r>
              <w:rPr>
                <w:rFonts w:hint="eastAsia" w:ascii="宋体" w:hAnsi="宋体" w:cs="宋体"/>
                <w:i w:val="0"/>
                <w:iCs w:val="0"/>
                <w:color w:val="auto"/>
                <w:kern w:val="0"/>
                <w:sz w:val="24"/>
                <w:szCs w:val="24"/>
                <w:u w:val="none"/>
                <w:lang w:val="en-US" w:eastAsia="zh-CN" w:bidi="ar"/>
              </w:rPr>
              <w:t>参数</w:t>
            </w:r>
            <w:r>
              <w:rPr>
                <w:rFonts w:hint="eastAsia" w:ascii="宋体" w:hAnsi="宋体" w:eastAsia="宋体" w:cs="宋体"/>
                <w:i w:val="0"/>
                <w:iCs w:val="0"/>
                <w:color w:val="auto"/>
                <w:kern w:val="0"/>
                <w:sz w:val="24"/>
                <w:szCs w:val="24"/>
                <w:u w:val="none"/>
                <w:lang w:val="en-US" w:eastAsia="zh-CN" w:bidi="ar"/>
              </w:rPr>
              <w:t>外，满足磋商文件“第三章 采购需求中《电梯设备供货及伴随服务需求一览表》、《技术指标参数》、《配置要求》、《功能要求》”中的</w:t>
            </w:r>
            <w:r>
              <w:rPr>
                <w:rFonts w:hint="eastAsia" w:ascii="宋体" w:hAnsi="宋体" w:cs="宋体"/>
                <w:i w:val="0"/>
                <w:iCs w:val="0"/>
                <w:color w:val="auto"/>
                <w:kern w:val="0"/>
                <w:sz w:val="24"/>
                <w:szCs w:val="24"/>
                <w:u w:val="none"/>
                <w:lang w:val="en-US" w:eastAsia="zh-CN" w:bidi="ar"/>
              </w:rPr>
              <w:t>全部</w:t>
            </w:r>
            <w:r>
              <w:rPr>
                <w:rFonts w:hint="eastAsia" w:ascii="宋体" w:hAnsi="宋体" w:eastAsia="宋体" w:cs="宋体"/>
                <w:i w:val="0"/>
                <w:iCs w:val="0"/>
                <w:color w:val="auto"/>
                <w:kern w:val="0"/>
                <w:sz w:val="24"/>
                <w:szCs w:val="24"/>
                <w:u w:val="none"/>
                <w:lang w:val="en-US" w:eastAsia="zh-CN" w:bidi="ar"/>
              </w:rPr>
              <w:t>技术参数及功能要求的得10分；其中</w:t>
            </w:r>
            <w:r>
              <w:rPr>
                <w:rFonts w:hint="eastAsia" w:ascii="宋体" w:hAnsi="宋体" w:eastAsia="宋体" w:cs="宋体"/>
                <w:i w:val="0"/>
                <w:color w:val="auto"/>
                <w:kern w:val="0"/>
                <w:sz w:val="24"/>
                <w:szCs w:val="24"/>
                <w:u w:val="none"/>
                <w:lang w:val="en-US" w:eastAsia="zh-CN" w:bidi="ar"/>
              </w:rPr>
              <w:t>核心</w:t>
            </w:r>
            <w:r>
              <w:rPr>
                <w:rFonts w:hint="eastAsia" w:ascii="宋体" w:hAnsi="宋体" w:cs="宋体"/>
                <w:i w:val="0"/>
                <w:color w:val="auto"/>
                <w:kern w:val="0"/>
                <w:sz w:val="24"/>
                <w:szCs w:val="24"/>
                <w:u w:val="none"/>
                <w:lang w:val="en-US" w:eastAsia="zh-CN" w:bidi="ar"/>
              </w:rPr>
              <w:t>参数</w:t>
            </w:r>
            <w:r>
              <w:rPr>
                <w:rFonts w:hint="eastAsia" w:ascii="宋体" w:hAnsi="宋体" w:eastAsia="宋体" w:cs="宋体"/>
                <w:i w:val="0"/>
                <w:color w:val="auto"/>
                <w:kern w:val="0"/>
                <w:sz w:val="24"/>
                <w:szCs w:val="24"/>
                <w:u w:val="none"/>
                <w:lang w:val="en-US" w:eastAsia="zh-CN" w:bidi="ar"/>
              </w:rPr>
              <w:t>（标注“★”）</w:t>
            </w:r>
            <w:r>
              <w:rPr>
                <w:rFonts w:hint="eastAsia" w:ascii="宋体" w:hAnsi="宋体" w:cs="宋体"/>
                <w:i w:val="0"/>
                <w:iCs w:val="0"/>
                <w:color w:val="auto"/>
                <w:kern w:val="0"/>
                <w:sz w:val="24"/>
                <w:szCs w:val="24"/>
                <w:u w:val="none"/>
                <w:lang w:val="en-US" w:eastAsia="zh-CN" w:bidi="ar"/>
              </w:rPr>
              <w:t>每</w:t>
            </w:r>
            <w:r>
              <w:rPr>
                <w:rFonts w:hint="eastAsia" w:ascii="宋体" w:hAnsi="宋体" w:eastAsia="宋体" w:cs="宋体"/>
                <w:i w:val="0"/>
                <w:iCs w:val="0"/>
                <w:color w:val="auto"/>
                <w:kern w:val="0"/>
                <w:sz w:val="24"/>
                <w:szCs w:val="24"/>
                <w:u w:val="none"/>
                <w:lang w:val="en-US" w:eastAsia="zh-CN" w:bidi="ar"/>
              </w:rPr>
              <w:t>优于</w:t>
            </w:r>
            <w:r>
              <w:rPr>
                <w:rFonts w:hint="eastAsia" w:ascii="宋体" w:hAnsi="宋体" w:cs="宋体"/>
                <w:i w:val="0"/>
                <w:iCs w:val="0"/>
                <w:color w:val="auto"/>
                <w:kern w:val="0"/>
                <w:sz w:val="24"/>
                <w:szCs w:val="24"/>
                <w:u w:val="none"/>
                <w:lang w:val="en-US" w:eastAsia="zh-CN" w:bidi="ar"/>
              </w:rPr>
              <w:t>一</w:t>
            </w:r>
            <w:r>
              <w:rPr>
                <w:rFonts w:hint="eastAsia" w:ascii="宋体" w:hAnsi="宋体" w:eastAsia="宋体" w:cs="宋体"/>
                <w:i w:val="0"/>
                <w:iCs w:val="0"/>
                <w:color w:val="auto"/>
                <w:kern w:val="0"/>
                <w:sz w:val="24"/>
                <w:szCs w:val="24"/>
                <w:u w:val="none"/>
                <w:lang w:val="en-US" w:eastAsia="zh-CN" w:bidi="ar"/>
              </w:rPr>
              <w:t>项加0.5分，最高加2.5分。其他项正偏离的每项加0.2分，最高加2分。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080" w:type="dxa"/>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auto" w:sz="4" w:space="0"/>
              <w:left w:val="single" w:color="auto" w:sz="4" w:space="0"/>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3.3.2</w:t>
            </w:r>
          </w:p>
        </w:tc>
        <w:tc>
          <w:tcPr>
            <w:tcW w:w="1080"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电梯装潢</w:t>
            </w:r>
          </w:p>
        </w:tc>
        <w:tc>
          <w:tcPr>
            <w:tcW w:w="1080" w:type="dxa"/>
            <w:tcBorders>
              <w:top w:val="single" w:color="auto" w:sz="4" w:space="0"/>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43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层轿门和轿壁材质、操控面板、按钮、显示方式、吊顶等承诺情况进行评分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每项得0.5分，最高得2.5分。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restart"/>
            <w:tcBorders>
              <w:top w:val="single" w:color="auto" w:sz="4"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3.3.3</w:t>
            </w:r>
          </w:p>
        </w:tc>
        <w:tc>
          <w:tcPr>
            <w:tcW w:w="1080" w:type="dxa"/>
            <w:vMerge w:val="restar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项目实施、服务方案</w:t>
            </w:r>
          </w:p>
        </w:tc>
        <w:tc>
          <w:tcPr>
            <w:tcW w:w="1080" w:type="dxa"/>
            <w:vMerge w:val="restart"/>
            <w:tcBorders>
              <w:top w:val="single" w:color="auto" w:sz="4" w:space="0"/>
              <w:left w:val="nil"/>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384" w:type="dxa"/>
            <w:tcBorders>
              <w:top w:val="single" w:color="auto" w:sz="4"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1.供应商针对本项目提出合理的整体实施计划方案，</w:t>
            </w:r>
            <w:r>
              <w:rPr>
                <w:rFonts w:hint="eastAsia" w:ascii="宋体" w:hAnsi="宋体" w:cs="宋体"/>
                <w:i w:val="0"/>
                <w:iCs w:val="0"/>
                <w:color w:val="000000"/>
                <w:kern w:val="0"/>
                <w:sz w:val="24"/>
                <w:szCs w:val="24"/>
                <w:u w:val="none"/>
                <w:lang w:val="en-US" w:eastAsia="zh-CN" w:bidi="ar"/>
              </w:rPr>
              <w:t>最高</w:t>
            </w:r>
            <w:r>
              <w:rPr>
                <w:rFonts w:hint="eastAsia" w:ascii="宋体" w:hAnsi="宋体" w:eastAsia="宋体" w:cs="宋体"/>
                <w:i w:val="0"/>
                <w:iCs w:val="0"/>
                <w:color w:val="000000"/>
                <w:kern w:val="0"/>
                <w:sz w:val="24"/>
                <w:szCs w:val="24"/>
                <w:u w:val="none"/>
                <w:lang w:val="en-US" w:eastAsia="zh-CN" w:bidi="ar"/>
              </w:rPr>
              <w:t>得3分；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nil"/>
              <w:left w:val="nil"/>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384"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2.供应商针对本项目提出合理的安装施工组织方案，包括安装、运输、调试等，</w:t>
            </w:r>
            <w:r>
              <w:rPr>
                <w:rFonts w:hint="eastAsia" w:ascii="宋体" w:hAnsi="宋体" w:cs="宋体"/>
                <w:i w:val="0"/>
                <w:iCs w:val="0"/>
                <w:color w:val="000000"/>
                <w:kern w:val="0"/>
                <w:sz w:val="24"/>
                <w:szCs w:val="24"/>
                <w:u w:val="none"/>
                <w:lang w:val="en-US" w:eastAsia="zh-CN" w:bidi="ar"/>
              </w:rPr>
              <w:t>最高</w:t>
            </w:r>
            <w:r>
              <w:rPr>
                <w:rFonts w:hint="eastAsia" w:ascii="宋体" w:hAnsi="宋体" w:eastAsia="宋体" w:cs="宋体"/>
                <w:i w:val="0"/>
                <w:iCs w:val="0"/>
                <w:color w:val="000000"/>
                <w:kern w:val="0"/>
                <w:sz w:val="24"/>
                <w:szCs w:val="24"/>
                <w:u w:val="none"/>
                <w:lang w:val="en-US" w:eastAsia="zh-CN" w:bidi="ar"/>
              </w:rPr>
              <w:t>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nil"/>
              <w:left w:val="nil"/>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384"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3.供应商针对本项目提出合理的安全措施方案，包括在安装、运行、用电及起吊等方面，</w:t>
            </w:r>
            <w:r>
              <w:rPr>
                <w:rFonts w:hint="eastAsia" w:ascii="宋体" w:hAnsi="宋体" w:cs="宋体"/>
                <w:i w:val="0"/>
                <w:iCs w:val="0"/>
                <w:color w:val="000000"/>
                <w:kern w:val="0"/>
                <w:sz w:val="24"/>
                <w:szCs w:val="24"/>
                <w:u w:val="none"/>
                <w:lang w:val="en-US" w:eastAsia="zh-CN" w:bidi="ar"/>
              </w:rPr>
              <w:t>最高</w:t>
            </w:r>
            <w:r>
              <w:rPr>
                <w:rFonts w:hint="eastAsia" w:ascii="宋体" w:hAnsi="宋体" w:eastAsia="宋体" w:cs="宋体"/>
                <w:i w:val="0"/>
                <w:iCs w:val="0"/>
                <w:color w:val="000000"/>
                <w:kern w:val="0"/>
                <w:sz w:val="24"/>
                <w:szCs w:val="24"/>
                <w:u w:val="none"/>
                <w:lang w:val="en-US" w:eastAsia="zh-CN" w:bidi="ar"/>
              </w:rPr>
              <w:t>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nil"/>
              <w:left w:val="nil"/>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384"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4.供应商针对本项目提出合理的成品保护方案，</w:t>
            </w:r>
            <w:r>
              <w:rPr>
                <w:rFonts w:hint="eastAsia" w:ascii="宋体" w:hAnsi="宋体" w:cs="宋体"/>
                <w:i w:val="0"/>
                <w:iCs w:val="0"/>
                <w:color w:val="000000"/>
                <w:kern w:val="0"/>
                <w:sz w:val="24"/>
                <w:szCs w:val="24"/>
                <w:u w:val="none"/>
                <w:lang w:val="en-US" w:eastAsia="zh-CN" w:bidi="ar"/>
              </w:rPr>
              <w:t>最高</w:t>
            </w:r>
            <w:r>
              <w:rPr>
                <w:rFonts w:hint="eastAsia" w:ascii="宋体" w:hAnsi="宋体" w:eastAsia="宋体" w:cs="宋体"/>
                <w:i w:val="0"/>
                <w:iCs w:val="0"/>
                <w:color w:val="000000"/>
                <w:kern w:val="0"/>
                <w:sz w:val="24"/>
                <w:szCs w:val="24"/>
                <w:u w:val="none"/>
                <w:lang w:val="en-US" w:eastAsia="zh-CN" w:bidi="ar"/>
              </w:rPr>
              <w:t>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nil"/>
              <w:left w:val="nil"/>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384"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5.供应商针对本项目所投产品的使用维护方案，</w:t>
            </w:r>
            <w:r>
              <w:rPr>
                <w:rFonts w:hint="eastAsia" w:ascii="宋体" w:hAnsi="宋体" w:cs="宋体"/>
                <w:i w:val="0"/>
                <w:iCs w:val="0"/>
                <w:color w:val="000000"/>
                <w:kern w:val="0"/>
                <w:sz w:val="24"/>
                <w:szCs w:val="24"/>
                <w:u w:val="none"/>
                <w:lang w:val="en-US" w:eastAsia="zh-CN" w:bidi="ar"/>
              </w:rPr>
              <w:t>最高</w:t>
            </w:r>
            <w:r>
              <w:rPr>
                <w:rFonts w:hint="eastAsia" w:ascii="宋体" w:hAnsi="宋体" w:eastAsia="宋体" w:cs="宋体"/>
                <w:i w:val="0"/>
                <w:iCs w:val="0"/>
                <w:color w:val="000000"/>
                <w:kern w:val="0"/>
                <w:sz w:val="24"/>
                <w:szCs w:val="24"/>
                <w:u w:val="none"/>
                <w:lang w:val="en-US" w:eastAsia="zh-CN" w:bidi="ar"/>
              </w:rPr>
              <w:t>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nil"/>
              <w:left w:val="nil"/>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38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以上方案未提供不得分。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3.3.4</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应急方案</w:t>
            </w:r>
          </w:p>
        </w:tc>
        <w:tc>
          <w:tcPr>
            <w:tcW w:w="1080" w:type="dxa"/>
            <w:tcBorders>
              <w:top w:val="nil"/>
              <w:left w:val="nil"/>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38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根据供应商针对设备运行突发故障、电梯困人或其它情况提供的应急服务方案进行评分，最高得3分。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3.3.5</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人员、设备配备</w:t>
            </w:r>
          </w:p>
        </w:tc>
        <w:tc>
          <w:tcPr>
            <w:tcW w:w="1080"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384"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1.供应商针对本项目投入的安装调试人员：电梯安装施工有独立负责人且全过程跟踪服务的，得1分；安装施工有独立负责人并采用巡检方式跟踪服务的得1分，其余得0.5分。本项共2分，没有不得分；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384"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2.供应商提供自2019年1月以来安装调试团队具有类似项目经验的，每个得0.5分，最多得2分；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3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3.针对投入本项目的主要设备和检测设施的数量和先进水平进行评分，最高得2分。</w:t>
            </w:r>
          </w:p>
        </w:tc>
      </w:tr>
    </w:tbl>
    <w:p>
      <w:pPr>
        <w:pStyle w:val="30"/>
        <w:rPr>
          <w:rFonts w:hint="eastAsia"/>
        </w:rPr>
      </w:pPr>
    </w:p>
    <w:p>
      <w:pPr>
        <w:pStyle w:val="5"/>
        <w:ind w:firstLine="240"/>
        <w:rPr>
          <w:rFonts w:hint="eastAsia" w:ascii="Times New Roman" w:hAnsi="Times New Roman"/>
          <w:sz w:val="24"/>
          <w:szCs w:val="24"/>
          <w:highlight w:val="none"/>
        </w:rPr>
      </w:pPr>
    </w:p>
    <w:p>
      <w:pPr>
        <w:pStyle w:val="5"/>
        <w:ind w:firstLine="240"/>
        <w:rPr>
          <w:rFonts w:hint="eastAsia" w:ascii="Times New Roman" w:hAnsi="Times New Roman"/>
          <w:b/>
          <w:bCs/>
          <w:sz w:val="24"/>
          <w:szCs w:val="24"/>
          <w:highlight w:val="none"/>
        </w:rPr>
      </w:pPr>
      <w:r>
        <w:rPr>
          <w:rFonts w:hint="eastAsia" w:ascii="Times New Roman" w:hAnsi="Times New Roman"/>
          <w:b/>
          <w:bCs/>
          <w:sz w:val="24"/>
          <w:szCs w:val="24"/>
          <w:highlight w:val="none"/>
        </w:rPr>
        <w:t>备注：以上表中需提供证明材料的均须提供清晰的扫描件，不提供或提供不清晰无法识别的不得分。</w:t>
      </w:r>
    </w:p>
    <w:p/>
    <w:p>
      <w:pPr>
        <w:pStyle w:val="2"/>
        <w:rPr>
          <w:rFonts w:ascii="宋体"/>
          <w:b/>
          <w:sz w:val="24"/>
          <w:highlight w:val="none"/>
        </w:rPr>
      </w:pPr>
    </w:p>
    <w:p>
      <w:pPr>
        <w:pStyle w:val="5"/>
        <w:ind w:firstLine="241"/>
        <w:jc w:val="center"/>
        <w:rPr>
          <w:rFonts w:hint="eastAsia" w:ascii="宋体" w:hAnsi="宋体"/>
          <w:b/>
          <w:sz w:val="24"/>
          <w:highlight w:val="none"/>
        </w:rPr>
      </w:pPr>
      <w:r>
        <w:rPr>
          <w:rFonts w:ascii="宋体" w:hAnsi="宋体"/>
          <w:b/>
          <w:sz w:val="24"/>
          <w:highlight w:val="none"/>
        </w:rPr>
        <w:t>3.4</w:t>
      </w:r>
      <w:r>
        <w:rPr>
          <w:rFonts w:hint="eastAsia" w:ascii="宋体" w:hAnsi="宋体"/>
          <w:b/>
          <w:sz w:val="24"/>
          <w:highlight w:val="none"/>
        </w:rPr>
        <w:t>商务、资信及其他评审内容及标准</w:t>
      </w:r>
    </w:p>
    <w:tbl>
      <w:tblPr>
        <w:tblStyle w:val="35"/>
        <w:tblW w:w="868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4"/>
        <w:gridCol w:w="825"/>
        <w:gridCol w:w="1200"/>
        <w:gridCol w:w="735"/>
        <w:gridCol w:w="4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24"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评审项</w:t>
            </w:r>
          </w:p>
        </w:tc>
        <w:tc>
          <w:tcPr>
            <w:tcW w:w="82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0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评审内容</w:t>
            </w:r>
          </w:p>
        </w:tc>
        <w:tc>
          <w:tcPr>
            <w:tcW w:w="73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490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24"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资信及商务得分（18分）</w:t>
            </w:r>
          </w:p>
        </w:tc>
        <w:tc>
          <w:tcPr>
            <w:tcW w:w="82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12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质保期</w:t>
            </w:r>
          </w:p>
        </w:tc>
        <w:tc>
          <w:tcPr>
            <w:tcW w:w="73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0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auto"/>
                <w:kern w:val="0"/>
                <w:sz w:val="24"/>
                <w:szCs w:val="24"/>
                <w:u w:val="none"/>
                <w:lang w:val="en-US" w:eastAsia="zh-CN" w:bidi="ar"/>
              </w:rPr>
              <w:t>质保期超过磋商文件规定的，每增加半年得0.5分,最多得2分。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24"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825"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120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售后服务承诺</w:t>
            </w:r>
          </w:p>
        </w:tc>
        <w:tc>
          <w:tcPr>
            <w:tcW w:w="735"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90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1.根据供应商提供的售后服务方案的详细程度、是否满足本项目的实际需要等内容进行评分，最高得2分；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024"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82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05"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.服务响应时间承诺：供应商接到采购人报修通知（电话等）后半小时现场响应得1分，否则不得分。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024"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825"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w:t>
            </w:r>
          </w:p>
        </w:tc>
        <w:tc>
          <w:tcPr>
            <w:tcW w:w="120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优惠承诺</w:t>
            </w:r>
          </w:p>
        </w:tc>
        <w:tc>
          <w:tcPr>
            <w:tcW w:w="735" w:type="dxa"/>
            <w:vMerge w:val="restart"/>
            <w:tcBorders>
              <w:top w:val="nil"/>
              <w:left w:val="nil"/>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90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1.根据备品备件是否配备齐全，质保期外易损件能否及时送达等情况，以及承诺提供最齐全、最优惠的零配件及专用耗材供应价格的承诺，，每项得1分，最高得3分。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24"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825" w:type="dxa"/>
            <w:vMerge w:val="continue"/>
            <w:tcBorders>
              <w:top w:val="nil"/>
              <w:left w:val="nil"/>
              <w:bottom w:val="single" w:color="auto"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nil"/>
              <w:left w:val="nil"/>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5" w:type="dxa"/>
            <w:vMerge w:val="continue"/>
            <w:tcBorders>
              <w:top w:val="nil"/>
              <w:left w:val="nil"/>
              <w:bottom w:val="single" w:color="auto"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0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2.除价格外付款条件、技术服务等方面的优惠内容进行评分，最高得1分；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24" w:type="dxa"/>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825" w:type="dxa"/>
            <w:tcBorders>
              <w:top w:val="single" w:color="auto" w:sz="4" w:space="0"/>
              <w:left w:val="single" w:color="auto" w:sz="4" w:space="0"/>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1200"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合理化建议</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05" w:type="dxa"/>
            <w:tcBorders>
              <w:top w:val="single" w:color="000000" w:sz="8" w:space="0"/>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供应商根据本项目情况提出的有实质性意义的合理化建议，每个得1分，最高得2分。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24"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825" w:type="dxa"/>
            <w:vMerge w:val="restart"/>
            <w:tcBorders>
              <w:top w:val="single" w:color="auto" w:sz="4" w:space="0"/>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1200" w:type="dxa"/>
            <w:vMerge w:val="restar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同类业绩</w:t>
            </w:r>
          </w:p>
        </w:tc>
        <w:tc>
          <w:tcPr>
            <w:tcW w:w="735" w:type="dxa"/>
            <w:vMerge w:val="restar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905"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供应商提供2019年1月以来同类项目的业绩或案例，每个得1分，最多得3分。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024"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825" w:type="dxa"/>
            <w:vMerge w:val="continue"/>
            <w:tcBorders>
              <w:top w:val="single" w:color="auto" w:sz="4" w:space="0"/>
              <w:left w:val="nil"/>
              <w:bottom w:val="single" w:color="auto"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5" w:type="dxa"/>
            <w:vMerge w:val="continue"/>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0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（注：须提供业主单位盖章证明材料、</w:t>
            </w:r>
            <w:r>
              <w:rPr>
                <w:rFonts w:hint="eastAsia" w:ascii="宋体" w:hAnsi="宋体" w:cs="宋体"/>
                <w:i w:val="0"/>
                <w:iCs w:val="0"/>
                <w:color w:val="000000"/>
                <w:kern w:val="0"/>
                <w:sz w:val="24"/>
                <w:szCs w:val="24"/>
                <w:u w:val="none"/>
                <w:lang w:val="en-US" w:eastAsia="zh-CN" w:bidi="ar"/>
              </w:rPr>
              <w:t>成交</w:t>
            </w:r>
            <w:r>
              <w:rPr>
                <w:rFonts w:hint="eastAsia" w:ascii="宋体" w:hAnsi="宋体" w:eastAsia="宋体" w:cs="宋体"/>
                <w:i w:val="0"/>
                <w:iCs w:val="0"/>
                <w:color w:val="000000"/>
                <w:kern w:val="0"/>
                <w:sz w:val="24"/>
                <w:szCs w:val="24"/>
                <w:u w:val="none"/>
                <w:lang w:val="en-US" w:eastAsia="zh-CN" w:bidi="ar"/>
              </w:rPr>
              <w:t>通知书、合同的清晰原件扫描件并加盖电子公章，不提供不得分。）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024"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825" w:type="dxa"/>
            <w:tcBorders>
              <w:top w:val="single" w:color="auto" w:sz="4"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120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培训计划</w:t>
            </w:r>
          </w:p>
        </w:tc>
        <w:tc>
          <w:tcPr>
            <w:tcW w:w="735" w:type="dxa"/>
            <w:tcBorders>
              <w:top w:val="single" w:color="auto" w:sz="4"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05" w:type="dxa"/>
            <w:tcBorders>
              <w:top w:val="single" w:color="auto" w:sz="4" w:space="0"/>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为保证技术服务人员的服务质量水平，供应商提供相应的培训制度，包括岗前培训和在岗培训，培训方案完善且有针对性，培训内容包含岗位技能、职业道德及各种安全作业等知识的培训，最高得2分。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024"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82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12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政策得分</w:t>
            </w:r>
          </w:p>
        </w:tc>
        <w:tc>
          <w:tcPr>
            <w:tcW w:w="735" w:type="dxa"/>
            <w:vMerge w:val="restar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0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1.投标产品具有节能产品认证机构名录中的认证机构出具的环境标志产品认证证书和节能产品认证证书的，得1分；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24"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5" w:type="dxa"/>
            <w:vMerge w:val="continue"/>
            <w:tcBorders>
              <w:top w:val="single" w:color="000000" w:sz="8" w:space="0"/>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05"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2.投标人是国家认定的不发达地区或少数民族地区企业的得1分。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24"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5" w:type="dxa"/>
            <w:vMerge w:val="continue"/>
            <w:tcBorders>
              <w:top w:val="single" w:color="000000" w:sz="8" w:space="0"/>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（注：政策分加分需由投标人提供相关证明资料及法律依据，如未提供则不得加分。）</w:t>
            </w:r>
          </w:p>
        </w:tc>
      </w:tr>
    </w:tbl>
    <w:p>
      <w:pPr>
        <w:jc w:val="center"/>
      </w:pPr>
    </w:p>
    <w:p>
      <w:pPr>
        <w:pStyle w:val="5"/>
        <w:ind w:firstLine="240"/>
        <w:rPr>
          <w:rFonts w:hint="eastAsia" w:ascii="Times New Roman" w:hAnsi="Times New Roman"/>
          <w:b/>
          <w:bCs/>
          <w:sz w:val="24"/>
          <w:szCs w:val="24"/>
          <w:highlight w:val="none"/>
        </w:rPr>
      </w:pPr>
    </w:p>
    <w:p>
      <w:pPr>
        <w:pStyle w:val="5"/>
        <w:ind w:firstLine="240"/>
        <w:rPr>
          <w:rFonts w:hint="eastAsia"/>
        </w:rPr>
        <w:sectPr>
          <w:pgSz w:w="11906" w:h="16838"/>
          <w:pgMar w:top="1440" w:right="1559" w:bottom="1440" w:left="1797" w:header="851" w:footer="992" w:gutter="0"/>
          <w:pgBorders>
            <w:top w:val="none" w:sz="0" w:space="0"/>
            <w:left w:val="none" w:sz="0" w:space="0"/>
            <w:bottom w:val="none" w:sz="0" w:space="0"/>
            <w:right w:val="none" w:sz="0" w:space="0"/>
          </w:pgBorders>
          <w:cols w:equalWidth="0" w:num="1">
            <w:col w:w="8551"/>
          </w:cols>
          <w:docGrid w:linePitch="312" w:charSpace="0"/>
        </w:sectPr>
      </w:pPr>
      <w:r>
        <w:rPr>
          <w:rFonts w:hint="eastAsia" w:ascii="Times New Roman" w:hAnsi="Times New Roman"/>
          <w:sz w:val="24"/>
          <w:szCs w:val="24"/>
          <w:highlight w:val="none"/>
        </w:rPr>
        <w:t>备注：</w:t>
      </w:r>
      <w:r>
        <w:rPr>
          <w:rFonts w:hint="eastAsia" w:ascii="Times New Roman" w:hAnsi="Times New Roman"/>
          <w:b/>
          <w:bCs/>
          <w:sz w:val="24"/>
          <w:szCs w:val="24"/>
          <w:highlight w:val="none"/>
        </w:rPr>
        <w:t>以上表中需提供证明材料的均须提供清晰的扫描件，不提供或提供不清晰无法识别的不得分。</w:t>
      </w:r>
    </w:p>
    <w:p>
      <w:pPr>
        <w:spacing w:after="280" w:afterAutospacing="1"/>
        <w:jc w:val="center"/>
        <w:outlineLvl w:val="2"/>
        <w:rPr>
          <w:rFonts w:hint="eastAsia"/>
          <w:b/>
          <w:sz w:val="24"/>
          <w:highlight w:val="none"/>
        </w:rPr>
      </w:pPr>
      <w:bookmarkStart w:id="900" w:name="_Toc23096"/>
      <w:bookmarkStart w:id="901" w:name="_Toc6662"/>
      <w:bookmarkStart w:id="902" w:name="_Toc14453"/>
      <w:bookmarkStart w:id="903" w:name="_Toc9602"/>
      <w:r>
        <w:rPr>
          <w:rFonts w:hint="eastAsia"/>
          <w:b/>
          <w:sz w:val="24"/>
          <w:highlight w:val="none"/>
        </w:rPr>
        <w:t>3.5价格及其他内容磋商</w:t>
      </w:r>
      <w:bookmarkEnd w:id="900"/>
      <w:bookmarkEnd w:id="901"/>
      <w:bookmarkEnd w:id="902"/>
      <w:bookmarkEnd w:id="903"/>
    </w:p>
    <w:tbl>
      <w:tblPr>
        <w:tblStyle w:val="36"/>
        <w:tblW w:w="0" w:type="auto"/>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132"/>
        <w:gridCol w:w="1234"/>
        <w:gridCol w:w="750"/>
        <w:gridCol w:w="5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gridSpan w:val="2"/>
          </w:tcPr>
          <w:p>
            <w:pPr>
              <w:spacing w:before="0"/>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序号</w:t>
            </w:r>
          </w:p>
        </w:tc>
        <w:tc>
          <w:tcPr>
            <w:tcW w:w="1234" w:type="dxa"/>
          </w:tcPr>
          <w:p>
            <w:pPr>
              <w:spacing w:before="0"/>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评议内容</w:t>
            </w:r>
          </w:p>
        </w:tc>
        <w:tc>
          <w:tcPr>
            <w:tcW w:w="750" w:type="dxa"/>
          </w:tcPr>
          <w:p>
            <w:pPr>
              <w:spacing w:before="0"/>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分值</w:t>
            </w:r>
          </w:p>
        </w:tc>
        <w:tc>
          <w:tcPr>
            <w:tcW w:w="5075" w:type="dxa"/>
          </w:tcPr>
          <w:p>
            <w:pPr>
              <w:jc w:val="center"/>
              <w:rPr>
                <w:rFonts w:hint="eastAsia" w:eastAsiaTheme="minorEastAsia"/>
                <w:color w:val="auto"/>
                <w:sz w:val="24"/>
                <w:szCs w:val="24"/>
                <w:vertAlign w:val="baseline"/>
                <w:lang w:eastAsia="zh-CN"/>
              </w:rPr>
            </w:pPr>
            <w:r>
              <w:rPr>
                <w:rFonts w:hint="eastAsia"/>
                <w:color w:val="auto"/>
                <w:sz w:val="24"/>
                <w:szCs w:val="24"/>
                <w:vertAlign w:val="baseline"/>
                <w:lang w:eastAsia="zh-CN"/>
              </w:rPr>
              <w:t>检查标准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top"/>
          </w:tcPr>
          <w:p>
            <w:pPr>
              <w:spacing w:before="0"/>
              <w:ind w:firstLine="0" w:firstLineChars="0"/>
              <w:jc w:val="center"/>
              <w:rPr>
                <w:rFonts w:hint="eastAsia" w:ascii="宋体" w:hAnsi="宋体" w:eastAsia="宋体" w:cs="宋体"/>
                <w:color w:val="auto"/>
                <w:sz w:val="24"/>
                <w:szCs w:val="24"/>
                <w:lang w:val="en-US" w:eastAsia="zh-CN"/>
              </w:rPr>
            </w:pPr>
          </w:p>
          <w:p>
            <w:pPr>
              <w:spacing w:before="0"/>
              <w:ind w:firstLine="0" w:firstLineChars="0"/>
              <w:jc w:val="center"/>
              <w:rPr>
                <w:rFonts w:hint="eastAsia" w:ascii="宋体" w:hAnsi="宋体" w:eastAsia="宋体" w:cs="宋体"/>
                <w:color w:val="auto"/>
                <w:sz w:val="24"/>
                <w:szCs w:val="24"/>
                <w:lang w:val="en-US" w:eastAsia="zh-CN"/>
              </w:rPr>
            </w:pPr>
          </w:p>
          <w:p>
            <w:pPr>
              <w:spacing w:before="0"/>
              <w:ind w:firstLine="0" w:firstLineChars="0"/>
              <w:jc w:val="center"/>
              <w:rPr>
                <w:rFonts w:hint="eastAsia" w:ascii="宋体" w:hAnsi="宋体" w:eastAsia="宋体" w:cs="宋体"/>
                <w:color w:val="auto"/>
                <w:sz w:val="24"/>
                <w:szCs w:val="24"/>
                <w:lang w:val="en-US" w:eastAsia="zh-CN"/>
              </w:rPr>
            </w:pPr>
          </w:p>
          <w:p>
            <w:pPr>
              <w:spacing w:before="0"/>
              <w:ind w:firstLine="0" w:firstLineChars="0"/>
              <w:jc w:val="center"/>
              <w:rPr>
                <w:rFonts w:hint="eastAsia" w:ascii="宋体" w:hAnsi="宋体" w:eastAsia="宋体" w:cs="宋体"/>
                <w:color w:val="auto"/>
                <w:sz w:val="24"/>
                <w:szCs w:val="24"/>
                <w:lang w:val="en-US" w:eastAsia="zh-CN"/>
              </w:rPr>
            </w:pPr>
          </w:p>
          <w:p>
            <w:pPr>
              <w:spacing w:before="0"/>
              <w:ind w:firstLine="0" w:firstLineChars="0"/>
              <w:jc w:val="center"/>
              <w:rPr>
                <w:rFonts w:hint="eastAsia" w:ascii="宋体" w:hAnsi="宋体" w:eastAsia="宋体" w:cs="宋体"/>
                <w:color w:val="auto"/>
                <w:sz w:val="24"/>
                <w:szCs w:val="24"/>
                <w:lang w:val="en-US" w:eastAsia="zh-CN"/>
              </w:rPr>
            </w:pPr>
          </w:p>
          <w:p>
            <w:pPr>
              <w:spacing w:before="0"/>
              <w:ind w:firstLine="0" w:firstLineChars="0"/>
              <w:jc w:val="center"/>
              <w:rPr>
                <w:rFonts w:hint="eastAsia" w:ascii="宋体" w:hAnsi="宋体" w:eastAsia="宋体" w:cs="宋体"/>
                <w:color w:val="auto"/>
                <w:sz w:val="24"/>
                <w:szCs w:val="24"/>
                <w:lang w:val="en-US" w:eastAsia="zh-CN"/>
              </w:rPr>
            </w:pPr>
          </w:p>
          <w:p>
            <w:pPr>
              <w:spacing w:before="0"/>
              <w:ind w:firstLine="0" w:firstLineChars="0"/>
              <w:jc w:val="center"/>
              <w:rPr>
                <w:rFonts w:hint="eastAsia" w:ascii="宋体" w:hAnsi="宋体" w:eastAsia="宋体" w:cs="宋体"/>
                <w:color w:val="auto"/>
                <w:sz w:val="24"/>
                <w:szCs w:val="24"/>
                <w:lang w:val="en-US" w:eastAsia="zh-CN"/>
              </w:rPr>
            </w:pPr>
          </w:p>
          <w:p>
            <w:pPr>
              <w:spacing w:before="0"/>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3.6.1</w:t>
            </w:r>
          </w:p>
        </w:tc>
        <w:tc>
          <w:tcPr>
            <w:tcW w:w="1132" w:type="dxa"/>
            <w:vAlign w:val="top"/>
          </w:tcPr>
          <w:p>
            <w:pPr>
              <w:spacing w:before="0"/>
              <w:ind w:firstLine="0" w:firstLineChars="0"/>
              <w:jc w:val="center"/>
              <w:rPr>
                <w:rFonts w:hint="eastAsia" w:ascii="宋体" w:hAnsi="宋体" w:eastAsia="宋体" w:cs="宋体"/>
                <w:color w:val="auto"/>
                <w:sz w:val="24"/>
                <w:szCs w:val="24"/>
                <w:lang w:val="en-US" w:eastAsia="zh-CN"/>
              </w:rPr>
            </w:pPr>
          </w:p>
          <w:p>
            <w:pPr>
              <w:spacing w:before="0"/>
              <w:ind w:firstLine="0" w:firstLineChars="0"/>
              <w:jc w:val="center"/>
              <w:rPr>
                <w:rFonts w:hint="eastAsia" w:ascii="宋体" w:hAnsi="宋体" w:eastAsia="宋体" w:cs="宋体"/>
                <w:color w:val="auto"/>
                <w:sz w:val="24"/>
                <w:szCs w:val="24"/>
                <w:lang w:val="en-US" w:eastAsia="zh-CN"/>
              </w:rPr>
            </w:pPr>
          </w:p>
          <w:p>
            <w:pPr>
              <w:spacing w:before="0"/>
              <w:ind w:firstLine="0" w:firstLineChars="0"/>
              <w:jc w:val="center"/>
              <w:rPr>
                <w:rFonts w:hint="eastAsia" w:ascii="宋体" w:hAnsi="宋体" w:eastAsia="宋体" w:cs="宋体"/>
                <w:color w:val="auto"/>
                <w:sz w:val="24"/>
                <w:szCs w:val="24"/>
                <w:lang w:val="en-US" w:eastAsia="zh-CN"/>
              </w:rPr>
            </w:pPr>
          </w:p>
          <w:p>
            <w:pPr>
              <w:spacing w:before="0"/>
              <w:ind w:firstLine="0" w:firstLineChars="0"/>
              <w:jc w:val="center"/>
              <w:rPr>
                <w:rFonts w:hint="eastAsia" w:ascii="宋体" w:hAnsi="宋体" w:eastAsia="宋体" w:cs="宋体"/>
                <w:color w:val="auto"/>
                <w:sz w:val="24"/>
                <w:szCs w:val="24"/>
                <w:lang w:val="en-US" w:eastAsia="zh-CN"/>
              </w:rPr>
            </w:pPr>
          </w:p>
          <w:p>
            <w:pPr>
              <w:spacing w:before="0"/>
              <w:ind w:firstLine="0" w:firstLineChars="0"/>
              <w:jc w:val="center"/>
              <w:rPr>
                <w:rFonts w:hint="eastAsia" w:ascii="宋体" w:hAnsi="宋体" w:eastAsia="宋体" w:cs="宋体"/>
                <w:color w:val="auto"/>
                <w:sz w:val="24"/>
                <w:szCs w:val="24"/>
                <w:lang w:val="en-US" w:eastAsia="zh-CN"/>
              </w:rPr>
            </w:pPr>
          </w:p>
          <w:p>
            <w:pPr>
              <w:spacing w:before="0"/>
              <w:ind w:firstLine="0" w:firstLineChars="0"/>
              <w:jc w:val="center"/>
              <w:rPr>
                <w:rFonts w:hint="eastAsia" w:ascii="宋体" w:hAnsi="宋体" w:eastAsia="宋体" w:cs="宋体"/>
                <w:color w:val="auto"/>
                <w:sz w:val="24"/>
                <w:szCs w:val="24"/>
                <w:lang w:val="en-US" w:eastAsia="zh-CN"/>
              </w:rPr>
            </w:pPr>
          </w:p>
          <w:p>
            <w:pPr>
              <w:spacing w:before="0"/>
              <w:ind w:firstLine="0" w:firstLineChars="0"/>
              <w:jc w:val="center"/>
              <w:rPr>
                <w:rFonts w:hint="eastAsia" w:ascii="宋体" w:hAnsi="宋体" w:eastAsia="宋体" w:cs="宋体"/>
                <w:color w:val="auto"/>
                <w:sz w:val="24"/>
                <w:szCs w:val="24"/>
                <w:lang w:val="en-US" w:eastAsia="zh-CN"/>
              </w:rPr>
            </w:pPr>
          </w:p>
          <w:p>
            <w:pPr>
              <w:spacing w:before="0"/>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价格</w:t>
            </w:r>
          </w:p>
          <w:p>
            <w:pPr>
              <w:spacing w:before="0"/>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磋商</w:t>
            </w:r>
          </w:p>
        </w:tc>
        <w:tc>
          <w:tcPr>
            <w:tcW w:w="1234" w:type="dxa"/>
            <w:vAlign w:val="top"/>
          </w:tcPr>
          <w:p>
            <w:pPr>
              <w:spacing w:before="0"/>
              <w:ind w:firstLine="0" w:firstLineChars="0"/>
              <w:jc w:val="center"/>
              <w:rPr>
                <w:rFonts w:hint="eastAsia" w:ascii="宋体" w:hAnsi="宋体" w:eastAsia="宋体" w:cs="宋体"/>
                <w:color w:val="auto"/>
                <w:sz w:val="24"/>
                <w:szCs w:val="24"/>
                <w:lang w:val="en-US" w:eastAsia="zh-CN"/>
              </w:rPr>
            </w:pPr>
          </w:p>
          <w:p>
            <w:pPr>
              <w:spacing w:before="0"/>
              <w:ind w:firstLine="0" w:firstLineChars="0"/>
              <w:jc w:val="center"/>
              <w:rPr>
                <w:rFonts w:hint="eastAsia" w:ascii="宋体" w:hAnsi="宋体" w:eastAsia="宋体" w:cs="宋体"/>
                <w:color w:val="auto"/>
                <w:sz w:val="24"/>
                <w:szCs w:val="24"/>
                <w:lang w:val="en-US" w:eastAsia="zh-CN"/>
              </w:rPr>
            </w:pPr>
          </w:p>
          <w:p>
            <w:pPr>
              <w:spacing w:before="0"/>
              <w:ind w:firstLine="0" w:firstLineChars="0"/>
              <w:jc w:val="center"/>
              <w:rPr>
                <w:rFonts w:hint="eastAsia" w:ascii="宋体" w:hAnsi="宋体" w:eastAsia="宋体" w:cs="宋体"/>
                <w:color w:val="auto"/>
                <w:sz w:val="24"/>
                <w:szCs w:val="24"/>
                <w:lang w:val="en-US" w:eastAsia="zh-CN"/>
              </w:rPr>
            </w:pPr>
          </w:p>
          <w:p>
            <w:pPr>
              <w:spacing w:before="0"/>
              <w:ind w:firstLine="0" w:firstLineChars="0"/>
              <w:jc w:val="center"/>
              <w:rPr>
                <w:rFonts w:hint="eastAsia" w:ascii="宋体" w:hAnsi="宋体" w:eastAsia="宋体" w:cs="宋体"/>
                <w:color w:val="auto"/>
                <w:sz w:val="24"/>
                <w:szCs w:val="24"/>
                <w:lang w:val="en-US" w:eastAsia="zh-CN"/>
              </w:rPr>
            </w:pPr>
          </w:p>
          <w:p>
            <w:pPr>
              <w:spacing w:before="0"/>
              <w:ind w:firstLine="0" w:firstLineChars="0"/>
              <w:jc w:val="center"/>
              <w:rPr>
                <w:rFonts w:hint="eastAsia" w:ascii="宋体" w:hAnsi="宋体" w:eastAsia="宋体" w:cs="宋体"/>
                <w:color w:val="auto"/>
                <w:sz w:val="24"/>
                <w:szCs w:val="24"/>
                <w:lang w:val="en-US" w:eastAsia="zh-CN"/>
              </w:rPr>
            </w:pPr>
          </w:p>
          <w:p>
            <w:pPr>
              <w:spacing w:before="0"/>
              <w:ind w:firstLine="0" w:firstLineChars="0"/>
              <w:jc w:val="center"/>
              <w:rPr>
                <w:rFonts w:hint="eastAsia" w:ascii="宋体" w:hAnsi="宋体" w:eastAsia="宋体" w:cs="宋体"/>
                <w:color w:val="auto"/>
                <w:sz w:val="24"/>
                <w:szCs w:val="24"/>
                <w:lang w:val="en-US" w:eastAsia="zh-CN"/>
              </w:rPr>
            </w:pPr>
          </w:p>
          <w:p>
            <w:pPr>
              <w:spacing w:before="0"/>
              <w:ind w:firstLine="0" w:firstLineChars="0"/>
              <w:jc w:val="center"/>
              <w:rPr>
                <w:rFonts w:hint="eastAsia" w:ascii="宋体" w:hAnsi="宋体" w:eastAsia="宋体" w:cs="宋体"/>
                <w:color w:val="auto"/>
                <w:sz w:val="24"/>
                <w:szCs w:val="24"/>
                <w:lang w:val="en-US" w:eastAsia="zh-CN"/>
              </w:rPr>
            </w:pPr>
          </w:p>
          <w:p>
            <w:pPr>
              <w:spacing w:before="0"/>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磋商报价评分</w:t>
            </w:r>
          </w:p>
        </w:tc>
        <w:tc>
          <w:tcPr>
            <w:tcW w:w="750" w:type="dxa"/>
            <w:vAlign w:val="top"/>
          </w:tcPr>
          <w:p>
            <w:pPr>
              <w:spacing w:before="0"/>
              <w:ind w:firstLine="0" w:firstLineChars="0"/>
              <w:jc w:val="center"/>
              <w:rPr>
                <w:rFonts w:hint="eastAsia" w:ascii="宋体" w:hAnsi="宋体" w:eastAsia="宋体" w:cs="宋体"/>
                <w:color w:val="auto"/>
                <w:sz w:val="24"/>
                <w:szCs w:val="24"/>
                <w:lang w:val="en-US" w:eastAsia="zh-CN"/>
              </w:rPr>
            </w:pPr>
          </w:p>
          <w:p>
            <w:pPr>
              <w:spacing w:before="0"/>
              <w:ind w:firstLine="0" w:firstLineChars="0"/>
              <w:jc w:val="center"/>
              <w:rPr>
                <w:rFonts w:hint="eastAsia" w:ascii="宋体" w:hAnsi="宋体" w:eastAsia="宋体" w:cs="宋体"/>
                <w:color w:val="auto"/>
                <w:sz w:val="24"/>
                <w:szCs w:val="24"/>
                <w:lang w:val="en-US" w:eastAsia="zh-CN"/>
              </w:rPr>
            </w:pPr>
          </w:p>
          <w:p>
            <w:pPr>
              <w:spacing w:before="0"/>
              <w:ind w:firstLine="0" w:firstLineChars="0"/>
              <w:jc w:val="center"/>
              <w:rPr>
                <w:rFonts w:hint="eastAsia" w:ascii="宋体" w:hAnsi="宋体" w:eastAsia="宋体" w:cs="宋体"/>
                <w:color w:val="auto"/>
                <w:sz w:val="24"/>
                <w:szCs w:val="24"/>
                <w:lang w:val="en-US" w:eastAsia="zh-CN"/>
              </w:rPr>
            </w:pPr>
          </w:p>
          <w:p>
            <w:pPr>
              <w:spacing w:before="0"/>
              <w:ind w:firstLine="0" w:firstLineChars="0"/>
              <w:jc w:val="center"/>
              <w:rPr>
                <w:rFonts w:hint="eastAsia" w:ascii="宋体" w:hAnsi="宋体" w:eastAsia="宋体" w:cs="宋体"/>
                <w:color w:val="auto"/>
                <w:sz w:val="24"/>
                <w:szCs w:val="24"/>
                <w:lang w:val="en-US" w:eastAsia="zh-CN"/>
              </w:rPr>
            </w:pPr>
          </w:p>
          <w:p>
            <w:pPr>
              <w:spacing w:before="0"/>
              <w:ind w:firstLine="0" w:firstLineChars="0"/>
              <w:jc w:val="center"/>
              <w:rPr>
                <w:rFonts w:hint="eastAsia" w:ascii="宋体" w:hAnsi="宋体" w:eastAsia="宋体" w:cs="宋体"/>
                <w:color w:val="auto"/>
                <w:sz w:val="24"/>
                <w:szCs w:val="24"/>
                <w:lang w:val="en-US" w:eastAsia="zh-CN"/>
              </w:rPr>
            </w:pPr>
          </w:p>
          <w:p>
            <w:pPr>
              <w:spacing w:before="0"/>
              <w:ind w:firstLine="0" w:firstLineChars="0"/>
              <w:jc w:val="center"/>
              <w:rPr>
                <w:rFonts w:hint="eastAsia" w:ascii="宋体" w:hAnsi="宋体" w:eastAsia="宋体" w:cs="宋体"/>
                <w:color w:val="auto"/>
                <w:sz w:val="24"/>
                <w:szCs w:val="24"/>
                <w:lang w:val="en-US" w:eastAsia="zh-CN"/>
              </w:rPr>
            </w:pPr>
          </w:p>
          <w:p>
            <w:pPr>
              <w:spacing w:before="0"/>
              <w:ind w:firstLine="0" w:firstLineChars="0"/>
              <w:jc w:val="center"/>
              <w:rPr>
                <w:rFonts w:hint="eastAsia" w:ascii="宋体" w:hAnsi="宋体" w:eastAsia="宋体" w:cs="宋体"/>
                <w:color w:val="auto"/>
                <w:sz w:val="24"/>
                <w:szCs w:val="24"/>
                <w:lang w:val="en-US" w:eastAsia="zh-CN"/>
              </w:rPr>
            </w:pPr>
          </w:p>
          <w:p>
            <w:pPr>
              <w:spacing w:before="0"/>
              <w:ind w:firstLine="0" w:firstLineChars="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0分</w:t>
            </w:r>
          </w:p>
        </w:tc>
        <w:tc>
          <w:tcPr>
            <w:tcW w:w="5075" w:type="dxa"/>
          </w:tcPr>
          <w:p>
            <w:pPr>
              <w:adjustRightInd w:val="0"/>
              <w:spacing w:line="400" w:lineRule="exact"/>
              <w:jc w:val="left"/>
              <w:rPr>
                <w:rFonts w:ascii="宋体"/>
                <w:sz w:val="24"/>
                <w:highlight w:val="none"/>
                <w:lang w:val="zh-CN"/>
              </w:rPr>
            </w:pPr>
            <w:r>
              <w:rPr>
                <w:rFonts w:hint="eastAsia" w:ascii="宋体"/>
                <w:sz w:val="24"/>
                <w:highlight w:val="none"/>
                <w:lang w:val="zh-CN"/>
              </w:rPr>
              <w:t>磋商小组只对资格和符合性检查合格的磋商响应文件进行价格评议。</w:t>
            </w:r>
          </w:p>
          <w:p>
            <w:pPr>
              <w:pStyle w:val="42"/>
              <w:numPr>
                <w:ilvl w:val="0"/>
                <w:numId w:val="6"/>
              </w:numPr>
              <w:adjustRightInd w:val="0"/>
              <w:spacing w:line="400" w:lineRule="exact"/>
              <w:ind w:firstLineChars="0"/>
              <w:jc w:val="left"/>
              <w:rPr>
                <w:rFonts w:ascii="宋体"/>
                <w:sz w:val="24"/>
                <w:highlight w:val="none"/>
                <w:lang w:val="zh-CN"/>
              </w:rPr>
            </w:pPr>
            <w:r>
              <w:rPr>
                <w:rFonts w:hint="eastAsia" w:ascii="宋体"/>
                <w:sz w:val="24"/>
                <w:highlight w:val="none"/>
                <w:lang w:val="zh-CN"/>
              </w:rPr>
              <w:t>有效磋商报价</w:t>
            </w:r>
          </w:p>
          <w:p>
            <w:pPr>
              <w:adjustRightInd w:val="0"/>
              <w:spacing w:line="400" w:lineRule="exact"/>
              <w:jc w:val="left"/>
              <w:rPr>
                <w:rFonts w:ascii="宋体"/>
                <w:sz w:val="24"/>
                <w:highlight w:val="none"/>
                <w:lang w:val="zh-CN"/>
              </w:rPr>
            </w:pPr>
            <w:r>
              <w:rPr>
                <w:rFonts w:hint="eastAsia" w:ascii="宋体"/>
                <w:sz w:val="24"/>
                <w:highlight w:val="none"/>
                <w:lang w:val="zh-CN"/>
              </w:rPr>
              <w:t>磋商报价小于或等于最高限价为有效磋商报价。如所有供应商报价均超过最高限价的，则本次磋商失败。</w:t>
            </w:r>
          </w:p>
          <w:p>
            <w:pPr>
              <w:adjustRightInd w:val="0"/>
              <w:spacing w:line="400" w:lineRule="exact"/>
              <w:jc w:val="left"/>
              <w:rPr>
                <w:rFonts w:ascii="宋体"/>
                <w:sz w:val="24"/>
                <w:highlight w:val="none"/>
                <w:lang w:val="zh-CN"/>
              </w:rPr>
            </w:pPr>
            <w:r>
              <w:rPr>
                <w:rFonts w:hint="eastAsia" w:ascii="宋体"/>
                <w:sz w:val="24"/>
                <w:highlight w:val="none"/>
                <w:lang w:val="zh-CN"/>
              </w:rPr>
              <w:t>②有效磋商报价评分</w:t>
            </w:r>
          </w:p>
          <w:p>
            <w:pPr>
              <w:adjustRightInd w:val="0"/>
              <w:spacing w:line="400" w:lineRule="exact"/>
              <w:jc w:val="left"/>
              <w:rPr>
                <w:rFonts w:ascii="宋体"/>
                <w:sz w:val="24"/>
                <w:highlight w:val="none"/>
                <w:lang w:val="zh-CN"/>
              </w:rPr>
            </w:pPr>
            <w:r>
              <w:rPr>
                <w:rFonts w:hint="eastAsia" w:ascii="宋体"/>
                <w:sz w:val="24"/>
                <w:highlight w:val="none"/>
                <w:lang w:val="zh-CN"/>
              </w:rPr>
              <w:t>评标基准价：有效磋商报价的最低价（含折扣后的最终报价）为评标基准价。</w:t>
            </w:r>
          </w:p>
          <w:p>
            <w:pPr>
              <w:adjustRightInd w:val="0"/>
              <w:spacing w:line="400" w:lineRule="exact"/>
              <w:jc w:val="left"/>
              <w:rPr>
                <w:rFonts w:ascii="宋体"/>
                <w:sz w:val="24"/>
                <w:highlight w:val="none"/>
                <w:lang w:val="zh-CN"/>
              </w:rPr>
            </w:pPr>
            <w:r>
              <w:rPr>
                <w:rFonts w:hint="eastAsia" w:ascii="宋体"/>
                <w:sz w:val="24"/>
                <w:highlight w:val="none"/>
                <w:lang w:val="zh-CN"/>
              </w:rPr>
              <w:t>有效磋商报价为最低价者，其磋商报价得分为满分</w:t>
            </w:r>
            <w:r>
              <w:rPr>
                <w:rFonts w:hint="eastAsia" w:ascii="宋体"/>
                <w:sz w:val="24"/>
                <w:highlight w:val="none"/>
                <w:lang w:val="en-US" w:eastAsia="zh-CN"/>
              </w:rPr>
              <w:t>30</w:t>
            </w:r>
            <w:r>
              <w:rPr>
                <w:rFonts w:hint="eastAsia" w:ascii="宋体"/>
                <w:sz w:val="24"/>
                <w:highlight w:val="none"/>
                <w:lang w:val="zh-CN"/>
              </w:rPr>
              <w:t>分，其他有效磋商报价得分按下列公式计算：</w:t>
            </w:r>
          </w:p>
          <w:p>
            <w:pPr>
              <w:spacing w:line="360" w:lineRule="exact"/>
              <w:ind w:firstLine="480" w:firstLineChars="200"/>
              <w:rPr>
                <w:color w:val="auto"/>
                <w:sz w:val="24"/>
                <w:szCs w:val="24"/>
                <w:vertAlign w:val="baseline"/>
              </w:rPr>
            </w:pPr>
            <w:r>
              <w:rPr>
                <w:rFonts w:hint="eastAsia" w:ascii="宋体"/>
                <w:sz w:val="24"/>
                <w:highlight w:val="none"/>
                <w:lang w:val="zh-CN"/>
              </w:rPr>
              <w:t>磋商报价得分=(评标基准价／磋商报价)×</w:t>
            </w:r>
            <w:r>
              <w:rPr>
                <w:rFonts w:hint="eastAsia" w:ascii="宋体"/>
                <w:sz w:val="24"/>
                <w:highlight w:val="none"/>
                <w:lang w:val="en-US" w:eastAsia="zh-CN"/>
              </w:rPr>
              <w:t>3</w:t>
            </w:r>
            <w:r>
              <w:rPr>
                <w:rFonts w:hint="eastAsia" w:ascii="宋体"/>
                <w:sz w:val="24"/>
                <w:highlight w:val="none"/>
                <w:lang w:val="zh-CN"/>
              </w:rPr>
              <w:t>0%×100 。</w:t>
            </w:r>
          </w:p>
        </w:tc>
      </w:tr>
    </w:tbl>
    <w:p>
      <w:pPr>
        <w:adjustRightInd w:val="0"/>
        <w:spacing w:line="400" w:lineRule="exact"/>
        <w:ind w:firstLine="480" w:firstLineChars="200"/>
        <w:jc w:val="left"/>
        <w:rPr>
          <w:rFonts w:ascii="宋体" w:hAnsi="宋体" w:cs="宋体"/>
          <w:sz w:val="24"/>
          <w:highlight w:val="none"/>
          <w:lang w:val="zh-CN"/>
        </w:rPr>
      </w:pPr>
      <w:r>
        <w:rPr>
          <w:rFonts w:hint="eastAsia" w:ascii="宋体" w:hAnsi="宋体" w:cs="宋体"/>
          <w:sz w:val="24"/>
          <w:highlight w:val="none"/>
        </w:rPr>
        <w:t>3.6.2</w:t>
      </w:r>
      <w:r>
        <w:rPr>
          <w:rFonts w:hint="eastAsia" w:ascii="宋体" w:hAnsi="宋体" w:cs="宋体"/>
          <w:sz w:val="24"/>
          <w:highlight w:val="none"/>
          <w:lang w:val="zh-CN"/>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adjustRightInd w:val="0"/>
        <w:spacing w:line="400" w:lineRule="exact"/>
        <w:ind w:firstLine="480" w:firstLineChars="200"/>
        <w:jc w:val="left"/>
        <w:rPr>
          <w:rFonts w:ascii="宋体" w:hAnsi="宋体" w:cs="宋体"/>
          <w:sz w:val="24"/>
          <w:highlight w:val="none"/>
          <w:lang w:val="zh-CN"/>
        </w:rPr>
      </w:pPr>
      <w:r>
        <w:rPr>
          <w:rFonts w:hint="eastAsia" w:ascii="宋体" w:hAnsi="宋体" w:cs="宋体"/>
          <w:sz w:val="24"/>
          <w:highlight w:val="none"/>
        </w:rPr>
        <w:t>3.6.3</w:t>
      </w:r>
      <w:r>
        <w:rPr>
          <w:rFonts w:hint="eastAsia" w:ascii="宋体" w:hAnsi="宋体" w:cs="宋体"/>
          <w:sz w:val="24"/>
          <w:highlight w:val="none"/>
          <w:lang w:val="zh-CN"/>
        </w:rPr>
        <w:t>价格计算扣除</w:t>
      </w:r>
    </w:p>
    <w:p>
      <w:pPr>
        <w:adjustRightInd w:val="0"/>
        <w:spacing w:line="400" w:lineRule="exact"/>
        <w:ind w:firstLine="480" w:firstLineChars="200"/>
        <w:jc w:val="left"/>
        <w:rPr>
          <w:rFonts w:ascii="宋体" w:hAnsi="宋体" w:cs="宋体"/>
          <w:color w:val="0000FF"/>
          <w:sz w:val="24"/>
          <w:highlight w:val="none"/>
          <w:lang w:val="zh-CN"/>
        </w:rPr>
      </w:pPr>
      <w:r>
        <w:rPr>
          <w:rFonts w:hint="eastAsia" w:ascii="宋体" w:hAnsi="宋体" w:cs="宋体"/>
          <w:sz w:val="24"/>
          <w:highlight w:val="none"/>
        </w:rPr>
        <w:t>3.6.3.1</w:t>
      </w:r>
      <w:r>
        <w:rPr>
          <w:rFonts w:hint="eastAsia" w:ascii="宋体" w:hAnsi="宋体" w:cs="宋体"/>
          <w:sz w:val="24"/>
          <w:highlight w:val="none"/>
          <w:lang w:val="zh-CN"/>
        </w:rPr>
        <w:t>根据财库〔2020〕46号、浙财采监〔2022〕8号等相关规定，在评审时对于未预留份额专门面向中小企业的政府采购货物或服务项目，以及预留份额政府采购货物或服务项目中的非预留部分标项，对小型和微型企业的投标报价给予20%的扣除，用扣除后的价格参与评审。属于小微企业的，投标文件中响应文件中投标人供应商必须提供《中小企业声明函》（格式见附件）。</w:t>
      </w:r>
    </w:p>
    <w:p>
      <w:pPr>
        <w:adjustRightInd w:val="0"/>
        <w:spacing w:line="400" w:lineRule="exact"/>
        <w:ind w:firstLine="480" w:firstLineChars="200"/>
        <w:jc w:val="left"/>
        <w:rPr>
          <w:rFonts w:ascii="宋体" w:hAnsi="宋体" w:cs="宋体"/>
          <w:sz w:val="24"/>
          <w:highlight w:val="none"/>
          <w:lang w:val="zh-CN"/>
        </w:rPr>
      </w:pPr>
      <w:r>
        <w:rPr>
          <w:rFonts w:hint="eastAsia" w:ascii="宋体" w:hAnsi="宋体" w:cs="宋体"/>
          <w:sz w:val="24"/>
          <w:highlight w:val="none"/>
        </w:rPr>
        <w:t>3.6.3.2</w:t>
      </w:r>
      <w:r>
        <w:rPr>
          <w:rFonts w:hint="eastAsia" w:ascii="宋体" w:hAnsi="宋体" w:cs="宋体"/>
          <w:sz w:val="24"/>
          <w:highlight w:val="none"/>
          <w:lang w:val="zh-CN"/>
        </w:rPr>
        <w:t>根据规定，在政府采购活动中，残疾人福利性单位视同小型、微型企业，享受评审中价格扣除政策。属于享受政府采购支持政策的残疾人福利性单位，应满足财库[2017]141号文件第一条的规定，并在投标文件中响应文件中提供残疾人福利性单位声明函（见附件）。</w:t>
      </w:r>
    </w:p>
    <w:p>
      <w:pPr>
        <w:adjustRightInd w:val="0"/>
        <w:spacing w:line="400" w:lineRule="exact"/>
        <w:ind w:firstLine="480" w:firstLineChars="200"/>
        <w:jc w:val="left"/>
        <w:rPr>
          <w:rFonts w:hint="eastAsia" w:ascii="宋体" w:hAnsi="宋体" w:cs="宋体"/>
          <w:sz w:val="24"/>
          <w:highlight w:val="none"/>
          <w:lang w:val="zh-CN"/>
        </w:rPr>
      </w:pPr>
      <w:r>
        <w:rPr>
          <w:rFonts w:hint="eastAsia" w:ascii="宋体" w:hAnsi="宋体" w:cs="宋体"/>
          <w:sz w:val="24"/>
          <w:highlight w:val="none"/>
        </w:rPr>
        <w:t>3.6.3.</w:t>
      </w:r>
      <w:r>
        <w:rPr>
          <w:rFonts w:hint="eastAsia" w:ascii="宋体" w:hAnsi="宋体" w:cs="宋体"/>
          <w:sz w:val="24"/>
          <w:highlight w:val="none"/>
          <w:lang w:val="zh-CN"/>
        </w:rPr>
        <w:t>3根据规定，在政府采购活动中，监狱企业视同小型、微型企业，享受评审中价格扣除政策，并在投标文件中响应文件中提供由省级以上监狱管理局、戒毒管理局（含新疆生产建设兵团）出具的属于监狱企业的证明文件（格式自拟）。</w:t>
      </w:r>
    </w:p>
    <w:p>
      <w:pPr>
        <w:pStyle w:val="2"/>
        <w:spacing w:line="240" w:lineRule="auto"/>
        <w:rPr>
          <w:rFonts w:hint="eastAsia" w:ascii="宋体" w:hAnsi="宋体" w:cs="宋体"/>
          <w:sz w:val="24"/>
          <w:highlight w:val="none"/>
          <w:lang w:val="zh-CN"/>
        </w:rPr>
      </w:pPr>
      <w:r>
        <w:rPr>
          <w:rFonts w:hint="eastAsia" w:ascii="宋体" w:hAnsi="宋体" w:cs="宋体"/>
          <w:sz w:val="24"/>
          <w:highlight w:val="none"/>
          <w:lang w:val="zh-CN"/>
        </w:rPr>
        <w:t>上述计算扣除不累计计算，最高扣除</w:t>
      </w:r>
      <w:r>
        <w:rPr>
          <w:rFonts w:hint="eastAsia" w:hAnsi="宋体" w:cs="宋体"/>
          <w:sz w:val="24"/>
          <w:highlight w:val="none"/>
          <w:lang w:val="en-US" w:eastAsia="zh-CN"/>
        </w:rPr>
        <w:t>2</w:t>
      </w:r>
      <w:r>
        <w:rPr>
          <w:rFonts w:hint="eastAsia" w:ascii="宋体" w:hAnsi="宋体" w:cs="宋体"/>
          <w:sz w:val="24"/>
          <w:highlight w:val="none"/>
          <w:lang w:val="zh-CN"/>
        </w:rPr>
        <w:t>0%；未提供以上材料的，均不给予价格计算扣除。</w:t>
      </w:r>
    </w:p>
    <w:p>
      <w:pPr>
        <w:jc w:val="center"/>
        <w:rPr>
          <w:rFonts w:hint="eastAsia" w:ascii="黑体" w:eastAsia="黑体"/>
          <w:b/>
          <w:color w:val="000000"/>
          <w:sz w:val="32"/>
          <w:szCs w:val="32"/>
          <w:highlight w:val="none"/>
        </w:rPr>
        <w:sectPr>
          <w:pgSz w:w="11906" w:h="16838"/>
          <w:pgMar w:top="1440" w:right="1559" w:bottom="1440" w:left="1797" w:header="851" w:footer="992" w:gutter="0"/>
          <w:pgBorders>
            <w:top w:val="none" w:sz="0" w:space="0"/>
            <w:left w:val="none" w:sz="0" w:space="0"/>
            <w:bottom w:val="none" w:sz="0" w:space="0"/>
            <w:right w:val="none" w:sz="0" w:space="0"/>
          </w:pgBorders>
          <w:cols w:equalWidth="0" w:num="1">
            <w:col w:w="8551"/>
          </w:cols>
          <w:docGrid w:linePitch="312" w:charSpace="0"/>
        </w:sectPr>
      </w:pPr>
    </w:p>
    <w:p>
      <w:pPr>
        <w:jc w:val="center"/>
        <w:rPr>
          <w:rFonts w:ascii="黑体" w:eastAsia="黑体"/>
          <w:b/>
          <w:color w:val="000000"/>
          <w:sz w:val="32"/>
          <w:szCs w:val="32"/>
          <w:highlight w:val="none"/>
        </w:rPr>
      </w:pPr>
      <w:r>
        <w:rPr>
          <w:rFonts w:hint="eastAsia" w:ascii="黑体" w:eastAsia="黑体"/>
          <w:b/>
          <w:color w:val="000000"/>
          <w:sz w:val="32"/>
          <w:szCs w:val="32"/>
          <w:highlight w:val="none"/>
        </w:rPr>
        <w:t>第五章 合同主要条款</w:t>
      </w:r>
    </w:p>
    <w:p>
      <w:pPr>
        <w:ind w:firstLine="404"/>
        <w:rPr>
          <w:rFonts w:ascii="宋体"/>
          <w:b/>
          <w:highlight w:val="none"/>
        </w:rPr>
      </w:pPr>
    </w:p>
    <w:p>
      <w:pPr>
        <w:snapToGrid w:val="0"/>
        <w:spacing w:before="120" w:beforeLines="50" w:after="120" w:afterLines="50" w:line="400" w:lineRule="exact"/>
        <w:jc w:val="center"/>
        <w:rPr>
          <w:rFonts w:ascii="仿宋" w:hAnsi="仿宋" w:eastAsia="仿宋"/>
          <w:b/>
          <w:bCs/>
          <w:sz w:val="24"/>
          <w:szCs w:val="24"/>
          <w:highlight w:val="none"/>
        </w:rPr>
      </w:pPr>
      <w:r>
        <w:rPr>
          <w:rFonts w:hint="eastAsia" w:ascii="仿宋" w:hAnsi="仿宋" w:eastAsia="仿宋"/>
          <w:b/>
          <w:sz w:val="24"/>
          <w:szCs w:val="24"/>
          <w:highlight w:val="none"/>
        </w:rPr>
        <w:t>（以最终合同为准）</w:t>
      </w:r>
    </w:p>
    <w:p>
      <w:pPr>
        <w:jc w:val="center"/>
        <w:rPr>
          <w:rFonts w:hint="eastAsia" w:ascii="黑体" w:eastAsia="黑体"/>
          <w:b/>
          <w:color w:val="000000"/>
          <w:sz w:val="32"/>
          <w:szCs w:val="32"/>
          <w:highlight w:val="none"/>
        </w:rPr>
      </w:pPr>
    </w:p>
    <w:p>
      <w:pPr>
        <w:pStyle w:val="4"/>
        <w:rPr>
          <w:rFonts w:hint="eastAsia" w:ascii="黑体" w:eastAsia="黑体"/>
          <w:b/>
          <w:color w:val="000000"/>
          <w:sz w:val="32"/>
          <w:szCs w:val="32"/>
          <w:highlight w:val="none"/>
        </w:rPr>
      </w:pPr>
    </w:p>
    <w:p>
      <w:pPr>
        <w:pStyle w:val="22"/>
        <w:spacing w:line="360" w:lineRule="auto"/>
        <w:ind w:firstLine="482" w:firstLineChars="200"/>
        <w:jc w:val="center"/>
        <w:rPr>
          <w:rFonts w:hint="eastAsia"/>
          <w:b/>
          <w:sz w:val="24"/>
          <w:szCs w:val="24"/>
        </w:rPr>
      </w:pPr>
      <w:r>
        <w:rPr>
          <w:rFonts w:hint="eastAsia"/>
          <w:b/>
          <w:sz w:val="24"/>
          <w:szCs w:val="24"/>
        </w:rPr>
        <w:t>设备供货合同</w:t>
      </w:r>
    </w:p>
    <w:p>
      <w:pPr>
        <w:pStyle w:val="22"/>
        <w:adjustRightInd w:val="0"/>
        <w:snapToGrid w:val="0"/>
        <w:spacing w:line="360" w:lineRule="auto"/>
        <w:ind w:firstLine="480" w:firstLineChars="200"/>
        <w:rPr>
          <w:sz w:val="24"/>
          <w:szCs w:val="24"/>
          <w:u w:val="single"/>
        </w:rPr>
      </w:pPr>
      <w:r>
        <w:rPr>
          <w:rFonts w:hint="eastAsia"/>
          <w:sz w:val="24"/>
          <w:szCs w:val="24"/>
          <w:lang w:eastAsia="zh-CN"/>
        </w:rPr>
        <w:t>甲方</w:t>
      </w:r>
      <w:r>
        <w:rPr>
          <w:sz w:val="24"/>
          <w:szCs w:val="24"/>
        </w:rPr>
        <w:t>：</w:t>
      </w:r>
      <w:r>
        <w:rPr>
          <w:sz w:val="24"/>
          <w:szCs w:val="24"/>
          <w:u w:val="single"/>
        </w:rPr>
        <w:t xml:space="preserve">                           </w:t>
      </w:r>
    </w:p>
    <w:p>
      <w:pPr>
        <w:pStyle w:val="22"/>
        <w:adjustRightInd w:val="0"/>
        <w:snapToGrid w:val="0"/>
        <w:spacing w:line="360" w:lineRule="auto"/>
        <w:ind w:firstLine="480" w:firstLineChars="200"/>
        <w:rPr>
          <w:sz w:val="24"/>
          <w:szCs w:val="24"/>
          <w:u w:val="single"/>
        </w:rPr>
      </w:pPr>
      <w:r>
        <w:rPr>
          <w:rFonts w:hint="eastAsia"/>
          <w:sz w:val="24"/>
          <w:szCs w:val="24"/>
          <w:lang w:eastAsia="zh-CN"/>
        </w:rPr>
        <w:t>乙方</w:t>
      </w:r>
      <w:r>
        <w:rPr>
          <w:sz w:val="24"/>
          <w:szCs w:val="24"/>
        </w:rPr>
        <w:t>：</w:t>
      </w:r>
      <w:r>
        <w:rPr>
          <w:sz w:val="24"/>
          <w:szCs w:val="24"/>
          <w:u w:val="single"/>
        </w:rPr>
        <w:t xml:space="preserve">                         </w:t>
      </w:r>
    </w:p>
    <w:p>
      <w:pPr>
        <w:pStyle w:val="3"/>
        <w:adjustRightInd w:val="0"/>
        <w:snapToGrid w:val="0"/>
        <w:spacing w:after="0" w:line="360" w:lineRule="auto"/>
        <w:ind w:left="0" w:firstLine="464" w:firstLineChars="200"/>
        <w:rPr>
          <w:rFonts w:hint="eastAsia" w:ascii="宋体" w:eastAsia="宋体"/>
          <w:sz w:val="24"/>
          <w:szCs w:val="24"/>
        </w:rPr>
      </w:pPr>
      <w:r>
        <w:rPr>
          <w:rFonts w:hint="eastAsia" w:ascii="宋体" w:eastAsia="宋体"/>
          <w:sz w:val="24"/>
          <w:szCs w:val="24"/>
        </w:rPr>
        <w:t>根据《中华人民共和国合同法》，买卖双方本着公平、诚实和信用的原则，共同确定以下条款。</w:t>
      </w:r>
    </w:p>
    <w:tbl>
      <w:tblPr>
        <w:tblStyle w:val="35"/>
        <w:tblpPr w:leftFromText="180" w:rightFromText="180" w:vertAnchor="text" w:horzAnchor="page" w:tblpX="1390" w:tblpY="468"/>
        <w:tblOverlap w:val="never"/>
        <w:tblW w:w="940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2"/>
        <w:gridCol w:w="699"/>
        <w:gridCol w:w="669"/>
        <w:gridCol w:w="669"/>
        <w:gridCol w:w="502"/>
        <w:gridCol w:w="867"/>
        <w:gridCol w:w="955"/>
        <w:gridCol w:w="1213"/>
        <w:gridCol w:w="1322"/>
        <w:gridCol w:w="1109"/>
        <w:gridCol w:w="7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42" w:type="dxa"/>
            <w:vMerge w:val="restart"/>
            <w:tcBorders>
              <w:top w:val="single" w:color="auto" w:sz="4" w:space="0"/>
              <w:left w:val="single" w:color="auto" w:sz="4" w:space="0"/>
              <w:right w:val="single" w:color="auto" w:sz="4" w:space="0"/>
            </w:tcBorders>
            <w:vAlign w:val="center"/>
          </w:tcPr>
          <w:p>
            <w:pPr>
              <w:pStyle w:val="22"/>
              <w:ind w:left="-94" w:leftChars="-45" w:right="-103" w:rightChars="-49"/>
              <w:jc w:val="center"/>
              <w:rPr>
                <w:sz w:val="24"/>
                <w:szCs w:val="24"/>
              </w:rPr>
            </w:pPr>
            <w:r>
              <w:rPr>
                <w:sz w:val="24"/>
                <w:szCs w:val="24"/>
              </w:rPr>
              <w:t>序号</w:t>
            </w:r>
          </w:p>
        </w:tc>
        <w:tc>
          <w:tcPr>
            <w:tcW w:w="699" w:type="dxa"/>
            <w:vMerge w:val="restart"/>
            <w:tcBorders>
              <w:top w:val="single" w:color="auto" w:sz="4" w:space="0"/>
              <w:left w:val="single" w:color="auto" w:sz="4" w:space="0"/>
              <w:right w:val="single" w:color="auto" w:sz="4" w:space="0"/>
            </w:tcBorders>
            <w:vAlign w:val="center"/>
          </w:tcPr>
          <w:p>
            <w:pPr>
              <w:pStyle w:val="22"/>
              <w:jc w:val="center"/>
              <w:rPr>
                <w:rFonts w:hint="eastAsia"/>
                <w:sz w:val="24"/>
                <w:szCs w:val="24"/>
              </w:rPr>
            </w:pPr>
            <w:r>
              <w:rPr>
                <w:sz w:val="24"/>
                <w:szCs w:val="24"/>
              </w:rPr>
              <w:t>货物</w:t>
            </w:r>
          </w:p>
          <w:p>
            <w:pPr>
              <w:pStyle w:val="22"/>
              <w:jc w:val="center"/>
              <w:rPr>
                <w:sz w:val="24"/>
                <w:szCs w:val="24"/>
              </w:rPr>
            </w:pPr>
            <w:r>
              <w:rPr>
                <w:sz w:val="24"/>
                <w:szCs w:val="24"/>
              </w:rPr>
              <w:t>名称</w:t>
            </w:r>
          </w:p>
        </w:tc>
        <w:tc>
          <w:tcPr>
            <w:tcW w:w="669" w:type="dxa"/>
            <w:vMerge w:val="restart"/>
            <w:tcBorders>
              <w:top w:val="single" w:color="auto" w:sz="4" w:space="0"/>
              <w:left w:val="single" w:color="auto" w:sz="4" w:space="0"/>
              <w:right w:val="single" w:color="auto" w:sz="4" w:space="0"/>
            </w:tcBorders>
            <w:vAlign w:val="center"/>
          </w:tcPr>
          <w:p>
            <w:pPr>
              <w:pStyle w:val="22"/>
              <w:ind w:left="17" w:leftChars="-27" w:right="-69" w:rightChars="-33" w:hanging="74" w:hangingChars="31"/>
              <w:jc w:val="center"/>
              <w:rPr>
                <w:sz w:val="24"/>
                <w:szCs w:val="24"/>
              </w:rPr>
            </w:pPr>
            <w:r>
              <w:rPr>
                <w:sz w:val="24"/>
                <w:szCs w:val="24"/>
              </w:rPr>
              <w:t>产地</w:t>
            </w:r>
          </w:p>
        </w:tc>
        <w:tc>
          <w:tcPr>
            <w:tcW w:w="669" w:type="dxa"/>
            <w:vMerge w:val="restart"/>
            <w:tcBorders>
              <w:top w:val="single" w:color="auto" w:sz="4" w:space="0"/>
              <w:left w:val="single" w:color="auto" w:sz="4" w:space="0"/>
              <w:right w:val="single" w:color="auto" w:sz="4" w:space="0"/>
            </w:tcBorders>
            <w:vAlign w:val="center"/>
          </w:tcPr>
          <w:p>
            <w:pPr>
              <w:pStyle w:val="22"/>
              <w:jc w:val="center"/>
              <w:rPr>
                <w:sz w:val="24"/>
                <w:szCs w:val="24"/>
              </w:rPr>
            </w:pPr>
            <w:r>
              <w:rPr>
                <w:sz w:val="24"/>
                <w:szCs w:val="24"/>
              </w:rPr>
              <w:t>数量</w:t>
            </w:r>
          </w:p>
        </w:tc>
        <w:tc>
          <w:tcPr>
            <w:tcW w:w="502" w:type="dxa"/>
            <w:vMerge w:val="restart"/>
            <w:tcBorders>
              <w:top w:val="single" w:color="auto" w:sz="4" w:space="0"/>
              <w:left w:val="single" w:color="auto" w:sz="4" w:space="0"/>
              <w:right w:val="single" w:color="auto" w:sz="4" w:space="0"/>
            </w:tcBorders>
            <w:vAlign w:val="center"/>
          </w:tcPr>
          <w:p>
            <w:pPr>
              <w:pStyle w:val="22"/>
              <w:ind w:left="-94" w:leftChars="-45" w:right="-94" w:rightChars="-45"/>
              <w:jc w:val="center"/>
              <w:rPr>
                <w:rFonts w:hint="eastAsia"/>
                <w:sz w:val="24"/>
                <w:szCs w:val="24"/>
              </w:rPr>
            </w:pPr>
            <w:r>
              <w:rPr>
                <w:rFonts w:hint="eastAsia"/>
                <w:sz w:val="24"/>
                <w:szCs w:val="24"/>
              </w:rPr>
              <w:t>合价</w:t>
            </w:r>
          </w:p>
        </w:tc>
        <w:tc>
          <w:tcPr>
            <w:tcW w:w="5466"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sz w:val="24"/>
                <w:szCs w:val="24"/>
              </w:rPr>
            </w:pPr>
            <w:r>
              <w:rPr>
                <w:rFonts w:hint="eastAsia" w:ascii="宋体"/>
                <w:sz w:val="24"/>
                <w:szCs w:val="24"/>
              </w:rPr>
              <w:t>其中包括</w:t>
            </w:r>
          </w:p>
        </w:tc>
        <w:tc>
          <w:tcPr>
            <w:tcW w:w="754" w:type="dxa"/>
            <w:vMerge w:val="restart"/>
            <w:tcBorders>
              <w:top w:val="single" w:color="auto" w:sz="4" w:space="0"/>
              <w:left w:val="single" w:color="auto" w:sz="4" w:space="0"/>
              <w:right w:val="single" w:color="auto" w:sz="4" w:space="0"/>
            </w:tcBorders>
            <w:vAlign w:val="center"/>
          </w:tcPr>
          <w:p>
            <w:pPr>
              <w:pStyle w:val="22"/>
              <w:jc w:val="center"/>
              <w:rPr>
                <w:sz w:val="24"/>
                <w:szCs w:val="24"/>
              </w:rPr>
            </w:pPr>
            <w:r>
              <w:rPr>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42" w:type="dxa"/>
            <w:vMerge w:val="continue"/>
            <w:tcBorders>
              <w:left w:val="single" w:color="auto" w:sz="4" w:space="0"/>
              <w:bottom w:val="single" w:color="auto" w:sz="4" w:space="0"/>
              <w:right w:val="single" w:color="auto" w:sz="4" w:space="0"/>
            </w:tcBorders>
            <w:vAlign w:val="center"/>
          </w:tcPr>
          <w:p/>
        </w:tc>
        <w:tc>
          <w:tcPr>
            <w:tcW w:w="699" w:type="dxa"/>
            <w:vMerge w:val="continue"/>
            <w:tcBorders>
              <w:left w:val="single" w:color="auto" w:sz="4" w:space="0"/>
              <w:bottom w:val="single" w:color="auto" w:sz="4" w:space="0"/>
              <w:right w:val="single" w:color="auto" w:sz="4" w:space="0"/>
            </w:tcBorders>
            <w:vAlign w:val="center"/>
          </w:tcPr>
          <w:p/>
        </w:tc>
        <w:tc>
          <w:tcPr>
            <w:tcW w:w="669" w:type="dxa"/>
            <w:vMerge w:val="continue"/>
            <w:tcBorders>
              <w:left w:val="single" w:color="auto" w:sz="4" w:space="0"/>
              <w:bottom w:val="single" w:color="auto" w:sz="4" w:space="0"/>
              <w:right w:val="single" w:color="auto" w:sz="4" w:space="0"/>
            </w:tcBorders>
            <w:vAlign w:val="center"/>
          </w:tcPr>
          <w:p/>
        </w:tc>
        <w:tc>
          <w:tcPr>
            <w:tcW w:w="669" w:type="dxa"/>
            <w:vMerge w:val="continue"/>
            <w:tcBorders>
              <w:left w:val="single" w:color="auto" w:sz="4" w:space="0"/>
              <w:bottom w:val="single" w:color="auto" w:sz="4" w:space="0"/>
              <w:right w:val="single" w:color="auto" w:sz="4" w:space="0"/>
            </w:tcBorders>
            <w:vAlign w:val="center"/>
          </w:tcPr>
          <w:p/>
        </w:tc>
        <w:tc>
          <w:tcPr>
            <w:tcW w:w="502" w:type="dxa"/>
            <w:vMerge w:val="continue"/>
            <w:tcBorders>
              <w:left w:val="single" w:color="auto" w:sz="4" w:space="0"/>
              <w:bottom w:val="single" w:color="auto" w:sz="4" w:space="0"/>
              <w:right w:val="single" w:color="auto" w:sz="4" w:space="0"/>
            </w:tcBorders>
            <w:vAlign w:val="center"/>
          </w:tcPr>
          <w:p/>
        </w:tc>
        <w:tc>
          <w:tcPr>
            <w:tcW w:w="867" w:type="dxa"/>
            <w:tcBorders>
              <w:top w:val="single" w:color="auto" w:sz="4" w:space="0"/>
              <w:left w:val="single" w:color="auto" w:sz="4" w:space="0"/>
              <w:bottom w:val="single" w:color="auto" w:sz="4" w:space="0"/>
              <w:right w:val="single" w:color="auto" w:sz="4" w:space="0"/>
            </w:tcBorders>
            <w:vAlign w:val="center"/>
          </w:tcPr>
          <w:p>
            <w:pPr>
              <w:pStyle w:val="22"/>
              <w:ind w:right="-94" w:rightChars="-45"/>
              <w:jc w:val="center"/>
              <w:rPr>
                <w:sz w:val="24"/>
                <w:szCs w:val="24"/>
              </w:rPr>
            </w:pPr>
            <w:r>
              <w:rPr>
                <w:rFonts w:hint="eastAsia"/>
                <w:sz w:val="24"/>
                <w:szCs w:val="24"/>
              </w:rPr>
              <w:t>设备费</w:t>
            </w:r>
          </w:p>
        </w:tc>
        <w:tc>
          <w:tcPr>
            <w:tcW w:w="955" w:type="dxa"/>
            <w:tcBorders>
              <w:top w:val="single" w:color="auto" w:sz="4" w:space="0"/>
              <w:left w:val="single" w:color="auto" w:sz="4" w:space="0"/>
              <w:bottom w:val="single" w:color="auto" w:sz="4" w:space="0"/>
              <w:right w:val="single" w:color="auto" w:sz="4" w:space="0"/>
            </w:tcBorders>
            <w:vAlign w:val="center"/>
          </w:tcPr>
          <w:p>
            <w:pPr>
              <w:pStyle w:val="22"/>
              <w:jc w:val="center"/>
              <w:rPr>
                <w:rFonts w:hint="eastAsia"/>
                <w:sz w:val="24"/>
                <w:szCs w:val="24"/>
              </w:rPr>
            </w:pPr>
            <w:r>
              <w:rPr>
                <w:sz w:val="24"/>
                <w:szCs w:val="24"/>
              </w:rPr>
              <w:t>安装</w:t>
            </w:r>
            <w:r>
              <w:rPr>
                <w:rFonts w:hint="eastAsia"/>
                <w:sz w:val="24"/>
                <w:szCs w:val="24"/>
              </w:rPr>
              <w:t>费</w:t>
            </w:r>
          </w:p>
        </w:tc>
        <w:tc>
          <w:tcPr>
            <w:tcW w:w="1213" w:type="dxa"/>
            <w:tcBorders>
              <w:top w:val="single" w:color="auto" w:sz="4" w:space="0"/>
              <w:left w:val="single" w:color="auto" w:sz="4" w:space="0"/>
              <w:bottom w:val="single" w:color="auto" w:sz="4" w:space="0"/>
              <w:right w:val="single" w:color="auto" w:sz="4" w:space="0"/>
            </w:tcBorders>
            <w:vAlign w:val="center"/>
          </w:tcPr>
          <w:p>
            <w:pPr>
              <w:pStyle w:val="22"/>
              <w:spacing w:line="0" w:lineRule="atLeast"/>
              <w:jc w:val="center"/>
              <w:rPr>
                <w:rFonts w:hint="eastAsia"/>
                <w:sz w:val="24"/>
                <w:szCs w:val="24"/>
              </w:rPr>
            </w:pPr>
            <w:r>
              <w:rPr>
                <w:sz w:val="24"/>
                <w:szCs w:val="24"/>
              </w:rPr>
              <w:t>调试</w:t>
            </w:r>
          </w:p>
          <w:p>
            <w:pPr>
              <w:pStyle w:val="22"/>
              <w:spacing w:line="0" w:lineRule="atLeast"/>
              <w:jc w:val="center"/>
              <w:rPr>
                <w:sz w:val="24"/>
                <w:szCs w:val="24"/>
              </w:rPr>
            </w:pPr>
            <w:r>
              <w:rPr>
                <w:sz w:val="24"/>
                <w:szCs w:val="24"/>
              </w:rPr>
              <w:t>检验费</w:t>
            </w:r>
          </w:p>
        </w:tc>
        <w:tc>
          <w:tcPr>
            <w:tcW w:w="132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eastAsia" w:ascii="宋体"/>
                <w:sz w:val="24"/>
                <w:szCs w:val="24"/>
              </w:rPr>
            </w:pPr>
            <w:r>
              <w:rPr>
                <w:rFonts w:hint="eastAsia" w:ascii="宋体"/>
                <w:sz w:val="24"/>
                <w:szCs w:val="24"/>
              </w:rPr>
              <w:t>运杂费</w:t>
            </w:r>
          </w:p>
          <w:p>
            <w:pPr>
              <w:widowControl/>
              <w:spacing w:line="0" w:lineRule="atLeast"/>
              <w:jc w:val="center"/>
              <w:rPr>
                <w:rFonts w:hint="eastAsia" w:ascii="宋体"/>
                <w:sz w:val="24"/>
                <w:szCs w:val="24"/>
              </w:rPr>
            </w:pPr>
            <w:r>
              <w:rPr>
                <w:rFonts w:hint="eastAsia" w:ascii="宋体"/>
                <w:sz w:val="24"/>
                <w:szCs w:val="24"/>
              </w:rPr>
              <w:t>（含保险）</w:t>
            </w:r>
          </w:p>
        </w:tc>
        <w:tc>
          <w:tcPr>
            <w:tcW w:w="110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eastAsia" w:ascii="宋体"/>
                <w:sz w:val="24"/>
                <w:szCs w:val="24"/>
              </w:rPr>
            </w:pPr>
            <w:r>
              <w:rPr>
                <w:rFonts w:hint="eastAsia" w:ascii="宋体"/>
                <w:sz w:val="24"/>
                <w:szCs w:val="24"/>
              </w:rPr>
              <w:t>技术服务培训费</w:t>
            </w:r>
          </w:p>
        </w:tc>
        <w:tc>
          <w:tcPr>
            <w:tcW w:w="754" w:type="dxa"/>
            <w:vMerge w:val="continue"/>
            <w:tcBorders>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42"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int="eastAsia"/>
                <w:sz w:val="24"/>
                <w:szCs w:val="24"/>
              </w:rPr>
            </w:pPr>
            <w:r>
              <w:rPr>
                <w:rFonts w:hint="eastAsia"/>
                <w:sz w:val="24"/>
                <w:szCs w:val="24"/>
              </w:rPr>
              <w:t>1</w:t>
            </w:r>
          </w:p>
        </w:tc>
        <w:tc>
          <w:tcPr>
            <w:tcW w:w="699" w:type="dxa"/>
            <w:tcBorders>
              <w:top w:val="single" w:color="auto" w:sz="4" w:space="0"/>
              <w:left w:val="single" w:color="auto" w:sz="4" w:space="0"/>
              <w:bottom w:val="single" w:color="auto" w:sz="4" w:space="0"/>
              <w:right w:val="single" w:color="auto" w:sz="4" w:space="0"/>
            </w:tcBorders>
            <w:vAlign w:val="center"/>
          </w:tcPr>
          <w:p>
            <w:pPr>
              <w:pStyle w:val="22"/>
              <w:jc w:val="center"/>
              <w:rPr>
                <w:sz w:val="24"/>
                <w:szCs w:val="24"/>
              </w:rPr>
            </w:pPr>
          </w:p>
        </w:tc>
        <w:tc>
          <w:tcPr>
            <w:tcW w:w="669"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sz w:val="24"/>
                <w:szCs w:val="24"/>
              </w:rPr>
            </w:pPr>
          </w:p>
        </w:tc>
        <w:tc>
          <w:tcPr>
            <w:tcW w:w="669"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sz w:val="24"/>
                <w:szCs w:val="24"/>
              </w:rPr>
            </w:pPr>
          </w:p>
        </w:tc>
        <w:tc>
          <w:tcPr>
            <w:tcW w:w="867"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sz w:val="24"/>
                <w:szCs w:val="24"/>
              </w:rPr>
            </w:pPr>
          </w:p>
        </w:tc>
        <w:tc>
          <w:tcPr>
            <w:tcW w:w="955"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sz w:val="24"/>
                <w:szCs w:val="24"/>
              </w:rPr>
            </w:pPr>
          </w:p>
        </w:tc>
        <w:tc>
          <w:tcPr>
            <w:tcW w:w="1213"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sz w:val="24"/>
                <w:szCs w:val="24"/>
              </w:rPr>
            </w:pPr>
          </w:p>
        </w:tc>
        <w:tc>
          <w:tcPr>
            <w:tcW w:w="1322"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sz w:val="24"/>
                <w:szCs w:val="24"/>
              </w:rPr>
            </w:pPr>
          </w:p>
        </w:tc>
        <w:tc>
          <w:tcPr>
            <w:tcW w:w="1109"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sz w:val="24"/>
                <w:szCs w:val="24"/>
              </w:rPr>
            </w:pPr>
          </w:p>
        </w:tc>
        <w:tc>
          <w:tcPr>
            <w:tcW w:w="754" w:type="dxa"/>
            <w:vMerge w:val="restart"/>
            <w:tcBorders>
              <w:top w:val="single" w:color="auto" w:sz="4" w:space="0"/>
              <w:left w:val="single" w:color="auto" w:sz="4" w:space="0"/>
              <w:right w:val="single" w:color="auto" w:sz="4" w:space="0"/>
            </w:tcBorders>
            <w:vAlign w:val="center"/>
          </w:tcPr>
          <w:p>
            <w:pPr>
              <w:pStyle w:val="22"/>
              <w:jc w:val="center"/>
              <w:rPr>
                <w:rFonts w:hint="eastAsia"/>
                <w:sz w:val="24"/>
                <w:szCs w:val="24"/>
              </w:rPr>
            </w:pPr>
          </w:p>
          <w:p>
            <w:pPr>
              <w:pStyle w:val="22"/>
              <w:jc w:val="center"/>
              <w:rPr>
                <w:rFonts w:hint="eastAsia"/>
                <w:sz w:val="24"/>
                <w:szCs w:val="24"/>
              </w:rPr>
            </w:pPr>
          </w:p>
          <w:p>
            <w:pPr>
              <w:pStyle w:val="22"/>
              <w:jc w:val="center"/>
              <w:rPr>
                <w:rFonts w:hint="eastAsia"/>
                <w:sz w:val="24"/>
                <w:szCs w:val="24"/>
              </w:rPr>
            </w:pPr>
          </w:p>
          <w:p>
            <w:pPr>
              <w:pStyle w:val="22"/>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42" w:type="dxa"/>
            <w:tcBorders>
              <w:top w:val="single" w:color="auto" w:sz="4" w:space="0"/>
              <w:left w:val="single" w:color="auto" w:sz="4" w:space="0"/>
              <w:right w:val="single" w:color="auto" w:sz="4" w:space="0"/>
            </w:tcBorders>
            <w:vAlign w:val="center"/>
          </w:tcPr>
          <w:p>
            <w:pPr>
              <w:pStyle w:val="22"/>
              <w:spacing w:line="360" w:lineRule="auto"/>
              <w:jc w:val="center"/>
              <w:rPr>
                <w:sz w:val="24"/>
                <w:szCs w:val="24"/>
              </w:rPr>
            </w:pPr>
            <w:r>
              <w:rPr>
                <w:sz w:val="24"/>
                <w:szCs w:val="24"/>
              </w:rPr>
              <w:t>2</w:t>
            </w:r>
          </w:p>
        </w:tc>
        <w:tc>
          <w:tcPr>
            <w:tcW w:w="699" w:type="dxa"/>
            <w:tcBorders>
              <w:top w:val="single" w:color="auto" w:sz="4" w:space="0"/>
              <w:left w:val="single" w:color="auto" w:sz="4" w:space="0"/>
              <w:right w:val="single" w:color="auto" w:sz="4" w:space="0"/>
            </w:tcBorders>
            <w:vAlign w:val="center"/>
          </w:tcPr>
          <w:p>
            <w:pPr>
              <w:pStyle w:val="22"/>
              <w:jc w:val="center"/>
              <w:rPr>
                <w:sz w:val="24"/>
                <w:szCs w:val="24"/>
              </w:rPr>
            </w:pPr>
          </w:p>
        </w:tc>
        <w:tc>
          <w:tcPr>
            <w:tcW w:w="669" w:type="dxa"/>
            <w:tcBorders>
              <w:top w:val="single" w:color="auto" w:sz="4" w:space="0"/>
              <w:left w:val="single" w:color="auto" w:sz="4" w:space="0"/>
              <w:right w:val="single" w:color="auto" w:sz="4" w:space="0"/>
            </w:tcBorders>
            <w:vAlign w:val="center"/>
          </w:tcPr>
          <w:p>
            <w:pPr>
              <w:pStyle w:val="22"/>
              <w:spacing w:line="360" w:lineRule="auto"/>
              <w:jc w:val="center"/>
              <w:rPr>
                <w:sz w:val="24"/>
                <w:szCs w:val="24"/>
              </w:rPr>
            </w:pPr>
          </w:p>
        </w:tc>
        <w:tc>
          <w:tcPr>
            <w:tcW w:w="669" w:type="dxa"/>
            <w:tcBorders>
              <w:top w:val="single" w:color="auto" w:sz="4" w:space="0"/>
              <w:left w:val="single" w:color="auto" w:sz="4" w:space="0"/>
              <w:right w:val="single" w:color="auto" w:sz="4" w:space="0"/>
            </w:tcBorders>
            <w:vAlign w:val="center"/>
          </w:tcPr>
          <w:p>
            <w:pPr>
              <w:pStyle w:val="22"/>
              <w:spacing w:line="360" w:lineRule="auto"/>
              <w:jc w:val="center"/>
              <w:rPr>
                <w:sz w:val="24"/>
                <w:szCs w:val="24"/>
              </w:rPr>
            </w:pPr>
          </w:p>
        </w:tc>
        <w:tc>
          <w:tcPr>
            <w:tcW w:w="502" w:type="dxa"/>
            <w:tcBorders>
              <w:top w:val="single" w:color="auto" w:sz="4" w:space="0"/>
              <w:left w:val="single" w:color="auto" w:sz="4" w:space="0"/>
              <w:right w:val="single" w:color="auto" w:sz="4" w:space="0"/>
            </w:tcBorders>
            <w:vAlign w:val="center"/>
          </w:tcPr>
          <w:p>
            <w:pPr>
              <w:pStyle w:val="22"/>
              <w:spacing w:line="360" w:lineRule="auto"/>
              <w:jc w:val="center"/>
              <w:rPr>
                <w:sz w:val="24"/>
                <w:szCs w:val="24"/>
              </w:rPr>
            </w:pPr>
          </w:p>
        </w:tc>
        <w:tc>
          <w:tcPr>
            <w:tcW w:w="867" w:type="dxa"/>
            <w:tcBorders>
              <w:top w:val="single" w:color="auto" w:sz="4" w:space="0"/>
              <w:left w:val="single" w:color="auto" w:sz="4" w:space="0"/>
              <w:right w:val="single" w:color="auto" w:sz="4" w:space="0"/>
            </w:tcBorders>
            <w:vAlign w:val="center"/>
          </w:tcPr>
          <w:p>
            <w:pPr>
              <w:pStyle w:val="22"/>
              <w:spacing w:line="360" w:lineRule="auto"/>
              <w:jc w:val="center"/>
              <w:rPr>
                <w:sz w:val="24"/>
                <w:szCs w:val="24"/>
              </w:rPr>
            </w:pPr>
          </w:p>
        </w:tc>
        <w:tc>
          <w:tcPr>
            <w:tcW w:w="955" w:type="dxa"/>
            <w:tcBorders>
              <w:top w:val="single" w:color="auto" w:sz="4" w:space="0"/>
              <w:left w:val="single" w:color="auto" w:sz="4" w:space="0"/>
              <w:right w:val="single" w:color="auto" w:sz="4" w:space="0"/>
            </w:tcBorders>
            <w:vAlign w:val="center"/>
          </w:tcPr>
          <w:p>
            <w:pPr>
              <w:pStyle w:val="22"/>
              <w:spacing w:line="360" w:lineRule="auto"/>
              <w:jc w:val="center"/>
              <w:rPr>
                <w:sz w:val="24"/>
                <w:szCs w:val="24"/>
              </w:rPr>
            </w:pPr>
          </w:p>
        </w:tc>
        <w:tc>
          <w:tcPr>
            <w:tcW w:w="1213" w:type="dxa"/>
            <w:tcBorders>
              <w:top w:val="single" w:color="auto" w:sz="4" w:space="0"/>
              <w:left w:val="single" w:color="auto" w:sz="4" w:space="0"/>
              <w:right w:val="single" w:color="auto" w:sz="4" w:space="0"/>
            </w:tcBorders>
            <w:vAlign w:val="center"/>
          </w:tcPr>
          <w:p>
            <w:pPr>
              <w:pStyle w:val="22"/>
              <w:spacing w:line="360" w:lineRule="auto"/>
              <w:jc w:val="center"/>
              <w:rPr>
                <w:sz w:val="24"/>
                <w:szCs w:val="24"/>
              </w:rPr>
            </w:pPr>
          </w:p>
        </w:tc>
        <w:tc>
          <w:tcPr>
            <w:tcW w:w="1322" w:type="dxa"/>
            <w:tcBorders>
              <w:top w:val="single" w:color="auto" w:sz="4" w:space="0"/>
              <w:left w:val="single" w:color="auto" w:sz="4" w:space="0"/>
              <w:right w:val="single" w:color="auto" w:sz="4" w:space="0"/>
            </w:tcBorders>
            <w:vAlign w:val="center"/>
          </w:tcPr>
          <w:p>
            <w:pPr>
              <w:pStyle w:val="22"/>
              <w:spacing w:line="360" w:lineRule="auto"/>
              <w:jc w:val="center"/>
              <w:rPr>
                <w:sz w:val="24"/>
                <w:szCs w:val="24"/>
              </w:rPr>
            </w:pPr>
          </w:p>
        </w:tc>
        <w:tc>
          <w:tcPr>
            <w:tcW w:w="1109" w:type="dxa"/>
            <w:tcBorders>
              <w:top w:val="single" w:color="auto" w:sz="4" w:space="0"/>
              <w:left w:val="single" w:color="auto" w:sz="4" w:space="0"/>
              <w:right w:val="single" w:color="auto" w:sz="4" w:space="0"/>
            </w:tcBorders>
            <w:vAlign w:val="center"/>
          </w:tcPr>
          <w:p>
            <w:pPr>
              <w:pStyle w:val="22"/>
              <w:spacing w:line="360" w:lineRule="auto"/>
              <w:jc w:val="center"/>
              <w:rPr>
                <w:sz w:val="24"/>
                <w:szCs w:val="24"/>
              </w:rPr>
            </w:pPr>
          </w:p>
        </w:tc>
        <w:tc>
          <w:tcPr>
            <w:tcW w:w="754"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42" w:type="dxa"/>
            <w:tcBorders>
              <w:top w:val="single" w:color="auto" w:sz="4" w:space="0"/>
              <w:left w:val="single" w:color="auto" w:sz="4" w:space="0"/>
              <w:right w:val="single" w:color="auto" w:sz="4" w:space="0"/>
            </w:tcBorders>
            <w:vAlign w:val="center"/>
          </w:tcPr>
          <w:p>
            <w:pPr>
              <w:pStyle w:val="22"/>
              <w:spacing w:line="360" w:lineRule="auto"/>
              <w:jc w:val="center"/>
              <w:rPr>
                <w:rFonts w:hint="eastAsia"/>
                <w:sz w:val="24"/>
                <w:szCs w:val="24"/>
              </w:rPr>
            </w:pPr>
            <w:r>
              <w:rPr>
                <w:rFonts w:hint="eastAsia"/>
                <w:sz w:val="24"/>
                <w:szCs w:val="24"/>
              </w:rPr>
              <w:t>3</w:t>
            </w:r>
          </w:p>
        </w:tc>
        <w:tc>
          <w:tcPr>
            <w:tcW w:w="699" w:type="dxa"/>
            <w:tcBorders>
              <w:top w:val="single" w:color="auto" w:sz="4" w:space="0"/>
              <w:left w:val="single" w:color="auto" w:sz="4" w:space="0"/>
              <w:right w:val="single" w:color="auto" w:sz="4" w:space="0"/>
            </w:tcBorders>
            <w:vAlign w:val="center"/>
          </w:tcPr>
          <w:p>
            <w:pPr>
              <w:pStyle w:val="22"/>
              <w:jc w:val="center"/>
              <w:rPr>
                <w:sz w:val="24"/>
                <w:szCs w:val="24"/>
              </w:rPr>
            </w:pPr>
          </w:p>
        </w:tc>
        <w:tc>
          <w:tcPr>
            <w:tcW w:w="669" w:type="dxa"/>
            <w:tcBorders>
              <w:top w:val="single" w:color="auto" w:sz="4" w:space="0"/>
              <w:left w:val="single" w:color="auto" w:sz="4" w:space="0"/>
              <w:right w:val="single" w:color="auto" w:sz="4" w:space="0"/>
            </w:tcBorders>
            <w:vAlign w:val="center"/>
          </w:tcPr>
          <w:p>
            <w:pPr>
              <w:pStyle w:val="22"/>
              <w:spacing w:line="360" w:lineRule="auto"/>
              <w:jc w:val="center"/>
              <w:rPr>
                <w:sz w:val="24"/>
                <w:szCs w:val="24"/>
              </w:rPr>
            </w:pPr>
          </w:p>
        </w:tc>
        <w:tc>
          <w:tcPr>
            <w:tcW w:w="669" w:type="dxa"/>
            <w:tcBorders>
              <w:top w:val="single" w:color="auto" w:sz="4" w:space="0"/>
              <w:left w:val="single" w:color="auto" w:sz="4" w:space="0"/>
              <w:right w:val="single" w:color="auto" w:sz="4" w:space="0"/>
            </w:tcBorders>
            <w:vAlign w:val="center"/>
          </w:tcPr>
          <w:p>
            <w:pPr>
              <w:pStyle w:val="22"/>
              <w:spacing w:line="360" w:lineRule="auto"/>
              <w:jc w:val="center"/>
              <w:rPr>
                <w:sz w:val="24"/>
                <w:szCs w:val="24"/>
              </w:rPr>
            </w:pPr>
          </w:p>
        </w:tc>
        <w:tc>
          <w:tcPr>
            <w:tcW w:w="502" w:type="dxa"/>
            <w:tcBorders>
              <w:top w:val="single" w:color="auto" w:sz="4" w:space="0"/>
              <w:left w:val="single" w:color="auto" w:sz="4" w:space="0"/>
              <w:right w:val="single" w:color="auto" w:sz="4" w:space="0"/>
            </w:tcBorders>
            <w:vAlign w:val="center"/>
          </w:tcPr>
          <w:p>
            <w:pPr>
              <w:pStyle w:val="22"/>
              <w:spacing w:line="360" w:lineRule="auto"/>
              <w:jc w:val="center"/>
              <w:rPr>
                <w:sz w:val="24"/>
                <w:szCs w:val="24"/>
              </w:rPr>
            </w:pPr>
          </w:p>
        </w:tc>
        <w:tc>
          <w:tcPr>
            <w:tcW w:w="867" w:type="dxa"/>
            <w:tcBorders>
              <w:top w:val="single" w:color="auto" w:sz="4" w:space="0"/>
              <w:left w:val="single" w:color="auto" w:sz="4" w:space="0"/>
              <w:right w:val="single" w:color="auto" w:sz="4" w:space="0"/>
            </w:tcBorders>
            <w:vAlign w:val="center"/>
          </w:tcPr>
          <w:p>
            <w:pPr>
              <w:pStyle w:val="22"/>
              <w:spacing w:line="360" w:lineRule="auto"/>
              <w:jc w:val="center"/>
              <w:rPr>
                <w:sz w:val="24"/>
                <w:szCs w:val="24"/>
              </w:rPr>
            </w:pPr>
          </w:p>
        </w:tc>
        <w:tc>
          <w:tcPr>
            <w:tcW w:w="955" w:type="dxa"/>
            <w:tcBorders>
              <w:top w:val="single" w:color="auto" w:sz="4" w:space="0"/>
              <w:left w:val="single" w:color="auto" w:sz="4" w:space="0"/>
              <w:right w:val="single" w:color="auto" w:sz="4" w:space="0"/>
            </w:tcBorders>
            <w:vAlign w:val="center"/>
          </w:tcPr>
          <w:p>
            <w:pPr>
              <w:pStyle w:val="22"/>
              <w:spacing w:line="360" w:lineRule="auto"/>
              <w:jc w:val="center"/>
              <w:rPr>
                <w:sz w:val="24"/>
                <w:szCs w:val="24"/>
              </w:rPr>
            </w:pPr>
          </w:p>
        </w:tc>
        <w:tc>
          <w:tcPr>
            <w:tcW w:w="1213" w:type="dxa"/>
            <w:tcBorders>
              <w:top w:val="single" w:color="auto" w:sz="4" w:space="0"/>
              <w:left w:val="single" w:color="auto" w:sz="4" w:space="0"/>
              <w:right w:val="single" w:color="auto" w:sz="4" w:space="0"/>
            </w:tcBorders>
            <w:vAlign w:val="center"/>
          </w:tcPr>
          <w:p>
            <w:pPr>
              <w:pStyle w:val="22"/>
              <w:spacing w:line="360" w:lineRule="auto"/>
              <w:jc w:val="center"/>
              <w:rPr>
                <w:sz w:val="24"/>
                <w:szCs w:val="24"/>
              </w:rPr>
            </w:pPr>
          </w:p>
        </w:tc>
        <w:tc>
          <w:tcPr>
            <w:tcW w:w="1322" w:type="dxa"/>
            <w:tcBorders>
              <w:top w:val="single" w:color="auto" w:sz="4" w:space="0"/>
              <w:left w:val="single" w:color="auto" w:sz="4" w:space="0"/>
              <w:right w:val="single" w:color="auto" w:sz="4" w:space="0"/>
            </w:tcBorders>
            <w:vAlign w:val="center"/>
          </w:tcPr>
          <w:p>
            <w:pPr>
              <w:pStyle w:val="22"/>
              <w:spacing w:line="360" w:lineRule="auto"/>
              <w:jc w:val="center"/>
              <w:rPr>
                <w:sz w:val="24"/>
                <w:szCs w:val="24"/>
              </w:rPr>
            </w:pPr>
          </w:p>
        </w:tc>
        <w:tc>
          <w:tcPr>
            <w:tcW w:w="1109" w:type="dxa"/>
            <w:tcBorders>
              <w:top w:val="single" w:color="auto" w:sz="4" w:space="0"/>
              <w:left w:val="single" w:color="auto" w:sz="4" w:space="0"/>
              <w:right w:val="single" w:color="auto" w:sz="4" w:space="0"/>
            </w:tcBorders>
            <w:vAlign w:val="center"/>
          </w:tcPr>
          <w:p>
            <w:pPr>
              <w:pStyle w:val="22"/>
              <w:spacing w:line="360" w:lineRule="auto"/>
              <w:jc w:val="center"/>
              <w:rPr>
                <w:sz w:val="24"/>
                <w:szCs w:val="24"/>
              </w:rPr>
            </w:pPr>
          </w:p>
        </w:tc>
        <w:tc>
          <w:tcPr>
            <w:tcW w:w="754"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42" w:type="dxa"/>
            <w:tcBorders>
              <w:top w:val="single" w:color="auto" w:sz="4" w:space="0"/>
              <w:left w:val="single" w:color="auto" w:sz="4" w:space="0"/>
              <w:right w:val="single" w:color="auto" w:sz="4" w:space="0"/>
            </w:tcBorders>
            <w:vAlign w:val="center"/>
          </w:tcPr>
          <w:p>
            <w:pPr>
              <w:pStyle w:val="22"/>
              <w:spacing w:line="360" w:lineRule="auto"/>
              <w:jc w:val="center"/>
              <w:rPr>
                <w:rFonts w:hint="eastAsia"/>
                <w:sz w:val="24"/>
                <w:szCs w:val="24"/>
              </w:rPr>
            </w:pPr>
            <w:r>
              <w:rPr>
                <w:rFonts w:hint="eastAsia"/>
                <w:sz w:val="24"/>
                <w:szCs w:val="24"/>
              </w:rPr>
              <w:t>4</w:t>
            </w:r>
          </w:p>
        </w:tc>
        <w:tc>
          <w:tcPr>
            <w:tcW w:w="699" w:type="dxa"/>
            <w:tcBorders>
              <w:top w:val="single" w:color="auto" w:sz="4" w:space="0"/>
              <w:left w:val="single" w:color="auto" w:sz="4" w:space="0"/>
              <w:right w:val="single" w:color="auto" w:sz="4" w:space="0"/>
            </w:tcBorders>
            <w:vAlign w:val="center"/>
          </w:tcPr>
          <w:p>
            <w:pPr>
              <w:pStyle w:val="22"/>
              <w:jc w:val="center"/>
              <w:rPr>
                <w:sz w:val="24"/>
                <w:szCs w:val="24"/>
              </w:rPr>
            </w:pPr>
          </w:p>
        </w:tc>
        <w:tc>
          <w:tcPr>
            <w:tcW w:w="669" w:type="dxa"/>
            <w:tcBorders>
              <w:top w:val="single" w:color="auto" w:sz="4" w:space="0"/>
              <w:left w:val="single" w:color="auto" w:sz="4" w:space="0"/>
              <w:right w:val="single" w:color="auto" w:sz="4" w:space="0"/>
            </w:tcBorders>
            <w:vAlign w:val="center"/>
          </w:tcPr>
          <w:p>
            <w:pPr>
              <w:pStyle w:val="22"/>
              <w:spacing w:line="360" w:lineRule="auto"/>
              <w:jc w:val="center"/>
              <w:rPr>
                <w:sz w:val="24"/>
                <w:szCs w:val="24"/>
              </w:rPr>
            </w:pPr>
          </w:p>
        </w:tc>
        <w:tc>
          <w:tcPr>
            <w:tcW w:w="669" w:type="dxa"/>
            <w:tcBorders>
              <w:top w:val="single" w:color="auto" w:sz="4" w:space="0"/>
              <w:left w:val="single" w:color="auto" w:sz="4" w:space="0"/>
              <w:right w:val="single" w:color="auto" w:sz="4" w:space="0"/>
            </w:tcBorders>
            <w:vAlign w:val="center"/>
          </w:tcPr>
          <w:p>
            <w:pPr>
              <w:pStyle w:val="22"/>
              <w:spacing w:line="360" w:lineRule="auto"/>
              <w:jc w:val="center"/>
              <w:rPr>
                <w:sz w:val="24"/>
                <w:szCs w:val="24"/>
              </w:rPr>
            </w:pPr>
          </w:p>
        </w:tc>
        <w:tc>
          <w:tcPr>
            <w:tcW w:w="502" w:type="dxa"/>
            <w:tcBorders>
              <w:top w:val="single" w:color="auto" w:sz="4" w:space="0"/>
              <w:left w:val="single" w:color="auto" w:sz="4" w:space="0"/>
              <w:right w:val="single" w:color="auto" w:sz="4" w:space="0"/>
            </w:tcBorders>
            <w:vAlign w:val="center"/>
          </w:tcPr>
          <w:p>
            <w:pPr>
              <w:pStyle w:val="22"/>
              <w:spacing w:line="360" w:lineRule="auto"/>
              <w:jc w:val="center"/>
              <w:rPr>
                <w:sz w:val="24"/>
                <w:szCs w:val="24"/>
              </w:rPr>
            </w:pPr>
          </w:p>
        </w:tc>
        <w:tc>
          <w:tcPr>
            <w:tcW w:w="867" w:type="dxa"/>
            <w:tcBorders>
              <w:top w:val="single" w:color="auto" w:sz="4" w:space="0"/>
              <w:left w:val="single" w:color="auto" w:sz="4" w:space="0"/>
              <w:right w:val="single" w:color="auto" w:sz="4" w:space="0"/>
            </w:tcBorders>
            <w:vAlign w:val="center"/>
          </w:tcPr>
          <w:p>
            <w:pPr>
              <w:pStyle w:val="22"/>
              <w:spacing w:line="360" w:lineRule="auto"/>
              <w:jc w:val="center"/>
              <w:rPr>
                <w:sz w:val="24"/>
                <w:szCs w:val="24"/>
              </w:rPr>
            </w:pPr>
          </w:p>
        </w:tc>
        <w:tc>
          <w:tcPr>
            <w:tcW w:w="955" w:type="dxa"/>
            <w:tcBorders>
              <w:top w:val="single" w:color="auto" w:sz="4" w:space="0"/>
              <w:left w:val="single" w:color="auto" w:sz="4" w:space="0"/>
              <w:right w:val="single" w:color="auto" w:sz="4" w:space="0"/>
            </w:tcBorders>
            <w:vAlign w:val="center"/>
          </w:tcPr>
          <w:p>
            <w:pPr>
              <w:pStyle w:val="22"/>
              <w:spacing w:line="360" w:lineRule="auto"/>
              <w:jc w:val="center"/>
              <w:rPr>
                <w:sz w:val="24"/>
                <w:szCs w:val="24"/>
              </w:rPr>
            </w:pPr>
          </w:p>
        </w:tc>
        <w:tc>
          <w:tcPr>
            <w:tcW w:w="1213" w:type="dxa"/>
            <w:tcBorders>
              <w:top w:val="single" w:color="auto" w:sz="4" w:space="0"/>
              <w:left w:val="single" w:color="auto" w:sz="4" w:space="0"/>
              <w:right w:val="single" w:color="auto" w:sz="4" w:space="0"/>
            </w:tcBorders>
            <w:vAlign w:val="center"/>
          </w:tcPr>
          <w:p>
            <w:pPr>
              <w:pStyle w:val="22"/>
              <w:spacing w:line="360" w:lineRule="auto"/>
              <w:jc w:val="center"/>
              <w:rPr>
                <w:sz w:val="24"/>
                <w:szCs w:val="24"/>
              </w:rPr>
            </w:pPr>
          </w:p>
        </w:tc>
        <w:tc>
          <w:tcPr>
            <w:tcW w:w="1322" w:type="dxa"/>
            <w:tcBorders>
              <w:top w:val="single" w:color="auto" w:sz="4" w:space="0"/>
              <w:left w:val="single" w:color="auto" w:sz="4" w:space="0"/>
              <w:right w:val="single" w:color="auto" w:sz="4" w:space="0"/>
            </w:tcBorders>
            <w:vAlign w:val="center"/>
          </w:tcPr>
          <w:p>
            <w:pPr>
              <w:pStyle w:val="22"/>
              <w:spacing w:line="360" w:lineRule="auto"/>
              <w:jc w:val="center"/>
              <w:rPr>
                <w:sz w:val="24"/>
                <w:szCs w:val="24"/>
              </w:rPr>
            </w:pPr>
          </w:p>
        </w:tc>
        <w:tc>
          <w:tcPr>
            <w:tcW w:w="1109" w:type="dxa"/>
            <w:tcBorders>
              <w:top w:val="single" w:color="auto" w:sz="4" w:space="0"/>
              <w:left w:val="single" w:color="auto" w:sz="4" w:space="0"/>
              <w:right w:val="single" w:color="auto" w:sz="4" w:space="0"/>
            </w:tcBorders>
            <w:vAlign w:val="center"/>
          </w:tcPr>
          <w:p>
            <w:pPr>
              <w:pStyle w:val="22"/>
              <w:spacing w:line="360" w:lineRule="auto"/>
              <w:jc w:val="center"/>
              <w:rPr>
                <w:sz w:val="24"/>
                <w:szCs w:val="24"/>
              </w:rPr>
            </w:pPr>
          </w:p>
        </w:tc>
        <w:tc>
          <w:tcPr>
            <w:tcW w:w="754"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42" w:type="dxa"/>
            <w:tcBorders>
              <w:top w:val="single" w:color="auto" w:sz="4" w:space="0"/>
              <w:left w:val="single" w:color="auto" w:sz="4" w:space="0"/>
              <w:right w:val="single" w:color="auto" w:sz="4" w:space="0"/>
            </w:tcBorders>
            <w:vAlign w:val="center"/>
          </w:tcPr>
          <w:p>
            <w:pPr>
              <w:pStyle w:val="22"/>
              <w:spacing w:line="360" w:lineRule="auto"/>
              <w:jc w:val="center"/>
              <w:rPr>
                <w:sz w:val="24"/>
                <w:szCs w:val="24"/>
              </w:rPr>
            </w:pPr>
          </w:p>
        </w:tc>
        <w:tc>
          <w:tcPr>
            <w:tcW w:w="699" w:type="dxa"/>
            <w:tcBorders>
              <w:top w:val="single" w:color="auto" w:sz="4" w:space="0"/>
              <w:left w:val="single" w:color="auto" w:sz="4" w:space="0"/>
              <w:right w:val="single" w:color="auto" w:sz="4" w:space="0"/>
            </w:tcBorders>
            <w:vAlign w:val="center"/>
          </w:tcPr>
          <w:p>
            <w:pPr>
              <w:pStyle w:val="22"/>
              <w:jc w:val="center"/>
              <w:rPr>
                <w:rFonts w:hint="eastAsia"/>
                <w:sz w:val="24"/>
                <w:szCs w:val="24"/>
              </w:rPr>
            </w:pPr>
            <w:r>
              <w:rPr>
                <w:rFonts w:hint="eastAsia"/>
                <w:sz w:val="24"/>
                <w:szCs w:val="24"/>
              </w:rPr>
              <w:t>总 计</w:t>
            </w:r>
          </w:p>
        </w:tc>
        <w:tc>
          <w:tcPr>
            <w:tcW w:w="7306" w:type="dxa"/>
            <w:gridSpan w:val="8"/>
            <w:tcBorders>
              <w:top w:val="single" w:color="auto" w:sz="4" w:space="0"/>
              <w:left w:val="single" w:color="auto" w:sz="4" w:space="0"/>
              <w:right w:val="single" w:color="auto" w:sz="4" w:space="0"/>
            </w:tcBorders>
            <w:vAlign w:val="center"/>
          </w:tcPr>
          <w:p>
            <w:pPr>
              <w:pStyle w:val="22"/>
              <w:spacing w:line="360" w:lineRule="auto"/>
              <w:jc w:val="center"/>
              <w:rPr>
                <w:sz w:val="24"/>
                <w:szCs w:val="24"/>
              </w:rPr>
            </w:pPr>
          </w:p>
        </w:tc>
        <w:tc>
          <w:tcPr>
            <w:tcW w:w="754"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1341" w:type="dxa"/>
            <w:gridSpan w:val="2"/>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sz w:val="24"/>
                <w:szCs w:val="24"/>
              </w:rPr>
            </w:pPr>
            <w:r>
              <w:rPr>
                <w:sz w:val="24"/>
                <w:szCs w:val="24"/>
              </w:rPr>
              <w:t>合同总价</w:t>
            </w:r>
          </w:p>
        </w:tc>
        <w:tc>
          <w:tcPr>
            <w:tcW w:w="8060" w:type="dxa"/>
            <w:gridSpan w:val="9"/>
            <w:tcBorders>
              <w:top w:val="single" w:color="auto" w:sz="4" w:space="0"/>
              <w:left w:val="single" w:color="auto" w:sz="4" w:space="0"/>
              <w:bottom w:val="single" w:color="auto" w:sz="4" w:space="0"/>
            </w:tcBorders>
            <w:vAlign w:val="center"/>
          </w:tcPr>
          <w:p>
            <w:pPr>
              <w:widowControl/>
              <w:rPr>
                <w:rFonts w:hint="eastAsia" w:ascii="宋体"/>
                <w:sz w:val="24"/>
                <w:szCs w:val="24"/>
                <w:u w:val="single"/>
              </w:rPr>
            </w:pPr>
            <w:r>
              <w:rPr>
                <w:rFonts w:hint="eastAsia" w:ascii="宋体"/>
                <w:sz w:val="24"/>
                <w:szCs w:val="24"/>
              </w:rPr>
              <w:t>人民币（大写）</w:t>
            </w:r>
            <w:r>
              <w:rPr>
                <w:rFonts w:hint="eastAsia" w:ascii="宋体"/>
                <w:sz w:val="24"/>
                <w:szCs w:val="24"/>
                <w:u w:val="single"/>
              </w:rPr>
              <w:t xml:space="preserve">                    </w:t>
            </w:r>
            <w:r>
              <w:rPr>
                <w:rFonts w:hint="eastAsia" w:ascii="宋体"/>
                <w:sz w:val="24"/>
                <w:szCs w:val="24"/>
              </w:rPr>
              <w:t>；其中：设备款</w:t>
            </w:r>
            <w:r>
              <w:rPr>
                <w:rFonts w:hint="eastAsia" w:ascii="宋体"/>
                <w:sz w:val="24"/>
                <w:szCs w:val="24"/>
                <w:u w:val="single"/>
              </w:rPr>
              <w:t xml:space="preserve">         </w:t>
            </w:r>
            <w:r>
              <w:rPr>
                <w:rFonts w:hint="eastAsia" w:ascii="宋体"/>
                <w:sz w:val="24"/>
                <w:szCs w:val="24"/>
              </w:rPr>
              <w:t>安装款</w:t>
            </w:r>
            <w:r>
              <w:rPr>
                <w:rFonts w:hint="eastAsia" w:ascii="宋体"/>
                <w:sz w:val="24"/>
                <w:szCs w:val="24"/>
                <w:u w:val="single"/>
              </w:rPr>
              <w:t xml:space="preserve">          </w:t>
            </w:r>
            <w:r>
              <w:rPr>
                <w:rFonts w:hint="eastAsia" w:ascii="宋体"/>
                <w:sz w:val="24"/>
                <w:szCs w:val="24"/>
              </w:rPr>
              <w:t>。</w:t>
            </w:r>
          </w:p>
        </w:tc>
      </w:tr>
    </w:tbl>
    <w:p>
      <w:pPr>
        <w:pStyle w:val="7"/>
        <w:adjustRightInd w:val="0"/>
        <w:snapToGrid w:val="0"/>
        <w:spacing w:before="0" w:after="0" w:line="360" w:lineRule="auto"/>
        <w:ind w:firstLine="482" w:firstLineChars="200"/>
        <w:contextualSpacing/>
        <w:jc w:val="both"/>
        <w:rPr>
          <w:rFonts w:hint="eastAsia" w:ascii="宋体" w:eastAsia="宋体"/>
          <w:sz w:val="24"/>
          <w:szCs w:val="24"/>
        </w:rPr>
      </w:pPr>
      <w:r>
        <w:rPr>
          <w:rFonts w:hint="eastAsia" w:ascii="宋体" w:eastAsia="宋体"/>
          <w:sz w:val="24"/>
          <w:szCs w:val="24"/>
        </w:rPr>
        <w:t>1、产品和价格</w:t>
      </w:r>
    </w:p>
    <w:p>
      <w:pPr>
        <w:spacing w:line="360" w:lineRule="auto"/>
        <w:ind w:firstLine="480" w:firstLineChars="200"/>
        <w:rPr>
          <w:rFonts w:hint="eastAsia" w:ascii="宋体"/>
          <w:sz w:val="24"/>
          <w:szCs w:val="24"/>
        </w:rPr>
      </w:pPr>
      <w:r>
        <w:rPr>
          <w:rFonts w:hint="eastAsia" w:ascii="宋体"/>
          <w:sz w:val="24"/>
          <w:szCs w:val="24"/>
        </w:rPr>
        <w:t>（本合同文本内出现的所有货币金额，如未加另行指明，其币种均为人民币。）</w:t>
      </w:r>
    </w:p>
    <w:p>
      <w:pPr>
        <w:pStyle w:val="7"/>
        <w:adjustRightInd w:val="0"/>
        <w:snapToGrid w:val="0"/>
        <w:spacing w:before="0" w:after="0" w:line="360" w:lineRule="auto"/>
        <w:ind w:firstLine="482" w:firstLineChars="200"/>
        <w:contextualSpacing/>
        <w:jc w:val="both"/>
        <w:rPr>
          <w:rFonts w:hint="eastAsia" w:ascii="宋体" w:eastAsia="宋体"/>
          <w:sz w:val="24"/>
          <w:szCs w:val="24"/>
        </w:rPr>
      </w:pPr>
      <w:r>
        <w:rPr>
          <w:rFonts w:hint="eastAsia" w:ascii="宋体" w:eastAsia="宋体"/>
          <w:sz w:val="24"/>
          <w:szCs w:val="24"/>
        </w:rPr>
        <w:t>2、合同生效</w:t>
      </w:r>
    </w:p>
    <w:p>
      <w:pPr>
        <w:spacing w:line="360" w:lineRule="auto"/>
        <w:ind w:firstLine="480" w:firstLineChars="200"/>
        <w:rPr>
          <w:rFonts w:hint="eastAsia" w:ascii="宋体"/>
          <w:sz w:val="24"/>
          <w:szCs w:val="24"/>
        </w:rPr>
      </w:pPr>
      <w:r>
        <w:rPr>
          <w:rFonts w:hint="eastAsia" w:ascii="宋体"/>
          <w:sz w:val="24"/>
          <w:szCs w:val="24"/>
        </w:rPr>
        <w:t>本合同经双方签字、盖章、经公证并提交履约保证金后生效。</w:t>
      </w:r>
    </w:p>
    <w:p>
      <w:pPr>
        <w:pStyle w:val="7"/>
        <w:adjustRightInd w:val="0"/>
        <w:snapToGrid w:val="0"/>
        <w:spacing w:before="0" w:after="0" w:line="360" w:lineRule="auto"/>
        <w:ind w:firstLine="482" w:firstLineChars="200"/>
        <w:contextualSpacing/>
        <w:jc w:val="both"/>
        <w:rPr>
          <w:rFonts w:hint="eastAsia" w:ascii="宋体" w:eastAsia="宋体"/>
          <w:sz w:val="24"/>
          <w:szCs w:val="24"/>
        </w:rPr>
      </w:pPr>
      <w:r>
        <w:rPr>
          <w:rFonts w:hint="eastAsia" w:ascii="宋体" w:eastAsia="宋体"/>
          <w:sz w:val="24"/>
          <w:szCs w:val="24"/>
        </w:rPr>
        <w:t>3、履约保证金</w:t>
      </w:r>
    </w:p>
    <w:p>
      <w:pPr>
        <w:adjustRightInd w:val="0"/>
        <w:snapToGrid w:val="0"/>
        <w:spacing w:line="360" w:lineRule="auto"/>
        <w:ind w:firstLine="480" w:firstLineChars="200"/>
        <w:rPr>
          <w:rFonts w:hint="eastAsia" w:ascii="宋体"/>
          <w:sz w:val="24"/>
          <w:szCs w:val="24"/>
        </w:rPr>
      </w:pPr>
      <w:r>
        <w:rPr>
          <w:rFonts w:hint="eastAsia" w:ascii="宋体"/>
          <w:sz w:val="24"/>
          <w:szCs w:val="24"/>
          <w:lang w:eastAsia="zh-CN"/>
        </w:rPr>
        <w:t>乙方</w:t>
      </w:r>
      <w:r>
        <w:rPr>
          <w:rFonts w:hint="eastAsia" w:ascii="宋体"/>
          <w:sz w:val="24"/>
          <w:szCs w:val="24"/>
        </w:rPr>
        <w:t>在收到中标通知书后7天内，向</w:t>
      </w:r>
      <w:r>
        <w:rPr>
          <w:rFonts w:hint="eastAsia" w:ascii="宋体"/>
          <w:sz w:val="24"/>
          <w:szCs w:val="24"/>
          <w:lang w:eastAsia="zh-CN"/>
        </w:rPr>
        <w:t>甲方</w:t>
      </w:r>
      <w:r>
        <w:rPr>
          <w:rFonts w:hint="eastAsia" w:ascii="宋体"/>
          <w:sz w:val="24"/>
          <w:szCs w:val="24"/>
        </w:rPr>
        <w:t>提交本项目下合同总价的</w:t>
      </w:r>
      <w:r>
        <w:rPr>
          <w:rFonts w:hint="eastAsia" w:ascii="宋体"/>
          <w:sz w:val="24"/>
          <w:szCs w:val="24"/>
          <w:lang w:val="en-US" w:eastAsia="zh-CN"/>
        </w:rPr>
        <w:t>1</w:t>
      </w:r>
      <w:r>
        <w:rPr>
          <w:rFonts w:hint="eastAsia" w:ascii="宋体"/>
          <w:sz w:val="24"/>
          <w:szCs w:val="24"/>
        </w:rPr>
        <w:t>%，即￥</w:t>
      </w:r>
      <w:r>
        <w:rPr>
          <w:rFonts w:hint="eastAsia" w:ascii="宋体"/>
          <w:sz w:val="24"/>
          <w:szCs w:val="24"/>
          <w:u w:val="single"/>
        </w:rPr>
        <w:t xml:space="preserve">     </w:t>
      </w:r>
      <w:r>
        <w:rPr>
          <w:rFonts w:hint="eastAsia" w:ascii="宋体"/>
          <w:sz w:val="24"/>
          <w:szCs w:val="24"/>
        </w:rPr>
        <w:t>元的履约保证金，</w:t>
      </w:r>
      <w:r>
        <w:rPr>
          <w:rFonts w:hint="eastAsia" w:ascii="宋体"/>
          <w:sz w:val="24"/>
          <w:szCs w:val="24"/>
          <w:lang w:val="en-US" w:eastAsia="zh-CN"/>
        </w:rPr>
        <w:t>履约完成转质量保证金</w:t>
      </w:r>
      <w:r>
        <w:rPr>
          <w:rFonts w:hint="eastAsia" w:ascii="宋体"/>
          <w:sz w:val="24"/>
          <w:szCs w:val="24"/>
        </w:rPr>
        <w:t>。</w:t>
      </w:r>
    </w:p>
    <w:p>
      <w:pPr>
        <w:pStyle w:val="7"/>
        <w:adjustRightInd w:val="0"/>
        <w:snapToGrid w:val="0"/>
        <w:spacing w:before="0" w:after="0" w:line="360" w:lineRule="auto"/>
        <w:ind w:firstLine="482" w:firstLineChars="200"/>
        <w:contextualSpacing/>
        <w:jc w:val="both"/>
        <w:rPr>
          <w:rFonts w:hint="eastAsia" w:ascii="宋体" w:eastAsia="宋体"/>
          <w:sz w:val="24"/>
          <w:szCs w:val="24"/>
        </w:rPr>
      </w:pPr>
      <w:r>
        <w:rPr>
          <w:rFonts w:hint="eastAsia" w:ascii="宋体" w:eastAsia="宋体"/>
          <w:sz w:val="24"/>
          <w:szCs w:val="24"/>
        </w:rPr>
        <w:t>4、货款支付</w:t>
      </w:r>
    </w:p>
    <w:p>
      <w:pPr>
        <w:numPr>
          <w:ilvl w:val="1"/>
          <w:numId w:val="7"/>
        </w:numPr>
        <w:tabs>
          <w:tab w:val="left" w:pos="720"/>
        </w:tabs>
        <w:adjustRightInd w:val="0"/>
        <w:snapToGrid w:val="0"/>
        <w:spacing w:line="360" w:lineRule="auto"/>
        <w:ind w:left="0" w:firstLine="482" w:firstLineChars="200"/>
        <w:rPr>
          <w:rFonts w:hint="eastAsia" w:ascii="宋体"/>
          <w:b/>
          <w:sz w:val="24"/>
          <w:szCs w:val="24"/>
        </w:rPr>
      </w:pPr>
      <w:r>
        <w:rPr>
          <w:rFonts w:hint="eastAsia" w:ascii="宋体"/>
          <w:b/>
          <w:sz w:val="24"/>
          <w:szCs w:val="24"/>
        </w:rPr>
        <w:t>设备款支付</w:t>
      </w:r>
    </w:p>
    <w:p>
      <w:pPr>
        <w:spacing w:line="400" w:lineRule="exac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根据省财政厅《关于进一步发挥政府采购政策功能全力推动经济稳进提质的通知》（浙财采监【2022】3号）要求，制定如下付款方式：</w:t>
      </w:r>
    </w:p>
    <w:p>
      <w:pPr>
        <w:pStyle w:val="2"/>
        <w:numPr>
          <w:ilvl w:val="0"/>
          <w:numId w:val="0"/>
        </w:numPr>
        <w:spacing w:line="360" w:lineRule="auto"/>
        <w:rPr>
          <w:rFonts w:hint="eastAsia" w:ascii="宋体" w:hAnsi="宋体" w:eastAsia="宋体" w:cs="宋体"/>
          <w:kern w:val="1"/>
          <w:sz w:val="24"/>
          <w:szCs w:val="24"/>
          <w:highlight w:val="none"/>
          <w:lang w:val="en-US" w:eastAsia="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kern w:val="1"/>
          <w:sz w:val="24"/>
          <w:szCs w:val="24"/>
          <w:highlight w:val="none"/>
          <w:lang w:val="en-US" w:eastAsia="zh-CN"/>
        </w:rPr>
        <w:t>、</w:t>
      </w:r>
      <w:r>
        <w:rPr>
          <w:rFonts w:hint="eastAsia" w:ascii="宋体" w:hAnsi="宋体" w:eastAsia="宋体" w:cs="宋体"/>
          <w:kern w:val="1"/>
          <w:sz w:val="24"/>
          <w:szCs w:val="24"/>
          <w:highlight w:val="none"/>
          <w:lang w:eastAsia="zh-CN"/>
        </w:rPr>
        <w:t>如</w:t>
      </w:r>
      <w:r>
        <w:rPr>
          <w:rFonts w:hint="eastAsia" w:ascii="宋体" w:hAnsi="宋体" w:eastAsia="宋体" w:cs="宋体"/>
          <w:kern w:val="1"/>
          <w:sz w:val="24"/>
          <w:szCs w:val="24"/>
          <w:highlight w:val="none"/>
          <w:lang w:val="en-US" w:eastAsia="zh-CN"/>
        </w:rPr>
        <w:t>中</w:t>
      </w:r>
      <w:r>
        <w:rPr>
          <w:rFonts w:hint="eastAsia" w:ascii="宋体" w:hAnsi="宋体" w:eastAsia="宋体" w:cs="宋体"/>
          <w:kern w:val="1"/>
          <w:sz w:val="24"/>
          <w:szCs w:val="24"/>
          <w:highlight w:val="none"/>
          <w:lang w:eastAsia="zh-CN"/>
        </w:rPr>
        <w:t>小微企业中标，</w:t>
      </w:r>
      <w:r>
        <w:rPr>
          <w:rFonts w:hint="eastAsia" w:ascii="宋体" w:hAnsi="宋体" w:eastAsia="宋体" w:cs="宋体"/>
          <w:kern w:val="1"/>
          <w:sz w:val="24"/>
          <w:szCs w:val="24"/>
          <w:highlight w:val="none"/>
        </w:rPr>
        <w:t>项目合同签订后</w:t>
      </w:r>
      <w:r>
        <w:rPr>
          <w:rFonts w:hint="eastAsia" w:ascii="宋体" w:hAnsi="宋体" w:eastAsia="宋体" w:cs="宋体"/>
          <w:kern w:val="1"/>
          <w:sz w:val="24"/>
          <w:szCs w:val="24"/>
          <w:highlight w:val="none"/>
          <w:lang w:eastAsia="zh-CN"/>
        </w:rPr>
        <w:t>七个工作</w:t>
      </w:r>
      <w:r>
        <w:rPr>
          <w:rFonts w:hint="eastAsia" w:ascii="宋体" w:hAnsi="宋体" w:eastAsia="宋体" w:cs="宋体"/>
          <w:kern w:val="1"/>
          <w:sz w:val="24"/>
          <w:szCs w:val="24"/>
          <w:highlight w:val="none"/>
        </w:rPr>
        <w:t>日内支付合同总金额的</w:t>
      </w:r>
      <w:r>
        <w:rPr>
          <w:rFonts w:hint="eastAsia" w:hAnsi="宋体" w:cs="宋体"/>
          <w:kern w:val="1"/>
          <w:sz w:val="24"/>
          <w:szCs w:val="24"/>
          <w:highlight w:val="none"/>
          <w:lang w:val="en-US" w:eastAsia="zh-CN"/>
        </w:rPr>
        <w:t>4</w:t>
      </w:r>
      <w:r>
        <w:rPr>
          <w:rFonts w:hint="eastAsia" w:ascii="宋体" w:hAnsi="宋体" w:eastAsia="宋体" w:cs="宋体"/>
          <w:kern w:val="1"/>
          <w:sz w:val="24"/>
          <w:szCs w:val="24"/>
          <w:highlight w:val="none"/>
        </w:rPr>
        <w:t>0%</w:t>
      </w:r>
      <w:r>
        <w:rPr>
          <w:rFonts w:hint="eastAsia" w:ascii="宋体" w:hAnsi="宋体" w:eastAsia="宋体" w:cs="宋体"/>
          <w:kern w:val="1"/>
          <w:sz w:val="24"/>
          <w:szCs w:val="24"/>
          <w:highlight w:val="none"/>
          <w:lang w:eastAsia="zh-CN"/>
        </w:rPr>
        <w:t>（如若不是中小微企业中标直接从第</w:t>
      </w:r>
      <w:r>
        <w:rPr>
          <w:rFonts w:hint="eastAsia" w:ascii="宋体" w:hAnsi="宋体" w:eastAsia="宋体" w:cs="宋体"/>
          <w:kern w:val="1"/>
          <w:sz w:val="24"/>
          <w:szCs w:val="24"/>
          <w:highlight w:val="none"/>
          <w:lang w:val="en-US" w:eastAsia="zh-CN"/>
        </w:rPr>
        <w:t>2点开始支付</w:t>
      </w:r>
      <w:r>
        <w:rPr>
          <w:rFonts w:hint="eastAsia" w:ascii="宋体" w:hAnsi="宋体" w:eastAsia="宋体" w:cs="宋体"/>
          <w:kern w:val="1"/>
          <w:sz w:val="24"/>
          <w:szCs w:val="24"/>
          <w:highlight w:val="none"/>
          <w:lang w:eastAsia="zh-CN"/>
        </w:rPr>
        <w:t>）</w:t>
      </w:r>
      <w:r>
        <w:rPr>
          <w:rFonts w:hint="eastAsia" w:ascii="宋体" w:hAnsi="宋体" w:eastAsia="宋体" w:cs="宋体"/>
          <w:kern w:val="1"/>
          <w:sz w:val="24"/>
          <w:szCs w:val="24"/>
          <w:highlight w:val="none"/>
          <w:lang w:val="en-US" w:eastAsia="zh-CN"/>
        </w:rPr>
        <w:t>；</w:t>
      </w:r>
    </w:p>
    <w:p>
      <w:pPr>
        <w:pStyle w:val="2"/>
        <w:numPr>
          <w:ilvl w:val="0"/>
          <w:numId w:val="0"/>
        </w:numPr>
        <w:spacing w:line="360" w:lineRule="auto"/>
        <w:rPr>
          <w:rFonts w:hint="eastAsia" w:ascii="宋体" w:hAnsi="宋体" w:eastAsia="宋体" w:cs="宋体"/>
          <w:kern w:val="1"/>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kern w:val="1"/>
          <w:sz w:val="24"/>
          <w:szCs w:val="24"/>
          <w:highlight w:val="none"/>
          <w:lang w:val="en-US" w:eastAsia="zh-CN"/>
        </w:rPr>
        <w:t>、</w:t>
      </w:r>
      <w:r>
        <w:rPr>
          <w:rFonts w:hint="eastAsia" w:ascii="宋体" w:hAnsi="宋体" w:eastAsia="宋体" w:cs="宋体"/>
          <w:kern w:val="1"/>
          <w:sz w:val="24"/>
          <w:szCs w:val="24"/>
          <w:highlight w:val="none"/>
        </w:rPr>
        <w:t>全部货物送达现场后支付合同总价的</w:t>
      </w:r>
      <w:r>
        <w:rPr>
          <w:rFonts w:hint="eastAsia" w:ascii="宋体" w:hAnsi="宋体" w:eastAsia="宋体" w:cs="宋体"/>
          <w:kern w:val="1"/>
          <w:sz w:val="24"/>
          <w:szCs w:val="24"/>
          <w:highlight w:val="none"/>
          <w:lang w:val="en-US" w:eastAsia="zh-CN"/>
        </w:rPr>
        <w:t>70</w:t>
      </w:r>
      <w:r>
        <w:rPr>
          <w:rFonts w:hint="eastAsia" w:ascii="宋体" w:hAnsi="宋体" w:eastAsia="宋体" w:cs="宋体"/>
          <w:kern w:val="1"/>
          <w:sz w:val="24"/>
          <w:szCs w:val="24"/>
          <w:highlight w:val="none"/>
        </w:rPr>
        <w:t>%；</w:t>
      </w:r>
    </w:p>
    <w:p>
      <w:pPr>
        <w:pStyle w:val="2"/>
        <w:numPr>
          <w:ilvl w:val="0"/>
          <w:numId w:val="0"/>
        </w:numPr>
        <w:spacing w:line="360" w:lineRule="auto"/>
        <w:rPr>
          <w:rFonts w:hint="eastAsia" w:ascii="宋体" w:hAnsi="宋体" w:eastAsia="宋体" w:cs="宋体"/>
          <w:kern w:val="1"/>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kern w:val="1"/>
          <w:sz w:val="24"/>
          <w:szCs w:val="24"/>
          <w:highlight w:val="none"/>
          <w:lang w:val="en-US" w:eastAsia="zh-CN"/>
        </w:rPr>
        <w:t>、</w:t>
      </w:r>
      <w:r>
        <w:rPr>
          <w:rFonts w:hint="eastAsia" w:ascii="宋体" w:hAnsi="宋体" w:eastAsia="宋体" w:cs="宋体"/>
          <w:kern w:val="1"/>
          <w:sz w:val="24"/>
          <w:szCs w:val="24"/>
          <w:highlight w:val="none"/>
        </w:rPr>
        <w:t>全部货物安装完毕并验收合格后，付至结算价的100%。</w:t>
      </w:r>
    </w:p>
    <w:p>
      <w:pPr>
        <w:numPr>
          <w:ilvl w:val="1"/>
          <w:numId w:val="7"/>
        </w:numPr>
        <w:tabs>
          <w:tab w:val="left" w:pos="720"/>
        </w:tabs>
        <w:adjustRightInd w:val="0"/>
        <w:snapToGrid w:val="0"/>
        <w:spacing w:line="360" w:lineRule="auto"/>
        <w:ind w:left="0" w:firstLine="482" w:firstLineChars="200"/>
        <w:rPr>
          <w:rFonts w:hint="eastAsia" w:ascii="宋体"/>
          <w:b/>
          <w:sz w:val="24"/>
          <w:szCs w:val="24"/>
        </w:rPr>
      </w:pPr>
      <w:r>
        <w:rPr>
          <w:rFonts w:hint="eastAsia" w:ascii="宋体"/>
          <w:b/>
          <w:sz w:val="24"/>
          <w:szCs w:val="24"/>
        </w:rPr>
        <w:t>凭</w:t>
      </w:r>
      <w:r>
        <w:rPr>
          <w:rFonts w:hint="eastAsia" w:ascii="宋体"/>
          <w:b/>
          <w:sz w:val="24"/>
          <w:szCs w:val="24"/>
          <w:lang w:eastAsia="zh-CN"/>
        </w:rPr>
        <w:t>乙方</w:t>
      </w:r>
      <w:r>
        <w:rPr>
          <w:rFonts w:hint="eastAsia" w:ascii="宋体"/>
          <w:b/>
          <w:sz w:val="24"/>
          <w:szCs w:val="24"/>
        </w:rPr>
        <w:t>出具的符合发票管理制度的发票</w:t>
      </w:r>
      <w:r>
        <w:rPr>
          <w:rFonts w:hint="eastAsia" w:ascii="宋体"/>
          <w:b/>
          <w:sz w:val="24"/>
          <w:szCs w:val="24"/>
          <w:lang w:eastAsia="zh-CN"/>
        </w:rPr>
        <w:t>甲方</w:t>
      </w:r>
      <w:r>
        <w:rPr>
          <w:rFonts w:hint="eastAsia" w:ascii="宋体"/>
          <w:b/>
          <w:sz w:val="24"/>
          <w:szCs w:val="24"/>
        </w:rPr>
        <w:t>付款，若</w:t>
      </w:r>
      <w:r>
        <w:rPr>
          <w:rFonts w:hint="eastAsia" w:ascii="宋体"/>
          <w:b/>
          <w:sz w:val="24"/>
          <w:szCs w:val="24"/>
          <w:lang w:eastAsia="zh-CN"/>
        </w:rPr>
        <w:t>乙方</w:t>
      </w:r>
      <w:r>
        <w:rPr>
          <w:rFonts w:hint="eastAsia" w:ascii="宋体"/>
          <w:b/>
          <w:sz w:val="24"/>
          <w:szCs w:val="24"/>
        </w:rPr>
        <w:t>不提供或不能提供发票</w:t>
      </w:r>
      <w:r>
        <w:rPr>
          <w:rFonts w:hint="eastAsia" w:ascii="宋体"/>
          <w:b/>
          <w:sz w:val="24"/>
          <w:szCs w:val="24"/>
          <w:lang w:eastAsia="zh-CN"/>
        </w:rPr>
        <w:t>甲方</w:t>
      </w:r>
      <w:r>
        <w:rPr>
          <w:rFonts w:hint="eastAsia" w:ascii="宋体"/>
          <w:b/>
          <w:sz w:val="24"/>
          <w:szCs w:val="24"/>
        </w:rPr>
        <w:t>有权拒付，由此产生的一切责任由</w:t>
      </w:r>
      <w:r>
        <w:rPr>
          <w:rFonts w:hint="eastAsia" w:ascii="宋体"/>
          <w:b/>
          <w:sz w:val="24"/>
          <w:szCs w:val="24"/>
          <w:lang w:eastAsia="zh-CN"/>
        </w:rPr>
        <w:t>乙方</w:t>
      </w:r>
      <w:r>
        <w:rPr>
          <w:rFonts w:hint="eastAsia" w:ascii="宋体"/>
          <w:b/>
          <w:sz w:val="24"/>
          <w:szCs w:val="24"/>
        </w:rPr>
        <w:t>承担。</w:t>
      </w:r>
    </w:p>
    <w:p>
      <w:pPr>
        <w:numPr>
          <w:ilvl w:val="1"/>
          <w:numId w:val="7"/>
        </w:numPr>
        <w:tabs>
          <w:tab w:val="left" w:pos="720"/>
        </w:tabs>
        <w:adjustRightInd w:val="0"/>
        <w:snapToGrid w:val="0"/>
        <w:spacing w:line="360" w:lineRule="auto"/>
        <w:ind w:left="0" w:firstLine="482" w:firstLineChars="200"/>
        <w:rPr>
          <w:rFonts w:hint="eastAsia" w:ascii="宋体"/>
          <w:b/>
          <w:sz w:val="24"/>
          <w:szCs w:val="24"/>
        </w:rPr>
      </w:pPr>
      <w:r>
        <w:rPr>
          <w:rFonts w:hint="eastAsia" w:ascii="宋体"/>
          <w:b/>
          <w:sz w:val="24"/>
          <w:szCs w:val="24"/>
        </w:rPr>
        <w:t>合同实施过程中产生的变更联系单，相应费用在结算审计后调整支付。</w:t>
      </w:r>
    </w:p>
    <w:p>
      <w:pPr>
        <w:spacing w:line="360" w:lineRule="auto"/>
        <w:ind w:left="0" w:firstLine="482" w:firstLineChars="200"/>
        <w:rPr>
          <w:rFonts w:hint="eastAsia" w:ascii="宋体"/>
          <w:sz w:val="24"/>
          <w:szCs w:val="24"/>
        </w:rPr>
      </w:pPr>
      <w:r>
        <w:rPr>
          <w:rFonts w:hint="eastAsia" w:ascii="宋体"/>
          <w:b/>
          <w:snapToGrid w:val="0"/>
          <w:kern w:val="0"/>
          <w:sz w:val="24"/>
          <w:szCs w:val="24"/>
        </w:rPr>
        <w:t>其他补充说明：</w:t>
      </w:r>
    </w:p>
    <w:p>
      <w:pPr>
        <w:numPr>
          <w:ilvl w:val="0"/>
          <w:numId w:val="8"/>
        </w:numPr>
        <w:tabs>
          <w:tab w:val="left" w:pos="720"/>
        </w:tabs>
        <w:spacing w:line="360" w:lineRule="auto"/>
        <w:ind w:left="0" w:firstLine="480" w:firstLineChars="200"/>
        <w:rPr>
          <w:rFonts w:hint="eastAsia" w:ascii="宋体"/>
          <w:sz w:val="24"/>
          <w:szCs w:val="24"/>
        </w:rPr>
      </w:pPr>
      <w:r>
        <w:rPr>
          <w:rFonts w:hint="eastAsia" w:ascii="宋体"/>
          <w:sz w:val="24"/>
          <w:szCs w:val="24"/>
        </w:rPr>
        <w:t>工程竣工验收合格后，</w:t>
      </w:r>
      <w:r>
        <w:rPr>
          <w:rFonts w:hint="eastAsia" w:ascii="宋体"/>
          <w:sz w:val="24"/>
          <w:szCs w:val="24"/>
          <w:lang w:eastAsia="zh-CN"/>
        </w:rPr>
        <w:t>乙方</w:t>
      </w:r>
      <w:r>
        <w:rPr>
          <w:rFonts w:hint="eastAsia" w:ascii="宋体"/>
          <w:sz w:val="24"/>
          <w:szCs w:val="24"/>
        </w:rPr>
        <w:t>按合同等要求及时报送结算。结算的编制应规范、准确，以事实为依据，遵循实事求是的原则。</w:t>
      </w:r>
    </w:p>
    <w:p>
      <w:pPr>
        <w:numPr>
          <w:ilvl w:val="0"/>
          <w:numId w:val="8"/>
        </w:numPr>
        <w:tabs>
          <w:tab w:val="left" w:pos="720"/>
        </w:tabs>
        <w:spacing w:line="360" w:lineRule="auto"/>
        <w:ind w:left="0" w:firstLine="480" w:firstLineChars="200"/>
        <w:rPr>
          <w:rFonts w:hint="eastAsia" w:ascii="宋体"/>
          <w:sz w:val="24"/>
          <w:szCs w:val="24"/>
        </w:rPr>
      </w:pPr>
      <w:r>
        <w:rPr>
          <w:rFonts w:hint="eastAsia" w:ascii="宋体"/>
          <w:sz w:val="24"/>
          <w:szCs w:val="24"/>
        </w:rPr>
        <w:t>保修到期后，及时办理，若不及时办理，保修期相应延期。因</w:t>
      </w:r>
      <w:r>
        <w:rPr>
          <w:rFonts w:hint="eastAsia" w:ascii="宋体"/>
          <w:sz w:val="24"/>
          <w:szCs w:val="24"/>
          <w:lang w:eastAsia="zh-CN"/>
        </w:rPr>
        <w:t>乙方</w:t>
      </w:r>
      <w:r>
        <w:rPr>
          <w:rFonts w:hint="eastAsia" w:ascii="宋体"/>
          <w:sz w:val="24"/>
          <w:szCs w:val="24"/>
        </w:rPr>
        <w:t>原因未及时办理，视同质保期，由此所产生的相关责任及一切费用由</w:t>
      </w:r>
      <w:r>
        <w:rPr>
          <w:rFonts w:hint="eastAsia" w:ascii="宋体"/>
          <w:sz w:val="24"/>
          <w:szCs w:val="24"/>
          <w:lang w:eastAsia="zh-CN"/>
        </w:rPr>
        <w:t>乙方</w:t>
      </w:r>
      <w:r>
        <w:rPr>
          <w:rFonts w:hint="eastAsia" w:ascii="宋体"/>
          <w:sz w:val="24"/>
          <w:szCs w:val="24"/>
        </w:rPr>
        <w:t>承担。</w:t>
      </w:r>
    </w:p>
    <w:p>
      <w:pPr>
        <w:numPr>
          <w:ilvl w:val="0"/>
          <w:numId w:val="8"/>
        </w:numPr>
        <w:tabs>
          <w:tab w:val="left" w:pos="720"/>
        </w:tabs>
        <w:spacing w:line="360" w:lineRule="auto"/>
        <w:ind w:left="0" w:firstLine="480" w:firstLineChars="200"/>
        <w:rPr>
          <w:rFonts w:hint="eastAsia" w:ascii="宋体"/>
          <w:sz w:val="24"/>
          <w:szCs w:val="24"/>
        </w:rPr>
      </w:pPr>
      <w:r>
        <w:rPr>
          <w:rFonts w:hint="eastAsia" w:ascii="宋体"/>
          <w:sz w:val="24"/>
          <w:szCs w:val="24"/>
          <w:lang w:eastAsia="zh-CN"/>
        </w:rPr>
        <w:t>乙方</w:t>
      </w:r>
      <w:r>
        <w:rPr>
          <w:rFonts w:hint="eastAsia" w:ascii="宋体"/>
          <w:sz w:val="24"/>
          <w:szCs w:val="24"/>
        </w:rPr>
        <w:t>在投标时已经充分考虑到原材料、人工、安装及运输行情的价格波动。承诺在本合同履约期间如发生本合同书所涉及到的原材料、人工、安装及运输行情的价格波动，均由</w:t>
      </w:r>
      <w:r>
        <w:rPr>
          <w:rFonts w:hint="eastAsia" w:ascii="宋体"/>
          <w:sz w:val="24"/>
          <w:szCs w:val="24"/>
          <w:lang w:eastAsia="zh-CN"/>
        </w:rPr>
        <w:t>乙方</w:t>
      </w:r>
      <w:r>
        <w:rPr>
          <w:rFonts w:hint="eastAsia" w:ascii="宋体"/>
          <w:sz w:val="24"/>
          <w:szCs w:val="24"/>
        </w:rPr>
        <w:t>自行承担，并承诺不以此而影响工期及合同的履行。</w:t>
      </w:r>
    </w:p>
    <w:p>
      <w:pPr>
        <w:numPr>
          <w:ilvl w:val="0"/>
          <w:numId w:val="8"/>
        </w:numPr>
        <w:tabs>
          <w:tab w:val="left" w:pos="720"/>
        </w:tabs>
        <w:spacing w:line="360" w:lineRule="auto"/>
        <w:ind w:left="0" w:firstLine="480" w:firstLineChars="200"/>
        <w:rPr>
          <w:rFonts w:hint="eastAsia" w:ascii="宋体"/>
          <w:sz w:val="24"/>
          <w:szCs w:val="24"/>
        </w:rPr>
      </w:pPr>
      <w:r>
        <w:rPr>
          <w:rFonts w:hint="eastAsia" w:ascii="宋体"/>
          <w:sz w:val="24"/>
          <w:szCs w:val="24"/>
        </w:rPr>
        <w:t>供货过程中及验收移交之前如发生材料偷盗、损坏现象均由</w:t>
      </w:r>
      <w:r>
        <w:rPr>
          <w:rFonts w:hint="eastAsia" w:ascii="宋体"/>
          <w:sz w:val="24"/>
          <w:szCs w:val="24"/>
          <w:lang w:eastAsia="zh-CN"/>
        </w:rPr>
        <w:t>乙方</w:t>
      </w:r>
      <w:r>
        <w:rPr>
          <w:rFonts w:hint="eastAsia" w:ascii="宋体"/>
          <w:sz w:val="24"/>
          <w:szCs w:val="24"/>
        </w:rPr>
        <w:t>自行承担责任并无偿更换或修复；如</w:t>
      </w:r>
      <w:r>
        <w:rPr>
          <w:rFonts w:hint="eastAsia" w:ascii="宋体"/>
          <w:sz w:val="24"/>
          <w:szCs w:val="24"/>
          <w:lang w:eastAsia="zh-CN"/>
        </w:rPr>
        <w:t>乙方</w:t>
      </w:r>
      <w:r>
        <w:rPr>
          <w:rFonts w:hint="eastAsia" w:ascii="宋体"/>
          <w:sz w:val="24"/>
          <w:szCs w:val="24"/>
        </w:rPr>
        <w:t>原因造成</w:t>
      </w:r>
      <w:r>
        <w:rPr>
          <w:rFonts w:hint="eastAsia" w:ascii="宋体"/>
          <w:sz w:val="24"/>
          <w:szCs w:val="24"/>
          <w:lang w:eastAsia="zh-CN"/>
        </w:rPr>
        <w:t>甲方</w:t>
      </w:r>
      <w:r>
        <w:rPr>
          <w:rFonts w:hint="eastAsia" w:ascii="宋体"/>
          <w:sz w:val="24"/>
          <w:szCs w:val="24"/>
        </w:rPr>
        <w:t>其他工程成品损怀的，照价赔偿。</w:t>
      </w:r>
    </w:p>
    <w:p>
      <w:pPr>
        <w:pStyle w:val="7"/>
        <w:adjustRightInd w:val="0"/>
        <w:snapToGrid w:val="0"/>
        <w:spacing w:before="0" w:after="0" w:line="360" w:lineRule="auto"/>
        <w:ind w:firstLine="482" w:firstLineChars="200"/>
        <w:contextualSpacing/>
        <w:jc w:val="both"/>
        <w:rPr>
          <w:rFonts w:hint="eastAsia" w:ascii="宋体" w:eastAsia="宋体"/>
          <w:sz w:val="24"/>
          <w:szCs w:val="24"/>
        </w:rPr>
      </w:pPr>
      <w:r>
        <w:rPr>
          <w:rFonts w:hint="eastAsia" w:ascii="宋体" w:eastAsia="宋体"/>
          <w:sz w:val="24"/>
          <w:szCs w:val="24"/>
        </w:rPr>
        <w:t>5、交货日期</w:t>
      </w:r>
    </w:p>
    <w:p>
      <w:pPr>
        <w:pStyle w:val="22"/>
        <w:spacing w:line="360" w:lineRule="auto"/>
        <w:ind w:firstLine="480" w:firstLineChars="200"/>
        <w:rPr>
          <w:sz w:val="24"/>
          <w:szCs w:val="24"/>
        </w:rPr>
      </w:pPr>
      <w:r>
        <w:rPr>
          <w:rFonts w:hint="eastAsia"/>
          <w:sz w:val="24"/>
          <w:szCs w:val="24"/>
        </w:rPr>
        <w:t>交货日期为</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pPr>
        <w:pStyle w:val="22"/>
        <w:spacing w:line="360" w:lineRule="auto"/>
        <w:ind w:firstLine="480" w:firstLineChars="200"/>
        <w:rPr>
          <w:rFonts w:hint="eastAsia"/>
          <w:sz w:val="24"/>
          <w:szCs w:val="24"/>
        </w:rPr>
      </w:pPr>
      <w:r>
        <w:rPr>
          <w:rFonts w:hint="eastAsia"/>
          <w:sz w:val="24"/>
          <w:szCs w:val="24"/>
        </w:rPr>
        <w:t>交货方式：本工程为交钥匙工程。本合同项下货物毁损、灭失的风险在设备安装、调试结束并经有关部门检验合格由双方签署验收合格证书后转移给</w:t>
      </w:r>
      <w:r>
        <w:rPr>
          <w:rFonts w:hint="eastAsia"/>
          <w:sz w:val="24"/>
          <w:szCs w:val="24"/>
          <w:lang w:eastAsia="zh-CN"/>
        </w:rPr>
        <w:t>甲方</w:t>
      </w:r>
      <w:r>
        <w:rPr>
          <w:rFonts w:hint="eastAsia"/>
          <w:sz w:val="24"/>
          <w:szCs w:val="24"/>
        </w:rPr>
        <w:t>。货物移交</w:t>
      </w:r>
      <w:r>
        <w:rPr>
          <w:rFonts w:hint="eastAsia"/>
          <w:sz w:val="24"/>
          <w:szCs w:val="24"/>
          <w:lang w:eastAsia="zh-CN"/>
        </w:rPr>
        <w:t>甲方</w:t>
      </w:r>
      <w:r>
        <w:rPr>
          <w:rFonts w:hint="eastAsia"/>
          <w:sz w:val="24"/>
          <w:szCs w:val="24"/>
        </w:rPr>
        <w:t>前，毁损灭失的风险由</w:t>
      </w:r>
      <w:r>
        <w:rPr>
          <w:rFonts w:hint="eastAsia"/>
          <w:sz w:val="24"/>
          <w:szCs w:val="24"/>
          <w:lang w:eastAsia="zh-CN"/>
        </w:rPr>
        <w:t>乙方</w:t>
      </w:r>
      <w:r>
        <w:rPr>
          <w:rFonts w:hint="eastAsia"/>
          <w:sz w:val="24"/>
          <w:szCs w:val="24"/>
        </w:rPr>
        <w:t>承担。</w:t>
      </w:r>
    </w:p>
    <w:p>
      <w:pPr>
        <w:spacing w:line="360" w:lineRule="auto"/>
        <w:ind w:firstLine="480" w:firstLineChars="200"/>
        <w:rPr>
          <w:rFonts w:hint="eastAsia" w:ascii="宋体"/>
          <w:sz w:val="24"/>
          <w:szCs w:val="24"/>
        </w:rPr>
      </w:pPr>
      <w:r>
        <w:rPr>
          <w:rFonts w:hint="eastAsia" w:ascii="宋体"/>
          <w:sz w:val="24"/>
          <w:szCs w:val="24"/>
        </w:rPr>
        <w:t>合同设备到货前一个月，</w:t>
      </w:r>
      <w:r>
        <w:rPr>
          <w:rFonts w:hint="eastAsia" w:ascii="宋体"/>
          <w:sz w:val="24"/>
          <w:szCs w:val="24"/>
          <w:lang w:eastAsia="zh-CN"/>
        </w:rPr>
        <w:t>乙方</w:t>
      </w:r>
      <w:r>
        <w:rPr>
          <w:rFonts w:hint="eastAsia" w:ascii="宋体"/>
          <w:sz w:val="24"/>
          <w:szCs w:val="24"/>
        </w:rPr>
        <w:t>将发运信息，包括合同编号、名称、数量、发运日期、预计到货期等通知需方，以便需方做好准备，接受合同设备。</w:t>
      </w:r>
    </w:p>
    <w:p>
      <w:pPr>
        <w:adjustRightInd w:val="0"/>
        <w:snapToGrid w:val="0"/>
        <w:spacing w:line="360" w:lineRule="auto"/>
        <w:ind w:firstLine="480" w:firstLineChars="200"/>
        <w:rPr>
          <w:rFonts w:hint="eastAsia" w:ascii="宋体"/>
          <w:sz w:val="24"/>
          <w:szCs w:val="24"/>
        </w:rPr>
      </w:pPr>
      <w:r>
        <w:rPr>
          <w:rFonts w:hint="eastAsia" w:ascii="宋体"/>
          <w:sz w:val="24"/>
          <w:szCs w:val="24"/>
        </w:rPr>
        <w:t>电梯于</w:t>
      </w:r>
      <w:r>
        <w:rPr>
          <w:rFonts w:hint="eastAsia" w:ascii="宋体"/>
          <w:sz w:val="24"/>
          <w:szCs w:val="24"/>
          <w:u w:val="single"/>
        </w:rPr>
        <w:t xml:space="preserve">     </w:t>
      </w:r>
      <w:r>
        <w:rPr>
          <w:rFonts w:hint="eastAsia" w:ascii="宋体"/>
          <w:sz w:val="24"/>
          <w:szCs w:val="24"/>
        </w:rPr>
        <w:t>年</w:t>
      </w:r>
      <w:r>
        <w:rPr>
          <w:rFonts w:hint="eastAsia" w:ascii="宋体"/>
          <w:sz w:val="24"/>
          <w:szCs w:val="24"/>
          <w:u w:val="single"/>
        </w:rPr>
        <w:t xml:space="preserve">   </w:t>
      </w:r>
      <w:r>
        <w:rPr>
          <w:rFonts w:hint="eastAsia" w:ascii="宋体"/>
          <w:sz w:val="24"/>
          <w:szCs w:val="24"/>
        </w:rPr>
        <w:t>月</w:t>
      </w:r>
      <w:r>
        <w:rPr>
          <w:rFonts w:hint="eastAsia" w:ascii="宋体"/>
          <w:sz w:val="24"/>
          <w:szCs w:val="24"/>
          <w:u w:val="single"/>
        </w:rPr>
        <w:t xml:space="preserve">    </w:t>
      </w:r>
      <w:r>
        <w:rPr>
          <w:rFonts w:hint="eastAsia" w:ascii="宋体"/>
          <w:sz w:val="24"/>
          <w:szCs w:val="24"/>
        </w:rPr>
        <w:t>日前货到工地</w:t>
      </w:r>
      <w:r>
        <w:rPr>
          <w:rFonts w:hint="eastAsia" w:ascii="宋体"/>
          <w:sz w:val="24"/>
          <w:szCs w:val="24"/>
          <w:u w:val="single"/>
        </w:rPr>
        <w:t xml:space="preserve">       </w:t>
      </w:r>
      <w:r>
        <w:rPr>
          <w:rFonts w:hint="eastAsia" w:ascii="宋体"/>
          <w:sz w:val="24"/>
          <w:szCs w:val="24"/>
        </w:rPr>
        <w:t>，</w:t>
      </w:r>
      <w:r>
        <w:rPr>
          <w:rFonts w:hint="eastAsia" w:ascii="宋体"/>
          <w:sz w:val="24"/>
          <w:szCs w:val="24"/>
          <w:u w:val="single"/>
        </w:rPr>
        <w:t xml:space="preserve">    </w:t>
      </w:r>
      <w:r>
        <w:rPr>
          <w:rFonts w:hint="eastAsia" w:ascii="宋体"/>
          <w:sz w:val="24"/>
          <w:szCs w:val="24"/>
        </w:rPr>
        <w:t>月</w:t>
      </w:r>
      <w:r>
        <w:rPr>
          <w:rFonts w:hint="eastAsia" w:ascii="宋体"/>
          <w:sz w:val="24"/>
          <w:szCs w:val="24"/>
          <w:u w:val="single"/>
        </w:rPr>
        <w:t xml:space="preserve">    </w:t>
      </w:r>
      <w:r>
        <w:rPr>
          <w:rFonts w:hint="eastAsia" w:ascii="宋体"/>
          <w:sz w:val="24"/>
          <w:szCs w:val="24"/>
        </w:rPr>
        <w:t>日前调试，</w:t>
      </w:r>
      <w:r>
        <w:rPr>
          <w:rFonts w:hint="eastAsia" w:ascii="宋体"/>
          <w:sz w:val="24"/>
          <w:szCs w:val="24"/>
          <w:u w:val="single"/>
        </w:rPr>
        <w:t xml:space="preserve">     </w:t>
      </w:r>
      <w:r>
        <w:rPr>
          <w:rFonts w:hint="eastAsia" w:ascii="宋体"/>
          <w:sz w:val="24"/>
          <w:szCs w:val="24"/>
        </w:rPr>
        <w:t>年</w:t>
      </w:r>
      <w:r>
        <w:rPr>
          <w:rFonts w:hint="eastAsia" w:ascii="宋体"/>
          <w:sz w:val="24"/>
          <w:szCs w:val="24"/>
          <w:u w:val="single"/>
        </w:rPr>
        <w:t xml:space="preserve">   </w:t>
      </w:r>
      <w:r>
        <w:rPr>
          <w:rFonts w:hint="eastAsia" w:ascii="宋体"/>
          <w:sz w:val="24"/>
          <w:szCs w:val="24"/>
        </w:rPr>
        <w:t>月</w:t>
      </w:r>
      <w:r>
        <w:rPr>
          <w:rFonts w:hint="eastAsia" w:ascii="宋体"/>
          <w:sz w:val="24"/>
          <w:szCs w:val="24"/>
          <w:u w:val="single"/>
        </w:rPr>
        <w:t xml:space="preserve">   </w:t>
      </w:r>
      <w:r>
        <w:rPr>
          <w:rFonts w:hint="eastAsia" w:ascii="宋体"/>
          <w:sz w:val="24"/>
          <w:szCs w:val="24"/>
        </w:rPr>
        <w:t>日安装调试完毕。</w:t>
      </w:r>
    </w:p>
    <w:p>
      <w:pPr>
        <w:pStyle w:val="7"/>
        <w:adjustRightInd w:val="0"/>
        <w:snapToGrid w:val="0"/>
        <w:spacing w:before="0" w:after="0" w:line="360" w:lineRule="auto"/>
        <w:ind w:firstLine="482" w:firstLineChars="200"/>
        <w:contextualSpacing/>
        <w:jc w:val="both"/>
        <w:rPr>
          <w:rFonts w:hint="eastAsia" w:ascii="宋体" w:eastAsia="宋体"/>
          <w:sz w:val="24"/>
          <w:szCs w:val="24"/>
        </w:rPr>
      </w:pPr>
      <w:r>
        <w:rPr>
          <w:rFonts w:hint="eastAsia" w:ascii="宋体" w:eastAsia="宋体"/>
          <w:sz w:val="24"/>
          <w:szCs w:val="24"/>
        </w:rPr>
        <w:t>6、交货地点</w:t>
      </w:r>
    </w:p>
    <w:p>
      <w:pPr>
        <w:spacing w:line="360" w:lineRule="auto"/>
        <w:ind w:firstLine="480" w:firstLineChars="200"/>
        <w:rPr>
          <w:rFonts w:hint="eastAsia" w:ascii="宋体"/>
          <w:sz w:val="24"/>
          <w:szCs w:val="24"/>
          <w:u w:val="single"/>
        </w:rPr>
      </w:pPr>
      <w:r>
        <w:rPr>
          <w:rFonts w:hint="eastAsia" w:ascii="宋体"/>
          <w:sz w:val="24"/>
          <w:szCs w:val="24"/>
        </w:rPr>
        <w:t>产品运送到达地址为：</w:t>
      </w:r>
      <w:r>
        <w:rPr>
          <w:rFonts w:hint="eastAsia" w:ascii="宋体"/>
          <w:sz w:val="24"/>
          <w:szCs w:val="24"/>
          <w:u w:val="single"/>
        </w:rPr>
        <w:t>长兴县退役军人事务局。</w:t>
      </w:r>
    </w:p>
    <w:p>
      <w:pPr>
        <w:pStyle w:val="7"/>
        <w:numPr>
          <w:ilvl w:val="0"/>
          <w:numId w:val="9"/>
        </w:numPr>
        <w:adjustRightInd w:val="0"/>
        <w:snapToGrid w:val="0"/>
        <w:spacing w:before="0" w:after="0" w:line="360" w:lineRule="auto"/>
        <w:ind w:left="0" w:firstLine="482" w:firstLineChars="200"/>
        <w:contextualSpacing/>
        <w:jc w:val="both"/>
        <w:rPr>
          <w:rFonts w:hint="eastAsia" w:ascii="宋体" w:eastAsia="宋体"/>
          <w:sz w:val="24"/>
          <w:szCs w:val="24"/>
        </w:rPr>
      </w:pPr>
      <w:r>
        <w:rPr>
          <w:rFonts w:hint="eastAsia" w:ascii="宋体" w:eastAsia="宋体"/>
          <w:sz w:val="24"/>
          <w:szCs w:val="24"/>
        </w:rPr>
        <w:t>产品包装</w:t>
      </w:r>
    </w:p>
    <w:p>
      <w:pPr>
        <w:spacing w:line="360" w:lineRule="auto"/>
        <w:ind w:firstLine="480" w:firstLineChars="200"/>
        <w:rPr>
          <w:rFonts w:hint="eastAsia" w:ascii="宋体"/>
          <w:sz w:val="24"/>
          <w:szCs w:val="24"/>
        </w:rPr>
      </w:pPr>
      <w:r>
        <w:rPr>
          <w:rFonts w:hint="eastAsia" w:ascii="宋体"/>
          <w:sz w:val="24"/>
          <w:szCs w:val="24"/>
          <w:lang w:eastAsia="zh-CN"/>
        </w:rPr>
        <w:t>乙方</w:t>
      </w:r>
      <w:r>
        <w:rPr>
          <w:rFonts w:hint="eastAsia" w:ascii="宋体"/>
          <w:sz w:val="24"/>
          <w:szCs w:val="24"/>
        </w:rPr>
        <w:t>应提供货物运至合同规定的最终目的地所需要的包装，以防止货物在转运中损坏。这类包装应采取防潮、防晒、防锈防腐蚀、防震动及防止其它损坏的必要保护措施，从而保护货物能够经受多次搬运、装卸和内陆的长途运输。</w:t>
      </w:r>
      <w:r>
        <w:rPr>
          <w:rFonts w:hint="eastAsia" w:ascii="宋体"/>
          <w:sz w:val="24"/>
          <w:szCs w:val="24"/>
          <w:lang w:eastAsia="zh-CN"/>
        </w:rPr>
        <w:t>乙方</w:t>
      </w:r>
      <w:r>
        <w:rPr>
          <w:rFonts w:hint="eastAsia" w:ascii="宋体"/>
          <w:sz w:val="24"/>
          <w:szCs w:val="24"/>
        </w:rPr>
        <w:t>应承担由于其包装或其防护措施不妥而引起货物锈蚀、损坏和丢失的任何损失的责任或费用。</w:t>
      </w:r>
    </w:p>
    <w:p>
      <w:pPr>
        <w:pStyle w:val="7"/>
        <w:adjustRightInd w:val="0"/>
        <w:snapToGrid w:val="0"/>
        <w:spacing w:before="0" w:after="0" w:line="360" w:lineRule="auto"/>
        <w:ind w:firstLine="482" w:firstLineChars="200"/>
        <w:contextualSpacing/>
        <w:jc w:val="both"/>
        <w:rPr>
          <w:rFonts w:hint="eastAsia" w:ascii="宋体" w:eastAsia="宋体"/>
          <w:sz w:val="24"/>
          <w:szCs w:val="24"/>
        </w:rPr>
      </w:pPr>
      <w:r>
        <w:rPr>
          <w:rFonts w:hint="eastAsia" w:ascii="宋体" w:eastAsia="宋体"/>
          <w:sz w:val="24"/>
          <w:szCs w:val="24"/>
        </w:rPr>
        <w:t>8、装运标记</w:t>
      </w:r>
    </w:p>
    <w:p>
      <w:pPr>
        <w:numPr>
          <w:ilvl w:val="1"/>
          <w:numId w:val="10"/>
        </w:numPr>
        <w:tabs>
          <w:tab w:val="left" w:pos="720"/>
        </w:tabs>
        <w:spacing w:line="360" w:lineRule="auto"/>
        <w:ind w:left="0" w:firstLine="480" w:firstLineChars="200"/>
        <w:rPr>
          <w:rFonts w:hint="eastAsia" w:ascii="宋体"/>
          <w:sz w:val="24"/>
          <w:szCs w:val="24"/>
        </w:rPr>
      </w:pPr>
      <w:r>
        <w:rPr>
          <w:rFonts w:hint="eastAsia" w:ascii="宋体"/>
          <w:sz w:val="24"/>
          <w:szCs w:val="24"/>
          <w:lang w:eastAsia="zh-CN"/>
        </w:rPr>
        <w:t>乙方</w:t>
      </w:r>
      <w:r>
        <w:rPr>
          <w:rFonts w:hint="eastAsia" w:ascii="宋体"/>
          <w:sz w:val="24"/>
          <w:szCs w:val="24"/>
        </w:rPr>
        <w:t>应在每一包装箱的四面用不可擦除的油漆和明显的中文字样做出以下标记：</w:t>
      </w:r>
    </w:p>
    <w:p>
      <w:pPr>
        <w:numPr>
          <w:ilvl w:val="2"/>
          <w:numId w:val="10"/>
        </w:numPr>
        <w:tabs>
          <w:tab w:val="left" w:pos="900"/>
        </w:tabs>
        <w:spacing w:line="360" w:lineRule="auto"/>
        <w:ind w:left="0" w:firstLine="480" w:firstLineChars="200"/>
        <w:rPr>
          <w:rFonts w:hint="eastAsia" w:ascii="宋体"/>
          <w:sz w:val="24"/>
          <w:szCs w:val="24"/>
        </w:rPr>
      </w:pPr>
      <w:r>
        <w:rPr>
          <w:rFonts w:hint="eastAsia" w:ascii="宋体"/>
          <w:sz w:val="24"/>
          <w:szCs w:val="24"/>
        </w:rPr>
        <w:t>收货人；</w:t>
      </w:r>
    </w:p>
    <w:p>
      <w:pPr>
        <w:numPr>
          <w:ilvl w:val="2"/>
          <w:numId w:val="10"/>
        </w:numPr>
        <w:tabs>
          <w:tab w:val="left" w:pos="900"/>
        </w:tabs>
        <w:spacing w:line="360" w:lineRule="auto"/>
        <w:ind w:left="0" w:firstLine="480" w:firstLineChars="200"/>
        <w:rPr>
          <w:rFonts w:hint="eastAsia" w:ascii="宋体"/>
          <w:sz w:val="24"/>
          <w:szCs w:val="24"/>
        </w:rPr>
      </w:pPr>
      <w:r>
        <w:rPr>
          <w:rFonts w:hint="eastAsia" w:ascii="宋体"/>
          <w:sz w:val="24"/>
          <w:szCs w:val="24"/>
        </w:rPr>
        <w:t>合同号；</w:t>
      </w:r>
    </w:p>
    <w:p>
      <w:pPr>
        <w:numPr>
          <w:ilvl w:val="2"/>
          <w:numId w:val="10"/>
        </w:numPr>
        <w:tabs>
          <w:tab w:val="left" w:pos="900"/>
        </w:tabs>
        <w:spacing w:line="360" w:lineRule="auto"/>
        <w:ind w:left="0" w:firstLine="480" w:firstLineChars="200"/>
        <w:rPr>
          <w:rFonts w:hint="eastAsia" w:ascii="宋体"/>
          <w:sz w:val="24"/>
          <w:szCs w:val="24"/>
        </w:rPr>
      </w:pPr>
      <w:r>
        <w:rPr>
          <w:rFonts w:hint="eastAsia" w:ascii="宋体"/>
          <w:sz w:val="24"/>
          <w:szCs w:val="24"/>
        </w:rPr>
        <w:t>发货标记（唛头）；</w:t>
      </w:r>
    </w:p>
    <w:p>
      <w:pPr>
        <w:numPr>
          <w:ilvl w:val="2"/>
          <w:numId w:val="10"/>
        </w:numPr>
        <w:tabs>
          <w:tab w:val="left" w:pos="900"/>
        </w:tabs>
        <w:spacing w:line="360" w:lineRule="auto"/>
        <w:ind w:left="0" w:firstLine="480" w:firstLineChars="200"/>
        <w:rPr>
          <w:rFonts w:hint="eastAsia" w:ascii="宋体"/>
          <w:sz w:val="24"/>
          <w:szCs w:val="24"/>
        </w:rPr>
      </w:pPr>
      <w:r>
        <w:rPr>
          <w:rFonts w:hint="eastAsia" w:ascii="宋体"/>
          <w:sz w:val="24"/>
          <w:szCs w:val="24"/>
        </w:rPr>
        <w:t>收货人编号；</w:t>
      </w:r>
    </w:p>
    <w:p>
      <w:pPr>
        <w:numPr>
          <w:ilvl w:val="2"/>
          <w:numId w:val="10"/>
        </w:numPr>
        <w:tabs>
          <w:tab w:val="left" w:pos="900"/>
        </w:tabs>
        <w:spacing w:line="360" w:lineRule="auto"/>
        <w:ind w:left="0" w:firstLine="480" w:firstLineChars="200"/>
        <w:rPr>
          <w:rFonts w:hint="eastAsia" w:ascii="宋体"/>
          <w:sz w:val="24"/>
          <w:szCs w:val="24"/>
        </w:rPr>
      </w:pPr>
      <w:r>
        <w:rPr>
          <w:rFonts w:hint="eastAsia" w:ascii="宋体"/>
          <w:sz w:val="24"/>
          <w:szCs w:val="24"/>
        </w:rPr>
        <w:t>目的港；</w:t>
      </w:r>
    </w:p>
    <w:p>
      <w:pPr>
        <w:numPr>
          <w:ilvl w:val="2"/>
          <w:numId w:val="10"/>
        </w:numPr>
        <w:tabs>
          <w:tab w:val="left" w:pos="900"/>
        </w:tabs>
        <w:spacing w:line="360" w:lineRule="auto"/>
        <w:ind w:left="0" w:firstLine="480" w:firstLineChars="200"/>
        <w:rPr>
          <w:rFonts w:hint="eastAsia" w:ascii="宋体"/>
          <w:sz w:val="24"/>
          <w:szCs w:val="24"/>
        </w:rPr>
      </w:pPr>
      <w:r>
        <w:rPr>
          <w:rFonts w:hint="eastAsia" w:ascii="宋体"/>
          <w:sz w:val="24"/>
          <w:szCs w:val="24"/>
        </w:rPr>
        <w:t>货物名称、品目号和箱号；</w:t>
      </w:r>
    </w:p>
    <w:p>
      <w:pPr>
        <w:numPr>
          <w:ilvl w:val="2"/>
          <w:numId w:val="10"/>
        </w:numPr>
        <w:tabs>
          <w:tab w:val="left" w:pos="900"/>
        </w:tabs>
        <w:spacing w:line="360" w:lineRule="auto"/>
        <w:ind w:left="0" w:firstLine="480" w:firstLineChars="200"/>
        <w:rPr>
          <w:rFonts w:hint="eastAsia" w:ascii="宋体"/>
          <w:sz w:val="24"/>
          <w:szCs w:val="24"/>
        </w:rPr>
      </w:pPr>
      <w:r>
        <w:rPr>
          <w:rFonts w:hint="eastAsia" w:ascii="宋体"/>
          <w:sz w:val="24"/>
          <w:szCs w:val="24"/>
        </w:rPr>
        <w:t>毛重/净重（用kg表示）；</w:t>
      </w:r>
    </w:p>
    <w:p>
      <w:pPr>
        <w:numPr>
          <w:ilvl w:val="2"/>
          <w:numId w:val="10"/>
        </w:numPr>
        <w:tabs>
          <w:tab w:val="left" w:pos="900"/>
        </w:tabs>
        <w:spacing w:line="360" w:lineRule="auto"/>
        <w:ind w:left="0" w:firstLine="480" w:firstLineChars="200"/>
        <w:rPr>
          <w:rFonts w:hint="eastAsia" w:ascii="宋体"/>
          <w:sz w:val="24"/>
          <w:szCs w:val="24"/>
        </w:rPr>
      </w:pPr>
      <w:r>
        <w:rPr>
          <w:rFonts w:hint="eastAsia" w:ascii="宋体"/>
          <w:sz w:val="24"/>
          <w:szCs w:val="24"/>
        </w:rPr>
        <w:t>尺寸（长×宽×高用cm表示）。</w:t>
      </w:r>
    </w:p>
    <w:p>
      <w:pPr>
        <w:numPr>
          <w:ilvl w:val="1"/>
          <w:numId w:val="10"/>
        </w:numPr>
        <w:tabs>
          <w:tab w:val="left" w:pos="720"/>
        </w:tabs>
        <w:spacing w:line="360" w:lineRule="auto"/>
        <w:ind w:left="0" w:firstLine="480" w:firstLineChars="200"/>
        <w:rPr>
          <w:rFonts w:hint="eastAsia" w:ascii="宋体"/>
          <w:sz w:val="24"/>
          <w:szCs w:val="24"/>
        </w:rPr>
      </w:pPr>
      <w:r>
        <w:rPr>
          <w:rFonts w:hint="eastAsia" w:ascii="宋体"/>
          <w:sz w:val="24"/>
          <w:szCs w:val="24"/>
        </w:rPr>
        <w:t>如果单件包装箱的重量在2吨或2吨以上，</w:t>
      </w:r>
      <w:r>
        <w:rPr>
          <w:rFonts w:hint="eastAsia" w:ascii="宋体"/>
          <w:sz w:val="24"/>
          <w:szCs w:val="24"/>
          <w:lang w:eastAsia="zh-CN"/>
        </w:rPr>
        <w:t>乙方</w:t>
      </w:r>
      <w:r>
        <w:rPr>
          <w:rFonts w:hint="eastAsia" w:ascii="宋体"/>
          <w:sz w:val="24"/>
          <w:szCs w:val="24"/>
        </w:rPr>
        <w:t>应在包装箱两侧用通用的运输标记标准“重心”和“起吊点”以便装卸和搬运。</w:t>
      </w:r>
    </w:p>
    <w:p>
      <w:pPr>
        <w:spacing w:line="360" w:lineRule="auto"/>
        <w:ind w:firstLine="480" w:firstLineChars="200"/>
        <w:rPr>
          <w:rFonts w:hint="eastAsia" w:ascii="宋体"/>
          <w:sz w:val="24"/>
          <w:szCs w:val="24"/>
        </w:rPr>
      </w:pPr>
      <w:r>
        <w:rPr>
          <w:rFonts w:hint="eastAsia" w:ascii="宋体"/>
          <w:sz w:val="24"/>
          <w:szCs w:val="24"/>
        </w:rPr>
        <w:t>根据货物的特点和运输的不同要求，</w:t>
      </w:r>
      <w:r>
        <w:rPr>
          <w:rFonts w:hint="eastAsia" w:ascii="宋体"/>
          <w:sz w:val="24"/>
          <w:szCs w:val="24"/>
          <w:lang w:eastAsia="zh-CN"/>
        </w:rPr>
        <w:t>乙方</w:t>
      </w:r>
      <w:r>
        <w:rPr>
          <w:rFonts w:hint="eastAsia" w:ascii="宋体"/>
          <w:sz w:val="24"/>
          <w:szCs w:val="24"/>
        </w:rPr>
        <w:t>应在包装箱上清楚地标注“小心轻放”，“此端朝上，请勿倒置”、“保持干燥”等标记。</w:t>
      </w:r>
    </w:p>
    <w:p>
      <w:pPr>
        <w:pStyle w:val="7"/>
        <w:adjustRightInd w:val="0"/>
        <w:snapToGrid w:val="0"/>
        <w:spacing w:before="0" w:after="0" w:line="360" w:lineRule="auto"/>
        <w:ind w:firstLine="482" w:firstLineChars="200"/>
        <w:contextualSpacing/>
        <w:jc w:val="both"/>
        <w:rPr>
          <w:rFonts w:hint="eastAsia" w:ascii="宋体" w:eastAsia="宋体"/>
          <w:sz w:val="24"/>
          <w:szCs w:val="24"/>
        </w:rPr>
      </w:pPr>
      <w:r>
        <w:rPr>
          <w:rFonts w:hint="eastAsia" w:ascii="宋体" w:eastAsia="宋体"/>
          <w:sz w:val="24"/>
          <w:szCs w:val="24"/>
        </w:rPr>
        <w:t>9、装卸要求</w:t>
      </w:r>
    </w:p>
    <w:p>
      <w:pPr>
        <w:pStyle w:val="3"/>
        <w:spacing w:after="0" w:line="360" w:lineRule="auto"/>
        <w:ind w:left="0" w:firstLine="464" w:firstLineChars="200"/>
        <w:rPr>
          <w:rFonts w:hint="eastAsia" w:ascii="宋体" w:eastAsia="宋体"/>
          <w:sz w:val="24"/>
          <w:szCs w:val="24"/>
        </w:rPr>
      </w:pPr>
      <w:r>
        <w:rPr>
          <w:rFonts w:hint="eastAsia" w:ascii="宋体" w:eastAsia="宋体"/>
          <w:sz w:val="24"/>
          <w:szCs w:val="24"/>
        </w:rPr>
        <w:t>除合同另有规定外，</w:t>
      </w:r>
      <w:r>
        <w:rPr>
          <w:rFonts w:hint="eastAsia"/>
          <w:sz w:val="24"/>
          <w:szCs w:val="24"/>
          <w:lang w:eastAsia="zh-CN"/>
        </w:rPr>
        <w:t>乙方</w:t>
      </w:r>
      <w:r>
        <w:rPr>
          <w:rFonts w:hint="eastAsia" w:ascii="宋体" w:eastAsia="宋体"/>
          <w:sz w:val="24"/>
          <w:szCs w:val="24"/>
        </w:rPr>
        <w:t>提供的全部货物，均应按标准采取保护措施，确保货物安全无损运抵现场。由于装卸或运输途中一切不善所造成的损失均由</w:t>
      </w:r>
      <w:r>
        <w:rPr>
          <w:rFonts w:hint="eastAsia"/>
          <w:sz w:val="24"/>
          <w:szCs w:val="24"/>
          <w:lang w:eastAsia="zh-CN"/>
        </w:rPr>
        <w:t>乙方</w:t>
      </w:r>
      <w:r>
        <w:rPr>
          <w:rFonts w:hint="eastAsia" w:ascii="宋体" w:eastAsia="宋体"/>
          <w:sz w:val="24"/>
          <w:szCs w:val="24"/>
        </w:rPr>
        <w:t>承担。</w:t>
      </w:r>
    </w:p>
    <w:p>
      <w:pPr>
        <w:pStyle w:val="7"/>
        <w:adjustRightInd w:val="0"/>
        <w:snapToGrid w:val="0"/>
        <w:spacing w:before="0" w:after="0" w:line="360" w:lineRule="auto"/>
        <w:ind w:firstLine="482" w:firstLineChars="200"/>
        <w:contextualSpacing/>
        <w:jc w:val="both"/>
        <w:rPr>
          <w:rFonts w:hint="eastAsia" w:ascii="宋体" w:eastAsia="宋体"/>
          <w:sz w:val="24"/>
          <w:szCs w:val="24"/>
        </w:rPr>
      </w:pPr>
      <w:r>
        <w:rPr>
          <w:rFonts w:hint="eastAsia" w:ascii="宋体" w:eastAsia="宋体"/>
          <w:sz w:val="24"/>
          <w:szCs w:val="24"/>
        </w:rPr>
        <w:t>10、装运条件</w:t>
      </w:r>
    </w:p>
    <w:p>
      <w:pPr>
        <w:spacing w:line="360" w:lineRule="auto"/>
        <w:ind w:firstLine="480" w:firstLineChars="200"/>
        <w:rPr>
          <w:rFonts w:hint="eastAsia" w:ascii="宋体"/>
          <w:sz w:val="24"/>
          <w:szCs w:val="24"/>
        </w:rPr>
      </w:pPr>
      <w:r>
        <w:rPr>
          <w:rFonts w:hint="eastAsia" w:ascii="宋体"/>
          <w:sz w:val="24"/>
          <w:szCs w:val="24"/>
          <w:lang w:eastAsia="zh-CN"/>
        </w:rPr>
        <w:t>乙方</w:t>
      </w:r>
      <w:r>
        <w:rPr>
          <w:rFonts w:hint="eastAsia" w:ascii="宋体"/>
          <w:sz w:val="24"/>
          <w:szCs w:val="24"/>
        </w:rPr>
        <w:t>负责安排运输，运输中的一切费用由</w:t>
      </w:r>
      <w:r>
        <w:rPr>
          <w:rFonts w:hint="eastAsia" w:ascii="宋体"/>
          <w:sz w:val="24"/>
          <w:szCs w:val="24"/>
          <w:lang w:eastAsia="zh-CN"/>
        </w:rPr>
        <w:t>乙方</w:t>
      </w:r>
      <w:r>
        <w:rPr>
          <w:rFonts w:hint="eastAsia" w:ascii="宋体"/>
          <w:sz w:val="24"/>
          <w:szCs w:val="24"/>
        </w:rPr>
        <w:t>承担；</w:t>
      </w:r>
    </w:p>
    <w:p>
      <w:pPr>
        <w:pStyle w:val="7"/>
        <w:adjustRightInd w:val="0"/>
        <w:snapToGrid w:val="0"/>
        <w:spacing w:before="0" w:after="0" w:line="360" w:lineRule="auto"/>
        <w:ind w:firstLine="482" w:firstLineChars="200"/>
        <w:contextualSpacing/>
        <w:jc w:val="both"/>
        <w:rPr>
          <w:rFonts w:hint="eastAsia" w:ascii="宋体" w:eastAsia="宋体"/>
          <w:sz w:val="24"/>
          <w:szCs w:val="24"/>
        </w:rPr>
      </w:pPr>
      <w:r>
        <w:rPr>
          <w:rFonts w:hint="eastAsia" w:ascii="宋体" w:eastAsia="宋体"/>
          <w:sz w:val="24"/>
          <w:szCs w:val="24"/>
        </w:rPr>
        <w:t>11、装运通知</w:t>
      </w:r>
    </w:p>
    <w:p>
      <w:pPr>
        <w:spacing w:line="360" w:lineRule="auto"/>
        <w:ind w:firstLine="480" w:firstLineChars="200"/>
        <w:rPr>
          <w:rFonts w:hint="eastAsia" w:ascii="宋体"/>
          <w:sz w:val="24"/>
          <w:szCs w:val="24"/>
        </w:rPr>
      </w:pPr>
      <w:r>
        <w:rPr>
          <w:rFonts w:hint="eastAsia" w:ascii="宋体"/>
          <w:sz w:val="24"/>
          <w:szCs w:val="24"/>
          <w:lang w:eastAsia="zh-CN"/>
        </w:rPr>
        <w:t>乙方</w:t>
      </w:r>
      <w:r>
        <w:rPr>
          <w:rFonts w:hint="eastAsia" w:ascii="宋体"/>
          <w:sz w:val="24"/>
          <w:szCs w:val="24"/>
        </w:rPr>
        <w:t>应在合同规定的装运日期之前，将合同号、货物名称、数量、箱数、总毛重、总体积（用m</w:t>
      </w:r>
      <w:r>
        <w:rPr>
          <w:rFonts w:hint="eastAsia" w:ascii="宋体"/>
          <w:sz w:val="24"/>
          <w:szCs w:val="24"/>
          <w:vertAlign w:val="superscript"/>
        </w:rPr>
        <w:t>3</w:t>
      </w:r>
      <w:r>
        <w:rPr>
          <w:rFonts w:hint="eastAsia" w:ascii="宋体"/>
          <w:sz w:val="24"/>
          <w:szCs w:val="24"/>
        </w:rPr>
        <w:t>表示）运输工具以传真形式通知需方。具体安装时间以需方通知为准。</w:t>
      </w:r>
    </w:p>
    <w:p>
      <w:pPr>
        <w:pStyle w:val="7"/>
        <w:adjustRightInd w:val="0"/>
        <w:snapToGrid w:val="0"/>
        <w:spacing w:before="0" w:after="0" w:line="360" w:lineRule="auto"/>
        <w:ind w:firstLine="482" w:firstLineChars="200"/>
        <w:contextualSpacing/>
        <w:jc w:val="both"/>
        <w:rPr>
          <w:rFonts w:hint="eastAsia" w:ascii="宋体" w:eastAsia="宋体"/>
          <w:sz w:val="24"/>
          <w:szCs w:val="24"/>
        </w:rPr>
      </w:pPr>
      <w:r>
        <w:rPr>
          <w:rFonts w:hint="eastAsia" w:ascii="宋体" w:eastAsia="宋体"/>
          <w:sz w:val="24"/>
          <w:szCs w:val="24"/>
        </w:rPr>
        <w:t>12、货物就位</w:t>
      </w:r>
    </w:p>
    <w:p>
      <w:pPr>
        <w:spacing w:line="360" w:lineRule="auto"/>
        <w:ind w:firstLine="480" w:firstLineChars="200"/>
        <w:rPr>
          <w:rFonts w:hint="eastAsia" w:ascii="宋体"/>
          <w:sz w:val="24"/>
          <w:szCs w:val="24"/>
        </w:rPr>
      </w:pPr>
      <w:r>
        <w:rPr>
          <w:rFonts w:hint="eastAsia" w:ascii="宋体"/>
          <w:sz w:val="24"/>
          <w:szCs w:val="24"/>
          <w:lang w:eastAsia="zh-CN"/>
        </w:rPr>
        <w:t>乙方</w:t>
      </w:r>
      <w:r>
        <w:rPr>
          <w:rFonts w:hint="eastAsia" w:ascii="宋体"/>
          <w:sz w:val="24"/>
          <w:szCs w:val="24"/>
        </w:rPr>
        <w:t>负责所供货物就位，如受条件影响就位，</w:t>
      </w:r>
      <w:r>
        <w:rPr>
          <w:rFonts w:hint="eastAsia" w:ascii="宋体"/>
          <w:sz w:val="24"/>
          <w:szCs w:val="24"/>
          <w:lang w:eastAsia="zh-CN"/>
        </w:rPr>
        <w:t>乙方</w:t>
      </w:r>
      <w:r>
        <w:rPr>
          <w:rFonts w:hint="eastAsia" w:ascii="宋体"/>
          <w:sz w:val="24"/>
          <w:szCs w:val="24"/>
        </w:rPr>
        <w:t>负责货物拆装，就位一切费用</w:t>
      </w:r>
      <w:r>
        <w:rPr>
          <w:rFonts w:hint="eastAsia" w:ascii="宋体"/>
          <w:sz w:val="24"/>
          <w:szCs w:val="24"/>
          <w:lang w:eastAsia="zh-CN"/>
        </w:rPr>
        <w:t>乙方</w:t>
      </w:r>
      <w:r>
        <w:rPr>
          <w:rFonts w:hint="eastAsia" w:ascii="宋体"/>
          <w:sz w:val="24"/>
          <w:szCs w:val="24"/>
        </w:rPr>
        <w:t>负责。</w:t>
      </w:r>
    </w:p>
    <w:p>
      <w:pPr>
        <w:pStyle w:val="7"/>
        <w:adjustRightInd w:val="0"/>
        <w:snapToGrid w:val="0"/>
        <w:spacing w:before="0" w:after="0" w:line="360" w:lineRule="auto"/>
        <w:ind w:firstLine="482" w:firstLineChars="200"/>
        <w:contextualSpacing/>
        <w:jc w:val="both"/>
        <w:rPr>
          <w:rFonts w:hint="eastAsia" w:ascii="宋体" w:eastAsia="宋体"/>
          <w:sz w:val="24"/>
          <w:szCs w:val="24"/>
        </w:rPr>
      </w:pPr>
      <w:r>
        <w:rPr>
          <w:rFonts w:hint="eastAsia" w:ascii="宋体" w:eastAsia="宋体"/>
          <w:sz w:val="24"/>
          <w:szCs w:val="24"/>
        </w:rPr>
        <w:t>13、产品质量保证</w:t>
      </w:r>
    </w:p>
    <w:p>
      <w:pPr>
        <w:numPr>
          <w:ilvl w:val="0"/>
          <w:numId w:val="11"/>
        </w:numPr>
        <w:tabs>
          <w:tab w:val="left" w:pos="720"/>
        </w:tabs>
        <w:adjustRightInd w:val="0"/>
        <w:snapToGrid w:val="0"/>
        <w:spacing w:line="360" w:lineRule="auto"/>
        <w:ind w:left="0" w:firstLine="480" w:firstLineChars="200"/>
        <w:rPr>
          <w:rFonts w:hint="eastAsia" w:ascii="宋体"/>
          <w:sz w:val="24"/>
          <w:szCs w:val="24"/>
        </w:rPr>
      </w:pPr>
      <w:r>
        <w:rPr>
          <w:rFonts w:hint="eastAsia" w:ascii="宋体"/>
          <w:sz w:val="24"/>
          <w:szCs w:val="24"/>
          <w:lang w:eastAsia="zh-CN"/>
        </w:rPr>
        <w:t>乙方</w:t>
      </w:r>
      <w:r>
        <w:rPr>
          <w:rFonts w:hint="eastAsia" w:ascii="宋体"/>
          <w:sz w:val="24"/>
          <w:szCs w:val="24"/>
        </w:rPr>
        <w:t>保证本合同产品符合双方确认的《产品规格表》及《电梯井道土建图》，在产品交付时随机附《产品质量合格证书》。</w:t>
      </w:r>
    </w:p>
    <w:p>
      <w:pPr>
        <w:numPr>
          <w:ilvl w:val="0"/>
          <w:numId w:val="11"/>
        </w:numPr>
        <w:tabs>
          <w:tab w:val="left" w:pos="720"/>
        </w:tabs>
        <w:adjustRightInd w:val="0"/>
        <w:snapToGrid w:val="0"/>
        <w:spacing w:line="360" w:lineRule="auto"/>
        <w:ind w:left="0" w:firstLine="480" w:firstLineChars="200"/>
        <w:rPr>
          <w:rFonts w:hint="eastAsia" w:ascii="宋体"/>
          <w:sz w:val="24"/>
          <w:szCs w:val="24"/>
        </w:rPr>
      </w:pPr>
      <w:r>
        <w:rPr>
          <w:rFonts w:hint="eastAsia" w:ascii="宋体"/>
          <w:sz w:val="24"/>
          <w:szCs w:val="24"/>
        </w:rPr>
        <w:t xml:space="preserve">本合同中电梯产品和服务须符合中华人民共和国标准和相关国际标准。 </w:t>
      </w:r>
    </w:p>
    <w:p>
      <w:pPr>
        <w:numPr>
          <w:ilvl w:val="0"/>
          <w:numId w:val="11"/>
        </w:numPr>
        <w:tabs>
          <w:tab w:val="left" w:pos="720"/>
        </w:tabs>
        <w:adjustRightInd w:val="0"/>
        <w:snapToGrid w:val="0"/>
        <w:spacing w:line="360" w:lineRule="auto"/>
        <w:ind w:left="0" w:firstLine="480" w:firstLineChars="200"/>
        <w:rPr>
          <w:rFonts w:hint="eastAsia" w:ascii="宋体"/>
          <w:sz w:val="24"/>
          <w:szCs w:val="24"/>
        </w:rPr>
      </w:pPr>
      <w:r>
        <w:rPr>
          <w:rFonts w:hint="eastAsia" w:ascii="宋体"/>
          <w:sz w:val="24"/>
          <w:szCs w:val="24"/>
        </w:rPr>
        <w:t>按照国务院《特种设备安全监察条例》（第373号令）规定：电梯的安装、改造、维修，必须由电梯制造单位或者其通过合同委托、同意的单位进行。</w:t>
      </w:r>
    </w:p>
    <w:p>
      <w:pPr>
        <w:numPr>
          <w:ilvl w:val="0"/>
          <w:numId w:val="11"/>
        </w:numPr>
        <w:tabs>
          <w:tab w:val="left" w:pos="720"/>
        </w:tabs>
        <w:adjustRightInd w:val="0"/>
        <w:snapToGrid w:val="0"/>
        <w:spacing w:line="360" w:lineRule="auto"/>
        <w:ind w:left="0" w:firstLine="480" w:firstLineChars="200"/>
        <w:rPr>
          <w:rFonts w:hint="eastAsia" w:ascii="宋体"/>
          <w:sz w:val="24"/>
          <w:szCs w:val="24"/>
        </w:rPr>
      </w:pPr>
      <w:r>
        <w:rPr>
          <w:rFonts w:hint="eastAsia" w:ascii="宋体"/>
          <w:sz w:val="24"/>
          <w:szCs w:val="24"/>
          <w:lang w:eastAsia="zh-CN"/>
        </w:rPr>
        <w:t>乙方</w:t>
      </w:r>
      <w:r>
        <w:rPr>
          <w:rFonts w:hint="eastAsia" w:ascii="宋体"/>
          <w:sz w:val="24"/>
          <w:szCs w:val="24"/>
        </w:rPr>
        <w:t>负责产品的制造和安装质量。在</w:t>
      </w:r>
      <w:r>
        <w:rPr>
          <w:rFonts w:hint="eastAsia" w:ascii="宋体"/>
          <w:sz w:val="24"/>
          <w:szCs w:val="24"/>
          <w:lang w:eastAsia="zh-CN"/>
        </w:rPr>
        <w:t>甲方</w:t>
      </w:r>
      <w:r>
        <w:rPr>
          <w:rFonts w:hint="eastAsia" w:ascii="宋体"/>
          <w:sz w:val="24"/>
          <w:szCs w:val="24"/>
        </w:rPr>
        <w:t>合理正常的使用下，产品质量保证期为当地质量技术监督局验收合格、签发合格证书且竣工验收通过之日起的</w:t>
      </w:r>
      <w:r>
        <w:rPr>
          <w:rFonts w:hint="eastAsia" w:ascii="宋体"/>
          <w:sz w:val="24"/>
          <w:szCs w:val="24"/>
          <w:u w:val="single"/>
        </w:rPr>
        <w:t>24</w:t>
      </w:r>
      <w:r>
        <w:rPr>
          <w:rFonts w:hint="eastAsia" w:ascii="宋体"/>
          <w:sz w:val="24"/>
          <w:szCs w:val="24"/>
        </w:rPr>
        <w:t>个月。</w:t>
      </w:r>
    </w:p>
    <w:p>
      <w:pPr>
        <w:numPr>
          <w:ilvl w:val="0"/>
          <w:numId w:val="11"/>
        </w:numPr>
        <w:tabs>
          <w:tab w:val="left" w:pos="720"/>
        </w:tabs>
        <w:adjustRightInd w:val="0"/>
        <w:snapToGrid w:val="0"/>
        <w:spacing w:line="360" w:lineRule="auto"/>
        <w:ind w:left="0" w:firstLine="480" w:firstLineChars="200"/>
        <w:rPr>
          <w:rFonts w:hint="eastAsia" w:ascii="宋体"/>
          <w:sz w:val="24"/>
          <w:szCs w:val="24"/>
        </w:rPr>
      </w:pPr>
      <w:r>
        <w:rPr>
          <w:rFonts w:hint="eastAsia" w:ascii="宋体"/>
          <w:sz w:val="24"/>
          <w:szCs w:val="24"/>
        </w:rPr>
        <w:t>在产品质量保证期内，</w:t>
      </w:r>
      <w:r>
        <w:rPr>
          <w:rFonts w:hint="eastAsia" w:ascii="宋体"/>
          <w:sz w:val="24"/>
          <w:szCs w:val="24"/>
          <w:lang w:eastAsia="zh-CN"/>
        </w:rPr>
        <w:t>乙方</w:t>
      </w:r>
      <w:r>
        <w:rPr>
          <w:rFonts w:hint="eastAsia" w:ascii="宋体"/>
          <w:sz w:val="24"/>
          <w:szCs w:val="24"/>
        </w:rPr>
        <w:t>对产品的缺陷负责免费修理或更换，更换下的零部件所有权归</w:t>
      </w:r>
      <w:r>
        <w:rPr>
          <w:rFonts w:hint="eastAsia" w:ascii="宋体"/>
          <w:sz w:val="24"/>
          <w:szCs w:val="24"/>
          <w:lang w:eastAsia="zh-CN"/>
        </w:rPr>
        <w:t>乙方</w:t>
      </w:r>
      <w:r>
        <w:rPr>
          <w:rFonts w:hint="eastAsia" w:ascii="宋体"/>
          <w:sz w:val="24"/>
          <w:szCs w:val="24"/>
        </w:rPr>
        <w:t>所有，由</w:t>
      </w:r>
      <w:r>
        <w:rPr>
          <w:rFonts w:hint="eastAsia" w:ascii="宋体"/>
          <w:sz w:val="24"/>
          <w:szCs w:val="24"/>
          <w:lang w:eastAsia="zh-CN"/>
        </w:rPr>
        <w:t>乙方</w:t>
      </w:r>
      <w:r>
        <w:rPr>
          <w:rFonts w:hint="eastAsia" w:ascii="宋体"/>
          <w:sz w:val="24"/>
          <w:szCs w:val="24"/>
        </w:rPr>
        <w:t>统一回收。</w:t>
      </w:r>
    </w:p>
    <w:p>
      <w:pPr>
        <w:numPr>
          <w:ilvl w:val="0"/>
          <w:numId w:val="11"/>
        </w:numPr>
        <w:tabs>
          <w:tab w:val="left" w:pos="720"/>
        </w:tabs>
        <w:adjustRightInd w:val="0"/>
        <w:snapToGrid w:val="0"/>
        <w:spacing w:line="360" w:lineRule="auto"/>
        <w:ind w:left="0" w:firstLine="480" w:firstLineChars="200"/>
        <w:rPr>
          <w:rFonts w:hint="eastAsia" w:ascii="宋体"/>
          <w:sz w:val="24"/>
          <w:szCs w:val="24"/>
        </w:rPr>
      </w:pPr>
      <w:r>
        <w:rPr>
          <w:rFonts w:hint="eastAsia" w:ascii="宋体"/>
          <w:sz w:val="24"/>
          <w:szCs w:val="24"/>
        </w:rPr>
        <w:t>产品投入使用之前，</w:t>
      </w:r>
      <w:r>
        <w:rPr>
          <w:rFonts w:hint="eastAsia" w:ascii="宋体"/>
          <w:sz w:val="24"/>
          <w:szCs w:val="24"/>
          <w:lang w:eastAsia="zh-CN"/>
        </w:rPr>
        <w:t>甲方</w:t>
      </w:r>
      <w:r>
        <w:rPr>
          <w:rFonts w:hint="eastAsia" w:ascii="宋体"/>
          <w:sz w:val="24"/>
          <w:szCs w:val="24"/>
        </w:rPr>
        <w:t>应仔细阅读</w:t>
      </w:r>
      <w:r>
        <w:rPr>
          <w:rFonts w:hint="eastAsia" w:ascii="宋体"/>
          <w:sz w:val="24"/>
          <w:szCs w:val="24"/>
          <w:lang w:eastAsia="zh-CN"/>
        </w:rPr>
        <w:t>乙方</w:t>
      </w:r>
      <w:r>
        <w:rPr>
          <w:rFonts w:hint="eastAsia" w:ascii="宋体"/>
          <w:sz w:val="24"/>
          <w:szCs w:val="24"/>
        </w:rPr>
        <w:t>随机提供的国务院《特种设备安全监察条例》（第373号令）以及《客户资料》，并遵照执行。</w:t>
      </w:r>
    </w:p>
    <w:p>
      <w:pPr>
        <w:pStyle w:val="7"/>
        <w:adjustRightInd w:val="0"/>
        <w:snapToGrid w:val="0"/>
        <w:spacing w:before="0" w:after="0" w:line="360" w:lineRule="auto"/>
        <w:ind w:firstLine="482" w:firstLineChars="200"/>
        <w:contextualSpacing/>
        <w:jc w:val="both"/>
        <w:rPr>
          <w:rFonts w:hint="eastAsia" w:ascii="宋体" w:eastAsia="宋体"/>
          <w:sz w:val="24"/>
          <w:szCs w:val="24"/>
        </w:rPr>
      </w:pPr>
      <w:r>
        <w:rPr>
          <w:rFonts w:hint="eastAsia" w:ascii="宋体" w:eastAsia="宋体"/>
          <w:sz w:val="24"/>
          <w:szCs w:val="24"/>
        </w:rPr>
        <w:t>14、技术资料</w:t>
      </w:r>
    </w:p>
    <w:p>
      <w:pPr>
        <w:numPr>
          <w:ilvl w:val="0"/>
          <w:numId w:val="12"/>
        </w:numPr>
        <w:tabs>
          <w:tab w:val="left" w:pos="720"/>
        </w:tabs>
        <w:adjustRightInd w:val="0"/>
        <w:snapToGrid w:val="0"/>
        <w:spacing w:line="360" w:lineRule="auto"/>
        <w:ind w:left="0" w:firstLine="480" w:firstLineChars="200"/>
        <w:rPr>
          <w:rFonts w:hint="eastAsia" w:ascii="宋体"/>
          <w:sz w:val="24"/>
          <w:szCs w:val="24"/>
        </w:rPr>
      </w:pPr>
      <w:r>
        <w:rPr>
          <w:rFonts w:hint="eastAsia" w:ascii="宋体"/>
          <w:sz w:val="24"/>
          <w:szCs w:val="24"/>
        </w:rPr>
        <w:t>在合同生效后3日内，</w:t>
      </w:r>
      <w:r>
        <w:rPr>
          <w:rFonts w:hint="eastAsia" w:ascii="宋体"/>
          <w:sz w:val="24"/>
          <w:szCs w:val="24"/>
          <w:lang w:eastAsia="zh-CN"/>
        </w:rPr>
        <w:t>甲方</w:t>
      </w:r>
      <w:r>
        <w:rPr>
          <w:rFonts w:hint="eastAsia" w:ascii="宋体"/>
          <w:sz w:val="24"/>
          <w:szCs w:val="24"/>
        </w:rPr>
        <w:t>应向</w:t>
      </w:r>
      <w:r>
        <w:rPr>
          <w:rFonts w:hint="eastAsia" w:ascii="宋体"/>
          <w:sz w:val="24"/>
          <w:szCs w:val="24"/>
          <w:lang w:eastAsia="zh-CN"/>
        </w:rPr>
        <w:t>乙方</w:t>
      </w:r>
      <w:r>
        <w:rPr>
          <w:rFonts w:hint="eastAsia" w:ascii="宋体"/>
          <w:sz w:val="24"/>
          <w:szCs w:val="24"/>
        </w:rPr>
        <w:t>提供一套准确而完整的土建图纸，</w:t>
      </w:r>
      <w:r>
        <w:rPr>
          <w:rFonts w:hint="eastAsia" w:ascii="宋体"/>
          <w:sz w:val="24"/>
          <w:szCs w:val="24"/>
          <w:lang w:eastAsia="zh-CN"/>
        </w:rPr>
        <w:t>甲方</w:t>
      </w:r>
      <w:r>
        <w:rPr>
          <w:rFonts w:hint="eastAsia" w:ascii="宋体"/>
          <w:sz w:val="24"/>
          <w:szCs w:val="24"/>
        </w:rPr>
        <w:t>确保所提供的土建图纸完整、真实、有效，但</w:t>
      </w:r>
      <w:r>
        <w:rPr>
          <w:rFonts w:hint="eastAsia" w:ascii="宋体"/>
          <w:sz w:val="24"/>
          <w:szCs w:val="24"/>
          <w:lang w:eastAsia="zh-CN"/>
        </w:rPr>
        <w:t>乙方</w:t>
      </w:r>
      <w:r>
        <w:rPr>
          <w:rFonts w:hint="eastAsia" w:ascii="宋体"/>
          <w:sz w:val="24"/>
          <w:szCs w:val="24"/>
        </w:rPr>
        <w:t>须根据</w:t>
      </w:r>
      <w:r>
        <w:rPr>
          <w:rFonts w:hint="eastAsia" w:ascii="宋体"/>
          <w:sz w:val="24"/>
          <w:szCs w:val="24"/>
          <w:lang w:eastAsia="zh-CN"/>
        </w:rPr>
        <w:t>甲方</w:t>
      </w:r>
      <w:r>
        <w:rPr>
          <w:rFonts w:hint="eastAsia" w:ascii="宋体"/>
          <w:sz w:val="24"/>
          <w:szCs w:val="24"/>
        </w:rPr>
        <w:t>提供的图纸进行现场踏勘，实测所有有关的土建尺寸，并根据实测情况出具文件经</w:t>
      </w:r>
      <w:r>
        <w:rPr>
          <w:rFonts w:hint="eastAsia" w:ascii="宋体"/>
          <w:sz w:val="24"/>
          <w:szCs w:val="24"/>
          <w:lang w:eastAsia="zh-CN"/>
        </w:rPr>
        <w:t>甲方</w:t>
      </w:r>
      <w:r>
        <w:rPr>
          <w:rFonts w:hint="eastAsia" w:ascii="宋体"/>
          <w:sz w:val="24"/>
          <w:szCs w:val="24"/>
        </w:rPr>
        <w:t>认可后进行设备的制造安装。</w:t>
      </w:r>
    </w:p>
    <w:p>
      <w:pPr>
        <w:numPr>
          <w:ilvl w:val="0"/>
          <w:numId w:val="12"/>
        </w:numPr>
        <w:tabs>
          <w:tab w:val="left" w:pos="720"/>
        </w:tabs>
        <w:adjustRightInd w:val="0"/>
        <w:snapToGrid w:val="0"/>
        <w:spacing w:line="360" w:lineRule="auto"/>
        <w:ind w:left="0" w:firstLine="480" w:firstLineChars="200"/>
        <w:rPr>
          <w:rFonts w:hint="eastAsia" w:ascii="宋体"/>
          <w:sz w:val="24"/>
          <w:szCs w:val="24"/>
        </w:rPr>
      </w:pPr>
      <w:r>
        <w:rPr>
          <w:rFonts w:hint="eastAsia" w:ascii="宋体"/>
          <w:sz w:val="24"/>
          <w:szCs w:val="24"/>
          <w:lang w:eastAsia="zh-CN"/>
        </w:rPr>
        <w:t>乙方</w:t>
      </w:r>
      <w:r>
        <w:rPr>
          <w:rFonts w:hint="eastAsia" w:ascii="宋体"/>
          <w:sz w:val="24"/>
          <w:szCs w:val="24"/>
        </w:rPr>
        <w:t>收到</w:t>
      </w:r>
      <w:r>
        <w:rPr>
          <w:rFonts w:hint="eastAsia" w:ascii="宋体"/>
          <w:sz w:val="24"/>
          <w:szCs w:val="24"/>
          <w:lang w:eastAsia="zh-CN"/>
        </w:rPr>
        <w:t>甲方</w:t>
      </w:r>
      <w:r>
        <w:rPr>
          <w:rFonts w:hint="eastAsia" w:ascii="宋体"/>
          <w:sz w:val="24"/>
          <w:szCs w:val="24"/>
        </w:rPr>
        <w:t>提供的土建图纸14日内，</w:t>
      </w:r>
      <w:r>
        <w:rPr>
          <w:rFonts w:hint="eastAsia" w:ascii="宋体"/>
          <w:sz w:val="24"/>
          <w:szCs w:val="24"/>
          <w:lang w:eastAsia="zh-CN"/>
        </w:rPr>
        <w:t>乙方</w:t>
      </w:r>
      <w:r>
        <w:rPr>
          <w:rFonts w:hint="eastAsia" w:ascii="宋体"/>
          <w:sz w:val="24"/>
          <w:szCs w:val="24"/>
        </w:rPr>
        <w:t>向</w:t>
      </w:r>
      <w:r>
        <w:rPr>
          <w:rFonts w:hint="eastAsia" w:ascii="宋体"/>
          <w:sz w:val="24"/>
          <w:szCs w:val="24"/>
          <w:lang w:eastAsia="zh-CN"/>
        </w:rPr>
        <w:t>甲方</w:t>
      </w:r>
      <w:r>
        <w:rPr>
          <w:rFonts w:hint="eastAsia" w:ascii="宋体"/>
          <w:sz w:val="24"/>
          <w:szCs w:val="24"/>
        </w:rPr>
        <w:t>提供合同设备安装布置图（包括井道平面图、机房留孔图、纵剖图）一式六份。</w:t>
      </w:r>
      <w:r>
        <w:rPr>
          <w:rFonts w:hint="eastAsia" w:ascii="宋体"/>
          <w:sz w:val="24"/>
          <w:szCs w:val="24"/>
          <w:lang w:eastAsia="zh-CN"/>
        </w:rPr>
        <w:t>甲方</w:t>
      </w:r>
      <w:r>
        <w:rPr>
          <w:rFonts w:hint="eastAsia" w:ascii="宋体"/>
          <w:sz w:val="24"/>
          <w:szCs w:val="24"/>
        </w:rPr>
        <w:t>在收到安装布置图5日内，将确认无误的安装布置图返回</w:t>
      </w:r>
      <w:r>
        <w:rPr>
          <w:rFonts w:hint="eastAsia" w:ascii="宋体"/>
          <w:sz w:val="24"/>
          <w:szCs w:val="24"/>
          <w:lang w:eastAsia="zh-CN"/>
        </w:rPr>
        <w:t>乙方</w:t>
      </w:r>
      <w:r>
        <w:rPr>
          <w:rFonts w:hint="eastAsia" w:ascii="宋体"/>
          <w:sz w:val="24"/>
          <w:szCs w:val="24"/>
        </w:rPr>
        <w:t>一份。</w:t>
      </w:r>
    </w:p>
    <w:p>
      <w:pPr>
        <w:pStyle w:val="7"/>
        <w:adjustRightInd w:val="0"/>
        <w:snapToGrid w:val="0"/>
        <w:spacing w:before="0" w:after="0" w:line="360" w:lineRule="auto"/>
        <w:ind w:firstLine="482" w:firstLineChars="200"/>
        <w:contextualSpacing/>
        <w:jc w:val="both"/>
        <w:rPr>
          <w:rFonts w:hint="eastAsia" w:ascii="宋体" w:eastAsia="宋体"/>
          <w:sz w:val="24"/>
          <w:szCs w:val="24"/>
        </w:rPr>
      </w:pPr>
      <w:r>
        <w:rPr>
          <w:rFonts w:hint="eastAsia" w:ascii="宋体" w:eastAsia="宋体"/>
          <w:sz w:val="24"/>
          <w:szCs w:val="24"/>
        </w:rPr>
        <w:t>15、产品质量验收</w:t>
      </w:r>
    </w:p>
    <w:p>
      <w:pPr>
        <w:numPr>
          <w:ilvl w:val="0"/>
          <w:numId w:val="13"/>
        </w:numPr>
        <w:tabs>
          <w:tab w:val="left" w:pos="720"/>
        </w:tabs>
        <w:adjustRightInd w:val="0"/>
        <w:snapToGrid w:val="0"/>
        <w:spacing w:line="360" w:lineRule="auto"/>
        <w:ind w:left="0" w:firstLine="480" w:firstLineChars="200"/>
        <w:rPr>
          <w:rFonts w:hint="eastAsia" w:ascii="宋体"/>
          <w:sz w:val="24"/>
          <w:szCs w:val="24"/>
        </w:rPr>
      </w:pPr>
      <w:r>
        <w:rPr>
          <w:rFonts w:hint="eastAsia" w:ascii="宋体"/>
          <w:sz w:val="24"/>
          <w:szCs w:val="24"/>
        </w:rPr>
        <w:t>在电梯货到工地时，由买卖双方共同验收，并请商检部门验收。若发现任何损坏及质量问题，</w:t>
      </w:r>
      <w:r>
        <w:rPr>
          <w:rFonts w:hint="eastAsia" w:ascii="宋体"/>
          <w:sz w:val="24"/>
          <w:szCs w:val="24"/>
          <w:lang w:eastAsia="zh-CN"/>
        </w:rPr>
        <w:t>乙方</w:t>
      </w:r>
      <w:r>
        <w:rPr>
          <w:rFonts w:hint="eastAsia" w:ascii="宋体"/>
          <w:sz w:val="24"/>
          <w:szCs w:val="24"/>
        </w:rPr>
        <w:t>应负责更换零件，并妥善处理直至</w:t>
      </w:r>
      <w:r>
        <w:rPr>
          <w:rFonts w:hint="eastAsia" w:ascii="宋体"/>
          <w:sz w:val="24"/>
          <w:szCs w:val="24"/>
          <w:lang w:eastAsia="zh-CN"/>
        </w:rPr>
        <w:t>甲方</w:t>
      </w:r>
      <w:r>
        <w:rPr>
          <w:rFonts w:hint="eastAsia" w:ascii="宋体"/>
          <w:sz w:val="24"/>
          <w:szCs w:val="24"/>
        </w:rPr>
        <w:t>满意。</w:t>
      </w:r>
    </w:p>
    <w:p>
      <w:pPr>
        <w:numPr>
          <w:ilvl w:val="0"/>
          <w:numId w:val="13"/>
        </w:numPr>
        <w:tabs>
          <w:tab w:val="left" w:pos="720"/>
        </w:tabs>
        <w:adjustRightInd w:val="0"/>
        <w:snapToGrid w:val="0"/>
        <w:spacing w:line="360" w:lineRule="auto"/>
        <w:ind w:left="0" w:firstLine="480" w:firstLineChars="200"/>
        <w:rPr>
          <w:rFonts w:hint="eastAsia" w:ascii="宋体"/>
          <w:sz w:val="24"/>
          <w:szCs w:val="24"/>
        </w:rPr>
      </w:pPr>
      <w:r>
        <w:rPr>
          <w:rFonts w:hint="eastAsia" w:ascii="宋体"/>
          <w:sz w:val="24"/>
          <w:szCs w:val="24"/>
        </w:rPr>
        <w:t>本合同产品规格详见双方确认的《产品规格表》。</w:t>
      </w:r>
    </w:p>
    <w:p>
      <w:pPr>
        <w:numPr>
          <w:ilvl w:val="0"/>
          <w:numId w:val="13"/>
        </w:numPr>
        <w:tabs>
          <w:tab w:val="left" w:pos="720"/>
        </w:tabs>
        <w:adjustRightInd w:val="0"/>
        <w:snapToGrid w:val="0"/>
        <w:spacing w:line="360" w:lineRule="auto"/>
        <w:ind w:left="0" w:firstLine="480" w:firstLineChars="200"/>
        <w:rPr>
          <w:rFonts w:hint="eastAsia" w:ascii="宋体"/>
          <w:sz w:val="24"/>
          <w:szCs w:val="24"/>
        </w:rPr>
      </w:pPr>
      <w:r>
        <w:rPr>
          <w:rFonts w:hint="eastAsia" w:ascii="宋体"/>
          <w:sz w:val="24"/>
          <w:szCs w:val="24"/>
        </w:rPr>
        <w:t>双方履行《产品安装合同》后，由</w:t>
      </w:r>
      <w:r>
        <w:rPr>
          <w:rFonts w:hint="eastAsia" w:ascii="宋体"/>
          <w:sz w:val="24"/>
          <w:szCs w:val="24"/>
          <w:lang w:eastAsia="zh-CN"/>
        </w:rPr>
        <w:t>乙方</w:t>
      </w:r>
      <w:r>
        <w:rPr>
          <w:rFonts w:hint="eastAsia" w:ascii="宋体"/>
          <w:sz w:val="24"/>
          <w:szCs w:val="24"/>
        </w:rPr>
        <w:t>按国家有关的验收技术标准进行产品的质量验收，并向</w:t>
      </w:r>
      <w:r>
        <w:rPr>
          <w:rFonts w:hint="eastAsia" w:ascii="宋体"/>
          <w:sz w:val="24"/>
          <w:szCs w:val="24"/>
          <w:lang w:eastAsia="zh-CN"/>
        </w:rPr>
        <w:t>甲方</w:t>
      </w:r>
      <w:r>
        <w:rPr>
          <w:rFonts w:hint="eastAsia" w:ascii="宋体"/>
          <w:sz w:val="24"/>
          <w:szCs w:val="24"/>
        </w:rPr>
        <w:t>出具《产品质量合格证书》、《电梯验收报告》和《客户资料》。</w:t>
      </w:r>
    </w:p>
    <w:p>
      <w:pPr>
        <w:numPr>
          <w:ilvl w:val="0"/>
          <w:numId w:val="13"/>
        </w:numPr>
        <w:tabs>
          <w:tab w:val="left" w:pos="720"/>
        </w:tabs>
        <w:adjustRightInd w:val="0"/>
        <w:snapToGrid w:val="0"/>
        <w:spacing w:line="360" w:lineRule="auto"/>
        <w:ind w:left="0" w:firstLine="480" w:firstLineChars="200"/>
        <w:rPr>
          <w:rFonts w:hint="eastAsia" w:ascii="宋体"/>
          <w:sz w:val="24"/>
          <w:szCs w:val="24"/>
        </w:rPr>
      </w:pPr>
      <w:r>
        <w:rPr>
          <w:rFonts w:hint="eastAsia" w:ascii="宋体"/>
          <w:sz w:val="24"/>
          <w:szCs w:val="24"/>
        </w:rPr>
        <w:t>在电梯经当地技术监督局验收合格后，</w:t>
      </w:r>
      <w:r>
        <w:rPr>
          <w:rFonts w:hint="eastAsia" w:ascii="宋体"/>
          <w:sz w:val="24"/>
          <w:szCs w:val="24"/>
          <w:lang w:eastAsia="zh-CN"/>
        </w:rPr>
        <w:t>乙方</w:t>
      </w:r>
      <w:r>
        <w:rPr>
          <w:rFonts w:hint="eastAsia" w:ascii="宋体"/>
          <w:sz w:val="24"/>
          <w:szCs w:val="24"/>
        </w:rPr>
        <w:t>向</w:t>
      </w:r>
      <w:r>
        <w:rPr>
          <w:rFonts w:hint="eastAsia" w:ascii="宋体"/>
          <w:sz w:val="24"/>
          <w:szCs w:val="24"/>
          <w:lang w:eastAsia="zh-CN"/>
        </w:rPr>
        <w:t>甲方</w:t>
      </w:r>
      <w:r>
        <w:rPr>
          <w:rFonts w:hint="eastAsia" w:ascii="宋体"/>
          <w:sz w:val="24"/>
          <w:szCs w:val="24"/>
        </w:rPr>
        <w:t>提供竣工图、控制、操作和维护手册一式六份。</w:t>
      </w:r>
    </w:p>
    <w:p>
      <w:pPr>
        <w:pStyle w:val="7"/>
        <w:adjustRightInd w:val="0"/>
        <w:snapToGrid w:val="0"/>
        <w:spacing w:before="0" w:after="0" w:line="360" w:lineRule="auto"/>
        <w:ind w:firstLine="482" w:firstLineChars="200"/>
        <w:contextualSpacing/>
        <w:jc w:val="both"/>
        <w:rPr>
          <w:rFonts w:hint="eastAsia" w:ascii="宋体" w:eastAsia="宋体"/>
          <w:sz w:val="24"/>
          <w:szCs w:val="24"/>
          <w:lang w:eastAsia="zh-CN"/>
        </w:rPr>
      </w:pPr>
      <w:r>
        <w:rPr>
          <w:rFonts w:hint="eastAsia" w:ascii="宋体" w:eastAsia="宋体"/>
          <w:sz w:val="24"/>
          <w:szCs w:val="24"/>
        </w:rPr>
        <w:t>16、违约责任</w:t>
      </w:r>
      <w:r>
        <w:rPr>
          <w:rFonts w:hint="eastAsia" w:ascii="宋体" w:eastAsia="宋体"/>
          <w:sz w:val="24"/>
          <w:szCs w:val="24"/>
          <w:lang w:eastAsia="zh-CN"/>
        </w:rPr>
        <w:t>及违约赔偿</w:t>
      </w:r>
    </w:p>
    <w:p>
      <w:pPr>
        <w:numPr>
          <w:ilvl w:val="0"/>
          <w:numId w:val="14"/>
        </w:numPr>
        <w:adjustRightInd w:val="0"/>
        <w:snapToGrid w:val="0"/>
        <w:spacing w:line="360" w:lineRule="auto"/>
        <w:ind w:left="0" w:firstLine="480" w:firstLineChars="200"/>
        <w:rPr>
          <w:rFonts w:hint="eastAsia" w:ascii="宋体"/>
          <w:bCs/>
          <w:sz w:val="24"/>
          <w:szCs w:val="24"/>
        </w:rPr>
      </w:pPr>
      <w:r>
        <w:rPr>
          <w:rFonts w:hint="eastAsia" w:ascii="宋体"/>
          <w:bCs/>
          <w:sz w:val="24"/>
          <w:szCs w:val="24"/>
        </w:rPr>
        <w:t>产品质量问题，导致不能按期验收或验收不合格，</w:t>
      </w:r>
      <w:r>
        <w:rPr>
          <w:rFonts w:hint="eastAsia" w:ascii="宋体"/>
          <w:bCs/>
          <w:sz w:val="24"/>
          <w:szCs w:val="24"/>
          <w:lang w:eastAsia="zh-CN"/>
        </w:rPr>
        <w:t>乙方</w:t>
      </w:r>
      <w:r>
        <w:rPr>
          <w:rFonts w:hint="eastAsia" w:ascii="宋体"/>
          <w:bCs/>
          <w:sz w:val="24"/>
          <w:szCs w:val="24"/>
        </w:rPr>
        <w:t>应负责返工所造成的经济损失。由此而造成推迟交付的时间按超期天数计算，并按照逾期交货计算违约金。</w:t>
      </w:r>
    </w:p>
    <w:p>
      <w:pPr>
        <w:numPr>
          <w:ilvl w:val="0"/>
          <w:numId w:val="14"/>
        </w:numPr>
        <w:adjustRightInd w:val="0"/>
        <w:snapToGrid w:val="0"/>
        <w:spacing w:line="360" w:lineRule="auto"/>
        <w:ind w:left="0" w:firstLine="480" w:firstLineChars="200"/>
        <w:rPr>
          <w:rFonts w:hint="eastAsia"/>
          <w:bCs/>
          <w:sz w:val="24"/>
          <w:szCs w:val="24"/>
        </w:rPr>
      </w:pPr>
      <w:r>
        <w:rPr>
          <w:rFonts w:hint="eastAsia" w:ascii="宋体"/>
          <w:bCs/>
          <w:sz w:val="24"/>
          <w:szCs w:val="24"/>
        </w:rPr>
        <w:t>除不可抗力外以，如</w:t>
      </w:r>
      <w:r>
        <w:rPr>
          <w:rFonts w:hint="eastAsia" w:ascii="宋体"/>
          <w:bCs/>
          <w:sz w:val="24"/>
          <w:szCs w:val="24"/>
          <w:lang w:eastAsia="zh-CN"/>
        </w:rPr>
        <w:t>乙方</w:t>
      </w:r>
      <w:r>
        <w:rPr>
          <w:rFonts w:hint="eastAsia" w:ascii="宋体"/>
          <w:bCs/>
          <w:sz w:val="24"/>
          <w:szCs w:val="24"/>
        </w:rPr>
        <w:t>发生不能按期交货或提供服务，</w:t>
      </w:r>
      <w:r>
        <w:rPr>
          <w:rFonts w:hint="eastAsia" w:ascii="宋体"/>
          <w:bCs/>
          <w:sz w:val="24"/>
          <w:szCs w:val="24"/>
          <w:lang w:eastAsia="zh-CN"/>
        </w:rPr>
        <w:t>甲方</w:t>
      </w:r>
      <w:r>
        <w:rPr>
          <w:rFonts w:hint="eastAsia" w:ascii="宋体"/>
          <w:bCs/>
          <w:sz w:val="24"/>
          <w:szCs w:val="24"/>
        </w:rPr>
        <w:t>发生中途退货等情况，应及时以书面形式通知对方。买卖双方应本着友好的态度进行协商，妥善解决。如协商</w:t>
      </w:r>
      <w:r>
        <w:rPr>
          <w:rFonts w:hint="eastAsia"/>
          <w:bCs/>
          <w:sz w:val="24"/>
          <w:szCs w:val="24"/>
        </w:rPr>
        <w:t>无效，按下列规定计算并支付违约金。</w:t>
      </w:r>
    </w:p>
    <w:p>
      <w:pPr>
        <w:adjustRightInd w:val="0"/>
        <w:snapToGrid w:val="0"/>
        <w:spacing w:line="360" w:lineRule="auto"/>
        <w:ind w:firstLine="480" w:firstLineChars="200"/>
        <w:rPr>
          <w:rFonts w:hint="eastAsia" w:ascii="宋体"/>
          <w:bCs/>
          <w:sz w:val="24"/>
          <w:szCs w:val="24"/>
        </w:rPr>
      </w:pPr>
      <w:r>
        <w:rPr>
          <w:rFonts w:hint="eastAsia" w:ascii="宋体"/>
          <w:bCs/>
          <w:sz w:val="24"/>
          <w:szCs w:val="24"/>
        </w:rPr>
        <w:t>3.1、逾期交货：</w:t>
      </w:r>
    </w:p>
    <w:p>
      <w:pPr>
        <w:adjustRightInd w:val="0"/>
        <w:snapToGrid w:val="0"/>
        <w:spacing w:line="360" w:lineRule="auto"/>
        <w:ind w:firstLine="480" w:firstLineChars="200"/>
        <w:rPr>
          <w:rFonts w:hint="eastAsia" w:ascii="宋体"/>
          <w:bCs/>
          <w:sz w:val="24"/>
          <w:szCs w:val="24"/>
        </w:rPr>
      </w:pPr>
      <w:r>
        <w:rPr>
          <w:rFonts w:hint="eastAsia" w:ascii="宋体"/>
          <w:bCs/>
          <w:sz w:val="24"/>
          <w:szCs w:val="24"/>
          <w:lang w:eastAsia="zh-CN"/>
        </w:rPr>
        <w:t>乙方</w:t>
      </w:r>
      <w:r>
        <w:rPr>
          <w:rFonts w:hint="eastAsia" w:ascii="宋体"/>
          <w:bCs/>
          <w:sz w:val="24"/>
          <w:szCs w:val="24"/>
        </w:rPr>
        <w:t>逾期交货，向</w:t>
      </w:r>
      <w:r>
        <w:rPr>
          <w:rFonts w:hint="eastAsia" w:ascii="宋体"/>
          <w:bCs/>
          <w:sz w:val="24"/>
          <w:szCs w:val="24"/>
          <w:lang w:eastAsia="zh-CN"/>
        </w:rPr>
        <w:t>甲方</w:t>
      </w:r>
      <w:r>
        <w:rPr>
          <w:rFonts w:hint="eastAsia" w:ascii="宋体"/>
          <w:bCs/>
          <w:sz w:val="24"/>
          <w:szCs w:val="24"/>
        </w:rPr>
        <w:t>偿付违约金，每逾期一天，偿付5000元，整机中的零部件逾期交货，按整机逾期交货计算违约金。</w:t>
      </w:r>
    </w:p>
    <w:p>
      <w:pPr>
        <w:adjustRightInd w:val="0"/>
        <w:snapToGrid w:val="0"/>
        <w:spacing w:line="360" w:lineRule="auto"/>
        <w:ind w:firstLine="480" w:firstLineChars="200"/>
        <w:rPr>
          <w:rFonts w:hint="eastAsia" w:ascii="宋体"/>
          <w:bCs/>
          <w:sz w:val="24"/>
          <w:szCs w:val="24"/>
        </w:rPr>
      </w:pPr>
      <w:r>
        <w:rPr>
          <w:rFonts w:hint="eastAsia" w:ascii="宋体"/>
          <w:bCs/>
          <w:sz w:val="24"/>
          <w:szCs w:val="24"/>
        </w:rPr>
        <w:t>3.2、</w:t>
      </w:r>
      <w:r>
        <w:rPr>
          <w:rFonts w:hint="eastAsia" w:ascii="宋体"/>
          <w:bCs/>
          <w:sz w:val="24"/>
          <w:szCs w:val="24"/>
          <w:lang w:eastAsia="zh-CN"/>
        </w:rPr>
        <w:t>乙方</w:t>
      </w:r>
      <w:r>
        <w:rPr>
          <w:rFonts w:hint="eastAsia" w:ascii="宋体"/>
          <w:bCs/>
          <w:sz w:val="24"/>
          <w:szCs w:val="24"/>
        </w:rPr>
        <w:t>不能交货或</w:t>
      </w:r>
      <w:r>
        <w:rPr>
          <w:rFonts w:hint="eastAsia" w:ascii="宋体"/>
          <w:bCs/>
          <w:sz w:val="24"/>
          <w:szCs w:val="24"/>
          <w:lang w:eastAsia="zh-CN"/>
        </w:rPr>
        <w:t>甲方</w:t>
      </w:r>
      <w:r>
        <w:rPr>
          <w:rFonts w:hint="eastAsia" w:ascii="宋体"/>
          <w:bCs/>
          <w:sz w:val="24"/>
          <w:szCs w:val="24"/>
        </w:rPr>
        <w:t>中途退货：</w:t>
      </w:r>
    </w:p>
    <w:p>
      <w:pPr>
        <w:adjustRightInd w:val="0"/>
        <w:snapToGrid w:val="0"/>
        <w:spacing w:line="360" w:lineRule="auto"/>
        <w:ind w:firstLine="480" w:firstLineChars="200"/>
        <w:rPr>
          <w:rFonts w:hint="eastAsia" w:ascii="宋体"/>
          <w:bCs/>
          <w:sz w:val="24"/>
          <w:szCs w:val="24"/>
        </w:rPr>
      </w:pPr>
      <w:r>
        <w:rPr>
          <w:rFonts w:hint="eastAsia" w:ascii="宋体"/>
          <w:bCs/>
          <w:sz w:val="24"/>
          <w:szCs w:val="24"/>
          <w:lang w:eastAsia="zh-CN"/>
        </w:rPr>
        <w:t>乙方</w:t>
      </w:r>
      <w:r>
        <w:rPr>
          <w:rFonts w:hint="eastAsia" w:ascii="宋体"/>
          <w:bCs/>
          <w:sz w:val="24"/>
          <w:szCs w:val="24"/>
        </w:rPr>
        <w:t>不能交货，应向</w:t>
      </w:r>
      <w:r>
        <w:rPr>
          <w:rFonts w:hint="eastAsia" w:ascii="宋体"/>
          <w:bCs/>
          <w:sz w:val="24"/>
          <w:szCs w:val="24"/>
          <w:lang w:eastAsia="zh-CN"/>
        </w:rPr>
        <w:t>甲方</w:t>
      </w:r>
      <w:r>
        <w:rPr>
          <w:rFonts w:hint="eastAsia" w:ascii="宋体"/>
          <w:bCs/>
          <w:sz w:val="24"/>
          <w:szCs w:val="24"/>
        </w:rPr>
        <w:t>偿付违约金。设备按不能交货部分货款价值的30％，同时履约保证金不予退还。</w:t>
      </w:r>
    </w:p>
    <w:p>
      <w:pPr>
        <w:adjustRightInd w:val="0"/>
        <w:snapToGrid w:val="0"/>
        <w:spacing w:line="360" w:lineRule="auto"/>
        <w:ind w:firstLine="480" w:firstLineChars="200"/>
        <w:rPr>
          <w:rFonts w:hint="eastAsia" w:ascii="宋体"/>
          <w:bCs/>
          <w:sz w:val="24"/>
          <w:szCs w:val="24"/>
        </w:rPr>
      </w:pPr>
      <w:r>
        <w:rPr>
          <w:rFonts w:hint="eastAsia" w:ascii="宋体"/>
          <w:bCs/>
          <w:sz w:val="24"/>
          <w:szCs w:val="24"/>
          <w:lang w:eastAsia="zh-CN"/>
        </w:rPr>
        <w:t>甲方</w:t>
      </w:r>
      <w:r>
        <w:rPr>
          <w:rFonts w:hint="eastAsia" w:ascii="宋体"/>
          <w:bCs/>
          <w:sz w:val="24"/>
          <w:szCs w:val="24"/>
        </w:rPr>
        <w:t>中途退货，应向</w:t>
      </w:r>
      <w:r>
        <w:rPr>
          <w:rFonts w:hint="eastAsia" w:ascii="宋体"/>
          <w:bCs/>
          <w:sz w:val="24"/>
          <w:szCs w:val="24"/>
          <w:lang w:eastAsia="zh-CN"/>
        </w:rPr>
        <w:t>乙方</w:t>
      </w:r>
      <w:r>
        <w:rPr>
          <w:rFonts w:hint="eastAsia" w:ascii="宋体"/>
          <w:bCs/>
          <w:sz w:val="24"/>
          <w:szCs w:val="24"/>
        </w:rPr>
        <w:t>偿付违约金。违约金的计算方法与</w:t>
      </w:r>
      <w:r>
        <w:rPr>
          <w:rFonts w:hint="eastAsia" w:ascii="宋体"/>
          <w:bCs/>
          <w:sz w:val="24"/>
          <w:szCs w:val="24"/>
          <w:lang w:eastAsia="zh-CN"/>
        </w:rPr>
        <w:t>乙方</w:t>
      </w:r>
      <w:r>
        <w:rPr>
          <w:rFonts w:hint="eastAsia" w:ascii="宋体"/>
          <w:bCs/>
          <w:sz w:val="24"/>
          <w:szCs w:val="24"/>
        </w:rPr>
        <w:t>违约相同．</w:t>
      </w:r>
    </w:p>
    <w:p>
      <w:pPr>
        <w:adjustRightInd w:val="0"/>
        <w:snapToGrid w:val="0"/>
        <w:spacing w:line="360" w:lineRule="auto"/>
        <w:ind w:left="360"/>
        <w:rPr>
          <w:rFonts w:hint="eastAsia" w:ascii="宋体"/>
          <w:bCs/>
          <w:sz w:val="24"/>
          <w:szCs w:val="24"/>
        </w:rPr>
      </w:pPr>
      <w:r>
        <w:rPr>
          <w:rFonts w:hint="eastAsia" w:ascii="宋体"/>
          <w:bCs/>
          <w:sz w:val="24"/>
          <w:szCs w:val="24"/>
        </w:rPr>
        <w:t>3.3逾期交货的违约赔偿最高限额为迟交货合同总价的5％，如违约金达到量高限额时</w:t>
      </w:r>
      <w:r>
        <w:rPr>
          <w:rFonts w:hint="eastAsia" w:ascii="宋体"/>
          <w:bCs/>
          <w:sz w:val="24"/>
          <w:szCs w:val="24"/>
          <w:lang w:eastAsia="zh-CN"/>
        </w:rPr>
        <w:t>乙方</w:t>
      </w:r>
      <w:r>
        <w:rPr>
          <w:rFonts w:hint="eastAsia" w:ascii="宋体"/>
          <w:bCs/>
          <w:sz w:val="24"/>
          <w:szCs w:val="24"/>
        </w:rPr>
        <w:t>仍不能交货，</w:t>
      </w:r>
      <w:r>
        <w:rPr>
          <w:rFonts w:hint="eastAsia" w:ascii="宋体"/>
          <w:bCs/>
          <w:sz w:val="24"/>
          <w:szCs w:val="24"/>
          <w:lang w:eastAsia="zh-CN"/>
        </w:rPr>
        <w:t>甲方</w:t>
      </w:r>
      <w:r>
        <w:rPr>
          <w:rFonts w:hint="eastAsia" w:ascii="宋体"/>
          <w:bCs/>
          <w:sz w:val="24"/>
          <w:szCs w:val="24"/>
        </w:rPr>
        <w:t>可考虑终止合同。</w:t>
      </w:r>
    </w:p>
    <w:p>
      <w:pPr>
        <w:adjustRightInd w:val="0"/>
        <w:snapToGrid w:val="0"/>
        <w:spacing w:line="360" w:lineRule="auto"/>
        <w:ind w:firstLine="480" w:firstLineChars="200"/>
        <w:rPr>
          <w:rFonts w:hint="eastAsia" w:ascii="宋体"/>
          <w:bCs/>
          <w:sz w:val="24"/>
          <w:szCs w:val="24"/>
        </w:rPr>
      </w:pPr>
      <w:r>
        <w:rPr>
          <w:rFonts w:hint="eastAsia" w:ascii="宋体"/>
          <w:bCs/>
          <w:sz w:val="24"/>
          <w:szCs w:val="24"/>
        </w:rPr>
        <w:t>3.4如</w:t>
      </w:r>
      <w:r>
        <w:rPr>
          <w:rFonts w:hint="eastAsia" w:ascii="宋体"/>
          <w:bCs/>
          <w:sz w:val="24"/>
          <w:szCs w:val="24"/>
          <w:lang w:eastAsia="zh-CN"/>
        </w:rPr>
        <w:t>乙方</w:t>
      </w:r>
      <w:r>
        <w:rPr>
          <w:rFonts w:hint="eastAsia" w:ascii="宋体"/>
          <w:bCs/>
          <w:sz w:val="24"/>
          <w:szCs w:val="24"/>
        </w:rPr>
        <w:t>未能履行合同规定的任何一项义务，</w:t>
      </w:r>
      <w:r>
        <w:rPr>
          <w:rFonts w:hint="eastAsia" w:ascii="宋体"/>
          <w:bCs/>
          <w:sz w:val="24"/>
          <w:szCs w:val="24"/>
          <w:lang w:eastAsia="zh-CN"/>
        </w:rPr>
        <w:t>甲方</w:t>
      </w:r>
      <w:r>
        <w:rPr>
          <w:rFonts w:hint="eastAsia" w:ascii="宋体"/>
          <w:bCs/>
          <w:sz w:val="24"/>
          <w:szCs w:val="24"/>
        </w:rPr>
        <w:t>均有权从履约保证金中得到补偿。</w:t>
      </w:r>
    </w:p>
    <w:p>
      <w:pPr>
        <w:adjustRightInd w:val="0"/>
        <w:snapToGrid w:val="0"/>
        <w:spacing w:line="360" w:lineRule="auto"/>
        <w:ind w:firstLine="480" w:firstLineChars="200"/>
        <w:rPr>
          <w:rFonts w:hint="eastAsia" w:ascii="宋体"/>
          <w:bCs/>
          <w:sz w:val="24"/>
          <w:szCs w:val="24"/>
        </w:rPr>
      </w:pPr>
      <w:r>
        <w:rPr>
          <w:rFonts w:hint="eastAsia" w:ascii="宋体"/>
          <w:sz w:val="24"/>
          <w:szCs w:val="24"/>
        </w:rPr>
        <w:t>上述误期损害赔偿金是违约方对此类违约应付的且可预见的唯一损害赔偿费，对该误期损害赔偿金的支付不影响违约方按照合同规定应该继续履行的义务。</w:t>
      </w:r>
    </w:p>
    <w:p>
      <w:pPr>
        <w:pStyle w:val="7"/>
        <w:adjustRightInd w:val="0"/>
        <w:snapToGrid w:val="0"/>
        <w:spacing w:before="0" w:after="0" w:line="360" w:lineRule="auto"/>
        <w:ind w:firstLine="482" w:firstLineChars="200"/>
        <w:contextualSpacing/>
        <w:jc w:val="both"/>
        <w:rPr>
          <w:rFonts w:hint="eastAsia" w:ascii="宋体" w:eastAsia="宋体"/>
          <w:sz w:val="24"/>
          <w:szCs w:val="24"/>
        </w:rPr>
      </w:pPr>
      <w:r>
        <w:rPr>
          <w:rFonts w:hint="eastAsia" w:ascii="宋体" w:eastAsia="宋体"/>
          <w:sz w:val="24"/>
          <w:szCs w:val="24"/>
        </w:rPr>
        <w:t>17、其它</w:t>
      </w:r>
    </w:p>
    <w:p>
      <w:pPr>
        <w:numPr>
          <w:ilvl w:val="0"/>
          <w:numId w:val="15"/>
        </w:numPr>
        <w:tabs>
          <w:tab w:val="left" w:pos="720"/>
        </w:tabs>
        <w:adjustRightInd w:val="0"/>
        <w:snapToGrid w:val="0"/>
        <w:spacing w:line="360" w:lineRule="auto"/>
        <w:ind w:left="0" w:firstLine="480" w:firstLineChars="200"/>
        <w:rPr>
          <w:rFonts w:hint="eastAsia" w:ascii="宋体"/>
          <w:sz w:val="24"/>
          <w:szCs w:val="24"/>
        </w:rPr>
      </w:pPr>
      <w:r>
        <w:rPr>
          <w:rFonts w:hint="eastAsia" w:ascii="宋体"/>
          <w:sz w:val="24"/>
          <w:szCs w:val="24"/>
        </w:rPr>
        <w:t>本合同生效后，需要对原条款进行变更的，双方应另行签订《产品买卖合同变更协议》，经双方法人或委托人签字并加盖公章后生效。</w:t>
      </w:r>
    </w:p>
    <w:p>
      <w:pPr>
        <w:numPr>
          <w:ilvl w:val="0"/>
          <w:numId w:val="15"/>
        </w:numPr>
        <w:tabs>
          <w:tab w:val="left" w:pos="720"/>
        </w:tabs>
        <w:adjustRightInd w:val="0"/>
        <w:snapToGrid w:val="0"/>
        <w:spacing w:line="360" w:lineRule="auto"/>
        <w:ind w:left="0" w:firstLine="480" w:firstLineChars="200"/>
        <w:rPr>
          <w:rFonts w:hint="eastAsia" w:ascii="宋体"/>
          <w:sz w:val="24"/>
          <w:szCs w:val="24"/>
        </w:rPr>
      </w:pPr>
      <w:r>
        <w:rPr>
          <w:rFonts w:hint="eastAsia" w:ascii="宋体"/>
          <w:sz w:val="24"/>
          <w:szCs w:val="24"/>
        </w:rPr>
        <w:t>《产品规格表》、《电梯井道土建图》、《产品买卖合同变更协议》及其它与本合同有关的协议均为本合同之附件，属本合同不可分割部分，具有同等效力。</w:t>
      </w:r>
    </w:p>
    <w:p>
      <w:pPr>
        <w:numPr>
          <w:ilvl w:val="0"/>
          <w:numId w:val="15"/>
        </w:numPr>
        <w:tabs>
          <w:tab w:val="left" w:pos="720"/>
        </w:tabs>
        <w:adjustRightInd w:val="0"/>
        <w:snapToGrid w:val="0"/>
        <w:spacing w:line="360" w:lineRule="auto"/>
        <w:ind w:left="0" w:firstLine="480" w:firstLineChars="200"/>
        <w:rPr>
          <w:rFonts w:hint="eastAsia" w:ascii="宋体"/>
          <w:sz w:val="24"/>
          <w:szCs w:val="24"/>
        </w:rPr>
      </w:pPr>
      <w:r>
        <w:rPr>
          <w:rFonts w:hint="eastAsia" w:ascii="宋体"/>
          <w:sz w:val="24"/>
          <w:szCs w:val="24"/>
          <w:lang w:eastAsia="zh-CN"/>
        </w:rPr>
        <w:t>甲方</w:t>
      </w:r>
      <w:r>
        <w:rPr>
          <w:rFonts w:hint="eastAsia" w:ascii="宋体"/>
          <w:sz w:val="24"/>
          <w:szCs w:val="24"/>
        </w:rPr>
        <w:t>如需对本合同产品进行额外装潢，或在电梯井道、机房等与电梯相关的部位增设其它设施，买卖双方应协商解决。如方案未经</w:t>
      </w:r>
      <w:r>
        <w:rPr>
          <w:rFonts w:hint="eastAsia" w:ascii="宋体"/>
          <w:sz w:val="24"/>
          <w:szCs w:val="24"/>
          <w:lang w:eastAsia="zh-CN"/>
        </w:rPr>
        <w:t>乙方</w:t>
      </w:r>
      <w:r>
        <w:rPr>
          <w:rFonts w:hint="eastAsia" w:ascii="宋体"/>
          <w:sz w:val="24"/>
          <w:szCs w:val="24"/>
        </w:rPr>
        <w:t>技术部门确认，责任则由</w:t>
      </w:r>
      <w:r>
        <w:rPr>
          <w:rFonts w:hint="eastAsia" w:ascii="宋体"/>
          <w:sz w:val="24"/>
          <w:szCs w:val="24"/>
          <w:lang w:eastAsia="zh-CN"/>
        </w:rPr>
        <w:t>甲方</w:t>
      </w:r>
      <w:r>
        <w:rPr>
          <w:rFonts w:hint="eastAsia" w:ascii="宋体"/>
          <w:sz w:val="24"/>
          <w:szCs w:val="24"/>
        </w:rPr>
        <w:t>自负。</w:t>
      </w:r>
    </w:p>
    <w:p>
      <w:pPr>
        <w:numPr>
          <w:ilvl w:val="0"/>
          <w:numId w:val="15"/>
        </w:numPr>
        <w:tabs>
          <w:tab w:val="left" w:pos="720"/>
        </w:tabs>
        <w:adjustRightInd w:val="0"/>
        <w:snapToGrid w:val="0"/>
        <w:spacing w:line="360" w:lineRule="auto"/>
        <w:ind w:left="0" w:firstLine="480" w:firstLineChars="200"/>
        <w:rPr>
          <w:rFonts w:hint="eastAsia" w:ascii="宋体"/>
          <w:sz w:val="24"/>
          <w:szCs w:val="24"/>
        </w:rPr>
      </w:pPr>
      <w:r>
        <w:rPr>
          <w:rFonts w:hint="eastAsia" w:ascii="宋体"/>
          <w:sz w:val="24"/>
          <w:szCs w:val="24"/>
        </w:rPr>
        <w:t>如方案交</w:t>
      </w:r>
      <w:r>
        <w:rPr>
          <w:rFonts w:hint="eastAsia" w:ascii="宋体"/>
          <w:sz w:val="24"/>
          <w:szCs w:val="24"/>
          <w:lang w:eastAsia="zh-CN"/>
        </w:rPr>
        <w:t>乙方</w:t>
      </w:r>
      <w:r>
        <w:rPr>
          <w:rFonts w:hint="eastAsia" w:ascii="宋体"/>
          <w:sz w:val="24"/>
          <w:szCs w:val="24"/>
        </w:rPr>
        <w:t>之日起逾期十五天未回复，则视为</w:t>
      </w:r>
      <w:r>
        <w:rPr>
          <w:rFonts w:hint="eastAsia" w:ascii="宋体"/>
          <w:sz w:val="24"/>
          <w:szCs w:val="24"/>
          <w:lang w:eastAsia="zh-CN"/>
        </w:rPr>
        <w:t>乙方</w:t>
      </w:r>
      <w:r>
        <w:rPr>
          <w:rFonts w:hint="eastAsia" w:ascii="宋体"/>
          <w:sz w:val="24"/>
          <w:szCs w:val="24"/>
        </w:rPr>
        <w:t>认可方案的可行性。</w:t>
      </w:r>
    </w:p>
    <w:p>
      <w:pPr>
        <w:numPr>
          <w:ilvl w:val="0"/>
          <w:numId w:val="15"/>
        </w:numPr>
        <w:tabs>
          <w:tab w:val="left" w:pos="720"/>
        </w:tabs>
        <w:adjustRightInd w:val="0"/>
        <w:snapToGrid w:val="0"/>
        <w:spacing w:line="360" w:lineRule="auto"/>
        <w:ind w:left="0" w:firstLine="480" w:firstLineChars="200"/>
        <w:rPr>
          <w:rFonts w:hint="eastAsia" w:ascii="宋体"/>
          <w:sz w:val="24"/>
          <w:szCs w:val="24"/>
        </w:rPr>
      </w:pPr>
      <w:r>
        <w:rPr>
          <w:rFonts w:hint="eastAsia"/>
          <w:sz w:val="24"/>
          <w:szCs w:val="24"/>
        </w:rPr>
        <w:t>双方发生争议时，应先协商解决。协商不成时，任何一方可依法向</w:t>
      </w:r>
      <w:r>
        <w:rPr>
          <w:rFonts w:hint="eastAsia"/>
          <w:sz w:val="24"/>
          <w:szCs w:val="24"/>
          <w:lang w:eastAsia="zh-CN"/>
        </w:rPr>
        <w:t>甲方</w:t>
      </w:r>
      <w:r>
        <w:rPr>
          <w:rFonts w:hint="eastAsia"/>
          <w:sz w:val="24"/>
          <w:szCs w:val="24"/>
        </w:rPr>
        <w:t>所在地的人民法院起诉。</w:t>
      </w:r>
    </w:p>
    <w:p>
      <w:pPr>
        <w:pStyle w:val="22"/>
        <w:spacing w:line="380" w:lineRule="exact"/>
        <w:ind w:firstLine="480" w:firstLineChars="200"/>
        <w:rPr>
          <w:rFonts w:hint="eastAsia" w:ascii="宋体"/>
          <w:sz w:val="24"/>
          <w:szCs w:val="24"/>
        </w:rPr>
      </w:pPr>
      <w:r>
        <w:rPr>
          <w:rFonts w:hint="eastAsia"/>
          <w:sz w:val="24"/>
          <w:szCs w:val="24"/>
          <w:lang w:val="en-US" w:eastAsia="zh-CN"/>
        </w:rPr>
        <w:t>6.</w:t>
      </w:r>
      <w:r>
        <w:rPr>
          <w:rFonts w:ascii="宋体" w:hAnsi="宋体"/>
          <w:sz w:val="24"/>
          <w:szCs w:val="24"/>
          <w:highlight w:val="none"/>
        </w:rPr>
        <w:t>本合同一式</w:t>
      </w:r>
      <w:r>
        <w:rPr>
          <w:rFonts w:hint="eastAsia" w:ascii="宋体" w:hAnsi="宋体"/>
          <w:sz w:val="24"/>
          <w:szCs w:val="24"/>
          <w:highlight w:val="none"/>
          <w:lang w:eastAsia="zh-CN"/>
        </w:rPr>
        <w:t>四</w:t>
      </w:r>
      <w:r>
        <w:rPr>
          <w:rFonts w:ascii="宋体" w:hAnsi="宋体"/>
          <w:sz w:val="24"/>
          <w:szCs w:val="24"/>
          <w:highlight w:val="none"/>
        </w:rPr>
        <w:t>份，甲、乙双方各执二份</w:t>
      </w:r>
      <w:r>
        <w:rPr>
          <w:rFonts w:hint="eastAsia" w:ascii="宋体" w:hAnsi="宋体"/>
          <w:sz w:val="24"/>
          <w:szCs w:val="24"/>
          <w:highlight w:val="none"/>
        </w:rPr>
        <w:t>。</w:t>
      </w:r>
      <w:r>
        <w:rPr>
          <w:rFonts w:ascii="宋体" w:hAnsi="宋体"/>
          <w:sz w:val="24"/>
          <w:szCs w:val="24"/>
          <w:highlight w:val="none"/>
        </w:rPr>
        <w:t>合同经甲、乙双方加盖公章，法定代表人或其授权代表签字并在乙方提交了履约保证金后生效。</w:t>
      </w:r>
      <w:r>
        <w:rPr>
          <w:rFonts w:hint="eastAsia" w:ascii="宋体" w:hAnsi="宋体"/>
          <w:sz w:val="24"/>
          <w:szCs w:val="24"/>
          <w:highlight w:val="none"/>
        </w:rPr>
        <w:t>签订后30天内上传至政府采购云平台。</w:t>
      </w:r>
    </w:p>
    <w:p>
      <w:pPr>
        <w:pStyle w:val="7"/>
        <w:adjustRightInd w:val="0"/>
        <w:snapToGrid w:val="0"/>
        <w:spacing w:before="0" w:after="0" w:line="360" w:lineRule="auto"/>
        <w:ind w:firstLine="482" w:firstLineChars="200"/>
        <w:contextualSpacing/>
        <w:jc w:val="both"/>
        <w:rPr>
          <w:rFonts w:hint="eastAsia" w:ascii="宋体" w:eastAsia="宋体"/>
          <w:sz w:val="24"/>
          <w:szCs w:val="24"/>
        </w:rPr>
      </w:pPr>
      <w:r>
        <w:rPr>
          <w:rFonts w:hint="eastAsia" w:ascii="宋体" w:eastAsia="宋体"/>
          <w:sz w:val="24"/>
          <w:szCs w:val="24"/>
        </w:rPr>
        <w:t>18、另行约定事项</w:t>
      </w:r>
    </w:p>
    <w:p>
      <w:pPr>
        <w:numPr>
          <w:ilvl w:val="0"/>
          <w:numId w:val="16"/>
        </w:numPr>
        <w:tabs>
          <w:tab w:val="left" w:pos="720"/>
        </w:tabs>
        <w:adjustRightInd w:val="0"/>
        <w:snapToGrid w:val="0"/>
        <w:spacing w:line="360" w:lineRule="auto"/>
        <w:ind w:left="0" w:firstLine="480" w:firstLineChars="200"/>
        <w:rPr>
          <w:rFonts w:hint="eastAsia" w:ascii="宋体"/>
          <w:sz w:val="24"/>
          <w:szCs w:val="24"/>
        </w:rPr>
      </w:pPr>
      <w:r>
        <w:rPr>
          <w:rFonts w:hint="eastAsia" w:ascii="宋体"/>
          <w:sz w:val="24"/>
          <w:szCs w:val="24"/>
        </w:rPr>
        <w:t>本合同电梯设备为交钥匙工程，实行总价承包，具体应包设计、制造、运输、装卸、安装、产品保护、调试、试运行、竣工前的运输、有关行业专管部门验收，包工期、文明安全施工、培训及售后服务等工作的承包负责制。</w:t>
      </w:r>
    </w:p>
    <w:p>
      <w:pPr>
        <w:numPr>
          <w:ilvl w:val="0"/>
          <w:numId w:val="16"/>
        </w:numPr>
        <w:tabs>
          <w:tab w:val="left" w:pos="720"/>
        </w:tabs>
        <w:adjustRightInd w:val="0"/>
        <w:snapToGrid w:val="0"/>
        <w:spacing w:line="360" w:lineRule="auto"/>
        <w:ind w:left="0" w:firstLine="480" w:firstLineChars="200"/>
        <w:rPr>
          <w:rFonts w:hint="eastAsia" w:ascii="宋体"/>
          <w:sz w:val="24"/>
          <w:szCs w:val="24"/>
        </w:rPr>
      </w:pPr>
      <w:r>
        <w:rPr>
          <w:rFonts w:hint="eastAsia" w:ascii="宋体"/>
          <w:sz w:val="24"/>
          <w:szCs w:val="24"/>
        </w:rPr>
        <w:t>在电梯出厂之前，</w:t>
      </w:r>
      <w:r>
        <w:rPr>
          <w:rFonts w:hint="eastAsia" w:ascii="宋体"/>
          <w:sz w:val="24"/>
          <w:szCs w:val="24"/>
          <w:lang w:eastAsia="zh-CN"/>
        </w:rPr>
        <w:t>乙方</w:t>
      </w:r>
      <w:r>
        <w:rPr>
          <w:rFonts w:hint="eastAsia" w:ascii="宋体"/>
          <w:sz w:val="24"/>
          <w:szCs w:val="24"/>
        </w:rPr>
        <w:t>邀请</w:t>
      </w:r>
      <w:r>
        <w:rPr>
          <w:rFonts w:hint="eastAsia" w:ascii="宋体"/>
          <w:sz w:val="24"/>
          <w:szCs w:val="24"/>
          <w:lang w:eastAsia="zh-CN"/>
        </w:rPr>
        <w:t>甲方</w:t>
      </w:r>
      <w:r>
        <w:rPr>
          <w:rFonts w:hint="eastAsia" w:ascii="宋体"/>
          <w:sz w:val="24"/>
          <w:szCs w:val="24"/>
        </w:rPr>
        <w:t>技术人员赴工厂进行检验，费用已含在合同总价中，</w:t>
      </w:r>
      <w:r>
        <w:rPr>
          <w:rFonts w:hint="eastAsia" w:ascii="宋体"/>
          <w:sz w:val="24"/>
          <w:szCs w:val="24"/>
          <w:lang w:eastAsia="zh-CN"/>
        </w:rPr>
        <w:t>甲方</w:t>
      </w:r>
      <w:r>
        <w:rPr>
          <w:rFonts w:hint="eastAsia" w:ascii="宋体"/>
          <w:sz w:val="24"/>
          <w:szCs w:val="24"/>
        </w:rPr>
        <w:t>因故未赴工厂检验，该检验费在设备总价中也相应扣除。</w:t>
      </w:r>
    </w:p>
    <w:p>
      <w:pPr>
        <w:numPr>
          <w:ilvl w:val="0"/>
          <w:numId w:val="16"/>
        </w:numPr>
        <w:tabs>
          <w:tab w:val="left" w:pos="720"/>
        </w:tabs>
        <w:adjustRightInd w:val="0"/>
        <w:snapToGrid w:val="0"/>
        <w:spacing w:line="360" w:lineRule="auto"/>
        <w:ind w:left="0" w:firstLine="480" w:firstLineChars="200"/>
        <w:rPr>
          <w:rFonts w:hint="eastAsia" w:ascii="宋体" w:cs="Courier New"/>
          <w:sz w:val="24"/>
          <w:szCs w:val="24"/>
          <w:lang w:bidi="ar-SA"/>
        </w:rPr>
      </w:pPr>
      <w:r>
        <w:rPr>
          <w:rFonts w:hint="eastAsia" w:ascii="宋体"/>
          <w:bCs/>
          <w:sz w:val="24"/>
          <w:szCs w:val="24"/>
        </w:rPr>
        <w:t>以上文件作为本合同的附件。附件内容与本合同内容不符时，以合同内容为准，附件之间内容不符时，以在本条内排列在先的附件内容为准。</w:t>
      </w:r>
    </w:p>
    <w:p>
      <w:pPr>
        <w:adjustRightInd w:val="0"/>
        <w:snapToGrid w:val="0"/>
        <w:spacing w:line="360" w:lineRule="auto"/>
        <w:ind w:firstLine="480" w:firstLineChars="200"/>
        <w:rPr>
          <w:rFonts w:hint="eastAsia" w:ascii="宋体" w:cs="Courier New"/>
          <w:sz w:val="24"/>
          <w:szCs w:val="24"/>
          <w:lang w:bidi="ar-SA"/>
        </w:rPr>
      </w:pPr>
    </w:p>
    <w:p>
      <w:pPr>
        <w:adjustRightInd w:val="0"/>
        <w:snapToGrid w:val="0"/>
        <w:spacing w:line="360" w:lineRule="auto"/>
        <w:ind w:firstLine="480" w:firstLineChars="200"/>
        <w:rPr>
          <w:rFonts w:hint="eastAsia" w:ascii="宋体" w:cs="Courier New"/>
          <w:sz w:val="24"/>
          <w:szCs w:val="24"/>
          <w:lang w:bidi="ar-SA"/>
        </w:rPr>
      </w:pPr>
    </w:p>
    <w:p>
      <w:pPr>
        <w:adjustRightInd w:val="0"/>
        <w:snapToGrid w:val="0"/>
        <w:spacing w:line="360" w:lineRule="auto"/>
        <w:ind w:firstLine="480" w:firstLineChars="200"/>
        <w:rPr>
          <w:rFonts w:hint="eastAsia" w:ascii="宋体" w:cs="Courier New"/>
          <w:sz w:val="24"/>
          <w:szCs w:val="24"/>
          <w:lang w:bidi="ar-SA"/>
        </w:rPr>
      </w:pPr>
      <w:r>
        <w:rPr>
          <w:rFonts w:hint="eastAsia" w:ascii="宋体" w:cs="Courier New"/>
          <w:sz w:val="24"/>
          <w:szCs w:val="24"/>
          <w:lang w:eastAsia="zh-CN" w:bidi="ar-SA"/>
        </w:rPr>
        <w:t>甲方</w:t>
      </w:r>
      <w:r>
        <w:rPr>
          <w:rFonts w:hint="eastAsia" w:ascii="宋体" w:cs="Courier New"/>
          <w:sz w:val="24"/>
          <w:szCs w:val="24"/>
          <w:lang w:bidi="ar-SA"/>
        </w:rPr>
        <w:t xml:space="preserve">：                              </w:t>
      </w:r>
      <w:r>
        <w:rPr>
          <w:rFonts w:hint="eastAsia" w:ascii="宋体" w:cs="Courier New"/>
          <w:sz w:val="24"/>
          <w:szCs w:val="24"/>
          <w:lang w:val="en-US" w:eastAsia="zh-CN" w:bidi="ar-SA"/>
        </w:rPr>
        <w:t xml:space="preserve"> </w:t>
      </w:r>
      <w:r>
        <w:rPr>
          <w:rFonts w:hint="eastAsia" w:ascii="宋体" w:cs="Courier New"/>
          <w:sz w:val="24"/>
          <w:szCs w:val="24"/>
          <w:lang w:bidi="ar-SA"/>
        </w:rPr>
        <w:t xml:space="preserve">   </w:t>
      </w:r>
      <w:r>
        <w:rPr>
          <w:rFonts w:hint="eastAsia" w:ascii="宋体" w:cs="Courier New"/>
          <w:sz w:val="24"/>
          <w:szCs w:val="24"/>
          <w:lang w:eastAsia="zh-CN" w:bidi="ar-SA"/>
        </w:rPr>
        <w:t>乙方</w:t>
      </w:r>
      <w:r>
        <w:rPr>
          <w:rFonts w:hint="eastAsia" w:ascii="宋体" w:cs="Courier New"/>
          <w:sz w:val="24"/>
          <w:szCs w:val="24"/>
          <w:lang w:bidi="ar-SA"/>
        </w:rPr>
        <w:t>：</w:t>
      </w:r>
    </w:p>
    <w:p>
      <w:pPr>
        <w:pStyle w:val="22"/>
        <w:snapToGrid w:val="0"/>
        <w:spacing w:before="120" w:after="120" w:line="380" w:lineRule="exact"/>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 xml:space="preserve">  </w:t>
      </w:r>
      <w:r>
        <w:rPr>
          <w:rFonts w:hint="eastAsia" w:cs="宋体" w:asciiTheme="minorEastAsia" w:hAnsiTheme="minorEastAsia" w:eastAsiaTheme="minorEastAsia"/>
          <w:sz w:val="24"/>
          <w:szCs w:val="24"/>
          <w:highlight w:val="none"/>
          <w:lang w:val="en-US" w:eastAsia="zh-CN"/>
        </w:rPr>
        <w:t xml:space="preserve">  </w:t>
      </w:r>
      <w:r>
        <w:rPr>
          <w:rFonts w:cs="宋体" w:asciiTheme="minorEastAsia" w:hAnsiTheme="minorEastAsia" w:eastAsiaTheme="minorEastAsia"/>
          <w:sz w:val="24"/>
          <w:szCs w:val="24"/>
          <w:highlight w:val="none"/>
        </w:rPr>
        <w:t xml:space="preserve">地址：                                   地址： </w:t>
      </w:r>
    </w:p>
    <w:p>
      <w:pPr>
        <w:pStyle w:val="22"/>
        <w:snapToGrid w:val="0"/>
        <w:spacing w:before="120" w:after="120" w:line="380" w:lineRule="exact"/>
        <w:rPr>
          <w:rFonts w:cs="宋体" w:asciiTheme="minorEastAsia" w:hAnsiTheme="minorEastAsia" w:eastAsiaTheme="minorEastAsia"/>
          <w:sz w:val="24"/>
          <w:szCs w:val="24"/>
          <w:highlight w:val="none"/>
        </w:rPr>
      </w:pPr>
      <w:r>
        <w:rPr>
          <w:rFonts w:cs="宋体" w:asciiTheme="minorEastAsia" w:hAnsiTheme="minorEastAsia" w:eastAsiaTheme="minorEastAsia"/>
          <w:sz w:val="24"/>
          <w:szCs w:val="24"/>
          <w:highlight w:val="none"/>
        </w:rPr>
        <w:t xml:space="preserve">  </w:t>
      </w:r>
      <w:r>
        <w:rPr>
          <w:rFonts w:hint="eastAsia" w:cs="宋体" w:asciiTheme="minorEastAsia" w:hAnsiTheme="minorEastAsia" w:eastAsiaTheme="minorEastAsia"/>
          <w:sz w:val="24"/>
          <w:szCs w:val="24"/>
          <w:highlight w:val="none"/>
          <w:lang w:val="en-US" w:eastAsia="zh-CN"/>
        </w:rPr>
        <w:t xml:space="preserve">  </w:t>
      </w:r>
      <w:r>
        <w:rPr>
          <w:rFonts w:cs="宋体" w:asciiTheme="minorEastAsia" w:hAnsiTheme="minorEastAsia" w:eastAsiaTheme="minorEastAsia"/>
          <w:sz w:val="24"/>
          <w:szCs w:val="24"/>
          <w:highlight w:val="none"/>
        </w:rPr>
        <w:t>法定代表人</w:t>
      </w:r>
      <w:r>
        <w:rPr>
          <w:rFonts w:hint="eastAsia" w:cs="宋体" w:asciiTheme="minorEastAsia" w:hAnsiTheme="minorEastAsia" w:eastAsiaTheme="minorEastAsia"/>
          <w:sz w:val="24"/>
          <w:szCs w:val="24"/>
          <w:highlight w:val="none"/>
        </w:rPr>
        <w:t>（签字）</w:t>
      </w:r>
      <w:r>
        <w:rPr>
          <w:rFonts w:cs="宋体" w:asciiTheme="minorEastAsia" w:hAnsiTheme="minorEastAsia" w:eastAsiaTheme="minorEastAsia"/>
          <w:sz w:val="24"/>
          <w:szCs w:val="24"/>
          <w:highlight w:val="none"/>
        </w:rPr>
        <w:t>：                     法定代表人</w:t>
      </w:r>
      <w:r>
        <w:rPr>
          <w:rFonts w:hint="eastAsia" w:cs="宋体" w:asciiTheme="minorEastAsia" w:hAnsiTheme="minorEastAsia" w:eastAsiaTheme="minorEastAsia"/>
          <w:sz w:val="24"/>
          <w:szCs w:val="24"/>
          <w:highlight w:val="none"/>
        </w:rPr>
        <w:t>（签字）</w:t>
      </w:r>
      <w:r>
        <w:rPr>
          <w:rFonts w:cs="宋体" w:asciiTheme="minorEastAsia" w:hAnsiTheme="minorEastAsia" w:eastAsiaTheme="minorEastAsia"/>
          <w:sz w:val="24"/>
          <w:szCs w:val="24"/>
          <w:highlight w:val="none"/>
        </w:rPr>
        <w:t>：</w:t>
      </w:r>
    </w:p>
    <w:p>
      <w:pPr>
        <w:pStyle w:val="22"/>
        <w:snapToGrid w:val="0"/>
        <w:spacing w:before="120" w:after="120" w:line="3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或</w:t>
      </w:r>
      <w:r>
        <w:rPr>
          <w:rFonts w:cs="宋体" w:asciiTheme="minorEastAsia" w:hAnsiTheme="minorEastAsia" w:eastAsiaTheme="minorEastAsia"/>
          <w:sz w:val="24"/>
          <w:szCs w:val="24"/>
          <w:highlight w:val="none"/>
        </w:rPr>
        <w:t>委托代理人</w:t>
      </w:r>
      <w:r>
        <w:rPr>
          <w:rFonts w:hint="eastAsia" w:cs="宋体" w:asciiTheme="minorEastAsia" w:hAnsiTheme="minorEastAsia" w:eastAsiaTheme="minorEastAsia"/>
          <w:sz w:val="24"/>
          <w:szCs w:val="24"/>
          <w:highlight w:val="none"/>
        </w:rPr>
        <w:t>（签字）：                   或</w:t>
      </w:r>
      <w:r>
        <w:rPr>
          <w:rFonts w:cs="宋体" w:asciiTheme="minorEastAsia" w:hAnsiTheme="minorEastAsia" w:eastAsiaTheme="minorEastAsia"/>
          <w:sz w:val="24"/>
          <w:szCs w:val="24"/>
          <w:highlight w:val="none"/>
        </w:rPr>
        <w:t>委托代理人</w:t>
      </w:r>
      <w:r>
        <w:rPr>
          <w:rFonts w:hint="eastAsia" w:cs="宋体" w:asciiTheme="minorEastAsia" w:hAnsiTheme="minorEastAsia" w:eastAsiaTheme="minorEastAsia"/>
          <w:sz w:val="24"/>
          <w:szCs w:val="24"/>
          <w:highlight w:val="none"/>
        </w:rPr>
        <w:t>（签字）：</w:t>
      </w:r>
    </w:p>
    <w:p>
      <w:pPr>
        <w:pStyle w:val="22"/>
        <w:snapToGrid w:val="0"/>
        <w:spacing w:before="120" w:after="120" w:line="380" w:lineRule="exact"/>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电话：                                   电话：</w:t>
      </w:r>
    </w:p>
    <w:p>
      <w:pPr>
        <w:pStyle w:val="22"/>
        <w:spacing w:line="380" w:lineRule="exact"/>
        <w:ind w:firstLine="480" w:firstLineChars="200"/>
        <w:rPr>
          <w:rFonts w:hAnsi="Technical"/>
          <w:sz w:val="24"/>
          <w:highlight w:val="none"/>
        </w:rPr>
      </w:pPr>
      <w:r>
        <w:rPr>
          <w:rFonts w:cs="宋体" w:asciiTheme="minorEastAsia" w:hAnsiTheme="minorEastAsia" w:eastAsiaTheme="minorEastAsia"/>
          <w:sz w:val="24"/>
          <w:szCs w:val="24"/>
          <w:highlight w:val="none"/>
        </w:rPr>
        <w:t xml:space="preserve">签字日期：      年  月  日              </w:t>
      </w:r>
      <w:r>
        <w:rPr>
          <w:rFonts w:hint="eastAsia" w:cs="宋体" w:asciiTheme="minorEastAsia" w:hAnsiTheme="minorEastAsia" w:eastAsiaTheme="minorEastAsia"/>
          <w:sz w:val="24"/>
          <w:szCs w:val="24"/>
          <w:highlight w:val="none"/>
          <w:lang w:val="en-US" w:eastAsia="zh-CN"/>
        </w:rPr>
        <w:t xml:space="preserve"> </w:t>
      </w:r>
      <w:r>
        <w:rPr>
          <w:rFonts w:cs="宋体" w:asciiTheme="minorEastAsia" w:hAnsiTheme="minorEastAsia" w:eastAsiaTheme="minorEastAsia"/>
          <w:sz w:val="24"/>
          <w:szCs w:val="24"/>
          <w:highlight w:val="none"/>
        </w:rPr>
        <w:t>签字日期：      年  月  日</w:t>
      </w:r>
    </w:p>
    <w:p>
      <w:pPr>
        <w:pStyle w:val="2"/>
        <w:spacing w:line="240" w:lineRule="auto"/>
        <w:rPr>
          <w:rFonts w:hint="eastAsia" w:ascii="宋体" w:hAnsi="宋体" w:cs="宋体"/>
          <w:sz w:val="24"/>
          <w:highlight w:val="none"/>
          <w:lang w:val="zh-CN"/>
        </w:rPr>
      </w:pPr>
    </w:p>
    <w:p>
      <w:pPr>
        <w:jc w:val="center"/>
        <w:rPr>
          <w:rFonts w:hint="eastAsia" w:ascii="黑体" w:eastAsia="黑体"/>
          <w:b/>
          <w:color w:val="000000"/>
          <w:sz w:val="32"/>
          <w:szCs w:val="32"/>
          <w:highlight w:val="none"/>
        </w:rPr>
        <w:sectPr>
          <w:pgSz w:w="11906" w:h="16838"/>
          <w:pgMar w:top="1440" w:right="1559" w:bottom="1440" w:left="1797" w:header="851" w:footer="992" w:gutter="0"/>
          <w:pgBorders>
            <w:top w:val="none" w:sz="0" w:space="0"/>
            <w:left w:val="none" w:sz="0" w:space="0"/>
            <w:bottom w:val="none" w:sz="0" w:space="0"/>
            <w:right w:val="none" w:sz="0" w:space="0"/>
          </w:pgBorders>
          <w:cols w:equalWidth="0" w:num="1">
            <w:col w:w="8551"/>
          </w:cols>
          <w:docGrid w:linePitch="312" w:charSpace="0"/>
        </w:sectPr>
      </w:pPr>
    </w:p>
    <w:p>
      <w:pPr>
        <w:jc w:val="center"/>
        <w:rPr>
          <w:rFonts w:ascii="黑体" w:eastAsia="黑体"/>
          <w:b/>
          <w:color w:val="000000"/>
          <w:sz w:val="32"/>
          <w:szCs w:val="32"/>
          <w:highlight w:val="none"/>
        </w:rPr>
      </w:pPr>
      <w:r>
        <w:rPr>
          <w:rFonts w:hint="eastAsia" w:ascii="黑体" w:eastAsia="黑体"/>
          <w:b/>
          <w:color w:val="000000"/>
          <w:sz w:val="32"/>
          <w:szCs w:val="32"/>
          <w:highlight w:val="none"/>
        </w:rPr>
        <w:t>第六章 磋商响应文件参考格式</w:t>
      </w:r>
      <w:bookmarkEnd w:id="682"/>
      <w:bookmarkEnd w:id="683"/>
      <w:bookmarkEnd w:id="684"/>
      <w:bookmarkEnd w:id="685"/>
      <w:bookmarkEnd w:id="686"/>
      <w:bookmarkEnd w:id="687"/>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p>
      <w:pPr>
        <w:ind w:firstLine="404"/>
        <w:rPr>
          <w:rFonts w:ascii="宋体" w:cs="宋体"/>
          <w:sz w:val="24"/>
          <w:szCs w:val="24"/>
          <w:highlight w:val="none"/>
        </w:rPr>
      </w:pPr>
      <w:bookmarkStart w:id="904" w:name="EBb47a804f28f4404fb58d958f11aa9e9a"/>
    </w:p>
    <w:p>
      <w:pPr>
        <w:autoSpaceDE w:val="0"/>
        <w:autoSpaceDN w:val="0"/>
        <w:spacing w:before="120" w:after="50"/>
        <w:jc w:val="center"/>
        <w:rPr>
          <w:rFonts w:ascii="宋体" w:cs="宋体"/>
          <w:b/>
          <w:color w:val="000000"/>
          <w:sz w:val="24"/>
          <w:szCs w:val="24"/>
          <w:highlight w:val="none"/>
        </w:rPr>
      </w:pPr>
      <w:bookmarkStart w:id="905" w:name="_Toc172286699"/>
      <w:bookmarkEnd w:id="905"/>
      <w:bookmarkStart w:id="906" w:name="_Toc172286826"/>
      <w:bookmarkEnd w:id="906"/>
      <w:bookmarkStart w:id="907" w:name="_Toc403719529"/>
    </w:p>
    <w:p>
      <w:pPr>
        <w:pStyle w:val="57"/>
        <w:tabs>
          <w:tab w:val="left" w:pos="1365"/>
        </w:tabs>
        <w:spacing w:line="360" w:lineRule="auto"/>
        <w:ind w:firstLine="482" w:firstLineChars="200"/>
        <w:jc w:val="left"/>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说明：磋商响应文件编制由各供应商根据项目磋商文件要求内容和政采云平台磋商响应文件制作流程编制磋商响应文件。磋商响应文件中所上传的证明资料必须为清晰的原件扫描件并</w:t>
      </w:r>
      <w:r>
        <w:rPr>
          <w:rFonts w:hint="eastAsia" w:asciiTheme="minorEastAsia" w:hAnsiTheme="minorEastAsia" w:eastAsiaTheme="minorEastAsia" w:cstheme="minorEastAsia"/>
          <w:b/>
          <w:bCs/>
          <w:sz w:val="24"/>
          <w:szCs w:val="24"/>
          <w:highlight w:val="none"/>
        </w:rPr>
        <w:t>采用CA锁电子签章</w:t>
      </w:r>
      <w:r>
        <w:rPr>
          <w:rFonts w:hint="eastAsia" w:asciiTheme="minorEastAsia" w:hAnsiTheme="minorEastAsia" w:eastAsiaTheme="minorEastAsia" w:cstheme="minorEastAsia"/>
          <w:b/>
          <w:sz w:val="24"/>
          <w:szCs w:val="24"/>
          <w:highlight w:val="none"/>
        </w:rPr>
        <w:t>。</w:t>
      </w:r>
    </w:p>
    <w:p>
      <w:pPr>
        <w:widowControl/>
        <w:spacing w:line="500" w:lineRule="exact"/>
        <w:ind w:firstLine="482"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各供应商根据项目的需要参照以下格式制作磋商响应文件，所有需签字处都应进行手工签字。</w:t>
      </w:r>
    </w:p>
    <w:p>
      <w:pPr>
        <w:pStyle w:val="57"/>
        <w:tabs>
          <w:tab w:val="left" w:pos="1365"/>
        </w:tabs>
        <w:spacing w:line="360" w:lineRule="auto"/>
        <w:ind w:firstLine="482" w:firstLineChars="200"/>
        <w:jc w:val="lef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格式见附件：</w:t>
      </w:r>
    </w:p>
    <w:p>
      <w:pPr>
        <w:pStyle w:val="57"/>
        <w:numPr>
          <w:ilvl w:val="0"/>
          <w:numId w:val="17"/>
        </w:numPr>
        <w:tabs>
          <w:tab w:val="left" w:pos="1365"/>
        </w:tabs>
        <w:spacing w:line="360" w:lineRule="auto"/>
        <w:ind w:firstLine="482" w:firstLineChars="200"/>
        <w:jc w:val="left"/>
        <w:rPr>
          <w:rFonts w:hint="eastAsia" w:ascii="宋体" w:hAnsi="宋体" w:cs="宋体"/>
          <w:b/>
          <w:sz w:val="24"/>
        </w:rPr>
      </w:pPr>
      <w:r>
        <w:rPr>
          <w:rFonts w:hint="eastAsia" w:ascii="宋体" w:hAnsi="宋体" w:cs="宋体"/>
          <w:b/>
          <w:sz w:val="24"/>
        </w:rPr>
        <w:t>技术、商务、资信及其它部分</w:t>
      </w:r>
    </w:p>
    <w:bookmarkEnd w:id="904"/>
    <w:bookmarkEnd w:id="907"/>
    <w:p>
      <w:pPr>
        <w:pStyle w:val="57"/>
        <w:tabs>
          <w:tab w:val="left" w:pos="1365"/>
        </w:tabs>
        <w:spacing w:line="360" w:lineRule="auto"/>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1.法定代表人资格证明或法定代表人授权书（附件1/2）；</w:t>
      </w:r>
    </w:p>
    <w:p>
      <w:pPr>
        <w:pStyle w:val="57"/>
        <w:tabs>
          <w:tab w:val="left" w:pos="1365"/>
        </w:tabs>
        <w:spacing w:line="360" w:lineRule="auto"/>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2.磋商声明书（附件3）；</w:t>
      </w:r>
    </w:p>
    <w:p>
      <w:pPr>
        <w:pStyle w:val="57"/>
        <w:tabs>
          <w:tab w:val="left" w:pos="1365"/>
        </w:tabs>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3.政府采购廉洁承诺书（附件4）；</w:t>
      </w:r>
    </w:p>
    <w:p>
      <w:pPr>
        <w:pStyle w:val="57"/>
        <w:tabs>
          <w:tab w:val="left" w:pos="1365"/>
        </w:tabs>
        <w:spacing w:line="360" w:lineRule="auto"/>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4.供应商资格条件符合情况自查表（附件5）；</w:t>
      </w:r>
    </w:p>
    <w:p>
      <w:pPr>
        <w:pStyle w:val="57"/>
        <w:tabs>
          <w:tab w:val="left" w:pos="1365"/>
        </w:tabs>
        <w:spacing w:line="360" w:lineRule="auto"/>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5.供应商商务响应情况自查表（附件6）；</w:t>
      </w:r>
    </w:p>
    <w:p>
      <w:pPr>
        <w:pStyle w:val="57"/>
        <w:tabs>
          <w:tab w:val="left" w:pos="1365"/>
        </w:tabs>
        <w:spacing w:line="360" w:lineRule="auto"/>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w:t>
      </w:r>
      <w:r>
        <w:rPr>
          <w:rFonts w:hint="eastAsia" w:ascii="宋体" w:hAnsi="宋体" w:cs="宋体"/>
          <w:sz w:val="24"/>
          <w:highlight w:val="none"/>
          <w:lang w:val="zh-CN"/>
        </w:rPr>
        <w:t>供应商</w:t>
      </w:r>
      <w:r>
        <w:rPr>
          <w:rFonts w:hint="eastAsia" w:asciiTheme="minorEastAsia" w:hAnsiTheme="minorEastAsia" w:eastAsiaTheme="minorEastAsia" w:cstheme="minorEastAsia"/>
          <w:sz w:val="24"/>
          <w:szCs w:val="24"/>
          <w:highlight w:val="none"/>
        </w:rPr>
        <w:t>实质性技术要求响应情况自查表（附件7）；</w:t>
      </w:r>
    </w:p>
    <w:p>
      <w:pPr>
        <w:pStyle w:val="57"/>
        <w:tabs>
          <w:tab w:val="left" w:pos="1365"/>
        </w:tabs>
        <w:spacing w:line="360" w:lineRule="auto"/>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7.企业状况一览表（附件8）；</w:t>
      </w:r>
    </w:p>
    <w:p>
      <w:pPr>
        <w:pStyle w:val="57"/>
        <w:tabs>
          <w:tab w:val="left" w:pos="1365"/>
        </w:tabs>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w:t>
      </w:r>
      <w:r>
        <w:rPr>
          <w:rFonts w:hint="eastAsia" w:ascii="宋体" w:hAnsi="宋体"/>
          <w:color w:val="000000"/>
          <w:sz w:val="24"/>
          <w:highlight w:val="none"/>
        </w:rPr>
        <w:t>服务本项目的人员配备表</w:t>
      </w:r>
      <w:r>
        <w:rPr>
          <w:rFonts w:hint="eastAsia" w:asciiTheme="minorEastAsia" w:hAnsiTheme="minorEastAsia" w:eastAsiaTheme="minorEastAsia" w:cstheme="minorEastAsia"/>
          <w:sz w:val="24"/>
          <w:szCs w:val="24"/>
          <w:highlight w:val="none"/>
        </w:rPr>
        <w:t>（附件9/10）；</w:t>
      </w:r>
    </w:p>
    <w:p>
      <w:pPr>
        <w:pStyle w:val="57"/>
        <w:tabs>
          <w:tab w:val="left" w:pos="1365"/>
        </w:tabs>
        <w:spacing w:line="360" w:lineRule="auto"/>
        <w:ind w:firstLine="480" w:firstLineChars="200"/>
        <w:jc w:val="left"/>
        <w:rPr>
          <w:rFonts w:hint="eastAsia" w:eastAsia="宋体" w:asciiTheme="minorEastAsia" w:hAnsi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w:t>
      </w:r>
      <w:r>
        <w:rPr>
          <w:rFonts w:hint="eastAsia" w:ascii="宋体" w:hAnsi="宋体" w:eastAsia="宋体" w:cs="宋体"/>
          <w:b w:val="0"/>
          <w:bCs/>
          <w:color w:val="000000"/>
          <w:sz w:val="24"/>
          <w:szCs w:val="24"/>
          <w:highlight w:val="none"/>
          <w:lang w:val="en-US" w:eastAsia="zh-CN"/>
        </w:rPr>
        <w:t>本项目拟投入的设施设备一览表</w:t>
      </w:r>
      <w:r>
        <w:rPr>
          <w:rFonts w:hint="eastAsia" w:ascii="宋体" w:hAnsi="宋体" w:cs="宋体"/>
          <w:b w:val="0"/>
          <w:bCs/>
          <w:color w:val="000000"/>
          <w:sz w:val="24"/>
          <w:szCs w:val="24"/>
          <w:highlight w:val="none"/>
          <w:lang w:eastAsia="zh-CN"/>
        </w:rPr>
        <w:t>（</w:t>
      </w:r>
      <w:r>
        <w:rPr>
          <w:rFonts w:hint="eastAsia" w:asciiTheme="minorEastAsia" w:hAnsiTheme="minorEastAsia" w:eastAsiaTheme="minorEastAsia" w:cstheme="minorEastAsia"/>
          <w:sz w:val="24"/>
          <w:szCs w:val="24"/>
          <w:highlight w:val="none"/>
        </w:rPr>
        <w:t>附件1</w:t>
      </w:r>
      <w:r>
        <w:rPr>
          <w:rFonts w:hint="eastAsia" w:asciiTheme="minorEastAsia" w:hAnsiTheme="minorEastAsia" w:eastAsiaTheme="minorEastAsia" w:cstheme="minorEastAsia"/>
          <w:sz w:val="24"/>
          <w:szCs w:val="24"/>
          <w:highlight w:val="none"/>
          <w:lang w:val="en-US" w:eastAsia="zh-CN"/>
        </w:rPr>
        <w:t>1</w:t>
      </w:r>
      <w:r>
        <w:rPr>
          <w:rFonts w:hint="eastAsia" w:ascii="宋体" w:hAnsi="宋体" w:cs="宋体"/>
          <w:b w:val="0"/>
          <w:bCs/>
          <w:color w:val="000000"/>
          <w:sz w:val="24"/>
          <w:szCs w:val="24"/>
          <w:highlight w:val="none"/>
          <w:lang w:eastAsia="zh-CN"/>
        </w:rPr>
        <w:t>）</w:t>
      </w:r>
    </w:p>
    <w:p>
      <w:pPr>
        <w:pStyle w:val="57"/>
        <w:tabs>
          <w:tab w:val="left" w:pos="1365"/>
        </w:tabs>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9.企业业绩（附件1</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w:t>
      </w:r>
    </w:p>
    <w:p>
      <w:pPr>
        <w:pStyle w:val="57"/>
        <w:tabs>
          <w:tab w:val="left" w:pos="1365"/>
        </w:tabs>
        <w:spacing w:line="360" w:lineRule="auto"/>
        <w:ind w:firstLine="482" w:firstLineChars="200"/>
        <w:jc w:val="left"/>
        <w:rPr>
          <w:rFonts w:hint="eastAsia" w:asciiTheme="minorEastAsia" w:hAnsiTheme="minorEastAsia" w:eastAsiaTheme="minorEastAsia" w:cstheme="minorEastAsia"/>
          <w:sz w:val="24"/>
          <w:szCs w:val="24"/>
          <w:highlight w:val="none"/>
        </w:rPr>
      </w:pPr>
      <w:r>
        <w:rPr>
          <w:rFonts w:hint="eastAsia" w:ascii="宋体" w:hAnsi="宋体" w:cs="宋体"/>
          <w:b/>
          <w:sz w:val="24"/>
          <w:szCs w:val="24"/>
          <w:highlight w:val="none"/>
        </w:rPr>
        <w:t>二、价格部分</w:t>
      </w:r>
    </w:p>
    <w:p>
      <w:pPr>
        <w:pStyle w:val="57"/>
        <w:tabs>
          <w:tab w:val="left" w:pos="1365"/>
        </w:tabs>
        <w:spacing w:line="360" w:lineRule="auto"/>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.磋商函（附件1</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w:t>
      </w:r>
    </w:p>
    <w:p>
      <w:pPr>
        <w:pStyle w:val="57"/>
        <w:tabs>
          <w:tab w:val="left" w:pos="1365"/>
        </w:tabs>
        <w:spacing w:line="360" w:lineRule="auto"/>
        <w:ind w:firstLine="480" w:firstLineChars="200"/>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.磋商报价明细表（附件1</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w:t>
      </w:r>
    </w:p>
    <w:p>
      <w:pPr>
        <w:pStyle w:val="57"/>
        <w:tabs>
          <w:tab w:val="left" w:pos="1365"/>
        </w:tabs>
        <w:spacing w:line="360" w:lineRule="auto"/>
        <w:ind w:firstLine="480" w:firstLineChars="20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12.</w:t>
      </w:r>
      <w:r>
        <w:rPr>
          <w:rFonts w:hint="eastAsia" w:asciiTheme="minorEastAsia" w:hAnsiTheme="minorEastAsia" w:eastAsiaTheme="minorEastAsia" w:cstheme="minorEastAsia"/>
          <w:sz w:val="24"/>
          <w:szCs w:val="24"/>
          <w:highlight w:val="none"/>
          <w:lang w:val="zh-CN"/>
        </w:rPr>
        <w:t>磋商报价一览表</w:t>
      </w:r>
      <w:r>
        <w:rPr>
          <w:rFonts w:hint="eastAsia" w:asciiTheme="minorEastAsia" w:hAnsiTheme="minorEastAsia" w:eastAsiaTheme="minorEastAsia" w:cstheme="minorEastAsia"/>
          <w:sz w:val="24"/>
          <w:szCs w:val="24"/>
          <w:highlight w:val="none"/>
        </w:rPr>
        <w:t>（附件1</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w:t>
      </w:r>
    </w:p>
    <w:p>
      <w:pPr>
        <w:pStyle w:val="57"/>
        <w:tabs>
          <w:tab w:val="left" w:pos="1365"/>
        </w:tabs>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.磋商响应承诺书（附件1</w:t>
      </w: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w:t>
      </w:r>
    </w:p>
    <w:p>
      <w:pPr>
        <w:pStyle w:val="57"/>
        <w:tabs>
          <w:tab w:val="left" w:pos="1365"/>
        </w:tabs>
        <w:spacing w:line="360" w:lineRule="auto"/>
        <w:ind w:firstLine="480" w:firstLineChars="200"/>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w:t>
      </w:r>
      <w:r>
        <w:rPr>
          <w:rFonts w:hint="eastAsia" w:ascii="宋体" w:hAnsi="宋体" w:cs="宋体"/>
          <w:sz w:val="24"/>
          <w:szCs w:val="24"/>
          <w:highlight w:val="none"/>
        </w:rPr>
        <w:t>中小企业声明函</w:t>
      </w:r>
      <w:r>
        <w:rPr>
          <w:rFonts w:hint="eastAsia" w:ascii="宋体" w:hAnsi="宋体" w:cs="宋体"/>
          <w:sz w:val="24"/>
          <w:szCs w:val="24"/>
          <w:highlight w:val="none"/>
          <w:lang w:eastAsia="zh-CN"/>
        </w:rPr>
        <w:t>或</w:t>
      </w:r>
      <w:r>
        <w:rPr>
          <w:rFonts w:hint="eastAsia" w:ascii="宋体" w:hAnsi="宋体" w:cs="宋体"/>
          <w:b w:val="0"/>
          <w:bCs/>
          <w:color w:val="000000"/>
          <w:sz w:val="24"/>
          <w:highlight w:val="none"/>
        </w:rPr>
        <w:t>残疾人福利性单位声明函</w:t>
      </w:r>
      <w:r>
        <w:rPr>
          <w:rFonts w:hint="eastAsia" w:asciiTheme="minorEastAsia" w:hAnsiTheme="minorEastAsia" w:eastAsiaTheme="minorEastAsia" w:cstheme="minorEastAsia"/>
          <w:sz w:val="24"/>
          <w:szCs w:val="24"/>
          <w:highlight w:val="none"/>
        </w:rPr>
        <w:t>（附件</w:t>
      </w:r>
      <w:r>
        <w:rPr>
          <w:rFonts w:hint="eastAsia" w:asciiTheme="minorEastAsia" w:hAnsiTheme="minorEastAsia" w:eastAsiaTheme="minorEastAsia" w:cstheme="minorEastAsia"/>
          <w:sz w:val="24"/>
          <w:szCs w:val="24"/>
          <w:highlight w:val="none"/>
          <w:lang w:val="en-US" w:eastAsia="zh-CN"/>
        </w:rPr>
        <w:t>18</w:t>
      </w: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rPr>
        <w:t>）</w:t>
      </w:r>
    </w:p>
    <w:p>
      <w:pPr>
        <w:pStyle w:val="57"/>
        <w:tabs>
          <w:tab w:val="left" w:pos="1365"/>
        </w:tabs>
        <w:spacing w:line="360" w:lineRule="auto"/>
        <w:ind w:firstLine="480" w:firstLineChars="200"/>
        <w:jc w:val="left"/>
        <w:rPr>
          <w:rFonts w:hint="eastAsia" w:asciiTheme="minorEastAsia" w:hAnsiTheme="minorEastAsia" w:eastAsiaTheme="minorEastAsia" w:cstheme="minorEastAsia"/>
          <w:sz w:val="24"/>
          <w:szCs w:val="24"/>
          <w:highlight w:val="none"/>
        </w:rPr>
      </w:pPr>
    </w:p>
    <w:p>
      <w:pPr>
        <w:pStyle w:val="57"/>
        <w:tabs>
          <w:tab w:val="left" w:pos="1365"/>
        </w:tabs>
        <w:spacing w:line="360" w:lineRule="auto"/>
        <w:ind w:firstLine="480" w:firstLineChars="200"/>
        <w:jc w:val="left"/>
        <w:rPr>
          <w:rFonts w:hint="eastAsia" w:asciiTheme="minorEastAsia" w:hAnsiTheme="minorEastAsia" w:eastAsiaTheme="minorEastAsia" w:cstheme="minorEastAsia"/>
          <w:sz w:val="24"/>
          <w:szCs w:val="24"/>
          <w:highlight w:val="none"/>
        </w:rPr>
      </w:pPr>
    </w:p>
    <w:p>
      <w:pPr>
        <w:pStyle w:val="57"/>
        <w:tabs>
          <w:tab w:val="left" w:pos="1365"/>
        </w:tabs>
        <w:spacing w:line="360" w:lineRule="auto"/>
        <w:ind w:firstLine="480" w:firstLineChars="200"/>
        <w:jc w:val="left"/>
        <w:rPr>
          <w:rFonts w:hint="eastAsia" w:asciiTheme="minorEastAsia" w:hAnsiTheme="minorEastAsia" w:eastAsiaTheme="minorEastAsia" w:cstheme="minorEastAsia"/>
          <w:sz w:val="24"/>
          <w:szCs w:val="24"/>
          <w:highlight w:val="none"/>
        </w:rPr>
      </w:pPr>
    </w:p>
    <w:p>
      <w:pPr>
        <w:pStyle w:val="57"/>
        <w:tabs>
          <w:tab w:val="left" w:pos="1365"/>
        </w:tabs>
        <w:jc w:val="left"/>
        <w:outlineLvl w:val="2"/>
        <w:rPr>
          <w:rFonts w:hint="eastAsia" w:ascii="宋体" w:hAnsi="宋体"/>
          <w:color w:val="000000"/>
          <w:sz w:val="24"/>
          <w:highlight w:val="none"/>
          <w:lang w:val="zh-CN"/>
        </w:rPr>
      </w:pPr>
    </w:p>
    <w:p>
      <w:pPr>
        <w:pStyle w:val="57"/>
        <w:tabs>
          <w:tab w:val="left" w:pos="1365"/>
        </w:tabs>
        <w:jc w:val="left"/>
        <w:outlineLvl w:val="2"/>
        <w:rPr>
          <w:rFonts w:asciiTheme="minorEastAsia" w:hAnsiTheme="minorEastAsia" w:eastAsiaTheme="minorEastAsia" w:cstheme="minorEastAsia"/>
          <w:b/>
          <w:sz w:val="24"/>
          <w:szCs w:val="24"/>
          <w:highlight w:val="none"/>
        </w:rPr>
      </w:pPr>
      <w:r>
        <w:rPr>
          <w:rFonts w:hint="eastAsia" w:ascii="宋体" w:hAnsi="宋体"/>
          <w:color w:val="000000"/>
          <w:sz w:val="24"/>
          <w:highlight w:val="none"/>
          <w:lang w:val="zh-CN"/>
        </w:rPr>
        <w:t>附件</w:t>
      </w:r>
      <w:r>
        <w:rPr>
          <w:rFonts w:hint="eastAsia" w:ascii="宋体" w:hAnsi="宋体"/>
          <w:color w:val="000000"/>
          <w:sz w:val="24"/>
          <w:highlight w:val="none"/>
        </w:rPr>
        <w:t>1：</w:t>
      </w:r>
    </w:p>
    <w:p>
      <w:pPr>
        <w:pStyle w:val="57"/>
        <w:tabs>
          <w:tab w:val="left" w:pos="1365"/>
        </w:tabs>
        <w:jc w:val="left"/>
        <w:outlineLvl w:val="2"/>
        <w:rPr>
          <w:rFonts w:asciiTheme="minorEastAsia" w:hAnsiTheme="minorEastAsia" w:eastAsiaTheme="minorEastAsia" w:cstheme="minorEastAsia"/>
          <w:b/>
          <w:sz w:val="24"/>
          <w:szCs w:val="24"/>
          <w:highlight w:val="none"/>
        </w:rPr>
      </w:pPr>
    </w:p>
    <w:p>
      <w:pPr>
        <w:pStyle w:val="53"/>
        <w:outlineLvl w:val="9"/>
        <w:rPr>
          <w:rFonts w:cs="宋体"/>
          <w:sz w:val="24"/>
          <w:szCs w:val="22"/>
          <w:highlight w:val="none"/>
        </w:rPr>
      </w:pPr>
      <w:r>
        <w:rPr>
          <w:rFonts w:hint="eastAsia" w:cs="宋体"/>
          <w:sz w:val="24"/>
          <w:szCs w:val="22"/>
          <w:highlight w:val="none"/>
        </w:rPr>
        <w:t>法定代表人资格证明</w:t>
      </w:r>
    </w:p>
    <w:p>
      <w:pPr>
        <w:pStyle w:val="52"/>
        <w:adjustRightInd w:val="0"/>
        <w:snapToGrid w:val="0"/>
        <w:spacing w:line="500" w:lineRule="exact"/>
        <w:rPr>
          <w:rFonts w:ascii="宋体" w:hAnsi="宋体" w:cs="宋体"/>
          <w:sz w:val="24"/>
          <w:szCs w:val="24"/>
          <w:highlight w:val="none"/>
        </w:rPr>
      </w:pPr>
      <w:r>
        <w:rPr>
          <w:rFonts w:hint="eastAsia" w:ascii="宋体" w:hAnsi="宋体" w:cs="宋体"/>
          <w:sz w:val="24"/>
          <w:szCs w:val="24"/>
          <w:highlight w:val="none"/>
          <w:u w:val="single"/>
        </w:rPr>
        <w:t>长兴县政府采购中心</w:t>
      </w:r>
      <w:r>
        <w:rPr>
          <w:rFonts w:hint="eastAsia" w:ascii="宋体" w:hAnsi="宋体" w:cs="宋体"/>
          <w:sz w:val="24"/>
          <w:szCs w:val="24"/>
          <w:highlight w:val="none"/>
        </w:rPr>
        <w:t>：</w:t>
      </w:r>
    </w:p>
    <w:p>
      <w:pPr>
        <w:pStyle w:val="52"/>
        <w:adjustRightInd w:val="0"/>
        <w:snapToGrid w:val="0"/>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兹有同志</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为公司法定代表人，代表我公司办理一切社会公务事宜，具有法律效力。</w:t>
      </w:r>
    </w:p>
    <w:p>
      <w:pPr>
        <w:pStyle w:val="52"/>
        <w:adjustRightInd w:val="0"/>
        <w:snapToGrid w:val="0"/>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附法定代表人基本情况：</w:t>
      </w:r>
    </w:p>
    <w:p>
      <w:pPr>
        <w:pStyle w:val="52"/>
        <w:adjustRightInd w:val="0"/>
        <w:snapToGrid w:val="0"/>
        <w:spacing w:line="500" w:lineRule="exact"/>
        <w:ind w:firstLine="480" w:firstLineChars="200"/>
        <w:rPr>
          <w:rFonts w:ascii="宋体" w:hAnsi="宋体" w:cs="宋体"/>
          <w:sz w:val="24"/>
          <w:szCs w:val="24"/>
          <w:highlight w:val="none"/>
          <w:u w:val="single"/>
        </w:rPr>
      </w:pPr>
      <w:r>
        <w:rPr>
          <w:rFonts w:hint="eastAsia" w:ascii="宋体" w:hAnsi="宋体" w:cs="宋体"/>
          <w:sz w:val="24"/>
          <w:szCs w:val="24"/>
          <w:highlight w:val="none"/>
        </w:rPr>
        <w:t>姓名：</w:t>
      </w:r>
      <w:r>
        <w:rPr>
          <w:rFonts w:hint="eastAsia" w:ascii="宋体" w:hAnsi="宋体" w:cs="宋体"/>
          <w:sz w:val="24"/>
          <w:szCs w:val="24"/>
          <w:highlight w:val="none"/>
          <w:u w:val="single"/>
        </w:rPr>
        <w:t xml:space="preserve">          </w:t>
      </w:r>
      <w:r>
        <w:rPr>
          <w:rFonts w:hint="eastAsia" w:ascii="宋体" w:hAnsi="宋体" w:cs="宋体"/>
          <w:sz w:val="24"/>
          <w:szCs w:val="24"/>
          <w:highlight w:val="none"/>
        </w:rPr>
        <w:t>性别：</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年龄：</w:t>
      </w:r>
      <w:r>
        <w:rPr>
          <w:rFonts w:hint="eastAsia" w:ascii="宋体" w:hAnsi="宋体" w:cs="宋体"/>
          <w:sz w:val="24"/>
          <w:szCs w:val="24"/>
          <w:highlight w:val="none"/>
          <w:u w:val="single"/>
        </w:rPr>
        <w:t xml:space="preserve">     </w:t>
      </w:r>
      <w:r>
        <w:rPr>
          <w:rFonts w:hint="eastAsia" w:ascii="宋体" w:hAnsi="宋体" w:cs="宋体"/>
          <w:sz w:val="24"/>
          <w:szCs w:val="24"/>
          <w:highlight w:val="none"/>
        </w:rPr>
        <w:t>职务：</w:t>
      </w:r>
      <w:r>
        <w:rPr>
          <w:rFonts w:hint="eastAsia" w:ascii="宋体" w:hAnsi="宋体" w:cs="宋体"/>
          <w:sz w:val="24"/>
          <w:szCs w:val="24"/>
          <w:highlight w:val="none"/>
          <w:u w:val="single"/>
        </w:rPr>
        <w:t xml:space="preserve">         </w:t>
      </w:r>
    </w:p>
    <w:p>
      <w:pPr>
        <w:pStyle w:val="52"/>
        <w:adjustRightInd w:val="0"/>
        <w:snapToGrid w:val="0"/>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身份证号码：</w:t>
      </w:r>
      <w:r>
        <w:rPr>
          <w:rFonts w:hint="eastAsia" w:ascii="宋体" w:hAnsi="宋体" w:cs="宋体"/>
          <w:sz w:val="24"/>
          <w:szCs w:val="24"/>
          <w:highlight w:val="none"/>
          <w:u w:val="single"/>
        </w:rPr>
        <w:t xml:space="preserve">                     </w:t>
      </w:r>
    </w:p>
    <w:p>
      <w:pPr>
        <w:pStyle w:val="52"/>
        <w:adjustRightInd w:val="0"/>
        <w:snapToGrid w:val="0"/>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通讯地址：</w:t>
      </w:r>
      <w:r>
        <w:rPr>
          <w:rFonts w:hint="eastAsia" w:ascii="宋体" w:hAnsi="宋体" w:cs="宋体"/>
          <w:sz w:val="24"/>
          <w:szCs w:val="24"/>
          <w:highlight w:val="none"/>
          <w:u w:val="single"/>
        </w:rPr>
        <w:t xml:space="preserve">                       </w:t>
      </w:r>
    </w:p>
    <w:p>
      <w:pPr>
        <w:pStyle w:val="52"/>
        <w:adjustRightInd w:val="0"/>
        <w:snapToGrid w:val="0"/>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电话号码：</w:t>
      </w:r>
      <w:r>
        <w:rPr>
          <w:rFonts w:hint="eastAsia" w:ascii="宋体" w:hAnsi="宋体" w:cs="宋体"/>
          <w:sz w:val="24"/>
          <w:szCs w:val="24"/>
          <w:highlight w:val="none"/>
          <w:u w:val="single"/>
        </w:rPr>
        <w:t xml:space="preserve">                   </w:t>
      </w:r>
      <w:r>
        <w:rPr>
          <w:rFonts w:hint="eastAsia" w:ascii="宋体" w:hAnsi="宋体" w:cs="宋体"/>
          <w:sz w:val="24"/>
          <w:szCs w:val="24"/>
          <w:highlight w:val="none"/>
        </w:rPr>
        <w:t>邮政编码：</w:t>
      </w:r>
      <w:r>
        <w:rPr>
          <w:rFonts w:hint="eastAsia" w:ascii="宋体" w:hAnsi="宋体" w:cs="宋体"/>
          <w:sz w:val="24"/>
          <w:szCs w:val="24"/>
          <w:highlight w:val="none"/>
          <w:u w:val="single"/>
        </w:rPr>
        <w:t xml:space="preserve">               </w:t>
      </w:r>
    </w:p>
    <w:p>
      <w:pPr>
        <w:pStyle w:val="52"/>
        <w:adjustRightInd w:val="0"/>
        <w:snapToGrid w:val="0"/>
        <w:spacing w:line="500" w:lineRule="exact"/>
        <w:rPr>
          <w:rFonts w:ascii="宋体" w:hAnsi="宋体" w:cs="宋体"/>
          <w:sz w:val="24"/>
          <w:szCs w:val="24"/>
          <w:highlight w:val="none"/>
        </w:rPr>
      </w:pPr>
      <w:r>
        <w:rPr>
          <w:rFonts w:hint="eastAsia" w:ascii="宋体" w:hAnsi="宋体" w:cs="宋体"/>
          <w:sz w:val="24"/>
          <w:szCs w:val="24"/>
          <w:highlight w:val="none"/>
        </w:rPr>
        <w:t xml:space="preserve"> </w:t>
      </w:r>
    </w:p>
    <w:tbl>
      <w:tblPr>
        <w:tblStyle w:val="35"/>
        <w:tblW w:w="7522"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3" w:hRule="atLeast"/>
        </w:trPr>
        <w:tc>
          <w:tcPr>
            <w:tcW w:w="7522" w:type="dxa"/>
          </w:tcPr>
          <w:p>
            <w:pPr>
              <w:pStyle w:val="52"/>
              <w:adjustRightInd w:val="0"/>
              <w:snapToGrid w:val="0"/>
              <w:spacing w:line="500" w:lineRule="exact"/>
              <w:jc w:val="center"/>
              <w:rPr>
                <w:rFonts w:ascii="宋体" w:hAnsi="宋体" w:cs="宋体"/>
                <w:sz w:val="24"/>
                <w:szCs w:val="24"/>
                <w:highlight w:val="none"/>
              </w:rPr>
            </w:pPr>
          </w:p>
          <w:p>
            <w:pPr>
              <w:pStyle w:val="52"/>
              <w:adjustRightInd w:val="0"/>
              <w:snapToGrid w:val="0"/>
              <w:spacing w:line="500" w:lineRule="exact"/>
              <w:jc w:val="center"/>
              <w:rPr>
                <w:rFonts w:ascii="宋体" w:hAnsi="宋体" w:cs="宋体"/>
                <w:sz w:val="24"/>
                <w:szCs w:val="24"/>
                <w:highlight w:val="none"/>
              </w:rPr>
            </w:pPr>
          </w:p>
          <w:p>
            <w:pPr>
              <w:pStyle w:val="52"/>
              <w:adjustRightInd w:val="0"/>
              <w:snapToGrid w:val="0"/>
              <w:spacing w:line="500" w:lineRule="exact"/>
              <w:jc w:val="center"/>
              <w:rPr>
                <w:rFonts w:ascii="宋体" w:hAnsi="宋体" w:cs="宋体"/>
                <w:sz w:val="24"/>
                <w:szCs w:val="24"/>
                <w:highlight w:val="none"/>
              </w:rPr>
            </w:pPr>
            <w:r>
              <w:rPr>
                <w:rFonts w:hint="eastAsia" w:ascii="宋体" w:hAnsi="宋体" w:cs="宋体"/>
                <w:sz w:val="24"/>
                <w:szCs w:val="24"/>
                <w:highlight w:val="none"/>
              </w:rPr>
              <w:t>法定代表人《居民身份证》正反二面扫描件</w:t>
            </w:r>
          </w:p>
        </w:tc>
      </w:tr>
    </w:tbl>
    <w:p>
      <w:pPr>
        <w:pStyle w:val="52"/>
        <w:adjustRightInd w:val="0"/>
        <w:snapToGrid w:val="0"/>
        <w:spacing w:line="500" w:lineRule="exact"/>
        <w:rPr>
          <w:rFonts w:ascii="宋体" w:hAnsi="宋体" w:cs="宋体"/>
          <w:sz w:val="24"/>
          <w:szCs w:val="24"/>
          <w:highlight w:val="none"/>
        </w:rPr>
      </w:pPr>
    </w:p>
    <w:p>
      <w:pPr>
        <w:pStyle w:val="52"/>
        <w:adjustRightInd w:val="0"/>
        <w:snapToGrid w:val="0"/>
        <w:spacing w:line="500" w:lineRule="exact"/>
        <w:rPr>
          <w:rFonts w:ascii="宋体" w:hAnsi="宋体" w:cs="宋体"/>
          <w:sz w:val="24"/>
          <w:szCs w:val="24"/>
          <w:highlight w:val="none"/>
        </w:rPr>
      </w:pPr>
      <w:r>
        <w:rPr>
          <w:rFonts w:hint="eastAsia" w:ascii="宋体" w:hAnsi="宋体" w:cs="宋体"/>
          <w:sz w:val="24"/>
          <w:szCs w:val="24"/>
          <w:highlight w:val="none"/>
        </w:rPr>
        <w:t xml:space="preserve"> </w:t>
      </w:r>
    </w:p>
    <w:p>
      <w:pPr>
        <w:pStyle w:val="52"/>
        <w:adjustRightInd w:val="0"/>
        <w:snapToGrid w:val="0"/>
        <w:spacing w:line="480" w:lineRule="auto"/>
        <w:rPr>
          <w:rFonts w:ascii="宋体" w:hAnsi="宋体" w:cs="宋体"/>
          <w:sz w:val="24"/>
          <w:szCs w:val="24"/>
          <w:highlight w:val="none"/>
          <w:u w:val="singl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名称（签章）：</w:t>
      </w:r>
      <w:r>
        <w:rPr>
          <w:rFonts w:ascii="宋体" w:hAnsi="宋体" w:cs="宋体"/>
          <w:sz w:val="24"/>
          <w:szCs w:val="24"/>
          <w:highlight w:val="none"/>
          <w:u w:val="single"/>
        </w:rPr>
        <w:t xml:space="preserve">                       </w:t>
      </w:r>
    </w:p>
    <w:p>
      <w:pPr>
        <w:pStyle w:val="52"/>
        <w:adjustRightInd w:val="0"/>
        <w:snapToGrid w:val="0"/>
        <w:spacing w:line="480" w:lineRule="auto"/>
        <w:rPr>
          <w:rFonts w:ascii="宋体" w:hAnsi="宋体" w:cs="宋体"/>
          <w:sz w:val="24"/>
          <w:szCs w:val="24"/>
          <w:highlight w:val="none"/>
        </w:rPr>
      </w:pPr>
      <w:r>
        <w:rPr>
          <w:rFonts w:hint="eastAsia" w:ascii="宋体" w:hAnsi="宋体" w:cs="宋体"/>
          <w:sz w:val="24"/>
          <w:szCs w:val="24"/>
          <w:highlight w:val="none"/>
        </w:rPr>
        <w:t>法定代表人或代理人（签字或签章）：</w:t>
      </w:r>
      <w:r>
        <w:rPr>
          <w:rFonts w:ascii="宋体" w:hAnsi="宋体" w:cs="宋体"/>
          <w:sz w:val="24"/>
          <w:szCs w:val="24"/>
          <w:highlight w:val="none"/>
          <w:u w:val="single"/>
        </w:rPr>
        <w:t xml:space="preserve">                  </w:t>
      </w:r>
    </w:p>
    <w:p>
      <w:pPr>
        <w:pStyle w:val="52"/>
        <w:adjustRightInd w:val="0"/>
        <w:snapToGrid w:val="0"/>
        <w:spacing w:line="480" w:lineRule="auto"/>
        <w:rPr>
          <w:rFonts w:ascii="宋体" w:hAnsi="宋体" w:cs="宋体"/>
          <w:sz w:val="24"/>
          <w:szCs w:val="24"/>
          <w:highlight w:val="none"/>
        </w:rPr>
      </w:pPr>
      <w:r>
        <w:rPr>
          <w:rFonts w:hint="eastAsia" w:ascii="宋体" w:hAnsi="宋体" w:cs="宋体"/>
          <w:sz w:val="24"/>
          <w:szCs w:val="24"/>
          <w:highlight w:val="none"/>
        </w:rPr>
        <w:t>日期：</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hint="eastAsia" w:ascii="宋体" w:hAnsi="宋体" w:cs="宋体"/>
          <w:sz w:val="24"/>
          <w:szCs w:val="24"/>
          <w:highlight w:val="none"/>
        </w:rPr>
        <w:t>日</w:t>
      </w:r>
    </w:p>
    <w:p>
      <w:pPr>
        <w:pStyle w:val="52"/>
        <w:tabs>
          <w:tab w:val="left" w:pos="750"/>
        </w:tabs>
        <w:adjustRightInd w:val="0"/>
        <w:snapToGrid w:val="0"/>
        <w:spacing w:before="120" w:beforeLines="50" w:after="50" w:line="500" w:lineRule="exact"/>
        <w:ind w:firstLine="720" w:firstLineChars="300"/>
        <w:jc w:val="left"/>
        <w:rPr>
          <w:rFonts w:ascii="宋体" w:hAnsi="宋体" w:cs="宋体"/>
          <w:sz w:val="24"/>
          <w:szCs w:val="24"/>
          <w:highlight w:val="none"/>
        </w:rPr>
      </w:pPr>
    </w:p>
    <w:p>
      <w:pPr>
        <w:autoSpaceDE w:val="0"/>
        <w:autoSpaceDN w:val="0"/>
        <w:spacing w:before="120" w:after="50"/>
        <w:rPr>
          <w:rFonts w:ascii="宋体" w:hAnsi="宋体"/>
          <w:color w:val="000000"/>
          <w:sz w:val="28"/>
          <w:szCs w:val="28"/>
          <w:highlight w:val="none"/>
          <w:lang w:val="zh-CN"/>
        </w:rPr>
      </w:pPr>
      <w:r>
        <w:rPr>
          <w:rFonts w:ascii="宋体" w:hAnsi="宋体"/>
          <w:color w:val="000000"/>
          <w:sz w:val="24"/>
          <w:highlight w:val="none"/>
          <w:lang w:val="zh-CN"/>
        </w:rPr>
        <w:br w:type="page"/>
      </w:r>
      <w:r>
        <w:rPr>
          <w:rFonts w:hint="eastAsia" w:ascii="宋体" w:hAnsi="宋体"/>
          <w:color w:val="000000"/>
          <w:sz w:val="24"/>
          <w:highlight w:val="none"/>
          <w:lang w:val="zh-CN"/>
        </w:rPr>
        <w:t>附件2：</w:t>
      </w:r>
    </w:p>
    <w:p>
      <w:pPr>
        <w:pStyle w:val="53"/>
        <w:outlineLvl w:val="9"/>
        <w:rPr>
          <w:rFonts w:cs="宋体"/>
          <w:sz w:val="24"/>
          <w:szCs w:val="22"/>
          <w:highlight w:val="none"/>
        </w:rPr>
      </w:pPr>
      <w:r>
        <w:rPr>
          <w:rFonts w:hint="eastAsia" w:cs="宋体"/>
          <w:sz w:val="24"/>
          <w:szCs w:val="22"/>
          <w:highlight w:val="none"/>
        </w:rPr>
        <w:t>法定代表人授权书</w:t>
      </w:r>
    </w:p>
    <w:p>
      <w:pPr>
        <w:autoSpaceDE w:val="0"/>
        <w:autoSpaceDN w:val="0"/>
        <w:spacing w:before="120" w:after="50" w:line="400" w:lineRule="exact"/>
        <w:rPr>
          <w:rFonts w:ascii="宋体" w:hAnsi="宋体" w:cs="宋体"/>
          <w:b/>
          <w:sz w:val="24"/>
          <w:highlight w:val="none"/>
          <w:lang w:val="zh-CN"/>
        </w:rPr>
      </w:pPr>
      <w:r>
        <w:rPr>
          <w:rFonts w:hint="eastAsia" w:ascii="宋体" w:hAnsi="宋体" w:cs="宋体"/>
          <w:sz w:val="24"/>
          <w:highlight w:val="none"/>
          <w:lang w:val="zh-CN"/>
        </w:rPr>
        <w:t>致：长兴县政府采购中心：</w:t>
      </w:r>
    </w:p>
    <w:p>
      <w:pPr>
        <w:autoSpaceDE w:val="0"/>
        <w:autoSpaceDN w:val="0"/>
        <w:spacing w:before="120" w:after="50" w:line="400" w:lineRule="exact"/>
        <w:ind w:firstLine="720"/>
        <w:rPr>
          <w:rFonts w:ascii="宋体" w:hAnsi="宋体" w:cs="宋体"/>
          <w:color w:val="auto"/>
          <w:sz w:val="24"/>
          <w:highlight w:val="none"/>
          <w:lang w:val="zh-CN"/>
        </w:rPr>
      </w:pPr>
      <w:r>
        <w:rPr>
          <w:rFonts w:hint="eastAsia" w:ascii="宋体" w:hAnsi="宋体" w:cs="宋体"/>
          <w:sz w:val="24"/>
          <w:highlight w:val="none"/>
          <w:lang w:val="zh-CN"/>
        </w:rPr>
        <w:t xml:space="preserve">我_______（姓名）系______（供应商名称）的法定代表人，现授权委托本单位在职职工 </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（姓名）以</w:t>
      </w:r>
      <w:r>
        <w:rPr>
          <w:rFonts w:hint="eastAsia" w:ascii="宋体" w:hAnsi="宋体" w:cs="宋体"/>
          <w:color w:val="auto"/>
          <w:sz w:val="24"/>
          <w:highlight w:val="none"/>
          <w:lang w:val="zh-CN"/>
        </w:rPr>
        <w:t>我方的名义参加</w:t>
      </w:r>
      <w:r>
        <w:rPr>
          <w:rFonts w:hint="eastAsia" w:ascii="宋体" w:hAnsi="宋体" w:cs="宋体"/>
          <w:color w:val="auto"/>
          <w:kern w:val="0"/>
          <w:sz w:val="24"/>
          <w:highlight w:val="none"/>
          <w:u w:val="single"/>
          <w:lang w:val="zh-CN"/>
        </w:rPr>
        <w:t>长兴县退役军人事务局军干服务配套电梯工程项目 </w:t>
      </w:r>
      <w:r>
        <w:rPr>
          <w:rFonts w:hint="eastAsia" w:ascii="宋体" w:hAnsi="宋体" w:cs="宋体"/>
          <w:color w:val="auto"/>
          <w:sz w:val="24"/>
          <w:highlight w:val="none"/>
          <w:lang w:val="zh-CN"/>
        </w:rPr>
        <w:t>的投标活动，并代表我方全权办理针对上述项目的投标、开标、评标、签约等具体事务和签署相关文件。</w:t>
      </w:r>
    </w:p>
    <w:p>
      <w:pPr>
        <w:autoSpaceDE w:val="0"/>
        <w:autoSpaceDN w:val="0"/>
        <w:spacing w:before="120" w:after="50" w:line="400" w:lineRule="exact"/>
        <w:rPr>
          <w:rFonts w:ascii="宋体" w:hAnsi="宋体" w:cs="宋体"/>
          <w:sz w:val="24"/>
          <w:highlight w:val="none"/>
          <w:lang w:val="zh-CN"/>
        </w:rPr>
      </w:pPr>
      <w:r>
        <w:rPr>
          <w:rFonts w:hint="eastAsia" w:ascii="宋体" w:hAnsi="宋体" w:cs="宋体"/>
          <w:sz w:val="24"/>
          <w:highlight w:val="none"/>
          <w:lang w:val="zh-CN"/>
        </w:rPr>
        <w:t>我方对被授权人的签名事项负全部责任。</w:t>
      </w:r>
    </w:p>
    <w:p>
      <w:pPr>
        <w:autoSpaceDE w:val="0"/>
        <w:autoSpaceDN w:val="0"/>
        <w:spacing w:before="120" w:after="50" w:line="400" w:lineRule="exact"/>
        <w:ind w:firstLine="480"/>
        <w:rPr>
          <w:rFonts w:ascii="宋体" w:hAnsi="宋体" w:cs="宋体"/>
          <w:sz w:val="24"/>
          <w:highlight w:val="none"/>
          <w:lang w:val="zh-CN"/>
        </w:rPr>
      </w:pPr>
      <w:r>
        <w:rPr>
          <w:rFonts w:hint="eastAsia" w:ascii="宋体" w:hAnsi="宋体" w:cs="宋体"/>
          <w:sz w:val="24"/>
          <w:highlight w:val="none"/>
          <w:u w:val="single"/>
          <w:lang w:val="zh-CN"/>
        </w:rPr>
        <w:t>在撤销授权的书面通知以前，本授权书一直有效。</w:t>
      </w:r>
      <w:r>
        <w:rPr>
          <w:rFonts w:hint="eastAsia" w:ascii="宋体" w:hAnsi="宋体" w:cs="宋体"/>
          <w:sz w:val="24"/>
          <w:highlight w:val="none"/>
          <w:lang w:val="zh-CN"/>
        </w:rPr>
        <w:t>被授权人在授权书有效期内签署的所有文件不因授权的撤销而失效。</w:t>
      </w:r>
    </w:p>
    <w:p>
      <w:pPr>
        <w:autoSpaceDE w:val="0"/>
        <w:autoSpaceDN w:val="0"/>
        <w:spacing w:before="120" w:after="50" w:line="400" w:lineRule="exact"/>
        <w:ind w:firstLine="480"/>
        <w:rPr>
          <w:rFonts w:ascii="宋体" w:hAnsi="宋体" w:cs="宋体"/>
          <w:sz w:val="24"/>
          <w:highlight w:val="none"/>
          <w:lang w:val="zh-CN"/>
        </w:rPr>
      </w:pPr>
      <w:r>
        <w:rPr>
          <w:rFonts w:hint="eastAsia" w:ascii="宋体" w:hAnsi="宋体" w:cs="宋体"/>
          <w:sz w:val="24"/>
          <w:highlight w:val="none"/>
          <w:lang w:val="zh-CN"/>
        </w:rPr>
        <w:t>被授权人无转委托权，特此委托。</w:t>
      </w:r>
    </w:p>
    <w:p>
      <w:pPr>
        <w:autoSpaceDE w:val="0"/>
        <w:autoSpaceDN w:val="0"/>
        <w:spacing w:before="120" w:after="50" w:line="400" w:lineRule="exact"/>
        <w:rPr>
          <w:rFonts w:ascii="宋体" w:hAnsi="宋体" w:cs="宋体"/>
          <w:sz w:val="24"/>
          <w:highlight w:val="none"/>
          <w:lang w:val="zh-CN"/>
        </w:rPr>
      </w:pPr>
    </w:p>
    <w:p>
      <w:pPr>
        <w:autoSpaceDE w:val="0"/>
        <w:autoSpaceDN w:val="0"/>
        <w:spacing w:before="120" w:after="50" w:line="400" w:lineRule="exact"/>
        <w:rPr>
          <w:rFonts w:ascii="宋体" w:hAnsi="宋体" w:cs="宋体"/>
          <w:sz w:val="24"/>
          <w:highlight w:val="none"/>
          <w:u w:val="single"/>
          <w:lang w:val="zh-CN"/>
        </w:rPr>
      </w:pPr>
      <w:r>
        <w:rPr>
          <w:rFonts w:hint="eastAsia" w:ascii="宋体" w:hAnsi="宋体" w:cs="宋体"/>
          <w:sz w:val="24"/>
          <w:highlight w:val="none"/>
          <w:lang w:val="zh-CN"/>
        </w:rPr>
        <w:t>被授权人签名：</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 xml:space="preserve">                 法定代表人签名：</w:t>
      </w:r>
      <w:r>
        <w:rPr>
          <w:rFonts w:hint="eastAsia" w:ascii="宋体" w:hAnsi="宋体" w:cs="宋体"/>
          <w:sz w:val="24"/>
          <w:highlight w:val="none"/>
          <w:u w:val="single"/>
          <w:lang w:val="zh-CN"/>
        </w:rPr>
        <w:t xml:space="preserve">          </w:t>
      </w:r>
    </w:p>
    <w:p>
      <w:pPr>
        <w:autoSpaceDE w:val="0"/>
        <w:autoSpaceDN w:val="0"/>
        <w:spacing w:before="120" w:after="50" w:line="400" w:lineRule="exact"/>
        <w:ind w:firstLine="960"/>
        <w:rPr>
          <w:rFonts w:ascii="宋体" w:hAnsi="宋体" w:cs="宋体"/>
          <w:sz w:val="24"/>
          <w:highlight w:val="none"/>
          <w:lang w:val="zh-CN"/>
        </w:rPr>
      </w:pPr>
      <w:r>
        <w:rPr>
          <w:rFonts w:hint="eastAsia" w:ascii="宋体" w:hAnsi="宋体" w:cs="宋体"/>
          <w:sz w:val="24"/>
          <w:highlight w:val="none"/>
          <w:lang w:val="zh-CN"/>
        </w:rPr>
        <w:t>职务：</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 xml:space="preserve">                          职务：</w:t>
      </w:r>
      <w:r>
        <w:rPr>
          <w:rFonts w:hint="eastAsia" w:ascii="宋体" w:hAnsi="宋体" w:cs="宋体"/>
          <w:sz w:val="24"/>
          <w:highlight w:val="none"/>
          <w:u w:val="single"/>
          <w:lang w:val="zh-CN"/>
        </w:rPr>
        <w:t xml:space="preserve">           </w:t>
      </w:r>
    </w:p>
    <w:p>
      <w:pPr>
        <w:autoSpaceDE w:val="0"/>
        <w:autoSpaceDN w:val="0"/>
        <w:spacing w:before="120" w:after="50" w:line="400" w:lineRule="exact"/>
        <w:rPr>
          <w:rFonts w:ascii="宋体" w:hAnsi="宋体" w:cs="宋体"/>
          <w:sz w:val="24"/>
          <w:highlight w:val="none"/>
          <w:lang w:val="zh-CN"/>
        </w:rPr>
      </w:pPr>
      <w:r>
        <w:rPr>
          <w:rFonts w:hint="eastAsia" w:ascii="宋体" w:hAnsi="宋体" w:cs="宋体"/>
          <w:sz w:val="24"/>
          <w:highlight w:val="none"/>
          <w:lang w:val="zh-CN"/>
        </w:rPr>
        <w:t>被授权人身份证号码：</w:t>
      </w:r>
      <w:r>
        <w:rPr>
          <w:rFonts w:hint="eastAsia" w:ascii="宋体" w:hAnsi="宋体" w:cs="宋体"/>
          <w:sz w:val="24"/>
          <w:highlight w:val="none"/>
          <w:u w:val="single"/>
          <w:lang w:val="zh-CN"/>
        </w:rPr>
        <w:t xml:space="preserve">                   </w:t>
      </w:r>
    </w:p>
    <w:p>
      <w:pPr>
        <w:autoSpaceDE w:val="0"/>
        <w:autoSpaceDN w:val="0"/>
        <w:spacing w:before="120" w:after="50" w:line="400" w:lineRule="exact"/>
        <w:rPr>
          <w:rFonts w:ascii="宋体" w:hAnsi="宋体" w:cs="宋体"/>
          <w:sz w:val="24"/>
          <w:highlight w:val="none"/>
          <w:lang w:val="zh-CN"/>
        </w:rPr>
      </w:pPr>
      <w:r>
        <w:rPr>
          <w:rFonts w:hint="eastAsia" w:ascii="宋体" w:hAnsi="宋体" w:cs="宋体"/>
          <w:sz w:val="24"/>
          <w:highlight w:val="none"/>
          <w:lang w:val="zh-CN"/>
        </w:rPr>
        <w:t xml:space="preserve">                                     </w:t>
      </w:r>
    </w:p>
    <w:p>
      <w:pPr>
        <w:autoSpaceDE w:val="0"/>
        <w:autoSpaceDN w:val="0"/>
        <w:spacing w:before="120" w:after="50" w:line="400" w:lineRule="exact"/>
        <w:jc w:val="center"/>
        <w:rPr>
          <w:rFonts w:hint="eastAsia" w:ascii="宋体" w:hAnsi="宋体" w:cs="宋体"/>
          <w:sz w:val="24"/>
          <w:szCs w:val="24"/>
          <w:highlight w:val="none"/>
        </w:rPr>
      </w:pP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供应商名称（签章）</w:t>
      </w:r>
    </w:p>
    <w:p>
      <w:pPr>
        <w:autoSpaceDE w:val="0"/>
        <w:autoSpaceDN w:val="0"/>
        <w:spacing w:before="120" w:after="50" w:line="400" w:lineRule="exact"/>
        <w:jc w:val="center"/>
        <w:rPr>
          <w:rFonts w:ascii="宋体" w:hAnsi="宋体" w:cs="宋体"/>
          <w:sz w:val="24"/>
          <w:highlight w:val="none"/>
          <w:lang w:val="zh-CN"/>
        </w:rPr>
      </w:pPr>
      <w:r>
        <w:rPr>
          <w:rFonts w:hint="eastAsia" w:ascii="宋体" w:hAnsi="宋体" w:cs="宋体"/>
          <w:sz w:val="24"/>
          <w:highlight w:val="none"/>
          <w:lang w:val="zh-CN"/>
        </w:rPr>
        <w:t xml:space="preserve">                                        年    月    日</w:t>
      </w:r>
    </w:p>
    <w:tbl>
      <w:tblPr>
        <w:tblStyle w:val="35"/>
        <w:tblW w:w="7668"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8" w:type="dxa"/>
          </w:tcPr>
          <w:p>
            <w:pPr>
              <w:pStyle w:val="52"/>
              <w:spacing w:line="500" w:lineRule="exact"/>
              <w:rPr>
                <w:rFonts w:ascii="宋体" w:hAnsi="宋体" w:cs="宋体"/>
                <w:sz w:val="24"/>
                <w:szCs w:val="24"/>
                <w:highlight w:val="none"/>
              </w:rPr>
            </w:pPr>
            <w:r>
              <w:rPr>
                <w:rFonts w:hint="eastAsia" w:ascii="宋体" w:hAnsi="宋体" w:cs="宋体"/>
                <w:sz w:val="24"/>
                <w:szCs w:val="24"/>
                <w:highlight w:val="none"/>
              </w:rPr>
              <w:t>被授权人《居民身份证》正反二面扫描件</w:t>
            </w:r>
          </w:p>
        </w:tc>
      </w:tr>
    </w:tbl>
    <w:p>
      <w:pPr>
        <w:widowControl/>
        <w:jc w:val="left"/>
        <w:rPr>
          <w:rFonts w:ascii="宋体" w:hAnsi="宋体"/>
          <w:color w:val="000000"/>
          <w:sz w:val="24"/>
          <w:highlight w:val="none"/>
          <w:lang w:val="zh-CN"/>
        </w:rPr>
      </w:pPr>
      <w:r>
        <w:rPr>
          <w:rFonts w:ascii="宋体" w:hAnsi="宋体"/>
          <w:color w:val="000000"/>
          <w:szCs w:val="28"/>
          <w:highlight w:val="none"/>
          <w:lang w:val="zh-CN"/>
        </w:rPr>
        <w:br w:type="page"/>
      </w:r>
      <w:r>
        <w:rPr>
          <w:rFonts w:hint="eastAsia" w:ascii="宋体" w:hAnsi="宋体"/>
          <w:color w:val="000000"/>
          <w:sz w:val="24"/>
          <w:highlight w:val="none"/>
          <w:lang w:val="zh-CN"/>
        </w:rPr>
        <w:t>附件3：</w:t>
      </w:r>
    </w:p>
    <w:p>
      <w:pPr>
        <w:autoSpaceDE w:val="0"/>
        <w:autoSpaceDN w:val="0"/>
        <w:spacing w:before="120" w:after="50"/>
        <w:rPr>
          <w:rFonts w:ascii="宋体" w:hAnsi="宋体"/>
          <w:color w:val="000000"/>
          <w:sz w:val="24"/>
          <w:highlight w:val="none"/>
          <w:lang w:val="zh-CN"/>
        </w:rPr>
      </w:pPr>
    </w:p>
    <w:p>
      <w:pPr>
        <w:snapToGrid w:val="0"/>
        <w:spacing w:before="120" w:beforeLines="50" w:after="50"/>
        <w:jc w:val="center"/>
        <w:rPr>
          <w:b/>
          <w:color w:val="000000"/>
          <w:kern w:val="0"/>
          <w:sz w:val="24"/>
          <w:highlight w:val="none"/>
        </w:rPr>
      </w:pPr>
      <w:r>
        <w:rPr>
          <w:rFonts w:hint="eastAsia"/>
          <w:b/>
          <w:color w:val="000000"/>
          <w:kern w:val="0"/>
          <w:sz w:val="24"/>
          <w:highlight w:val="none"/>
        </w:rPr>
        <w:t>磋商声明书</w:t>
      </w:r>
    </w:p>
    <w:p>
      <w:pPr>
        <w:autoSpaceDE w:val="0"/>
        <w:autoSpaceDN w:val="0"/>
        <w:spacing w:before="120" w:after="50"/>
        <w:rPr>
          <w:rFonts w:ascii="宋体" w:hAnsi="宋体"/>
          <w:sz w:val="24"/>
          <w:highlight w:val="none"/>
          <w:lang w:val="zh-CN"/>
        </w:rPr>
      </w:pPr>
      <w:r>
        <w:rPr>
          <w:rFonts w:ascii="宋体" w:hAnsi="宋体"/>
          <w:sz w:val="24"/>
          <w:highlight w:val="none"/>
          <w:lang w:val="zh-CN"/>
        </w:rPr>
        <w:t>致：长兴县政府采购中心</w:t>
      </w:r>
    </w:p>
    <w:p>
      <w:pPr>
        <w:autoSpaceDE w:val="0"/>
        <w:autoSpaceDN w:val="0"/>
        <w:spacing w:before="120" w:after="50"/>
        <w:ind w:firstLine="720"/>
        <w:rPr>
          <w:rFonts w:ascii="宋体" w:hAnsi="宋体"/>
          <w:sz w:val="24"/>
          <w:highlight w:val="none"/>
          <w:lang w:val="zh-CN"/>
        </w:rPr>
      </w:pPr>
      <w:r>
        <w:rPr>
          <w:rFonts w:ascii="宋体" w:hAnsi="宋体"/>
          <w:sz w:val="24"/>
          <w:highlight w:val="none"/>
          <w:u w:val="single"/>
          <w:lang w:val="zh-CN"/>
        </w:rPr>
        <w:t>　　　　　　　　　</w:t>
      </w:r>
      <w:r>
        <w:rPr>
          <w:rFonts w:ascii="宋体" w:hAnsi="宋体"/>
          <w:sz w:val="24"/>
          <w:highlight w:val="none"/>
          <w:lang w:val="zh-CN"/>
        </w:rPr>
        <w:t>（供应商名称）系中华人民共和国合法企业，经营地址。</w:t>
      </w:r>
    </w:p>
    <w:p>
      <w:pPr>
        <w:autoSpaceDE w:val="0"/>
        <w:autoSpaceDN w:val="0"/>
        <w:spacing w:before="120" w:after="50" w:line="360" w:lineRule="exact"/>
        <w:ind w:firstLine="645"/>
        <w:rPr>
          <w:rFonts w:ascii="宋体" w:hAnsi="宋体"/>
          <w:sz w:val="24"/>
          <w:highlight w:val="none"/>
          <w:lang w:val="zh-CN"/>
        </w:rPr>
      </w:pPr>
      <w:r>
        <w:rPr>
          <w:rFonts w:ascii="宋体" w:hAnsi="宋体"/>
          <w:sz w:val="24"/>
          <w:highlight w:val="none"/>
          <w:lang w:val="zh-CN"/>
        </w:rPr>
        <w:t>我</w:t>
      </w:r>
      <w:r>
        <w:rPr>
          <w:rFonts w:ascii="宋体" w:hAnsi="宋体"/>
          <w:sz w:val="24"/>
          <w:highlight w:val="none"/>
          <w:u w:val="single"/>
          <w:lang w:val="zh-CN"/>
        </w:rPr>
        <w:t>　　　　　</w:t>
      </w:r>
      <w:r>
        <w:rPr>
          <w:rFonts w:ascii="宋体" w:hAnsi="宋体"/>
          <w:sz w:val="24"/>
          <w:highlight w:val="none"/>
          <w:lang w:val="zh-CN"/>
        </w:rPr>
        <w:t>（姓名）系</w:t>
      </w:r>
      <w:r>
        <w:rPr>
          <w:rFonts w:ascii="宋体" w:hAnsi="宋体"/>
          <w:sz w:val="24"/>
          <w:highlight w:val="none"/>
          <w:u w:val="single"/>
          <w:lang w:val="zh-CN"/>
        </w:rPr>
        <w:t>　　　　　　　　　</w:t>
      </w:r>
      <w:r>
        <w:rPr>
          <w:rFonts w:ascii="宋体" w:hAnsi="宋体"/>
          <w:sz w:val="24"/>
          <w:highlight w:val="none"/>
          <w:lang w:val="zh-CN"/>
        </w:rPr>
        <w:t>（供应商名称）的法定代表人，我方愿意参加贵方组织的</w:t>
      </w:r>
      <w:r>
        <w:rPr>
          <w:rFonts w:ascii="宋体" w:hAnsi="宋体"/>
          <w:sz w:val="24"/>
          <w:highlight w:val="none"/>
          <w:u w:val="single"/>
          <w:lang w:val="zh-CN"/>
        </w:rPr>
        <w:t>　　　　　</w:t>
      </w:r>
      <w:r>
        <w:rPr>
          <w:rFonts w:hint="eastAsia" w:ascii="宋体" w:hAnsi="宋体"/>
          <w:sz w:val="24"/>
          <w:highlight w:val="none"/>
          <w:u w:val="single"/>
          <w:lang w:val="en-US" w:eastAsia="zh-CN"/>
        </w:rPr>
        <w:t xml:space="preserve">    </w:t>
      </w:r>
      <w:r>
        <w:rPr>
          <w:rFonts w:ascii="宋体" w:hAnsi="宋体"/>
          <w:sz w:val="24"/>
          <w:highlight w:val="none"/>
          <w:u w:val="single"/>
          <w:lang w:val="zh-CN"/>
        </w:rPr>
        <w:t>　　　　</w:t>
      </w:r>
      <w:r>
        <w:rPr>
          <w:rFonts w:ascii="宋体" w:hAnsi="宋体"/>
          <w:sz w:val="24"/>
          <w:highlight w:val="none"/>
          <w:lang w:val="zh-CN"/>
        </w:rPr>
        <w:t>项目的</w:t>
      </w:r>
      <w:r>
        <w:rPr>
          <w:rFonts w:hint="eastAsia" w:ascii="宋体" w:hAnsi="宋体"/>
          <w:sz w:val="24"/>
          <w:highlight w:val="none"/>
          <w:lang w:val="zh-CN"/>
        </w:rPr>
        <w:t>磋商会</w:t>
      </w:r>
      <w:r>
        <w:rPr>
          <w:rFonts w:ascii="宋体" w:hAnsi="宋体"/>
          <w:sz w:val="24"/>
          <w:highlight w:val="none"/>
          <w:lang w:val="zh-CN"/>
        </w:rPr>
        <w:t>，为便于贵方公正、择优地确定</w:t>
      </w:r>
      <w:r>
        <w:rPr>
          <w:rFonts w:hint="eastAsia" w:ascii="宋体" w:hAnsi="宋体"/>
          <w:sz w:val="24"/>
          <w:highlight w:val="none"/>
          <w:lang w:val="zh-CN"/>
        </w:rPr>
        <w:t>成交供应商</w:t>
      </w:r>
      <w:r>
        <w:rPr>
          <w:rFonts w:ascii="宋体" w:hAnsi="宋体"/>
          <w:sz w:val="24"/>
          <w:highlight w:val="none"/>
          <w:lang w:val="zh-CN"/>
        </w:rPr>
        <w:t>及其产品和服务，我方就本次</w:t>
      </w:r>
      <w:r>
        <w:rPr>
          <w:rFonts w:hint="eastAsia" w:ascii="宋体" w:hAnsi="宋体"/>
          <w:sz w:val="24"/>
          <w:highlight w:val="none"/>
          <w:lang w:val="zh-CN"/>
        </w:rPr>
        <w:t>磋商</w:t>
      </w:r>
      <w:r>
        <w:rPr>
          <w:rFonts w:ascii="宋体" w:hAnsi="宋体"/>
          <w:sz w:val="24"/>
          <w:highlight w:val="none"/>
          <w:lang w:val="zh-CN"/>
        </w:rPr>
        <w:t>有关事项郑重声明如下：</w:t>
      </w:r>
    </w:p>
    <w:p>
      <w:pPr>
        <w:snapToGrid w:val="0"/>
        <w:spacing w:before="120" w:beforeLines="50" w:after="50" w:line="360" w:lineRule="auto"/>
        <w:ind w:firstLine="480" w:firstLineChars="200"/>
        <w:rPr>
          <w:lang w:val="zh-CN"/>
        </w:rPr>
      </w:pPr>
      <w:r>
        <w:rPr>
          <w:rFonts w:hint="eastAsia" w:ascii="宋体" w:hAnsi="宋体" w:eastAsia="宋体" w:cs="宋体"/>
          <w:color w:val="000000"/>
          <w:sz w:val="24"/>
          <w:szCs w:val="22"/>
        </w:rPr>
        <w:t>1.我方已详细审查全部</w:t>
      </w:r>
      <w:r>
        <w:rPr>
          <w:rFonts w:hint="eastAsia" w:ascii="宋体" w:hAnsi="宋体" w:eastAsia="宋体" w:cs="宋体"/>
          <w:color w:val="000000"/>
          <w:sz w:val="24"/>
          <w:szCs w:val="22"/>
          <w:lang w:eastAsia="zh-CN"/>
        </w:rPr>
        <w:t>磋商</w:t>
      </w:r>
      <w:r>
        <w:rPr>
          <w:rFonts w:hint="eastAsia" w:ascii="宋体" w:hAnsi="宋体" w:eastAsia="宋体" w:cs="宋体"/>
          <w:color w:val="000000"/>
          <w:sz w:val="24"/>
          <w:szCs w:val="22"/>
        </w:rPr>
        <w:t>文件，同意</w:t>
      </w:r>
      <w:r>
        <w:rPr>
          <w:rFonts w:hint="eastAsia" w:ascii="宋体" w:hAnsi="宋体" w:eastAsia="宋体" w:cs="宋体"/>
          <w:color w:val="000000"/>
          <w:sz w:val="24"/>
          <w:szCs w:val="22"/>
          <w:lang w:eastAsia="zh-CN"/>
        </w:rPr>
        <w:t>磋商</w:t>
      </w:r>
      <w:r>
        <w:rPr>
          <w:rFonts w:hint="eastAsia" w:ascii="宋体" w:hAnsi="宋体" w:eastAsia="宋体" w:cs="宋体"/>
          <w:color w:val="000000"/>
          <w:sz w:val="24"/>
          <w:szCs w:val="22"/>
        </w:rPr>
        <w:t>文件的各项要求，包括疫情期间采取的各项应急开标措施。</w:t>
      </w:r>
    </w:p>
    <w:p>
      <w:pPr>
        <w:autoSpaceDE w:val="0"/>
        <w:autoSpaceDN w:val="0"/>
        <w:spacing w:line="360" w:lineRule="exact"/>
        <w:ind w:firstLine="480"/>
        <w:rPr>
          <w:rFonts w:ascii="宋体" w:hAnsi="宋体"/>
          <w:sz w:val="24"/>
          <w:highlight w:val="none"/>
          <w:lang w:val="zh-CN"/>
        </w:rPr>
      </w:pPr>
      <w:r>
        <w:rPr>
          <w:rFonts w:hint="eastAsia" w:ascii="宋体" w:hAnsi="宋体"/>
          <w:sz w:val="24"/>
          <w:highlight w:val="none"/>
          <w:lang w:val="en-US" w:eastAsia="zh-CN"/>
        </w:rPr>
        <w:t>2</w:t>
      </w:r>
      <w:r>
        <w:rPr>
          <w:rFonts w:ascii="宋体" w:hAnsi="宋体"/>
          <w:sz w:val="24"/>
          <w:highlight w:val="none"/>
          <w:lang w:val="zh-CN"/>
        </w:rPr>
        <w:t>.我方向贵方提交的所有磋商响应文件、资料都是准确的和真实的。</w:t>
      </w:r>
    </w:p>
    <w:p>
      <w:pPr>
        <w:snapToGrid w:val="0"/>
        <w:spacing w:before="120" w:beforeLines="50" w:after="50" w:line="240" w:lineRule="auto"/>
        <w:ind w:firstLine="480" w:firstLineChars="200"/>
        <w:rPr>
          <w:lang w:val="zh-CN"/>
        </w:rPr>
      </w:pPr>
      <w:r>
        <w:rPr>
          <w:rFonts w:hint="eastAsia" w:ascii="宋体" w:hAnsi="宋体" w:eastAsia="宋体" w:cs="宋体"/>
          <w:color w:val="000000"/>
          <w:sz w:val="24"/>
          <w:szCs w:val="22"/>
        </w:rPr>
        <w:t>3.若中标，我方将按</w:t>
      </w:r>
      <w:r>
        <w:rPr>
          <w:rFonts w:hint="eastAsia" w:ascii="宋体" w:hAnsi="宋体" w:eastAsia="宋体" w:cs="宋体"/>
          <w:color w:val="000000"/>
          <w:sz w:val="24"/>
          <w:szCs w:val="22"/>
          <w:lang w:eastAsia="zh-CN"/>
        </w:rPr>
        <w:t>磋商响应</w:t>
      </w:r>
      <w:r>
        <w:rPr>
          <w:rFonts w:hint="eastAsia" w:ascii="宋体" w:hAnsi="宋体" w:eastAsia="宋体" w:cs="宋体"/>
          <w:color w:val="000000"/>
          <w:sz w:val="24"/>
          <w:szCs w:val="22"/>
        </w:rPr>
        <w:t>文件规定履行合同责任和义务。</w:t>
      </w:r>
    </w:p>
    <w:p>
      <w:pPr>
        <w:autoSpaceDE w:val="0"/>
        <w:autoSpaceDN w:val="0"/>
        <w:spacing w:before="120" w:line="360" w:lineRule="exact"/>
        <w:ind w:firstLine="480"/>
        <w:rPr>
          <w:rFonts w:ascii="宋体" w:hAnsi="宋体"/>
          <w:sz w:val="24"/>
          <w:highlight w:val="none"/>
          <w:lang w:val="zh-CN"/>
        </w:rPr>
      </w:pPr>
      <w:r>
        <w:rPr>
          <w:rFonts w:hint="eastAsia" w:ascii="宋体" w:hAnsi="宋体"/>
          <w:sz w:val="24"/>
          <w:highlight w:val="none"/>
          <w:lang w:val="en-US" w:eastAsia="zh-CN"/>
        </w:rPr>
        <w:t>4</w:t>
      </w:r>
      <w:r>
        <w:rPr>
          <w:rFonts w:ascii="宋体" w:hAnsi="宋体"/>
          <w:sz w:val="24"/>
          <w:highlight w:val="none"/>
          <w:lang w:val="zh-CN"/>
        </w:rPr>
        <w:t>.我方不是采购人的附属机构；在获知本项目采购信息后，与采购人聘请的为此项目提供咨询服务的公司及其附属机构没有任何联系。</w:t>
      </w:r>
    </w:p>
    <w:p>
      <w:pPr>
        <w:autoSpaceDE w:val="0"/>
        <w:autoSpaceDN w:val="0"/>
        <w:spacing w:before="120" w:line="360" w:lineRule="exact"/>
        <w:ind w:firstLine="480"/>
        <w:rPr>
          <w:rFonts w:ascii="宋体" w:hAnsi="宋体"/>
          <w:sz w:val="24"/>
          <w:highlight w:val="none"/>
          <w:u w:val="single"/>
          <w:lang w:val="zh-CN"/>
        </w:rPr>
      </w:pPr>
      <w:r>
        <w:rPr>
          <w:rFonts w:hint="eastAsia" w:ascii="宋体" w:hAnsi="宋体"/>
          <w:sz w:val="24"/>
          <w:highlight w:val="none"/>
          <w:lang w:val="en-US" w:eastAsia="zh-CN"/>
        </w:rPr>
        <w:t>5</w:t>
      </w:r>
      <w:r>
        <w:rPr>
          <w:rFonts w:ascii="宋体" w:hAnsi="宋体"/>
          <w:sz w:val="24"/>
          <w:highlight w:val="none"/>
          <w:lang w:val="zh-CN"/>
        </w:rPr>
        <w:t>.我方诚意提请贵方关注：近期有关该型号产品的生产、供货、售后服务以及性能等方面的重大决策和事项有：</w:t>
      </w:r>
      <w:r>
        <w:rPr>
          <w:rFonts w:ascii="宋体" w:hAnsi="宋体"/>
          <w:sz w:val="24"/>
          <w:highlight w:val="none"/>
          <w:u w:val="single"/>
          <w:lang w:val="zh-CN"/>
        </w:rPr>
        <w:t>　　　　　　　　　　　　　　　　　　　　　　　　　　　</w:t>
      </w:r>
    </w:p>
    <w:p>
      <w:pPr>
        <w:autoSpaceDE w:val="0"/>
        <w:autoSpaceDN w:val="0"/>
        <w:spacing w:before="120" w:line="360" w:lineRule="exact"/>
        <w:ind w:firstLine="480"/>
        <w:rPr>
          <w:rFonts w:ascii="宋体" w:hAnsi="宋体"/>
          <w:sz w:val="24"/>
          <w:highlight w:val="none"/>
          <w:u w:val="single"/>
          <w:lang w:val="zh-CN"/>
        </w:rPr>
      </w:pPr>
      <w:r>
        <w:rPr>
          <w:rFonts w:ascii="宋体" w:hAnsi="宋体"/>
          <w:sz w:val="24"/>
          <w:highlight w:val="none"/>
          <w:u w:val="single"/>
          <w:lang w:val="zh-CN"/>
        </w:rPr>
        <w:t>　　　　　　　　　　　　　　　　　　　　　　　　　　　</w:t>
      </w:r>
    </w:p>
    <w:p>
      <w:pPr>
        <w:snapToGrid w:val="0"/>
        <w:spacing w:before="120" w:beforeLines="50" w:after="50" w:line="240" w:lineRule="auto"/>
        <w:ind w:firstLine="480" w:firstLineChars="200"/>
        <w:jc w:val="left"/>
        <w:rPr>
          <w:rFonts w:hint="eastAsia" w:ascii="宋体" w:hAnsi="宋体" w:eastAsia="宋体" w:cs="宋体"/>
          <w:b w:val="0"/>
          <w:color w:val="000000"/>
          <w:sz w:val="24"/>
          <w:szCs w:val="22"/>
          <w:highlight w:val="none"/>
        </w:rPr>
      </w:pPr>
      <w:r>
        <w:rPr>
          <w:rFonts w:hint="eastAsia" w:ascii="宋体" w:hAnsi="宋体" w:cs="宋体"/>
          <w:b w:val="0"/>
          <w:color w:val="000000"/>
          <w:sz w:val="24"/>
          <w:szCs w:val="22"/>
          <w:highlight w:val="none"/>
          <w:lang w:val="en-US" w:eastAsia="zh-CN"/>
        </w:rPr>
        <w:t>6.</w:t>
      </w:r>
      <w:r>
        <w:rPr>
          <w:rFonts w:hint="eastAsia" w:ascii="宋体" w:hAnsi="宋体" w:eastAsia="宋体" w:cs="宋体"/>
          <w:b w:val="0"/>
          <w:color w:val="000000"/>
          <w:sz w:val="24"/>
          <w:szCs w:val="22"/>
          <w:highlight w:val="none"/>
        </w:rPr>
        <w:t>我方满足《中华人民共和国政府采购法》第二十二条规定：</w:t>
      </w:r>
    </w:p>
    <w:p>
      <w:pPr>
        <w:snapToGrid w:val="0"/>
        <w:spacing w:before="120" w:beforeLines="50" w:after="50" w:line="240" w:lineRule="auto"/>
        <w:ind w:firstLine="645" w:firstLineChars="0"/>
        <w:jc w:val="left"/>
        <w:rPr>
          <w:rFonts w:hint="eastAsia" w:ascii="宋体" w:hAnsi="宋体" w:eastAsia="宋体" w:cs="宋体"/>
          <w:b w:val="0"/>
          <w:color w:val="000000"/>
          <w:sz w:val="24"/>
          <w:szCs w:val="22"/>
        </w:rPr>
      </w:pPr>
      <w:r>
        <w:rPr>
          <w:rFonts w:hint="eastAsia" w:ascii="宋体" w:hAnsi="宋体" w:eastAsia="宋体" w:cs="宋体"/>
          <w:b w:val="0"/>
          <w:color w:val="000000"/>
          <w:sz w:val="24"/>
          <w:szCs w:val="22"/>
        </w:rPr>
        <w:t>（一）具有独立承担民事责任的能力；</w:t>
      </w:r>
    </w:p>
    <w:p>
      <w:pPr>
        <w:snapToGrid w:val="0"/>
        <w:spacing w:before="120" w:beforeLines="50" w:after="50" w:line="240" w:lineRule="auto"/>
        <w:ind w:firstLine="645" w:firstLineChars="0"/>
        <w:jc w:val="left"/>
        <w:rPr>
          <w:rFonts w:hint="eastAsia" w:ascii="宋体" w:hAnsi="宋体" w:eastAsia="宋体" w:cs="宋体"/>
          <w:b w:val="0"/>
          <w:color w:val="000000"/>
          <w:sz w:val="24"/>
          <w:szCs w:val="22"/>
        </w:rPr>
      </w:pPr>
      <w:r>
        <w:rPr>
          <w:rFonts w:hint="eastAsia" w:ascii="宋体" w:hAnsi="宋体" w:eastAsia="宋体" w:cs="宋体"/>
          <w:b w:val="0"/>
          <w:color w:val="000000"/>
          <w:sz w:val="24"/>
          <w:szCs w:val="22"/>
        </w:rPr>
        <w:t>（二）具有良好的商业信誉和健全的财务会计制度；</w:t>
      </w:r>
    </w:p>
    <w:p>
      <w:pPr>
        <w:snapToGrid w:val="0"/>
        <w:spacing w:before="120" w:beforeLines="50" w:after="50" w:line="240" w:lineRule="auto"/>
        <w:ind w:firstLine="645" w:firstLineChars="0"/>
        <w:jc w:val="left"/>
        <w:rPr>
          <w:rFonts w:hint="eastAsia" w:ascii="宋体" w:hAnsi="宋体" w:eastAsia="宋体" w:cs="宋体"/>
          <w:b w:val="0"/>
          <w:color w:val="000000"/>
          <w:sz w:val="24"/>
          <w:szCs w:val="22"/>
        </w:rPr>
      </w:pPr>
      <w:r>
        <w:rPr>
          <w:rFonts w:hint="eastAsia" w:ascii="宋体" w:hAnsi="宋体" w:eastAsia="宋体" w:cs="宋体"/>
          <w:b w:val="0"/>
          <w:color w:val="000000"/>
          <w:sz w:val="24"/>
          <w:szCs w:val="22"/>
        </w:rPr>
        <w:t>（三）具有履行合同所必需的设备和专业技术能力；</w:t>
      </w:r>
    </w:p>
    <w:p>
      <w:pPr>
        <w:snapToGrid w:val="0"/>
        <w:spacing w:before="120" w:beforeLines="50" w:after="50" w:line="240" w:lineRule="auto"/>
        <w:ind w:firstLine="645" w:firstLineChars="0"/>
        <w:jc w:val="left"/>
        <w:rPr>
          <w:rFonts w:hint="eastAsia" w:ascii="宋体" w:hAnsi="宋体" w:eastAsia="宋体" w:cs="宋体"/>
          <w:b w:val="0"/>
          <w:color w:val="000000"/>
          <w:sz w:val="24"/>
          <w:szCs w:val="22"/>
        </w:rPr>
      </w:pPr>
      <w:r>
        <w:rPr>
          <w:rFonts w:hint="eastAsia" w:ascii="宋体" w:hAnsi="宋体" w:eastAsia="宋体" w:cs="宋体"/>
          <w:b w:val="0"/>
          <w:color w:val="000000"/>
          <w:sz w:val="24"/>
          <w:szCs w:val="22"/>
        </w:rPr>
        <w:t>（四）有依法缴纳税收和社会保障资金的良好记录；</w:t>
      </w:r>
    </w:p>
    <w:p>
      <w:pPr>
        <w:snapToGrid w:val="0"/>
        <w:spacing w:before="120" w:beforeLines="50" w:after="50" w:line="240" w:lineRule="auto"/>
        <w:ind w:firstLine="645" w:firstLineChars="0"/>
        <w:jc w:val="left"/>
        <w:rPr>
          <w:rFonts w:hint="eastAsia" w:ascii="宋体" w:hAnsi="宋体" w:eastAsia="宋体" w:cs="宋体"/>
          <w:b w:val="0"/>
          <w:color w:val="000000"/>
          <w:sz w:val="24"/>
          <w:szCs w:val="22"/>
        </w:rPr>
      </w:pPr>
      <w:r>
        <w:rPr>
          <w:rFonts w:hint="eastAsia" w:ascii="宋体" w:hAnsi="宋体" w:eastAsia="宋体" w:cs="宋体"/>
          <w:b w:val="0"/>
          <w:color w:val="000000"/>
          <w:sz w:val="24"/>
          <w:szCs w:val="22"/>
        </w:rPr>
        <w:t>（五）参加本项目政府采购活动前三年内，在经营活动中</w:t>
      </w:r>
      <w:r>
        <w:rPr>
          <w:rFonts w:hint="eastAsia" w:ascii="宋体" w:hAnsi="宋体" w:eastAsia="宋体" w:cs="宋体"/>
          <w:b/>
          <w:bCs/>
          <w:color w:val="000000"/>
          <w:sz w:val="24"/>
          <w:szCs w:val="22"/>
          <w:u w:val="single"/>
        </w:rPr>
        <w:t xml:space="preserve">  </w:t>
      </w:r>
      <w:r>
        <w:rPr>
          <w:rFonts w:hint="eastAsia" w:ascii="宋体" w:hAnsi="宋体" w:cs="宋体"/>
          <w:b/>
          <w:bCs/>
          <w:color w:val="000000"/>
          <w:sz w:val="24"/>
          <w:szCs w:val="22"/>
          <w:u w:val="single"/>
          <w:lang w:val="en-US" w:eastAsia="zh-CN"/>
        </w:rPr>
        <w:t xml:space="preserve">   </w:t>
      </w:r>
      <w:r>
        <w:rPr>
          <w:rFonts w:hint="eastAsia" w:ascii="宋体" w:hAnsi="宋体" w:eastAsia="宋体" w:cs="宋体"/>
          <w:b/>
          <w:bCs/>
          <w:color w:val="000000"/>
          <w:sz w:val="24"/>
          <w:szCs w:val="22"/>
          <w:u w:val="single"/>
        </w:rPr>
        <w:t xml:space="preserve">  </w:t>
      </w:r>
      <w:r>
        <w:rPr>
          <w:rFonts w:hint="eastAsia" w:ascii="宋体" w:hAnsi="宋体" w:cs="宋体"/>
          <w:b/>
          <w:bCs/>
          <w:color w:val="000000"/>
          <w:sz w:val="24"/>
          <w:szCs w:val="22"/>
          <w:u w:val="single"/>
          <w:lang w:eastAsia="zh-CN"/>
        </w:rPr>
        <w:t>（有</w:t>
      </w:r>
      <w:r>
        <w:rPr>
          <w:rFonts w:hint="eastAsia" w:ascii="宋体" w:hAnsi="宋体" w:cs="宋体"/>
          <w:b/>
          <w:bCs/>
          <w:color w:val="000000"/>
          <w:sz w:val="24"/>
          <w:szCs w:val="22"/>
          <w:u w:val="single"/>
          <w:lang w:val="en-US" w:eastAsia="zh-CN"/>
        </w:rPr>
        <w:t>/没有</w:t>
      </w:r>
      <w:r>
        <w:rPr>
          <w:rFonts w:hint="eastAsia" w:ascii="宋体" w:hAnsi="宋体" w:cs="宋体"/>
          <w:b/>
          <w:bCs/>
          <w:color w:val="000000"/>
          <w:sz w:val="24"/>
          <w:szCs w:val="22"/>
          <w:u w:val="single"/>
          <w:lang w:eastAsia="zh-CN"/>
        </w:rPr>
        <w:t>）</w:t>
      </w:r>
      <w:r>
        <w:rPr>
          <w:rFonts w:hint="eastAsia" w:ascii="宋体" w:hAnsi="宋体" w:eastAsia="宋体" w:cs="宋体"/>
          <w:b w:val="0"/>
          <w:color w:val="000000"/>
          <w:sz w:val="24"/>
          <w:szCs w:val="22"/>
        </w:rPr>
        <w:t>重大违法记录。（重大违法记录是指供应商因违法经营受到刑事处罚或者责令停产停业、吊销许可证或者执照、较大数额罚款等行政处罚）</w:t>
      </w:r>
    </w:p>
    <w:p>
      <w:pPr>
        <w:pStyle w:val="4"/>
        <w:rPr>
          <w:lang w:val="zh-CN"/>
        </w:rPr>
      </w:pPr>
      <w:r>
        <w:rPr>
          <w:rFonts w:hint="eastAsia" w:ascii="宋体" w:hAnsi="宋体" w:eastAsia="宋体" w:cs="宋体"/>
          <w:b w:val="0"/>
          <w:color w:val="000000"/>
          <w:sz w:val="24"/>
          <w:szCs w:val="22"/>
        </w:rPr>
        <w:t>（六）法律、行政法规规定的其他条件。</w:t>
      </w:r>
    </w:p>
    <w:p>
      <w:pPr>
        <w:pStyle w:val="3"/>
        <w:snapToGrid w:val="0"/>
        <w:spacing w:line="360" w:lineRule="exact"/>
        <w:ind w:firstLine="464" w:firstLineChars="200"/>
        <w:rPr>
          <w:rFonts w:hAnsi="宋体"/>
          <w:sz w:val="24"/>
          <w:highlight w:val="none"/>
          <w:u w:val="single"/>
          <w:lang w:val="zh-CN"/>
        </w:rPr>
      </w:pPr>
      <w:r>
        <w:rPr>
          <w:rFonts w:hint="eastAsia" w:hAnsi="宋体"/>
          <w:sz w:val="24"/>
          <w:highlight w:val="none"/>
          <w:lang w:val="en-US" w:eastAsia="zh-CN"/>
        </w:rPr>
        <w:t>7</w:t>
      </w:r>
      <w:r>
        <w:rPr>
          <w:rFonts w:hAnsi="宋体"/>
          <w:sz w:val="24"/>
          <w:highlight w:val="none"/>
          <w:lang w:val="zh-CN"/>
        </w:rPr>
        <w:t>.</w:t>
      </w:r>
      <w:r>
        <w:rPr>
          <w:rFonts w:hint="eastAsia" w:hAnsi="宋体"/>
          <w:color w:val="000000"/>
          <w:sz w:val="24"/>
          <w:highlight w:val="none"/>
        </w:rPr>
        <w:t xml:space="preserve"> 我方及由本人担任法定代表人的其他机构被“信用中国”（</w:t>
      </w:r>
      <w:r>
        <w:rPr>
          <w:rFonts w:hAnsi="宋体"/>
          <w:color w:val="000000"/>
          <w:sz w:val="24"/>
          <w:highlight w:val="none"/>
        </w:rPr>
        <w:t>www.creditchina.gov.cn</w:t>
      </w:r>
      <w:r>
        <w:rPr>
          <w:rFonts w:hint="eastAsia" w:hAnsi="宋体"/>
          <w:color w:val="000000"/>
          <w:sz w:val="24"/>
          <w:highlight w:val="none"/>
        </w:rPr>
        <w:t>）、中国政府采购网（</w:t>
      </w:r>
      <w:r>
        <w:rPr>
          <w:rFonts w:hAnsi="宋体"/>
          <w:color w:val="000000"/>
          <w:sz w:val="24"/>
          <w:highlight w:val="none"/>
        </w:rPr>
        <w:t>www.ccgp.gov.cn</w:t>
      </w:r>
      <w:r>
        <w:rPr>
          <w:rFonts w:hint="eastAsia" w:hAnsi="宋体"/>
          <w:color w:val="000000"/>
          <w:sz w:val="24"/>
          <w:highlight w:val="none"/>
        </w:rPr>
        <w:t>）列入失信被执行人、重大税收违法案件当事人名单、政府采购严重违法失信行为记录名单的情况：</w:t>
      </w:r>
      <w:r>
        <w:rPr>
          <w:rFonts w:hAnsi="宋体"/>
          <w:sz w:val="24"/>
          <w:highlight w:val="none"/>
          <w:u w:val="single"/>
          <w:lang w:val="zh-CN"/>
        </w:rPr>
        <w:t>　　　　　　　　　　　　　　　　　　　　　　　　　　　</w:t>
      </w:r>
    </w:p>
    <w:p>
      <w:pPr>
        <w:autoSpaceDE w:val="0"/>
        <w:autoSpaceDN w:val="0"/>
        <w:spacing w:before="120" w:line="360" w:lineRule="exact"/>
        <w:ind w:firstLine="480"/>
        <w:rPr>
          <w:rFonts w:ascii="宋体" w:hAnsi="宋体"/>
          <w:sz w:val="24"/>
          <w:highlight w:val="none"/>
          <w:u w:val="single"/>
          <w:lang w:val="zh-CN"/>
        </w:rPr>
      </w:pPr>
      <w:r>
        <w:rPr>
          <w:rFonts w:ascii="宋体" w:hAnsi="宋体"/>
          <w:sz w:val="24"/>
          <w:highlight w:val="none"/>
          <w:u w:val="single"/>
          <w:lang w:val="zh-CN"/>
        </w:rPr>
        <w:t>　　　　　　　　　　　　　　　　　　　　　　　　　　　</w:t>
      </w:r>
    </w:p>
    <w:p>
      <w:pPr>
        <w:snapToGrid w:val="0"/>
        <w:spacing w:before="120" w:beforeLines="50" w:line="360" w:lineRule="exact"/>
        <w:ind w:firstLine="480" w:firstLineChars="200"/>
        <w:rPr>
          <w:rFonts w:ascii="宋体"/>
          <w:color w:val="000000"/>
          <w:sz w:val="24"/>
          <w:highlight w:val="none"/>
        </w:rPr>
      </w:pPr>
      <w:r>
        <w:rPr>
          <w:rFonts w:hint="eastAsia" w:ascii="宋体" w:hAnsi="宋体"/>
          <w:color w:val="000000"/>
          <w:sz w:val="24"/>
          <w:highlight w:val="none"/>
          <w:lang w:val="en-US" w:eastAsia="zh-CN"/>
        </w:rPr>
        <w:t>8</w:t>
      </w:r>
      <w:r>
        <w:rPr>
          <w:rFonts w:ascii="宋体" w:hAnsi="宋体"/>
          <w:color w:val="000000"/>
          <w:sz w:val="24"/>
          <w:highlight w:val="none"/>
        </w:rPr>
        <w:t xml:space="preserve">. </w:t>
      </w:r>
      <w:r>
        <w:rPr>
          <w:rFonts w:hint="eastAsia" w:ascii="宋体" w:hAnsi="宋体"/>
          <w:color w:val="000000"/>
          <w:sz w:val="24"/>
          <w:highlight w:val="none"/>
        </w:rPr>
        <w:t>我方已全面细致的解读磋商文件，对磋商文件没有任何疑异。</w:t>
      </w:r>
    </w:p>
    <w:p>
      <w:pPr>
        <w:autoSpaceDE w:val="0"/>
        <w:autoSpaceDN w:val="0"/>
        <w:spacing w:line="360" w:lineRule="exact"/>
        <w:ind w:firstLine="480"/>
        <w:rPr>
          <w:rFonts w:ascii="宋体" w:hAnsi="宋体"/>
          <w:sz w:val="24"/>
          <w:highlight w:val="none"/>
          <w:lang w:val="zh-CN"/>
        </w:rPr>
      </w:pPr>
      <w:r>
        <w:rPr>
          <w:rFonts w:hint="eastAsia" w:ascii="宋体" w:hAnsi="宋体"/>
          <w:sz w:val="24"/>
          <w:highlight w:val="none"/>
          <w:lang w:val="en-US" w:eastAsia="zh-CN"/>
        </w:rPr>
        <w:t>9</w:t>
      </w:r>
      <w:r>
        <w:rPr>
          <w:rFonts w:ascii="宋体" w:hAnsi="宋体"/>
          <w:sz w:val="24"/>
          <w:highlight w:val="none"/>
          <w:lang w:val="zh-CN"/>
        </w:rPr>
        <w:t>.以上事项如有虚假或隐瞒，我方愿意承担一切后果，并不再寻求任何旨在减轻或免除法律责任的辩解。</w:t>
      </w:r>
    </w:p>
    <w:p>
      <w:pPr>
        <w:autoSpaceDE w:val="0"/>
        <w:autoSpaceDN w:val="0"/>
        <w:ind w:firstLine="480"/>
        <w:rPr>
          <w:rFonts w:ascii="宋体" w:hAnsi="宋体"/>
          <w:color w:val="000000"/>
          <w:sz w:val="24"/>
          <w:highlight w:val="none"/>
          <w:lang w:val="zh-CN"/>
        </w:rPr>
      </w:pPr>
    </w:p>
    <w:p>
      <w:pPr>
        <w:tabs>
          <w:tab w:val="left" w:pos="939"/>
        </w:tabs>
        <w:autoSpaceDE w:val="0"/>
        <w:autoSpaceDN w:val="0"/>
        <w:ind w:left="773" w:hanging="458"/>
        <w:rPr>
          <w:rFonts w:ascii="宋体" w:hAnsi="宋体"/>
          <w:color w:val="000000"/>
          <w:sz w:val="24"/>
          <w:highlight w:val="none"/>
          <w:lang w:val="zh-CN"/>
        </w:rPr>
      </w:pPr>
    </w:p>
    <w:p>
      <w:pPr>
        <w:pStyle w:val="52"/>
        <w:adjustRightInd w:val="0"/>
        <w:snapToGrid w:val="0"/>
        <w:spacing w:line="500" w:lineRule="exact"/>
        <w:rPr>
          <w:rFonts w:ascii="宋体" w:hAnsi="宋体" w:cs="宋体"/>
          <w:sz w:val="24"/>
          <w:szCs w:val="24"/>
          <w:highlight w:val="none"/>
          <w:u w:val="single"/>
        </w:rPr>
      </w:pPr>
      <w:r>
        <w:rPr>
          <w:rFonts w:hint="eastAsia" w:ascii="宋体" w:hAnsi="宋体" w:cs="宋体"/>
          <w:sz w:val="24"/>
          <w:szCs w:val="24"/>
          <w:highlight w:val="none"/>
        </w:rPr>
        <w:t>供应商名称（签章）：</w:t>
      </w:r>
    </w:p>
    <w:p>
      <w:pPr>
        <w:pStyle w:val="52"/>
        <w:adjustRightInd w:val="0"/>
        <w:snapToGrid w:val="0"/>
        <w:spacing w:line="500" w:lineRule="exact"/>
        <w:rPr>
          <w:rFonts w:ascii="宋体" w:hAnsi="宋体" w:cs="宋体"/>
          <w:sz w:val="24"/>
          <w:szCs w:val="24"/>
          <w:highlight w:val="none"/>
        </w:rPr>
      </w:pPr>
      <w:r>
        <w:rPr>
          <w:rFonts w:hint="eastAsia" w:ascii="宋体" w:hAnsi="宋体" w:cs="宋体"/>
          <w:sz w:val="24"/>
          <w:szCs w:val="24"/>
          <w:highlight w:val="none"/>
        </w:rPr>
        <w:t>法定代表人或委托代理人（签字或签章）：</w:t>
      </w:r>
    </w:p>
    <w:p>
      <w:pPr>
        <w:autoSpaceDE w:val="0"/>
        <w:autoSpaceDN w:val="0"/>
        <w:spacing w:before="120" w:after="50"/>
        <w:rPr>
          <w:color w:val="000000"/>
          <w:sz w:val="24"/>
          <w:highlight w:val="none"/>
        </w:rPr>
      </w:pPr>
      <w:r>
        <w:rPr>
          <w:rFonts w:hint="eastAsia" w:ascii="宋体" w:hAnsi="宋体" w:cs="宋体"/>
          <w:sz w:val="24"/>
          <w:highlight w:val="none"/>
        </w:rPr>
        <w:t>日期：年 月 日</w:t>
      </w:r>
      <w:r>
        <w:rPr>
          <w:rFonts w:ascii="宋体" w:hAnsi="宋体"/>
          <w:color w:val="000000"/>
          <w:sz w:val="28"/>
          <w:szCs w:val="28"/>
          <w:highlight w:val="none"/>
          <w:lang w:val="zh-CN"/>
        </w:rPr>
        <w:br w:type="page"/>
      </w:r>
    </w:p>
    <w:p>
      <w:pPr>
        <w:snapToGrid w:val="0"/>
        <w:spacing w:before="120" w:beforeLines="50" w:after="50"/>
        <w:rPr>
          <w:rFonts w:ascii="宋体" w:hAnsi="宋体"/>
          <w:color w:val="000000"/>
          <w:sz w:val="24"/>
          <w:highlight w:val="none"/>
          <w:lang w:val="zh-CN"/>
        </w:rPr>
      </w:pPr>
      <w:r>
        <w:rPr>
          <w:rFonts w:hint="eastAsia" w:ascii="宋体" w:hAnsi="宋体"/>
          <w:color w:val="000000"/>
          <w:sz w:val="24"/>
          <w:highlight w:val="none"/>
          <w:lang w:val="zh-CN"/>
        </w:rPr>
        <w:t>附件4：</w:t>
      </w:r>
    </w:p>
    <w:p>
      <w:pPr>
        <w:snapToGrid w:val="0"/>
        <w:spacing w:before="120" w:beforeLines="50" w:after="50"/>
        <w:rPr>
          <w:rFonts w:ascii="宋体" w:hAnsi="宋体"/>
          <w:b/>
          <w:bCs/>
          <w:color w:val="000000"/>
          <w:sz w:val="24"/>
          <w:highlight w:val="none"/>
          <w:lang w:val="zh-CN"/>
        </w:rPr>
      </w:pPr>
    </w:p>
    <w:p>
      <w:pPr>
        <w:snapToGrid w:val="0"/>
        <w:spacing w:before="120" w:beforeLines="50" w:after="50"/>
        <w:jc w:val="center"/>
        <w:rPr>
          <w:b/>
          <w:color w:val="000000"/>
          <w:kern w:val="0"/>
          <w:sz w:val="24"/>
          <w:highlight w:val="none"/>
        </w:rPr>
      </w:pPr>
      <w:r>
        <w:rPr>
          <w:rFonts w:hint="eastAsia"/>
          <w:b/>
          <w:color w:val="000000"/>
          <w:kern w:val="0"/>
          <w:sz w:val="24"/>
          <w:highlight w:val="none"/>
        </w:rPr>
        <w:t>政府采购廉洁承诺书</w:t>
      </w:r>
    </w:p>
    <w:p>
      <w:pPr>
        <w:snapToGrid w:val="0"/>
        <w:spacing w:before="120" w:beforeLines="50" w:after="50" w:line="320" w:lineRule="exact"/>
        <w:rPr>
          <w:rFonts w:ascii="宋体" w:hAnsi="宋体"/>
          <w:color w:val="auto"/>
          <w:sz w:val="24"/>
          <w:highlight w:val="none"/>
          <w:lang w:val="zh-CN"/>
        </w:rPr>
      </w:pPr>
      <w:r>
        <w:rPr>
          <w:rFonts w:hint="eastAsia"/>
          <w:color w:val="auto"/>
          <w:kern w:val="0"/>
          <w:sz w:val="24"/>
          <w:highlight w:val="none"/>
          <w:lang w:eastAsia="zh-CN"/>
        </w:rPr>
        <w:t>长兴县退役军人事务局</w:t>
      </w:r>
      <w:r>
        <w:rPr>
          <w:rFonts w:ascii="宋体" w:hAnsi="宋体"/>
          <w:color w:val="auto"/>
          <w:sz w:val="24"/>
          <w:highlight w:val="none"/>
        </w:rPr>
        <w:t>、长兴县政府采购中心：</w:t>
      </w:r>
    </w:p>
    <w:p>
      <w:pPr>
        <w:snapToGrid w:val="0"/>
        <w:spacing w:before="120" w:beforeLines="50" w:after="50" w:line="320" w:lineRule="exact"/>
        <w:ind w:firstLine="480" w:firstLineChars="200"/>
        <w:rPr>
          <w:rFonts w:ascii="宋体" w:hAnsi="宋体"/>
          <w:color w:val="000000"/>
          <w:sz w:val="24"/>
          <w:highlight w:val="none"/>
        </w:rPr>
      </w:pPr>
      <w:r>
        <w:rPr>
          <w:rFonts w:ascii="宋体" w:hAnsi="宋体"/>
          <w:color w:val="000000"/>
          <w:sz w:val="24"/>
          <w:highlight w:val="none"/>
        </w:rPr>
        <w:t>我方决定参加</w:t>
      </w:r>
      <w:r>
        <w:rPr>
          <w:rFonts w:hint="eastAsia" w:ascii="宋体" w:hAnsi="宋体"/>
          <w:color w:val="000000"/>
          <w:sz w:val="24"/>
          <w:highlight w:val="none"/>
          <w:u w:val="single"/>
        </w:rPr>
        <w:t xml:space="preserve">                         </w:t>
      </w:r>
      <w:r>
        <w:rPr>
          <w:rFonts w:ascii="宋体" w:hAnsi="宋体"/>
          <w:color w:val="000000"/>
          <w:sz w:val="24"/>
          <w:highlight w:val="none"/>
        </w:rPr>
        <w:t>（项目名称）的磋商</w:t>
      </w:r>
      <w:r>
        <w:rPr>
          <w:rFonts w:hint="eastAsia" w:ascii="宋体" w:hAnsi="宋体"/>
          <w:color w:val="000000"/>
          <w:sz w:val="24"/>
          <w:highlight w:val="none"/>
        </w:rPr>
        <w:t>活动</w:t>
      </w:r>
      <w:r>
        <w:rPr>
          <w:rFonts w:ascii="宋体" w:hAnsi="宋体"/>
          <w:color w:val="000000"/>
          <w:sz w:val="24"/>
          <w:highlight w:val="none"/>
        </w:rPr>
        <w:t>,向贵方自愿作出如下承诺:</w:t>
      </w:r>
    </w:p>
    <w:p>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第一条 廉洁承诺</w:t>
      </w:r>
    </w:p>
    <w:p>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我方在参与政府采购项目的过程中严格遵守国家有关反腐倡廉方面的规定，遵守我方在本廉洁承诺书中的承诺，与贵方保持正常的业务交往，按照有关法律法规和程序开展业务活动，若我方发生违反本廉洁承诺书约定的行为，在依法承担法律责任的同时，愿承担本承诺书规定的相应责任。</w:t>
      </w:r>
    </w:p>
    <w:p>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我方保证：</w:t>
      </w:r>
    </w:p>
    <w:p>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（一）不违反廉洁从业的相关规定，严格遵守国家法律法规；</w:t>
      </w:r>
    </w:p>
    <w:p>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（二）不以任何理由向贵方及其工作人员行贿或赠送礼金、有价证券、贵重物品等；</w:t>
      </w:r>
    </w:p>
    <w:p>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（三）不为贵方及其工作人员购置或提供通讯工具、交通工具、高档办公用品和装修住房等；</w:t>
      </w:r>
    </w:p>
    <w:p>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（四）不以任何名义为贵方及其工作人员报销应由贵方或贵方工作人员个人支付的费用；</w:t>
      </w:r>
    </w:p>
    <w:p>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（五）不以任何理由安排贵方工作人员参加宴请及娱乐休闲和旅游等消费活动；</w:t>
      </w:r>
    </w:p>
    <w:p>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（六）不从事其他违反国家有关法律法规规章以及廉洁从业有关规定的行为。</w:t>
      </w:r>
    </w:p>
    <w:p>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第二条 违诺责任</w:t>
      </w:r>
    </w:p>
    <w:p>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我方如发生违反本廉洁承诺书第一条第二款的规定，无论我方是否中标，在依法承担法定责任的同时，我方自愿承担如下廉洁承诺违诺责任：</w:t>
      </w:r>
    </w:p>
    <w:p>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（一）导致贵方相关工作人员受到问责、通报批评或诫勉谈话等处理的（尚未达到党政纪处分），由相关部门依纪依法作出处理；</w:t>
      </w:r>
    </w:p>
    <w:p>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（二）导致贵方相关工作人员受到党内警告、严重警告处分或受到行政警告、记过处分的，由相关部门依纪依法作出处理；</w:t>
      </w:r>
    </w:p>
    <w:p>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（三）导致贵方相关工作人员受到撤销党内职务、留党察看或受到行政记大过、降级处分的，由相关部门依纪依法作出处理；</w:t>
      </w:r>
    </w:p>
    <w:p>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（四）导致贵方相关工作人员受到开除党籍处分、行政撤职、开除处分或被依法追究刑事责任的，由相关部门依纪依法作出处理。</w:t>
      </w:r>
    </w:p>
    <w:p>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第三条 承诺书的效力</w:t>
      </w:r>
    </w:p>
    <w:p>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（一）时间效力。如我方未中标，本廉洁承诺书的效力及于整个项目招投标活动；如我方中标，则本廉洁承诺书的效力及于项目招投标活动开始直至质保期结束。</w:t>
      </w:r>
    </w:p>
    <w:p>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（二）在招投标阶段，本廉洁承诺书是我方投标文件的组成部分，经我方签字盖章后生效，无论我方是否中标或中标后是否签订合同，对我方均具有法律约束力。</w:t>
      </w:r>
    </w:p>
    <w:p>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（三）如我方中标，本廉洁承诺书将成为我方与贵方签订的合同的组成部分，如遇合同无效或效力终止的，本廉洁承诺书仍独立有效。</w:t>
      </w:r>
    </w:p>
    <w:p>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第四条 其他</w:t>
      </w:r>
    </w:p>
    <w:p>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一）本廉洁承诺书作为投标文件、合同的组成部分时，凡因本廉洁承诺书产生的或与本廉洁承诺书有关的任何纠纷均应按照投标文件、合同约定的争议解决方式予以解决；投标文件、合同对争议解决方式没有约定、约定不明确或者本廉洁承诺书独立生效的，我方同意有关纠纷由贵方住所地人民法院管辖。</w:t>
      </w:r>
    </w:p>
    <w:p>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（二）本廉洁承诺书一式三份，由贵我双方、主管部门各执一份，具有同等法律效力。</w:t>
      </w:r>
    </w:p>
    <w:p>
      <w:pPr>
        <w:snapToGrid w:val="0"/>
        <w:spacing w:before="120" w:beforeLines="50"/>
        <w:ind w:firstLine="720" w:firstLineChars="300"/>
        <w:rPr>
          <w:rFonts w:ascii="宋体" w:hAnsi="宋体" w:cs="宋体"/>
          <w:sz w:val="24"/>
          <w:highlight w:val="none"/>
        </w:rPr>
      </w:pPr>
    </w:p>
    <w:p>
      <w:pPr>
        <w:snapToGrid w:val="0"/>
        <w:spacing w:before="120" w:beforeLines="50"/>
        <w:ind w:firstLine="720" w:firstLineChars="300"/>
        <w:rPr>
          <w:rFonts w:ascii="宋体" w:hAnsi="宋体" w:cs="宋体"/>
          <w:sz w:val="24"/>
          <w:highlight w:val="none"/>
        </w:rPr>
      </w:pPr>
    </w:p>
    <w:p>
      <w:pPr>
        <w:snapToGrid w:val="0"/>
        <w:spacing w:before="120" w:beforeLines="50" w:line="480" w:lineRule="auto"/>
        <w:ind w:firstLine="720" w:firstLineChars="300"/>
        <w:rPr>
          <w:rFonts w:ascii="宋体" w:hAnsi="宋体" w:cs="宋体"/>
          <w:sz w:val="24"/>
          <w:highlight w:val="none"/>
        </w:rPr>
      </w:pPr>
      <w:r>
        <w:rPr>
          <w:rFonts w:hint="eastAsia" w:ascii="宋体" w:hAnsi="宋体" w:cs="宋体"/>
          <w:sz w:val="24"/>
          <w:highlight w:val="none"/>
        </w:rPr>
        <w:t>承诺人：（单位公章）</w:t>
      </w:r>
    </w:p>
    <w:p>
      <w:pPr>
        <w:snapToGrid w:val="0"/>
        <w:spacing w:before="120" w:beforeLines="50" w:line="480" w:lineRule="auto"/>
        <w:ind w:firstLine="720" w:firstLineChars="300"/>
        <w:rPr>
          <w:rFonts w:ascii="宋体" w:hAnsi="宋体" w:cs="宋体"/>
          <w:sz w:val="24"/>
          <w:highlight w:val="none"/>
        </w:rPr>
      </w:pPr>
      <w:r>
        <w:rPr>
          <w:rFonts w:hint="eastAsia" w:ascii="宋体" w:hAnsi="宋体" w:cs="宋体"/>
          <w:sz w:val="24"/>
          <w:highlight w:val="none"/>
        </w:rPr>
        <w:t>法定代表人（或委托代理人）：</w:t>
      </w:r>
    </w:p>
    <w:p>
      <w:pPr>
        <w:pStyle w:val="57"/>
        <w:tabs>
          <w:tab w:val="left" w:pos="1365"/>
        </w:tabs>
        <w:spacing w:line="480" w:lineRule="auto"/>
        <w:ind w:firstLine="720" w:firstLineChars="300"/>
        <w:jc w:val="left"/>
        <w:rPr>
          <w:rFonts w:ascii="宋体" w:hAnsi="宋体" w:cs="宋体"/>
          <w:b/>
          <w:sz w:val="24"/>
          <w:highlight w:val="none"/>
        </w:rPr>
      </w:pPr>
      <w:r>
        <w:rPr>
          <w:rFonts w:hint="eastAsia" w:ascii="宋体" w:hAnsi="宋体" w:cs="宋体"/>
          <w:sz w:val="24"/>
          <w:highlight w:val="none"/>
        </w:rPr>
        <w:t>签署时间：</w:t>
      </w:r>
    </w:p>
    <w:p>
      <w:pPr>
        <w:widowControl/>
        <w:jc w:val="left"/>
        <w:rPr>
          <w:rFonts w:ascii="宋体" w:hAnsi="宋体"/>
          <w:color w:val="000000"/>
          <w:sz w:val="24"/>
          <w:highlight w:val="none"/>
          <w:lang w:val="zh-CN"/>
        </w:rPr>
      </w:pPr>
      <w:r>
        <w:rPr>
          <w:rFonts w:ascii="宋体" w:hAnsi="宋体"/>
          <w:color w:val="000000"/>
          <w:sz w:val="24"/>
          <w:highlight w:val="none"/>
        </w:rPr>
        <w:br w:type="page"/>
      </w:r>
      <w:r>
        <w:rPr>
          <w:rFonts w:hint="eastAsia" w:ascii="宋体" w:hAnsi="宋体"/>
          <w:color w:val="000000"/>
          <w:sz w:val="24"/>
          <w:highlight w:val="none"/>
          <w:lang w:val="zh-CN"/>
        </w:rPr>
        <w:t>附件</w:t>
      </w:r>
      <w:r>
        <w:rPr>
          <w:rFonts w:ascii="宋体" w:hAnsi="宋体"/>
          <w:color w:val="000000"/>
          <w:sz w:val="24"/>
          <w:highlight w:val="none"/>
          <w:lang w:val="zh-CN"/>
        </w:rPr>
        <w:t>5</w:t>
      </w:r>
      <w:r>
        <w:rPr>
          <w:rFonts w:hint="eastAsia" w:ascii="宋体" w:hAnsi="宋体"/>
          <w:color w:val="000000"/>
          <w:sz w:val="24"/>
          <w:highlight w:val="none"/>
          <w:lang w:val="zh-CN"/>
        </w:rPr>
        <w:t>：</w:t>
      </w:r>
    </w:p>
    <w:p>
      <w:pPr>
        <w:jc w:val="center"/>
        <w:rPr>
          <w:b/>
          <w:sz w:val="24"/>
          <w:szCs w:val="24"/>
          <w:highlight w:val="none"/>
        </w:rPr>
      </w:pPr>
      <w:r>
        <w:rPr>
          <w:rFonts w:hint="eastAsia"/>
          <w:b/>
          <w:sz w:val="24"/>
          <w:szCs w:val="24"/>
          <w:highlight w:val="none"/>
        </w:rPr>
        <w:t>供应商资格条件符合情况自查表</w:t>
      </w:r>
    </w:p>
    <w:p>
      <w:pPr>
        <w:pStyle w:val="52"/>
        <w:adjustRightInd w:val="0"/>
        <w:snapToGrid w:val="0"/>
        <w:spacing w:before="120" w:after="120" w:line="500" w:lineRule="exact"/>
        <w:rPr>
          <w:rFonts w:hint="eastAsia" w:ascii="宋体" w:eastAsia="宋体" w:cs="宋体"/>
          <w:sz w:val="24"/>
          <w:szCs w:val="24"/>
          <w:highlight w:val="none"/>
          <w:lang w:eastAsia="zh-CN"/>
        </w:rPr>
      </w:pPr>
      <w:r>
        <w:rPr>
          <w:rFonts w:hint="eastAsia" w:ascii="宋体" w:hAnsi="宋体" w:cs="宋体"/>
          <w:sz w:val="24"/>
          <w:szCs w:val="24"/>
          <w:highlight w:val="none"/>
          <w:lang w:eastAsia="zh-CN"/>
        </w:rPr>
        <w:t>项目编号：</w:t>
      </w:r>
    </w:p>
    <w:p>
      <w:pPr>
        <w:pStyle w:val="52"/>
        <w:spacing w:before="120" w:after="120"/>
        <w:rPr>
          <w:rFonts w:ascii="宋体" w:cs="宋体"/>
          <w:sz w:val="24"/>
          <w:szCs w:val="24"/>
          <w:highlight w:val="none"/>
        </w:rPr>
      </w:pPr>
      <w:r>
        <w:rPr>
          <w:rFonts w:hint="eastAsia" w:ascii="宋体" w:hAnsi="宋体" w:cs="宋体"/>
          <w:sz w:val="24"/>
          <w:szCs w:val="24"/>
          <w:highlight w:val="none"/>
        </w:rPr>
        <w:t>项目名称：</w:t>
      </w:r>
    </w:p>
    <w:tbl>
      <w:tblPr>
        <w:tblStyle w:val="35"/>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969"/>
        <w:gridCol w:w="1701"/>
        <w:gridCol w:w="1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567" w:type="dxa"/>
            <w:vAlign w:val="center"/>
          </w:tcPr>
          <w:p>
            <w:pPr>
              <w:pStyle w:val="52"/>
              <w:spacing w:before="120" w:after="120"/>
              <w:jc w:val="center"/>
              <w:rPr>
                <w:rFonts w:ascii="宋体" w:cs="宋体"/>
                <w:sz w:val="24"/>
                <w:szCs w:val="24"/>
                <w:highlight w:val="none"/>
              </w:rPr>
            </w:pPr>
            <w:r>
              <w:rPr>
                <w:rFonts w:hint="eastAsia" w:ascii="宋体" w:hAnsi="宋体" w:cs="宋体"/>
                <w:sz w:val="24"/>
                <w:szCs w:val="24"/>
                <w:highlight w:val="none"/>
              </w:rPr>
              <w:t>序号</w:t>
            </w:r>
          </w:p>
        </w:tc>
        <w:tc>
          <w:tcPr>
            <w:tcW w:w="3969" w:type="dxa"/>
            <w:vAlign w:val="center"/>
          </w:tcPr>
          <w:p>
            <w:pPr>
              <w:pStyle w:val="52"/>
              <w:spacing w:before="120" w:after="120"/>
              <w:jc w:val="center"/>
              <w:rPr>
                <w:rFonts w:ascii="宋体" w:cs="宋体"/>
                <w:sz w:val="24"/>
                <w:szCs w:val="24"/>
                <w:highlight w:val="none"/>
              </w:rPr>
            </w:pPr>
            <w:r>
              <w:rPr>
                <w:rFonts w:hint="eastAsia" w:ascii="宋体" w:hAnsi="宋体" w:cs="宋体"/>
                <w:sz w:val="24"/>
                <w:szCs w:val="24"/>
                <w:highlight w:val="none"/>
              </w:rPr>
              <w:t>采购文件</w:t>
            </w:r>
          </w:p>
          <w:p>
            <w:pPr>
              <w:pStyle w:val="52"/>
              <w:spacing w:before="120" w:after="120"/>
              <w:jc w:val="center"/>
              <w:rPr>
                <w:rFonts w:ascii="宋体" w:cs="宋体"/>
                <w:sz w:val="24"/>
                <w:szCs w:val="24"/>
                <w:highlight w:val="none"/>
              </w:rPr>
            </w:pPr>
            <w:r>
              <w:rPr>
                <w:rFonts w:hint="eastAsia" w:ascii="宋体" w:hAnsi="宋体" w:cs="宋体"/>
                <w:sz w:val="24"/>
                <w:szCs w:val="24"/>
                <w:highlight w:val="none"/>
              </w:rPr>
              <w:t>资格性检查条款</w:t>
            </w:r>
          </w:p>
        </w:tc>
        <w:tc>
          <w:tcPr>
            <w:tcW w:w="1701" w:type="dxa"/>
            <w:vAlign w:val="center"/>
          </w:tcPr>
          <w:p>
            <w:pPr>
              <w:pStyle w:val="52"/>
              <w:spacing w:before="120" w:after="120"/>
              <w:jc w:val="center"/>
              <w:rPr>
                <w:rFonts w:ascii="宋体" w:cs="宋体"/>
                <w:sz w:val="24"/>
                <w:szCs w:val="24"/>
                <w:highlight w:val="none"/>
              </w:rPr>
            </w:pPr>
            <w:r>
              <w:rPr>
                <w:rFonts w:hint="eastAsia" w:ascii="宋体" w:hAnsi="宋体" w:cs="宋体"/>
                <w:sz w:val="24"/>
                <w:szCs w:val="24"/>
                <w:highlight w:val="none"/>
              </w:rPr>
              <w:t>磋商响应文件</w:t>
            </w:r>
          </w:p>
          <w:p>
            <w:pPr>
              <w:pStyle w:val="52"/>
              <w:spacing w:before="120" w:after="120"/>
              <w:jc w:val="center"/>
              <w:rPr>
                <w:rFonts w:ascii="宋体" w:cs="宋体"/>
                <w:sz w:val="24"/>
                <w:szCs w:val="24"/>
                <w:highlight w:val="none"/>
              </w:rPr>
            </w:pPr>
            <w:r>
              <w:rPr>
                <w:rFonts w:hint="eastAsia" w:ascii="宋体" w:hAnsi="宋体" w:cs="宋体"/>
                <w:sz w:val="24"/>
                <w:szCs w:val="24"/>
                <w:highlight w:val="none"/>
              </w:rPr>
              <w:t>响应部分</w:t>
            </w:r>
          </w:p>
        </w:tc>
        <w:tc>
          <w:tcPr>
            <w:tcW w:w="1276" w:type="dxa"/>
            <w:vAlign w:val="center"/>
          </w:tcPr>
          <w:p>
            <w:pPr>
              <w:pStyle w:val="52"/>
              <w:spacing w:before="120" w:after="120"/>
              <w:jc w:val="center"/>
              <w:rPr>
                <w:rFonts w:ascii="宋体" w:cs="宋体"/>
                <w:sz w:val="24"/>
                <w:szCs w:val="24"/>
                <w:highlight w:val="none"/>
              </w:rPr>
            </w:pPr>
            <w:r>
              <w:rPr>
                <w:rFonts w:hint="eastAsia" w:ascii="宋体" w:hAnsi="宋体" w:cs="宋体"/>
                <w:sz w:val="24"/>
                <w:szCs w:val="24"/>
                <w:highlight w:val="none"/>
              </w:rPr>
              <w:t>偏离说明</w:t>
            </w:r>
          </w:p>
        </w:tc>
        <w:tc>
          <w:tcPr>
            <w:tcW w:w="1701" w:type="dxa"/>
          </w:tcPr>
          <w:p>
            <w:pPr>
              <w:pStyle w:val="52"/>
              <w:spacing w:before="120" w:after="120"/>
              <w:jc w:val="center"/>
              <w:rPr>
                <w:rFonts w:ascii="宋体" w:cs="宋体"/>
                <w:sz w:val="24"/>
                <w:szCs w:val="24"/>
                <w:highlight w:val="none"/>
              </w:rPr>
            </w:pPr>
            <w:r>
              <w:rPr>
                <w:rFonts w:hint="eastAsia" w:ascii="宋体" w:hAnsi="宋体" w:cs="宋体"/>
                <w:sz w:val="24"/>
                <w:szCs w:val="24"/>
                <w:highlight w:val="none"/>
              </w:rPr>
              <w:t>磋商响应文件中对应的页码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567" w:type="dxa"/>
            <w:vAlign w:val="center"/>
          </w:tcPr>
          <w:p>
            <w:pPr>
              <w:pStyle w:val="52"/>
              <w:spacing w:before="120" w:after="120"/>
              <w:jc w:val="center"/>
              <w:rPr>
                <w:rFonts w:ascii="宋体" w:hAnsi="宋体" w:cs="宋体"/>
                <w:sz w:val="24"/>
                <w:szCs w:val="24"/>
                <w:highlight w:val="none"/>
              </w:rPr>
            </w:pPr>
            <w:r>
              <w:rPr>
                <w:rFonts w:ascii="宋体" w:hAnsi="宋体" w:cs="宋体"/>
                <w:sz w:val="24"/>
                <w:szCs w:val="24"/>
                <w:highlight w:val="none"/>
              </w:rPr>
              <w:t>1</w:t>
            </w:r>
          </w:p>
        </w:tc>
        <w:tc>
          <w:tcPr>
            <w:tcW w:w="3969" w:type="dxa"/>
            <w:vAlign w:val="center"/>
          </w:tcPr>
          <w:p>
            <w:pPr>
              <w:pStyle w:val="52"/>
              <w:spacing w:before="120" w:after="120"/>
              <w:jc w:val="left"/>
              <w:rPr>
                <w:rFonts w:ascii="宋体" w:cs="宋体"/>
                <w:sz w:val="24"/>
                <w:szCs w:val="24"/>
                <w:highlight w:val="none"/>
              </w:rPr>
            </w:pPr>
            <w:r>
              <w:rPr>
                <w:rFonts w:hint="eastAsia" w:ascii="宋体" w:hAnsi="宋体" w:cs="宋体"/>
                <w:sz w:val="24"/>
                <w:szCs w:val="24"/>
                <w:highlight w:val="none"/>
              </w:rPr>
              <w:t>有效的营业执照</w:t>
            </w:r>
          </w:p>
        </w:tc>
        <w:tc>
          <w:tcPr>
            <w:tcW w:w="1701" w:type="dxa"/>
            <w:vAlign w:val="center"/>
          </w:tcPr>
          <w:p>
            <w:pPr>
              <w:pStyle w:val="52"/>
              <w:spacing w:before="120" w:after="120"/>
              <w:jc w:val="center"/>
              <w:rPr>
                <w:rFonts w:ascii="宋体" w:cs="宋体"/>
                <w:sz w:val="24"/>
                <w:szCs w:val="24"/>
                <w:highlight w:val="none"/>
              </w:rPr>
            </w:pPr>
          </w:p>
        </w:tc>
        <w:tc>
          <w:tcPr>
            <w:tcW w:w="1276" w:type="dxa"/>
            <w:vAlign w:val="center"/>
          </w:tcPr>
          <w:p>
            <w:pPr>
              <w:pStyle w:val="52"/>
              <w:spacing w:before="120" w:after="120"/>
              <w:jc w:val="center"/>
              <w:rPr>
                <w:rFonts w:ascii="宋体" w:cs="宋体"/>
                <w:sz w:val="24"/>
                <w:szCs w:val="24"/>
                <w:highlight w:val="none"/>
              </w:rPr>
            </w:pPr>
          </w:p>
        </w:tc>
        <w:tc>
          <w:tcPr>
            <w:tcW w:w="1701" w:type="dxa"/>
            <w:vAlign w:val="center"/>
          </w:tcPr>
          <w:p>
            <w:pPr>
              <w:pStyle w:val="52"/>
              <w:spacing w:before="120" w:after="120"/>
              <w:jc w:val="center"/>
              <w:rPr>
                <w:rFonts w:asci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67" w:type="dxa"/>
            <w:vAlign w:val="center"/>
          </w:tcPr>
          <w:p>
            <w:pPr>
              <w:pStyle w:val="52"/>
              <w:spacing w:before="120" w:after="120"/>
              <w:jc w:val="center"/>
              <w:rPr>
                <w:rFonts w:ascii="宋体" w:hAnsi="宋体" w:cs="宋体"/>
                <w:sz w:val="24"/>
                <w:szCs w:val="24"/>
                <w:highlight w:val="none"/>
              </w:rPr>
            </w:pPr>
            <w:r>
              <w:rPr>
                <w:rFonts w:ascii="宋体" w:hAnsi="宋体" w:cs="宋体"/>
                <w:sz w:val="24"/>
                <w:szCs w:val="24"/>
                <w:highlight w:val="none"/>
              </w:rPr>
              <w:t>2</w:t>
            </w:r>
          </w:p>
        </w:tc>
        <w:tc>
          <w:tcPr>
            <w:tcW w:w="3969" w:type="dxa"/>
            <w:vAlign w:val="center"/>
          </w:tcPr>
          <w:p>
            <w:pPr>
              <w:pStyle w:val="52"/>
              <w:spacing w:before="120" w:after="120"/>
              <w:jc w:val="left"/>
              <w:rPr>
                <w:rFonts w:hint="eastAsia" w:ascii="宋体" w:hAnsi="宋体" w:cs="宋体"/>
                <w:sz w:val="24"/>
                <w:szCs w:val="24"/>
                <w:highlight w:val="none"/>
              </w:rPr>
            </w:pPr>
            <w:r>
              <w:rPr>
                <w:rFonts w:hint="eastAsia" w:ascii="宋体" w:hAnsi="宋体" w:cs="宋体"/>
                <w:sz w:val="24"/>
                <w:highlight w:val="none"/>
                <w:lang w:val="zh-CN"/>
              </w:rPr>
              <w:t>具有法定代表人资格证明及</w:t>
            </w:r>
            <w:r>
              <w:rPr>
                <w:rFonts w:hint="eastAsia" w:ascii="宋体" w:hAnsi="宋体" w:cs="宋体"/>
                <w:sz w:val="24"/>
                <w:highlight w:val="none"/>
              </w:rPr>
              <w:t>身份证或法定代表人委托书及身份证</w:t>
            </w:r>
          </w:p>
        </w:tc>
        <w:tc>
          <w:tcPr>
            <w:tcW w:w="1701" w:type="dxa"/>
            <w:vAlign w:val="center"/>
          </w:tcPr>
          <w:p>
            <w:pPr>
              <w:pStyle w:val="52"/>
              <w:spacing w:before="120" w:after="120"/>
              <w:jc w:val="center"/>
              <w:rPr>
                <w:rFonts w:ascii="宋体" w:cs="宋体"/>
                <w:sz w:val="24"/>
                <w:szCs w:val="24"/>
                <w:highlight w:val="none"/>
              </w:rPr>
            </w:pPr>
          </w:p>
        </w:tc>
        <w:tc>
          <w:tcPr>
            <w:tcW w:w="1276" w:type="dxa"/>
            <w:vAlign w:val="center"/>
          </w:tcPr>
          <w:p>
            <w:pPr>
              <w:pStyle w:val="52"/>
              <w:spacing w:before="120" w:after="120"/>
              <w:jc w:val="center"/>
              <w:rPr>
                <w:rFonts w:ascii="宋体" w:cs="宋体"/>
                <w:sz w:val="24"/>
                <w:szCs w:val="24"/>
                <w:highlight w:val="none"/>
              </w:rPr>
            </w:pPr>
          </w:p>
        </w:tc>
        <w:tc>
          <w:tcPr>
            <w:tcW w:w="1701" w:type="dxa"/>
            <w:vAlign w:val="center"/>
          </w:tcPr>
          <w:p>
            <w:pPr>
              <w:pStyle w:val="52"/>
              <w:spacing w:before="120" w:after="120"/>
              <w:jc w:val="center"/>
              <w:rPr>
                <w:rFonts w:asci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trPr>
        <w:tc>
          <w:tcPr>
            <w:tcW w:w="567" w:type="dxa"/>
            <w:vAlign w:val="center"/>
          </w:tcPr>
          <w:p>
            <w:pPr>
              <w:pStyle w:val="52"/>
              <w:spacing w:before="120" w:after="120"/>
              <w:jc w:val="center"/>
              <w:rPr>
                <w:rFonts w:ascii="宋体" w:hAnsi="宋体" w:cs="宋体"/>
                <w:sz w:val="24"/>
                <w:szCs w:val="24"/>
                <w:highlight w:val="none"/>
              </w:rPr>
            </w:pPr>
            <w:r>
              <w:rPr>
                <w:rFonts w:hint="eastAsia" w:ascii="宋体" w:hAnsi="宋体" w:cs="宋体"/>
                <w:sz w:val="24"/>
                <w:szCs w:val="24"/>
                <w:highlight w:val="none"/>
              </w:rPr>
              <w:t>3</w:t>
            </w:r>
          </w:p>
        </w:tc>
        <w:tc>
          <w:tcPr>
            <w:tcW w:w="3969" w:type="dxa"/>
            <w:vAlign w:val="center"/>
          </w:tcPr>
          <w:p>
            <w:pPr>
              <w:pStyle w:val="52"/>
              <w:spacing w:before="120" w:after="120"/>
              <w:jc w:val="left"/>
              <w:rPr>
                <w:rFonts w:ascii="宋体" w:hAnsi="宋体" w:cs="宋体"/>
                <w:sz w:val="24"/>
                <w:szCs w:val="24"/>
                <w:highlight w:val="none"/>
              </w:rPr>
            </w:pPr>
            <w:r>
              <w:rPr>
                <w:rFonts w:hint="eastAsia" w:ascii="宋体" w:hAnsi="宋体" w:cs="宋体"/>
                <w:sz w:val="24"/>
                <w:highlight w:val="none"/>
                <w:lang w:val="zh-CN"/>
              </w:rPr>
              <w:t>供应商符合参加政府采购活动资格条件，满足《中华人民共和国政府采购法》第二十二条规定</w:t>
            </w:r>
            <w:r>
              <w:rPr>
                <w:rFonts w:hint="eastAsia" w:ascii="宋体" w:hAnsi="宋体" w:cs="Arial"/>
                <w:color w:val="auto"/>
                <w:kern w:val="2"/>
                <w:sz w:val="24"/>
                <w:szCs w:val="24"/>
                <w:highlight w:val="none"/>
                <w:lang w:val="en-US" w:eastAsia="zh-CN" w:bidi="ar-SA"/>
              </w:rPr>
              <w:t>（</w:t>
            </w:r>
            <w:r>
              <w:rPr>
                <w:rFonts w:hint="eastAsia" w:ascii="宋体" w:hAnsi="宋体" w:cs="宋体"/>
                <w:sz w:val="24"/>
                <w:lang w:val="zh-CN"/>
              </w:rPr>
              <w:t>即</w:t>
            </w:r>
            <w:r>
              <w:rPr>
                <w:rFonts w:hint="eastAsia" w:ascii="宋体" w:hAnsi="宋体" w:cs="Arial"/>
                <w:color w:val="auto"/>
                <w:kern w:val="2"/>
                <w:sz w:val="24"/>
                <w:szCs w:val="24"/>
                <w:highlight w:val="none"/>
                <w:lang w:val="en-US" w:eastAsia="zh-CN" w:bidi="ar-SA"/>
              </w:rPr>
              <w:t>磋商声明书）</w:t>
            </w:r>
          </w:p>
        </w:tc>
        <w:tc>
          <w:tcPr>
            <w:tcW w:w="1701" w:type="dxa"/>
            <w:vAlign w:val="center"/>
          </w:tcPr>
          <w:p>
            <w:pPr>
              <w:pStyle w:val="52"/>
              <w:spacing w:before="120" w:after="120"/>
              <w:jc w:val="center"/>
              <w:rPr>
                <w:rFonts w:ascii="宋体" w:cs="宋体"/>
                <w:sz w:val="24"/>
                <w:szCs w:val="24"/>
                <w:highlight w:val="none"/>
              </w:rPr>
            </w:pPr>
          </w:p>
        </w:tc>
        <w:tc>
          <w:tcPr>
            <w:tcW w:w="1276" w:type="dxa"/>
            <w:vAlign w:val="center"/>
          </w:tcPr>
          <w:p>
            <w:pPr>
              <w:pStyle w:val="52"/>
              <w:spacing w:before="120" w:after="120"/>
              <w:jc w:val="center"/>
              <w:rPr>
                <w:rFonts w:ascii="宋体" w:cs="宋体"/>
                <w:sz w:val="24"/>
                <w:szCs w:val="24"/>
                <w:highlight w:val="none"/>
              </w:rPr>
            </w:pPr>
          </w:p>
        </w:tc>
        <w:tc>
          <w:tcPr>
            <w:tcW w:w="1701" w:type="dxa"/>
            <w:vAlign w:val="center"/>
          </w:tcPr>
          <w:p>
            <w:pPr>
              <w:pStyle w:val="52"/>
              <w:spacing w:before="120" w:after="120"/>
              <w:jc w:val="center"/>
              <w:rPr>
                <w:rFonts w:asci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7" w:hRule="atLeast"/>
        </w:trPr>
        <w:tc>
          <w:tcPr>
            <w:tcW w:w="567" w:type="dxa"/>
            <w:vAlign w:val="center"/>
          </w:tcPr>
          <w:p>
            <w:pPr>
              <w:pStyle w:val="52"/>
              <w:spacing w:before="120" w:after="120"/>
              <w:jc w:val="center"/>
              <w:rPr>
                <w:rFonts w:ascii="宋体" w:hAnsi="宋体" w:cs="宋体"/>
                <w:sz w:val="24"/>
                <w:szCs w:val="24"/>
                <w:highlight w:val="none"/>
              </w:rPr>
            </w:pPr>
            <w:r>
              <w:rPr>
                <w:rFonts w:hint="eastAsia" w:ascii="宋体" w:hAnsi="宋体" w:cs="宋体"/>
                <w:sz w:val="24"/>
                <w:szCs w:val="24"/>
                <w:highlight w:val="none"/>
              </w:rPr>
              <w:t>4</w:t>
            </w:r>
          </w:p>
        </w:tc>
        <w:tc>
          <w:tcPr>
            <w:tcW w:w="3969" w:type="dxa"/>
            <w:vAlign w:val="center"/>
          </w:tcPr>
          <w:p>
            <w:pPr>
              <w:pStyle w:val="52"/>
              <w:spacing w:before="120" w:after="120"/>
              <w:jc w:val="left"/>
              <w:rPr>
                <w:rFonts w:ascii="宋体" w:cs="宋体"/>
                <w:sz w:val="24"/>
                <w:szCs w:val="24"/>
                <w:highlight w:val="none"/>
              </w:rPr>
            </w:pPr>
            <w:r>
              <w:rPr>
                <w:rFonts w:hint="eastAsia" w:ascii="宋体" w:hAnsi="宋体"/>
                <w:sz w:val="24"/>
                <w:szCs w:val="24"/>
                <w:highlight w:val="none"/>
                <w:lang w:val="zh-CN"/>
              </w:rPr>
              <w:t>未被</w:t>
            </w:r>
            <w:r>
              <w:rPr>
                <w:rFonts w:hint="eastAsia" w:ascii="宋体" w:hAnsi="宋体"/>
                <w:sz w:val="24"/>
                <w:szCs w:val="24"/>
                <w:highlight w:val="none"/>
              </w:rPr>
              <w:t>“</w:t>
            </w:r>
            <w:r>
              <w:rPr>
                <w:rFonts w:hint="eastAsia" w:ascii="宋体" w:hAnsi="宋体"/>
                <w:sz w:val="24"/>
                <w:szCs w:val="24"/>
                <w:highlight w:val="none"/>
                <w:lang w:val="zh-CN"/>
              </w:rPr>
              <w:t>信用中国</w:t>
            </w:r>
            <w:r>
              <w:rPr>
                <w:rFonts w:hint="eastAsia" w:ascii="宋体" w:hAnsi="宋体"/>
                <w:sz w:val="24"/>
                <w:szCs w:val="24"/>
                <w:highlight w:val="none"/>
              </w:rPr>
              <w:t>”（</w:t>
            </w:r>
            <w:r>
              <w:rPr>
                <w:rFonts w:ascii="宋体" w:hAnsi="宋体"/>
                <w:sz w:val="24"/>
                <w:szCs w:val="24"/>
                <w:highlight w:val="none"/>
              </w:rPr>
              <w:t>www.creditchina.gov.cn</w:t>
            </w:r>
            <w:r>
              <w:rPr>
                <w:rFonts w:hint="eastAsia" w:ascii="宋体" w:hAnsi="宋体"/>
                <w:sz w:val="24"/>
                <w:szCs w:val="24"/>
                <w:highlight w:val="none"/>
              </w:rPr>
              <w:t>）</w:t>
            </w:r>
            <w:r>
              <w:rPr>
                <w:rFonts w:hint="eastAsia" w:ascii="宋体" w:hAnsi="宋体"/>
                <w:sz w:val="24"/>
                <w:szCs w:val="24"/>
                <w:highlight w:val="none"/>
                <w:lang w:val="zh-CN"/>
              </w:rPr>
              <w:t>、中国政府采购网</w:t>
            </w:r>
            <w:r>
              <w:rPr>
                <w:rFonts w:hint="eastAsia" w:ascii="宋体" w:hAnsi="宋体"/>
                <w:sz w:val="24"/>
                <w:szCs w:val="24"/>
                <w:highlight w:val="none"/>
              </w:rPr>
              <w:t>（</w:t>
            </w:r>
            <w:r>
              <w:rPr>
                <w:rFonts w:ascii="宋体" w:hAnsi="宋体"/>
                <w:sz w:val="24"/>
                <w:szCs w:val="24"/>
                <w:highlight w:val="none"/>
              </w:rPr>
              <w:t>www.ccgp.gov.cn</w:t>
            </w:r>
            <w:r>
              <w:rPr>
                <w:rFonts w:hint="eastAsia" w:ascii="宋体" w:hAnsi="宋体"/>
                <w:sz w:val="24"/>
                <w:szCs w:val="24"/>
                <w:highlight w:val="none"/>
              </w:rPr>
              <w:t>）</w:t>
            </w:r>
            <w:r>
              <w:rPr>
                <w:rFonts w:hint="eastAsia" w:ascii="宋体" w:hAnsi="宋体"/>
                <w:sz w:val="24"/>
                <w:szCs w:val="24"/>
                <w:highlight w:val="none"/>
                <w:lang w:val="zh-CN"/>
              </w:rPr>
              <w:t>列入失信被执行人、重大税收违法案件当事人名单、政府采购严重违法失信行为记录名单情况的磋商声明书</w:t>
            </w:r>
            <w:r>
              <w:rPr>
                <w:rFonts w:hint="eastAsia" w:ascii="宋体" w:hAnsi="宋体" w:cs="Arial"/>
                <w:color w:val="auto"/>
                <w:kern w:val="2"/>
                <w:sz w:val="24"/>
                <w:szCs w:val="24"/>
                <w:highlight w:val="none"/>
                <w:lang w:val="en-US" w:eastAsia="zh-CN" w:bidi="ar-SA"/>
              </w:rPr>
              <w:t>（</w:t>
            </w:r>
            <w:r>
              <w:rPr>
                <w:rFonts w:hint="eastAsia" w:ascii="宋体" w:hAnsi="宋体" w:cs="宋体"/>
                <w:sz w:val="24"/>
                <w:lang w:val="zh-CN"/>
              </w:rPr>
              <w:t>即</w:t>
            </w:r>
            <w:r>
              <w:rPr>
                <w:rFonts w:hint="eastAsia" w:ascii="宋体" w:hAnsi="宋体" w:cs="Arial"/>
                <w:color w:val="auto"/>
                <w:kern w:val="2"/>
                <w:sz w:val="24"/>
                <w:szCs w:val="24"/>
                <w:highlight w:val="none"/>
                <w:lang w:val="en-US" w:eastAsia="zh-CN" w:bidi="ar-SA"/>
              </w:rPr>
              <w:t>磋商声明书）</w:t>
            </w:r>
          </w:p>
        </w:tc>
        <w:tc>
          <w:tcPr>
            <w:tcW w:w="1701" w:type="dxa"/>
            <w:vAlign w:val="center"/>
          </w:tcPr>
          <w:p>
            <w:pPr>
              <w:pStyle w:val="52"/>
              <w:spacing w:before="120" w:after="120"/>
              <w:jc w:val="center"/>
              <w:rPr>
                <w:rFonts w:ascii="宋体" w:cs="宋体"/>
                <w:sz w:val="24"/>
                <w:szCs w:val="24"/>
                <w:highlight w:val="none"/>
              </w:rPr>
            </w:pPr>
          </w:p>
        </w:tc>
        <w:tc>
          <w:tcPr>
            <w:tcW w:w="1276" w:type="dxa"/>
            <w:vAlign w:val="center"/>
          </w:tcPr>
          <w:p>
            <w:pPr>
              <w:pStyle w:val="52"/>
              <w:spacing w:before="120" w:after="120"/>
              <w:jc w:val="center"/>
              <w:rPr>
                <w:rFonts w:ascii="宋体" w:cs="宋体"/>
                <w:sz w:val="24"/>
                <w:szCs w:val="24"/>
                <w:highlight w:val="none"/>
              </w:rPr>
            </w:pPr>
          </w:p>
        </w:tc>
        <w:tc>
          <w:tcPr>
            <w:tcW w:w="1701" w:type="dxa"/>
            <w:vAlign w:val="center"/>
          </w:tcPr>
          <w:p>
            <w:pPr>
              <w:pStyle w:val="52"/>
              <w:spacing w:before="120" w:after="120"/>
              <w:jc w:val="center"/>
              <w:rPr>
                <w:rFonts w:asci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1" w:hRule="atLeast"/>
        </w:trPr>
        <w:tc>
          <w:tcPr>
            <w:tcW w:w="567" w:type="dxa"/>
            <w:vAlign w:val="center"/>
          </w:tcPr>
          <w:p>
            <w:pPr>
              <w:pStyle w:val="52"/>
              <w:spacing w:before="120" w:after="120"/>
              <w:jc w:val="center"/>
              <w:rPr>
                <w:rFonts w:ascii="宋体" w:hAnsi="宋体" w:cs="宋体"/>
                <w:sz w:val="24"/>
                <w:szCs w:val="24"/>
                <w:highlight w:val="none"/>
              </w:rPr>
            </w:pPr>
            <w:r>
              <w:rPr>
                <w:rFonts w:hint="eastAsia" w:ascii="宋体" w:hAnsi="宋体" w:cs="宋体"/>
                <w:sz w:val="24"/>
                <w:szCs w:val="24"/>
                <w:highlight w:val="none"/>
              </w:rPr>
              <w:t>5</w:t>
            </w:r>
          </w:p>
        </w:tc>
        <w:tc>
          <w:tcPr>
            <w:tcW w:w="3969" w:type="dxa"/>
            <w:vAlign w:val="center"/>
          </w:tcPr>
          <w:p>
            <w:pPr>
              <w:pStyle w:val="52"/>
              <w:jc w:val="left"/>
              <w:rPr>
                <w:rFonts w:ascii="宋体" w:cs="宋体"/>
                <w:sz w:val="24"/>
                <w:szCs w:val="24"/>
                <w:highlight w:val="none"/>
              </w:rPr>
            </w:pPr>
            <w:r>
              <w:rPr>
                <w:rFonts w:hint="eastAsia" w:ascii="宋体" w:cs="宋体"/>
                <w:sz w:val="24"/>
                <w:szCs w:val="24"/>
                <w:highlight w:val="none"/>
              </w:rPr>
              <w:t>如无独立法人资格的分公司（如金融、保险、通讯等特定行业的全国性企业所设立的区域性分支机构）参加磋商的，应提供具有法人资格的总公司授权的授权书</w:t>
            </w:r>
          </w:p>
        </w:tc>
        <w:tc>
          <w:tcPr>
            <w:tcW w:w="1701" w:type="dxa"/>
            <w:vAlign w:val="center"/>
          </w:tcPr>
          <w:p>
            <w:pPr>
              <w:pStyle w:val="52"/>
              <w:spacing w:before="120" w:after="120"/>
              <w:jc w:val="center"/>
              <w:rPr>
                <w:rFonts w:ascii="宋体" w:cs="宋体"/>
                <w:sz w:val="24"/>
                <w:szCs w:val="24"/>
                <w:highlight w:val="none"/>
              </w:rPr>
            </w:pPr>
          </w:p>
        </w:tc>
        <w:tc>
          <w:tcPr>
            <w:tcW w:w="1276" w:type="dxa"/>
            <w:vAlign w:val="center"/>
          </w:tcPr>
          <w:p>
            <w:pPr>
              <w:pStyle w:val="52"/>
              <w:spacing w:before="120" w:after="120"/>
              <w:jc w:val="center"/>
              <w:rPr>
                <w:rFonts w:ascii="宋体" w:cs="宋体"/>
                <w:sz w:val="24"/>
                <w:szCs w:val="24"/>
                <w:highlight w:val="none"/>
              </w:rPr>
            </w:pPr>
          </w:p>
        </w:tc>
        <w:tc>
          <w:tcPr>
            <w:tcW w:w="1701" w:type="dxa"/>
            <w:vAlign w:val="center"/>
          </w:tcPr>
          <w:p>
            <w:pPr>
              <w:pStyle w:val="52"/>
              <w:spacing w:before="120" w:after="120"/>
              <w:jc w:val="center"/>
              <w:rPr>
                <w:rFonts w:asci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0" w:hRule="atLeast"/>
        </w:trPr>
        <w:tc>
          <w:tcPr>
            <w:tcW w:w="567" w:type="dxa"/>
            <w:vAlign w:val="center"/>
          </w:tcPr>
          <w:p>
            <w:pPr>
              <w:pStyle w:val="52"/>
              <w:spacing w:before="120" w:after="120"/>
              <w:jc w:val="center"/>
              <w:rPr>
                <w:rFonts w:ascii="宋体" w:hAnsi="宋体" w:cs="宋体"/>
                <w:sz w:val="24"/>
                <w:szCs w:val="24"/>
                <w:highlight w:val="none"/>
              </w:rPr>
            </w:pPr>
            <w:r>
              <w:rPr>
                <w:rFonts w:hint="eastAsia" w:ascii="宋体" w:hAnsi="宋体" w:cs="宋体"/>
                <w:sz w:val="24"/>
                <w:szCs w:val="24"/>
                <w:highlight w:val="none"/>
              </w:rPr>
              <w:t>6</w:t>
            </w:r>
          </w:p>
        </w:tc>
        <w:tc>
          <w:tcPr>
            <w:tcW w:w="3969" w:type="dxa"/>
            <w:vAlign w:val="center"/>
          </w:tcPr>
          <w:p>
            <w:pPr>
              <w:pStyle w:val="52"/>
              <w:jc w:val="left"/>
              <w:rPr>
                <w:rFonts w:ascii="宋体" w:hAnsi="宋体"/>
                <w:sz w:val="24"/>
                <w:szCs w:val="24"/>
                <w:highlight w:val="none"/>
              </w:rPr>
            </w:pPr>
            <w:r>
              <w:rPr>
                <w:rFonts w:hint="eastAsia" w:ascii="宋体" w:cs="宋体"/>
                <w:sz w:val="24"/>
                <w:szCs w:val="24"/>
                <w:highlight w:val="none"/>
              </w:rPr>
              <w:t>如个体工商户、个人独资企业、合伙企业，应提供房产权证或其他有效财产证明材料，证明其具备实际承担责任的能力和法定的缔结合同能力</w:t>
            </w:r>
          </w:p>
        </w:tc>
        <w:tc>
          <w:tcPr>
            <w:tcW w:w="1701" w:type="dxa"/>
            <w:vAlign w:val="center"/>
          </w:tcPr>
          <w:p>
            <w:pPr>
              <w:pStyle w:val="52"/>
              <w:spacing w:before="120" w:after="120"/>
              <w:jc w:val="center"/>
              <w:rPr>
                <w:rFonts w:ascii="宋体" w:cs="宋体"/>
                <w:sz w:val="24"/>
                <w:szCs w:val="24"/>
                <w:highlight w:val="none"/>
              </w:rPr>
            </w:pPr>
          </w:p>
        </w:tc>
        <w:tc>
          <w:tcPr>
            <w:tcW w:w="1276" w:type="dxa"/>
            <w:vAlign w:val="center"/>
          </w:tcPr>
          <w:p>
            <w:pPr>
              <w:pStyle w:val="52"/>
              <w:spacing w:before="120" w:after="120"/>
              <w:jc w:val="center"/>
              <w:rPr>
                <w:rFonts w:ascii="宋体" w:cs="宋体"/>
                <w:sz w:val="24"/>
                <w:szCs w:val="24"/>
                <w:highlight w:val="none"/>
              </w:rPr>
            </w:pPr>
          </w:p>
        </w:tc>
        <w:tc>
          <w:tcPr>
            <w:tcW w:w="1701" w:type="dxa"/>
            <w:vAlign w:val="center"/>
          </w:tcPr>
          <w:p>
            <w:pPr>
              <w:pStyle w:val="52"/>
              <w:spacing w:before="120" w:after="120"/>
              <w:jc w:val="center"/>
              <w:rPr>
                <w:rFonts w:asci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trPr>
        <w:tc>
          <w:tcPr>
            <w:tcW w:w="567" w:type="dxa"/>
            <w:vAlign w:val="center"/>
          </w:tcPr>
          <w:p>
            <w:pPr>
              <w:pStyle w:val="52"/>
              <w:spacing w:before="120" w:after="12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w:t>
            </w:r>
          </w:p>
        </w:tc>
        <w:tc>
          <w:tcPr>
            <w:tcW w:w="3969" w:type="dxa"/>
            <w:vAlign w:val="center"/>
          </w:tcPr>
          <w:p>
            <w:pPr>
              <w:pStyle w:val="52"/>
              <w:jc w:val="left"/>
              <w:rPr>
                <w:rFonts w:hint="eastAsia" w:ascii="宋体" w:cs="宋体"/>
                <w:sz w:val="24"/>
                <w:szCs w:val="24"/>
                <w:highlight w:val="none"/>
              </w:rPr>
            </w:pPr>
            <w:r>
              <w:rPr>
                <w:rFonts w:hint="eastAsia" w:ascii="宋体" w:hAnsi="宋体" w:cs="宋体"/>
                <w:sz w:val="24"/>
                <w:szCs w:val="24"/>
                <w:highlight w:val="none"/>
              </w:rPr>
              <w:t>单位负责人为同一人或者存在直接控股、管理关系的不同供应商，不得同时参加同一合同项下的</w:t>
            </w:r>
            <w:r>
              <w:rPr>
                <w:rFonts w:hint="eastAsia" w:ascii="宋体" w:hAnsi="宋体" w:cs="宋体"/>
                <w:sz w:val="24"/>
                <w:szCs w:val="24"/>
                <w:highlight w:val="none"/>
                <w:lang w:eastAsia="zh-CN"/>
              </w:rPr>
              <w:t>响应</w:t>
            </w:r>
            <w:r>
              <w:rPr>
                <w:rFonts w:hint="eastAsia" w:ascii="宋体" w:hAnsi="宋体" w:cs="宋体"/>
                <w:sz w:val="24"/>
                <w:highlight w:val="none"/>
                <w:lang w:val="zh-CN"/>
              </w:rPr>
              <w:t>。</w:t>
            </w:r>
          </w:p>
        </w:tc>
        <w:tc>
          <w:tcPr>
            <w:tcW w:w="1701" w:type="dxa"/>
            <w:vAlign w:val="center"/>
          </w:tcPr>
          <w:p>
            <w:pPr>
              <w:pStyle w:val="52"/>
              <w:spacing w:before="120" w:after="120"/>
              <w:jc w:val="center"/>
              <w:rPr>
                <w:rFonts w:ascii="宋体" w:cs="宋体"/>
                <w:sz w:val="24"/>
                <w:szCs w:val="24"/>
                <w:highlight w:val="none"/>
              </w:rPr>
            </w:pPr>
          </w:p>
        </w:tc>
        <w:tc>
          <w:tcPr>
            <w:tcW w:w="1276" w:type="dxa"/>
            <w:vAlign w:val="center"/>
          </w:tcPr>
          <w:p>
            <w:pPr>
              <w:pStyle w:val="52"/>
              <w:spacing w:before="120" w:after="120"/>
              <w:jc w:val="center"/>
              <w:rPr>
                <w:rFonts w:ascii="宋体" w:cs="宋体"/>
                <w:sz w:val="24"/>
                <w:szCs w:val="24"/>
                <w:highlight w:val="none"/>
              </w:rPr>
            </w:pPr>
          </w:p>
        </w:tc>
        <w:tc>
          <w:tcPr>
            <w:tcW w:w="1701" w:type="dxa"/>
            <w:vAlign w:val="center"/>
          </w:tcPr>
          <w:p>
            <w:pPr>
              <w:pStyle w:val="52"/>
              <w:spacing w:before="120" w:after="120"/>
              <w:jc w:val="center"/>
              <w:rPr>
                <w:rFonts w:asci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trPr>
        <w:tc>
          <w:tcPr>
            <w:tcW w:w="567" w:type="dxa"/>
            <w:vAlign w:val="center"/>
          </w:tcPr>
          <w:p>
            <w:pPr>
              <w:pStyle w:val="52"/>
              <w:spacing w:before="120" w:after="12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8</w:t>
            </w:r>
          </w:p>
        </w:tc>
        <w:tc>
          <w:tcPr>
            <w:tcW w:w="3969" w:type="dxa"/>
            <w:vAlign w:val="center"/>
          </w:tcPr>
          <w:p>
            <w:pPr>
              <w:adjustRightInd w:val="0"/>
              <w:spacing w:line="400" w:lineRule="exact"/>
              <w:jc w:val="center"/>
              <w:rPr>
                <w:rFonts w:hint="eastAsia" w:ascii="宋体" w:hAnsi="宋体" w:eastAsia="宋体" w:cs="Arial"/>
                <w:color w:val="auto"/>
                <w:kern w:val="2"/>
                <w:sz w:val="24"/>
                <w:szCs w:val="24"/>
                <w:highlight w:val="none"/>
                <w:lang w:val="en-US" w:eastAsia="zh-CN" w:bidi="ar-SA"/>
              </w:rPr>
            </w:pPr>
            <w:r>
              <w:rPr>
                <w:rFonts w:hint="eastAsia" w:ascii="宋体"/>
                <w:sz w:val="24"/>
                <w:szCs w:val="24"/>
                <w:highlight w:val="none"/>
                <w:lang w:val="zh-CN"/>
              </w:rPr>
              <w:t>其他资质要求</w:t>
            </w:r>
          </w:p>
        </w:tc>
        <w:tc>
          <w:tcPr>
            <w:tcW w:w="1701" w:type="dxa"/>
            <w:vAlign w:val="center"/>
          </w:tcPr>
          <w:p>
            <w:pPr>
              <w:pStyle w:val="5"/>
              <w:ind w:left="0" w:leftChars="0" w:firstLine="0" w:firstLineChars="0"/>
              <w:rPr>
                <w:rFonts w:hint="eastAsia" w:ascii="宋体" w:hAnsi="宋体" w:eastAsia="宋体" w:cs="Arial"/>
                <w:color w:val="auto"/>
                <w:kern w:val="2"/>
                <w:sz w:val="24"/>
                <w:szCs w:val="24"/>
                <w:highlight w:val="none"/>
                <w:lang w:val="zh-CN" w:eastAsia="zh-CN" w:bidi="ar-SA"/>
              </w:rPr>
            </w:pPr>
          </w:p>
        </w:tc>
        <w:tc>
          <w:tcPr>
            <w:tcW w:w="1276" w:type="dxa"/>
            <w:vAlign w:val="center"/>
          </w:tcPr>
          <w:p>
            <w:pPr>
              <w:pStyle w:val="52"/>
              <w:spacing w:before="120" w:after="120"/>
              <w:jc w:val="center"/>
              <w:rPr>
                <w:rFonts w:ascii="宋体" w:cs="宋体"/>
                <w:sz w:val="24"/>
                <w:szCs w:val="24"/>
                <w:highlight w:val="none"/>
              </w:rPr>
            </w:pPr>
          </w:p>
        </w:tc>
        <w:tc>
          <w:tcPr>
            <w:tcW w:w="1701" w:type="dxa"/>
            <w:vAlign w:val="center"/>
          </w:tcPr>
          <w:p>
            <w:pPr>
              <w:pStyle w:val="52"/>
              <w:spacing w:before="120" w:after="120"/>
              <w:jc w:val="center"/>
              <w:rPr>
                <w:rFonts w:ascii="宋体" w:cs="宋体"/>
                <w:sz w:val="24"/>
                <w:szCs w:val="24"/>
                <w:highlight w:val="none"/>
              </w:rPr>
            </w:pPr>
          </w:p>
        </w:tc>
      </w:tr>
    </w:tbl>
    <w:p>
      <w:pPr>
        <w:pStyle w:val="52"/>
        <w:adjustRightInd w:val="0"/>
        <w:snapToGrid w:val="0"/>
        <w:spacing w:before="120" w:after="120"/>
        <w:ind w:left="720" w:hanging="720" w:hangingChars="300"/>
        <w:rPr>
          <w:rFonts w:ascii="宋体" w:cs="宋体"/>
          <w:sz w:val="24"/>
          <w:szCs w:val="24"/>
          <w:highlight w:val="none"/>
        </w:rPr>
      </w:pPr>
      <w:r>
        <w:rPr>
          <w:rFonts w:hint="eastAsia" w:ascii="宋体" w:hAnsi="宋体" w:cs="宋体"/>
          <w:sz w:val="24"/>
          <w:szCs w:val="24"/>
          <w:highlight w:val="none"/>
        </w:rPr>
        <w:t>注：</w:t>
      </w:r>
      <w:r>
        <w:rPr>
          <w:rFonts w:ascii="宋体" w:hAnsi="宋体" w:cs="宋体"/>
          <w:sz w:val="24"/>
          <w:szCs w:val="24"/>
          <w:highlight w:val="none"/>
        </w:rPr>
        <w:t>1.</w:t>
      </w:r>
      <w:r>
        <w:rPr>
          <w:rFonts w:hint="eastAsia" w:ascii="宋体" w:hAnsi="宋体" w:cs="宋体"/>
          <w:sz w:val="24"/>
          <w:szCs w:val="24"/>
          <w:highlight w:val="none"/>
        </w:rPr>
        <w:t>供应商须对照磋商文件第四章“磋商方法及标准”中“资格性检查”的条款逐项说明是否满足要求，如有偏离</w:t>
      </w:r>
      <w:r>
        <w:rPr>
          <w:rFonts w:ascii="宋体" w:cs="宋体"/>
          <w:sz w:val="24"/>
          <w:szCs w:val="24"/>
          <w:highlight w:val="none"/>
        </w:rPr>
        <w:t>,</w:t>
      </w:r>
      <w:r>
        <w:rPr>
          <w:rFonts w:hint="eastAsia" w:ascii="宋体" w:hAnsi="宋体" w:cs="宋体"/>
          <w:sz w:val="24"/>
          <w:szCs w:val="24"/>
          <w:highlight w:val="none"/>
        </w:rPr>
        <w:t>供应商必须详细说明。</w:t>
      </w:r>
    </w:p>
    <w:p>
      <w:pPr>
        <w:pStyle w:val="52"/>
        <w:adjustRightInd w:val="0"/>
        <w:snapToGrid w:val="0"/>
        <w:spacing w:before="120" w:after="120"/>
        <w:ind w:firstLine="480" w:firstLineChars="200"/>
        <w:rPr>
          <w:rFonts w:ascii="宋体" w:hAns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供应商须提供磋商响应内容响应资料在磋商响应文件中的具体页码。</w:t>
      </w:r>
    </w:p>
    <w:p>
      <w:pPr>
        <w:pStyle w:val="52"/>
        <w:adjustRightInd w:val="0"/>
        <w:snapToGrid w:val="0"/>
        <w:spacing w:before="120" w:after="120" w:line="500" w:lineRule="exact"/>
        <w:rPr>
          <w:rFonts w:ascii="宋体" w:cs="宋体"/>
          <w:sz w:val="24"/>
          <w:szCs w:val="24"/>
          <w:highlight w:val="none"/>
          <w:u w:val="single"/>
        </w:rPr>
      </w:pPr>
      <w:r>
        <w:rPr>
          <w:rFonts w:hint="eastAsia" w:ascii="宋体" w:hAnsi="宋体" w:cs="宋体"/>
          <w:sz w:val="24"/>
          <w:szCs w:val="24"/>
          <w:highlight w:val="none"/>
        </w:rPr>
        <w:t>供应商名称（签章）：</w:t>
      </w:r>
    </w:p>
    <w:p>
      <w:pPr>
        <w:pStyle w:val="52"/>
        <w:adjustRightInd w:val="0"/>
        <w:snapToGrid w:val="0"/>
        <w:spacing w:before="120" w:after="120" w:line="500" w:lineRule="exact"/>
        <w:rPr>
          <w:rFonts w:hint="eastAsia" w:ascii="宋体" w:hAnsi="宋体" w:cs="宋体"/>
          <w:sz w:val="24"/>
          <w:szCs w:val="24"/>
          <w:highlight w:val="none"/>
          <w:lang w:val="en-US" w:eastAsia="zh-CN"/>
        </w:rPr>
      </w:pPr>
      <w:r>
        <w:rPr>
          <w:rFonts w:hint="eastAsia" w:ascii="宋体" w:hAnsi="宋体" w:cs="宋体"/>
          <w:sz w:val="24"/>
          <w:szCs w:val="24"/>
          <w:highlight w:val="none"/>
        </w:rPr>
        <w:t>法定代表人或委托代理人（签字或签章）：</w:t>
      </w:r>
      <w:r>
        <w:rPr>
          <w:rFonts w:hint="eastAsia" w:ascii="宋体" w:hAnsi="宋体" w:cs="宋体"/>
          <w:sz w:val="24"/>
          <w:szCs w:val="24"/>
          <w:highlight w:val="none"/>
          <w:lang w:val="en-US" w:eastAsia="zh-CN"/>
        </w:rPr>
        <w:t xml:space="preserve">               </w:t>
      </w:r>
    </w:p>
    <w:p>
      <w:pPr>
        <w:pStyle w:val="52"/>
        <w:adjustRightInd w:val="0"/>
        <w:snapToGrid w:val="0"/>
        <w:spacing w:before="120" w:after="120" w:line="500" w:lineRule="exact"/>
        <w:rPr>
          <w:rFonts w:hint="eastAsia" w:ascii="宋体" w:hAnsi="宋体" w:cs="宋体"/>
          <w:sz w:val="24"/>
          <w:szCs w:val="24"/>
          <w:highlight w:val="none"/>
        </w:rPr>
      </w:pPr>
      <w:r>
        <w:rPr>
          <w:rFonts w:hint="eastAsia" w:ascii="宋体" w:hAnsi="宋体" w:cs="宋体"/>
          <w:sz w:val="24"/>
          <w:szCs w:val="24"/>
          <w:highlight w:val="none"/>
        </w:rPr>
        <w:t>日期：年</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月</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日</w:t>
      </w:r>
    </w:p>
    <w:p>
      <w:pPr>
        <w:pStyle w:val="52"/>
        <w:adjustRightInd w:val="0"/>
        <w:snapToGrid w:val="0"/>
        <w:spacing w:before="120" w:after="120" w:line="500" w:lineRule="exact"/>
        <w:rPr>
          <w:rFonts w:hint="eastAsia" w:ascii="宋体" w:hAnsi="宋体" w:cs="宋体"/>
          <w:sz w:val="24"/>
          <w:szCs w:val="24"/>
          <w:highlight w:val="none"/>
        </w:rPr>
      </w:pPr>
    </w:p>
    <w:p>
      <w:pPr>
        <w:pStyle w:val="52"/>
        <w:adjustRightInd w:val="0"/>
        <w:snapToGrid w:val="0"/>
        <w:spacing w:before="120" w:after="120" w:line="500" w:lineRule="exact"/>
        <w:rPr>
          <w:rFonts w:hint="eastAsia" w:ascii="宋体" w:hAnsi="宋体" w:cs="宋体"/>
          <w:sz w:val="24"/>
          <w:szCs w:val="24"/>
          <w:highlight w:val="none"/>
        </w:rPr>
      </w:pPr>
    </w:p>
    <w:p>
      <w:pPr>
        <w:widowControl/>
        <w:adjustRightInd w:val="0"/>
        <w:snapToGrid w:val="0"/>
        <w:spacing w:line="288" w:lineRule="auto"/>
        <w:jc w:val="left"/>
        <w:rPr>
          <w:rFonts w:hint="eastAsia" w:ascii="宋体" w:hAnsi="宋体"/>
          <w:color w:val="000000"/>
          <w:sz w:val="24"/>
          <w:highlight w:val="none"/>
          <w:lang w:val="zh-CN"/>
        </w:rPr>
        <w:sectPr>
          <w:pgSz w:w="11906" w:h="16838"/>
          <w:pgMar w:top="1440" w:right="1559" w:bottom="1440" w:left="1797" w:header="851" w:footer="992" w:gutter="0"/>
          <w:pgBorders>
            <w:top w:val="none" w:sz="0" w:space="0"/>
            <w:left w:val="none" w:sz="0" w:space="0"/>
            <w:bottom w:val="none" w:sz="0" w:space="0"/>
            <w:right w:val="none" w:sz="0" w:space="0"/>
          </w:pgBorders>
          <w:cols w:equalWidth="0" w:num="1">
            <w:col w:w="8551"/>
          </w:cols>
          <w:docGrid w:linePitch="312" w:charSpace="0"/>
        </w:sectPr>
      </w:pPr>
    </w:p>
    <w:p>
      <w:pPr>
        <w:widowControl/>
        <w:adjustRightInd w:val="0"/>
        <w:snapToGrid w:val="0"/>
        <w:spacing w:line="288" w:lineRule="auto"/>
        <w:jc w:val="left"/>
        <w:rPr>
          <w:rFonts w:ascii="宋体" w:hAnsi="宋体"/>
          <w:color w:val="000000"/>
          <w:sz w:val="24"/>
          <w:highlight w:val="none"/>
          <w:lang w:val="zh-CN"/>
        </w:rPr>
      </w:pPr>
      <w:r>
        <w:rPr>
          <w:rFonts w:hint="eastAsia" w:ascii="宋体" w:hAnsi="宋体"/>
          <w:color w:val="000000"/>
          <w:sz w:val="24"/>
          <w:highlight w:val="none"/>
          <w:lang w:val="zh-CN"/>
        </w:rPr>
        <w:t>附件</w:t>
      </w:r>
      <w:r>
        <w:rPr>
          <w:rFonts w:ascii="宋体" w:hAnsi="宋体"/>
          <w:color w:val="000000"/>
          <w:sz w:val="24"/>
          <w:highlight w:val="none"/>
          <w:lang w:val="zh-CN"/>
        </w:rPr>
        <w:t>6</w:t>
      </w:r>
      <w:r>
        <w:rPr>
          <w:rFonts w:hint="eastAsia" w:ascii="宋体" w:hAnsi="宋体"/>
          <w:color w:val="000000"/>
          <w:sz w:val="24"/>
          <w:highlight w:val="none"/>
          <w:lang w:val="zh-CN"/>
        </w:rPr>
        <w:t>：</w:t>
      </w:r>
    </w:p>
    <w:p>
      <w:pPr>
        <w:jc w:val="center"/>
        <w:rPr>
          <w:b/>
          <w:sz w:val="24"/>
          <w:szCs w:val="24"/>
          <w:highlight w:val="none"/>
        </w:rPr>
      </w:pPr>
      <w:r>
        <w:rPr>
          <w:rFonts w:hint="eastAsia"/>
          <w:b/>
          <w:sz w:val="24"/>
          <w:szCs w:val="24"/>
          <w:highlight w:val="none"/>
        </w:rPr>
        <w:t>供应商商务响应情况表</w:t>
      </w:r>
    </w:p>
    <w:p>
      <w:pPr>
        <w:pStyle w:val="52"/>
        <w:adjustRightInd w:val="0"/>
        <w:snapToGrid w:val="0"/>
        <w:spacing w:before="120" w:after="120" w:line="500" w:lineRule="exact"/>
        <w:rPr>
          <w:rFonts w:hint="eastAsia" w:ascii="宋体" w:eastAsia="宋体" w:cs="宋体"/>
          <w:sz w:val="24"/>
          <w:szCs w:val="24"/>
          <w:highlight w:val="none"/>
          <w:lang w:eastAsia="zh-CN"/>
        </w:rPr>
      </w:pPr>
      <w:r>
        <w:rPr>
          <w:rFonts w:hint="eastAsia" w:ascii="宋体" w:hAnsi="宋体" w:cs="宋体"/>
          <w:sz w:val="24"/>
          <w:szCs w:val="24"/>
          <w:highlight w:val="none"/>
          <w:lang w:eastAsia="zh-CN"/>
        </w:rPr>
        <w:t>项目编号：</w:t>
      </w:r>
    </w:p>
    <w:p>
      <w:pPr>
        <w:snapToGrid w:val="0"/>
        <w:spacing w:before="120" w:beforeLines="50" w:line="400" w:lineRule="exact"/>
        <w:rPr>
          <w:rFonts w:ascii="宋体"/>
          <w:b/>
          <w:color w:val="000000"/>
          <w:sz w:val="24"/>
          <w:highlight w:val="none"/>
        </w:rPr>
      </w:pPr>
      <w:r>
        <w:rPr>
          <w:rFonts w:hint="eastAsia" w:ascii="宋体" w:hAnsi="宋体" w:cs="宋体"/>
          <w:sz w:val="24"/>
          <w:szCs w:val="24"/>
          <w:highlight w:val="none"/>
        </w:rPr>
        <w:t>项目名称：</w:t>
      </w:r>
    </w:p>
    <w:tbl>
      <w:tblPr>
        <w:tblStyle w:val="35"/>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6"/>
        <w:gridCol w:w="3472"/>
        <w:gridCol w:w="1186"/>
        <w:gridCol w:w="1560"/>
        <w:gridCol w:w="1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546" w:type="dxa"/>
            <w:tcBorders>
              <w:top w:val="single" w:color="auto" w:sz="4" w:space="0"/>
              <w:bottom w:val="single" w:color="auto" w:sz="4" w:space="0"/>
              <w:right w:val="single" w:color="auto" w:sz="4" w:space="0"/>
            </w:tcBorders>
            <w:vAlign w:val="center"/>
          </w:tcPr>
          <w:p>
            <w:pPr>
              <w:snapToGrid w:val="0"/>
              <w:jc w:val="center"/>
              <w:rPr>
                <w:b/>
                <w:bCs/>
                <w:sz w:val="24"/>
                <w:highlight w:val="none"/>
              </w:rPr>
            </w:pPr>
            <w:r>
              <w:rPr>
                <w:rFonts w:hint="eastAsia"/>
                <w:b/>
                <w:bCs/>
                <w:sz w:val="24"/>
                <w:highlight w:val="none"/>
              </w:rPr>
              <w:t>商务条款</w:t>
            </w:r>
          </w:p>
        </w:tc>
        <w:tc>
          <w:tcPr>
            <w:tcW w:w="3472" w:type="dxa"/>
            <w:tcBorders>
              <w:top w:val="single" w:color="auto" w:sz="4" w:space="0"/>
              <w:left w:val="single" w:color="auto" w:sz="4" w:space="0"/>
              <w:bottom w:val="single" w:color="auto" w:sz="4" w:space="0"/>
              <w:right w:val="single" w:color="auto" w:sz="4" w:space="0"/>
            </w:tcBorders>
            <w:vAlign w:val="center"/>
          </w:tcPr>
          <w:p>
            <w:pPr>
              <w:snapToGrid w:val="0"/>
              <w:jc w:val="center"/>
              <w:rPr>
                <w:b/>
                <w:bCs/>
                <w:sz w:val="24"/>
                <w:highlight w:val="none"/>
              </w:rPr>
            </w:pPr>
            <w:r>
              <w:rPr>
                <w:rFonts w:hint="eastAsia"/>
                <w:b/>
                <w:bCs/>
                <w:sz w:val="24"/>
                <w:highlight w:val="none"/>
              </w:rPr>
              <w:t>商务要求</w:t>
            </w:r>
          </w:p>
        </w:tc>
        <w:tc>
          <w:tcPr>
            <w:tcW w:w="1186" w:type="dxa"/>
            <w:tcBorders>
              <w:top w:val="single" w:color="auto" w:sz="4" w:space="0"/>
              <w:left w:val="single" w:color="auto" w:sz="4" w:space="0"/>
              <w:bottom w:val="single" w:color="auto" w:sz="4" w:space="0"/>
              <w:right w:val="single" w:color="auto" w:sz="4" w:space="0"/>
            </w:tcBorders>
            <w:vAlign w:val="center"/>
          </w:tcPr>
          <w:p>
            <w:pPr>
              <w:snapToGrid w:val="0"/>
              <w:jc w:val="center"/>
              <w:rPr>
                <w:b/>
                <w:bCs/>
                <w:sz w:val="24"/>
                <w:highlight w:val="none"/>
              </w:rPr>
            </w:pPr>
            <w:r>
              <w:rPr>
                <w:rFonts w:hint="eastAsia"/>
                <w:b/>
                <w:bCs/>
                <w:sz w:val="24"/>
                <w:highlight w:val="none"/>
              </w:rPr>
              <w:t>偏离情况</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b/>
                <w:bCs/>
                <w:sz w:val="24"/>
                <w:szCs w:val="24"/>
                <w:highlight w:val="none"/>
              </w:rPr>
            </w:pPr>
            <w:r>
              <w:rPr>
                <w:rFonts w:ascii="宋体" w:hAnsi="宋体"/>
                <w:b/>
                <w:color w:val="000000"/>
                <w:sz w:val="24"/>
                <w:highlight w:val="none"/>
                <w:lang w:val="zh-CN"/>
              </w:rPr>
              <w:t>供应商的承诺或说明</w:t>
            </w:r>
          </w:p>
        </w:tc>
        <w:tc>
          <w:tcPr>
            <w:tcW w:w="1700" w:type="dxa"/>
            <w:tcBorders>
              <w:top w:val="single" w:color="auto" w:sz="4" w:space="0"/>
              <w:left w:val="single" w:color="auto" w:sz="4" w:space="0"/>
              <w:bottom w:val="single" w:color="auto" w:sz="4" w:space="0"/>
            </w:tcBorders>
            <w:vAlign w:val="center"/>
          </w:tcPr>
          <w:p>
            <w:pPr>
              <w:snapToGrid w:val="0"/>
              <w:jc w:val="center"/>
              <w:rPr>
                <w:b/>
                <w:bCs/>
                <w:sz w:val="24"/>
                <w:szCs w:val="24"/>
                <w:highlight w:val="none"/>
              </w:rPr>
            </w:pPr>
            <w:r>
              <w:rPr>
                <w:rFonts w:hint="eastAsia"/>
                <w:b/>
                <w:bCs/>
                <w:sz w:val="24"/>
                <w:szCs w:val="24"/>
                <w:highlight w:val="none"/>
              </w:rPr>
              <w:t>磋商响应文件中对应的页码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546" w:type="dxa"/>
            <w:tcBorders>
              <w:top w:val="single" w:color="auto" w:sz="4" w:space="0"/>
              <w:bottom w:val="single" w:color="auto" w:sz="4" w:space="0"/>
              <w:right w:val="single" w:color="auto" w:sz="4" w:space="0"/>
            </w:tcBorders>
            <w:vAlign w:val="center"/>
          </w:tcPr>
          <w:p>
            <w:pPr>
              <w:spacing w:line="360" w:lineRule="exact"/>
              <w:jc w:val="center"/>
              <w:rPr>
                <w:rFonts w:hint="eastAsia"/>
                <w:b/>
                <w:bCs/>
                <w:sz w:val="24"/>
                <w:highlight w:val="none"/>
              </w:rPr>
            </w:pPr>
            <w:r>
              <w:rPr>
                <w:rFonts w:hint="eastAsia" w:ascii="宋体" w:hAnsi="宋体" w:eastAsia="宋体" w:cs="宋体"/>
                <w:b/>
                <w:color w:val="000000" w:themeColor="text1"/>
                <w:sz w:val="24"/>
                <w:szCs w:val="24"/>
                <w:highlight w:val="none"/>
                <w14:textFill>
                  <w14:solidFill>
                    <w14:schemeClr w14:val="tx1"/>
                  </w14:solidFill>
                </w14:textFill>
              </w:rPr>
              <w:t>质保期</w:t>
            </w:r>
          </w:p>
        </w:tc>
        <w:tc>
          <w:tcPr>
            <w:tcW w:w="3472"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left="0" w:leftChars="0" w:firstLine="0" w:firstLineChars="0"/>
              <w:rPr>
                <w:rFonts w:hint="eastAsia"/>
                <w:b/>
                <w:bCs/>
                <w:sz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须对合同中规定的整套电梯提供不少于</w:t>
            </w:r>
            <w:r>
              <w:rPr>
                <w:rFonts w:hint="eastAsia" w:ascii="宋体" w:hAnsi="宋体" w:eastAsia="宋体" w:cs="宋体"/>
                <w:b/>
                <w:sz w:val="24"/>
                <w:szCs w:val="24"/>
                <w:highlight w:val="none"/>
                <w:lang w:eastAsia="zh-CN"/>
              </w:rPr>
              <w:t>3</w:t>
            </w:r>
            <w:r>
              <w:rPr>
                <w:rFonts w:hint="eastAsia" w:ascii="宋体" w:hAnsi="宋体" w:eastAsia="宋体" w:cs="宋体"/>
                <w:b/>
                <w:sz w:val="24"/>
                <w:szCs w:val="24"/>
                <w:highlight w:val="none"/>
                <w:lang w:val="en-US" w:eastAsia="zh-CN"/>
              </w:rPr>
              <w:t>6</w:t>
            </w:r>
            <w:r>
              <w:rPr>
                <w:rFonts w:hint="eastAsia" w:ascii="宋体" w:hAnsi="宋体" w:eastAsia="宋体" w:cs="宋体"/>
                <w:b/>
                <w:sz w:val="24"/>
                <w:szCs w:val="24"/>
                <w:highlight w:val="none"/>
              </w:rPr>
              <w:t>个月</w:t>
            </w:r>
            <w:r>
              <w:rPr>
                <w:rFonts w:hint="eastAsia" w:ascii="宋体" w:hAnsi="宋体" w:eastAsia="宋体" w:cs="宋体"/>
                <w:sz w:val="24"/>
                <w:szCs w:val="24"/>
                <w:highlight w:val="none"/>
              </w:rPr>
              <w:t>的质保期及免费维修和保养，时间从质监部门验收通过、</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接受并使用之日算起。免费维保期内如发生非人为原因引起的损坏，</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应及时免费更换或修理；由于非</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原因造成的零、部件损坏，</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有义务对损坏零部件作有偿的维修更换。</w:t>
            </w:r>
          </w:p>
        </w:tc>
        <w:tc>
          <w:tcPr>
            <w:tcW w:w="11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b/>
                <w:bCs/>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000000"/>
                <w:sz w:val="24"/>
                <w:highlight w:val="none"/>
                <w:lang w:val="zh-CN"/>
              </w:rPr>
            </w:pPr>
          </w:p>
        </w:tc>
        <w:tc>
          <w:tcPr>
            <w:tcW w:w="1700" w:type="dxa"/>
            <w:tcBorders>
              <w:top w:val="single" w:color="auto" w:sz="4" w:space="0"/>
              <w:left w:val="single" w:color="auto" w:sz="4" w:space="0"/>
              <w:bottom w:val="single" w:color="auto" w:sz="4" w:space="0"/>
            </w:tcBorders>
            <w:vAlign w:val="center"/>
          </w:tcPr>
          <w:p>
            <w:pPr>
              <w:snapToGrid w:val="0"/>
              <w:jc w:val="center"/>
              <w:rPr>
                <w:rFonts w:hint="eastAsia"/>
                <w:b/>
                <w:bCs/>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546" w:type="dxa"/>
            <w:tcBorders>
              <w:top w:val="single" w:color="auto" w:sz="4" w:space="0"/>
              <w:bottom w:val="single" w:color="auto" w:sz="4" w:space="0"/>
              <w:right w:val="single" w:color="auto" w:sz="4" w:space="0"/>
            </w:tcBorders>
            <w:vAlign w:val="center"/>
          </w:tcPr>
          <w:p>
            <w:pPr>
              <w:spacing w:line="360" w:lineRule="exact"/>
              <w:jc w:val="center"/>
              <w:rPr>
                <w:rFonts w:hint="eastAsia"/>
                <w:b/>
                <w:bCs/>
                <w:sz w:val="24"/>
                <w:highlight w:val="none"/>
              </w:rPr>
            </w:pPr>
            <w:r>
              <w:rPr>
                <w:rFonts w:hint="eastAsia" w:ascii="宋体" w:hAnsi="宋体" w:cs="宋体"/>
                <w:b/>
                <w:color w:val="000000" w:themeColor="text1"/>
                <w:sz w:val="24"/>
                <w:szCs w:val="24"/>
                <w:highlight w:val="none"/>
                <w:lang w:eastAsia="zh-CN"/>
                <w14:textFill>
                  <w14:solidFill>
                    <w14:schemeClr w14:val="tx1"/>
                  </w14:solidFill>
                </w14:textFill>
              </w:rPr>
              <w:t>服务要求</w:t>
            </w:r>
          </w:p>
        </w:tc>
        <w:tc>
          <w:tcPr>
            <w:tcW w:w="3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(1)要求连续工作每天24小时，全年365天。</w:t>
            </w:r>
          </w:p>
          <w:p>
            <w:pPr>
              <w:adjustRightInd w:val="0"/>
              <w:snapToGrid w:val="0"/>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(2)正常使用寿命期要求15万小时以上。</w:t>
            </w:r>
          </w:p>
          <w:p>
            <w:pPr>
              <w:adjustRightInd w:val="0"/>
              <w:snapToGrid w:val="0"/>
              <w:spacing w:line="240" w:lineRule="auto"/>
              <w:ind w:left="0" w:leftChars="0" w:firstLine="0" w:firstLineChars="0"/>
              <w:rPr>
                <w:rFonts w:hint="eastAsia"/>
                <w:b/>
                <w:bCs/>
                <w:sz w:val="24"/>
                <w:highlight w:val="none"/>
              </w:rPr>
            </w:pPr>
            <w:r>
              <w:rPr>
                <w:rFonts w:hint="eastAsia" w:ascii="宋体" w:hAnsi="宋体" w:eastAsia="宋体" w:cs="宋体"/>
                <w:color w:val="auto"/>
                <w:sz w:val="24"/>
                <w:szCs w:val="24"/>
                <w:highlight w:val="none"/>
                <w:lang w:val="en-US" w:eastAsia="zh-CN"/>
              </w:rPr>
              <w:t>(3)在确定认可的材质、工艺要求前提下，其外观质量和舒适感应有可比性的优越。</w:t>
            </w:r>
          </w:p>
        </w:tc>
        <w:tc>
          <w:tcPr>
            <w:tcW w:w="11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b/>
                <w:bCs/>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000000"/>
                <w:sz w:val="24"/>
                <w:highlight w:val="none"/>
                <w:lang w:val="zh-CN"/>
              </w:rPr>
            </w:pPr>
          </w:p>
        </w:tc>
        <w:tc>
          <w:tcPr>
            <w:tcW w:w="1700" w:type="dxa"/>
            <w:tcBorders>
              <w:top w:val="single" w:color="auto" w:sz="4" w:space="0"/>
              <w:left w:val="single" w:color="auto" w:sz="4" w:space="0"/>
              <w:bottom w:val="single" w:color="auto" w:sz="4" w:space="0"/>
            </w:tcBorders>
            <w:vAlign w:val="center"/>
          </w:tcPr>
          <w:p>
            <w:pPr>
              <w:snapToGrid w:val="0"/>
              <w:jc w:val="center"/>
              <w:rPr>
                <w:rFonts w:hint="eastAsia"/>
                <w:b/>
                <w:bCs/>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546" w:type="dxa"/>
            <w:tcBorders>
              <w:top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p>
          <w:p>
            <w:pPr>
              <w:spacing w:line="360" w:lineRule="exact"/>
              <w:jc w:val="center"/>
              <w:rPr>
                <w:rFonts w:hint="eastAsia"/>
                <w:b/>
                <w:bCs/>
                <w:sz w:val="24"/>
                <w:highlight w:val="none"/>
              </w:rPr>
            </w:pPr>
            <w:r>
              <w:rPr>
                <w:rFonts w:hint="eastAsia" w:ascii="宋体" w:hAnsi="宋体" w:eastAsia="宋体" w:cs="宋体"/>
                <w:b/>
                <w:color w:val="000000" w:themeColor="text1"/>
                <w:sz w:val="24"/>
                <w:szCs w:val="24"/>
                <w:highlight w:val="none"/>
                <w14:textFill>
                  <w14:solidFill>
                    <w14:schemeClr w14:val="tx1"/>
                  </w14:solidFill>
                </w14:textFill>
              </w:rPr>
              <w:t>售后服务承诺</w:t>
            </w:r>
          </w:p>
        </w:tc>
        <w:tc>
          <w:tcPr>
            <w:tcW w:w="3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hint="eastAsia"/>
                <w:b/>
                <w:bCs/>
                <w:sz w:val="24"/>
                <w:highlight w:val="none"/>
              </w:rPr>
            </w:pPr>
            <w:r>
              <w:rPr>
                <w:rFonts w:hint="eastAsia" w:ascii="宋体" w:hAnsi="宋体" w:eastAsia="宋体" w:cs="宋体"/>
                <w:sz w:val="24"/>
                <w:szCs w:val="24"/>
                <w:highlight w:val="none"/>
              </w:rPr>
              <w:t>维修点须设在项目就近地，可以处理所有的维修服务，且需提供</w:t>
            </w:r>
            <w:r>
              <w:rPr>
                <w:rFonts w:hint="eastAsia" w:ascii="宋体" w:hAnsi="宋体" w:eastAsia="宋体" w:cs="宋体"/>
                <w:b/>
                <w:sz w:val="24"/>
                <w:szCs w:val="24"/>
                <w:highlight w:val="none"/>
              </w:rPr>
              <w:t>24小时</w:t>
            </w:r>
            <w:r>
              <w:rPr>
                <w:rFonts w:hint="eastAsia" w:ascii="宋体" w:hAnsi="宋体" w:eastAsia="宋体" w:cs="宋体"/>
                <w:sz w:val="24"/>
                <w:szCs w:val="24"/>
                <w:highlight w:val="none"/>
              </w:rPr>
              <w:t>服务，维修人员需在接到维修电话后</w:t>
            </w:r>
            <w:r>
              <w:rPr>
                <w:rFonts w:hint="eastAsia" w:ascii="宋体" w:hAnsi="宋体" w:eastAsia="宋体" w:cs="宋体"/>
                <w:b/>
                <w:bCs/>
                <w:sz w:val="24"/>
                <w:szCs w:val="24"/>
                <w:highlight w:val="none"/>
              </w:rPr>
              <w:t>30分钟</w:t>
            </w:r>
            <w:r>
              <w:rPr>
                <w:rFonts w:hint="eastAsia" w:ascii="宋体" w:hAnsi="宋体" w:eastAsia="宋体" w:cs="宋体"/>
                <w:b/>
                <w:sz w:val="24"/>
                <w:szCs w:val="24"/>
                <w:highlight w:val="none"/>
              </w:rPr>
              <w:t>内</w:t>
            </w:r>
            <w:r>
              <w:rPr>
                <w:rFonts w:hint="eastAsia" w:ascii="宋体" w:hAnsi="宋体" w:eastAsia="宋体" w:cs="宋体"/>
                <w:sz w:val="24"/>
                <w:szCs w:val="24"/>
                <w:highlight w:val="none"/>
              </w:rPr>
              <w:t>赶到现场，提供不间断的服务直到结束。维修点需提供足够的备件以适应</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维修需求。一般故障20分钟排除，每超过一次延长二个月保修期。如</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未按承诺时间到场处理，或经处理在约定时间内无法解决，</w:t>
            </w:r>
            <w:r>
              <w:rPr>
                <w:rFonts w:hint="eastAsia" w:ascii="宋体" w:hAnsi="宋体" w:cs="宋体"/>
                <w:sz w:val="24"/>
                <w:szCs w:val="24"/>
                <w:highlight w:val="none"/>
                <w:lang w:eastAsia="zh-CN"/>
              </w:rPr>
              <w:t>采购人</w:t>
            </w:r>
            <w:r>
              <w:rPr>
                <w:rFonts w:hint="eastAsia" w:ascii="宋体" w:hAnsi="宋体" w:eastAsia="宋体" w:cs="宋体"/>
                <w:sz w:val="24"/>
                <w:szCs w:val="24"/>
                <w:highlight w:val="none"/>
              </w:rPr>
              <w:t>可动用质保金另行组织维修，不足部分由</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负责补足，</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承担由此造成的全部损失和法律责任。</w:t>
            </w:r>
          </w:p>
        </w:tc>
        <w:tc>
          <w:tcPr>
            <w:tcW w:w="11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b/>
                <w:bCs/>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000000"/>
                <w:sz w:val="24"/>
                <w:highlight w:val="none"/>
                <w:lang w:val="zh-CN"/>
              </w:rPr>
            </w:pPr>
          </w:p>
        </w:tc>
        <w:tc>
          <w:tcPr>
            <w:tcW w:w="1700" w:type="dxa"/>
            <w:tcBorders>
              <w:top w:val="single" w:color="auto" w:sz="4" w:space="0"/>
              <w:left w:val="single" w:color="auto" w:sz="4" w:space="0"/>
              <w:bottom w:val="single" w:color="auto" w:sz="4" w:space="0"/>
            </w:tcBorders>
            <w:vAlign w:val="center"/>
          </w:tcPr>
          <w:p>
            <w:pPr>
              <w:snapToGrid w:val="0"/>
              <w:jc w:val="center"/>
              <w:rPr>
                <w:rFonts w:hint="eastAsia"/>
                <w:b/>
                <w:bCs/>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546" w:type="dxa"/>
            <w:tcBorders>
              <w:top w:val="single" w:color="auto" w:sz="4" w:space="0"/>
              <w:bottom w:val="single" w:color="auto" w:sz="4" w:space="0"/>
              <w:right w:val="single" w:color="auto" w:sz="4" w:space="0"/>
            </w:tcBorders>
            <w:vAlign w:val="center"/>
          </w:tcPr>
          <w:p>
            <w:pPr>
              <w:spacing w:line="360" w:lineRule="exact"/>
              <w:jc w:val="center"/>
              <w:rPr>
                <w:rFonts w:hint="eastAsia"/>
                <w:b/>
                <w:bCs/>
                <w:sz w:val="24"/>
                <w:highlight w:val="none"/>
              </w:rPr>
            </w:pPr>
            <w:r>
              <w:rPr>
                <w:rFonts w:hint="eastAsia" w:ascii="宋体" w:hAnsi="宋体" w:eastAsia="宋体" w:cs="宋体"/>
                <w:b/>
                <w:color w:val="000000" w:themeColor="text1"/>
                <w:sz w:val="24"/>
                <w:szCs w:val="24"/>
                <w:highlight w:val="none"/>
                <w14:textFill>
                  <w14:solidFill>
                    <w14:schemeClr w14:val="tx1"/>
                  </w14:solidFill>
                </w14:textFill>
              </w:rPr>
              <w:t>履约保证金</w:t>
            </w:r>
          </w:p>
        </w:tc>
        <w:tc>
          <w:tcPr>
            <w:tcW w:w="3472"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firstLineChars="0"/>
              <w:rPr>
                <w:rFonts w:hint="eastAsia"/>
                <w:b/>
                <w:bCs/>
                <w:sz w:val="24"/>
                <w:highlight w:val="none"/>
              </w:rPr>
            </w:pPr>
            <w:r>
              <w:rPr>
                <w:rFonts w:hint="eastAsia" w:ascii="宋体" w:hAnsi="宋体" w:eastAsia="宋体" w:cs="宋体"/>
                <w:kern w:val="2"/>
                <w:sz w:val="24"/>
                <w:szCs w:val="24"/>
                <w:lang w:val="en-US" w:eastAsia="zh-CN" w:bidi="ar-SA"/>
              </w:rPr>
              <w:t>成交供应商签订合同前必须向采购人提交合同金</w:t>
            </w:r>
            <w:r>
              <w:rPr>
                <w:rFonts w:hint="eastAsia" w:ascii="宋体" w:hAnsi="宋体" w:eastAsia="宋体" w:cs="宋体"/>
                <w:kern w:val="2"/>
                <w:sz w:val="24"/>
                <w:szCs w:val="24"/>
                <w:highlight w:val="none"/>
                <w:lang w:val="en-US" w:eastAsia="zh-CN" w:bidi="ar-SA"/>
              </w:rPr>
              <w:t>额的</w:t>
            </w:r>
            <w:r>
              <w:rPr>
                <w:rFonts w:hint="eastAsia" w:ascii="宋体" w:hAnsi="宋体"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zh-CN" w:bidi="ar-SA"/>
              </w:rPr>
              <w:t>%作为</w:t>
            </w:r>
            <w:r>
              <w:rPr>
                <w:rFonts w:hint="eastAsia" w:ascii="宋体" w:hAnsi="宋体" w:eastAsia="宋体" w:cs="宋体"/>
                <w:kern w:val="2"/>
                <w:sz w:val="24"/>
                <w:szCs w:val="24"/>
                <w:lang w:val="en-US" w:eastAsia="zh-CN" w:bidi="ar-SA"/>
              </w:rPr>
              <w:t>本合同的履约保证金，合同履行完毕</w:t>
            </w:r>
            <w:r>
              <w:rPr>
                <w:rFonts w:hint="eastAsia" w:ascii="宋体" w:hAnsi="宋体" w:eastAsia="宋体" w:cs="宋体"/>
                <w:kern w:val="2"/>
                <w:sz w:val="24"/>
                <w:szCs w:val="24"/>
                <w:highlight w:val="none"/>
                <w:lang w:val="en-US" w:eastAsia="zh-CN" w:bidi="ar-SA"/>
              </w:rPr>
              <w:t>后，</w:t>
            </w:r>
            <w:r>
              <w:rPr>
                <w:rFonts w:hint="eastAsia" w:ascii="宋体" w:hAnsi="宋体" w:cs="宋体"/>
                <w:kern w:val="2"/>
                <w:sz w:val="24"/>
                <w:szCs w:val="24"/>
                <w:highlight w:val="none"/>
                <w:lang w:val="en-US" w:eastAsia="zh-CN" w:bidi="ar-SA"/>
              </w:rPr>
              <w:t>采</w:t>
            </w:r>
            <w:r>
              <w:rPr>
                <w:rFonts w:hint="eastAsia" w:ascii="宋体" w:hAnsi="宋体" w:cs="宋体"/>
                <w:kern w:val="2"/>
                <w:sz w:val="24"/>
                <w:szCs w:val="24"/>
                <w:lang w:val="en-US" w:eastAsia="zh-CN" w:bidi="ar-SA"/>
              </w:rPr>
              <w:t>购人</w:t>
            </w:r>
            <w:r>
              <w:rPr>
                <w:rFonts w:hint="eastAsia" w:ascii="宋体" w:hAnsi="宋体" w:eastAsia="宋体" w:cs="宋体"/>
                <w:kern w:val="2"/>
                <w:sz w:val="24"/>
                <w:szCs w:val="24"/>
                <w:lang w:val="en-US" w:eastAsia="zh-CN" w:bidi="ar-SA"/>
              </w:rPr>
              <w:t>根据</w:t>
            </w:r>
            <w:r>
              <w:rPr>
                <w:rFonts w:hint="eastAsia" w:ascii="宋体" w:hAnsi="宋体" w:cs="宋体"/>
                <w:sz w:val="24"/>
                <w:szCs w:val="24"/>
                <w:highlight w:val="none"/>
                <w:lang w:eastAsia="zh-CN"/>
              </w:rPr>
              <w:t>成交供应商</w:t>
            </w:r>
            <w:r>
              <w:rPr>
                <w:rFonts w:hint="eastAsia" w:ascii="宋体" w:hAnsi="宋体" w:eastAsia="宋体" w:cs="宋体"/>
                <w:kern w:val="2"/>
                <w:sz w:val="24"/>
                <w:szCs w:val="24"/>
                <w:lang w:val="en-US" w:eastAsia="zh-CN" w:bidi="ar-SA"/>
              </w:rPr>
              <w:t>履约情况，按原汇款路径无息返还履约保证金。</w:t>
            </w:r>
          </w:p>
        </w:tc>
        <w:tc>
          <w:tcPr>
            <w:tcW w:w="11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b/>
                <w:bCs/>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000000"/>
                <w:sz w:val="24"/>
                <w:highlight w:val="none"/>
                <w:lang w:val="zh-CN"/>
              </w:rPr>
            </w:pPr>
          </w:p>
        </w:tc>
        <w:tc>
          <w:tcPr>
            <w:tcW w:w="1700" w:type="dxa"/>
            <w:tcBorders>
              <w:top w:val="single" w:color="auto" w:sz="4" w:space="0"/>
              <w:left w:val="single" w:color="auto" w:sz="4" w:space="0"/>
              <w:bottom w:val="single" w:color="auto" w:sz="4" w:space="0"/>
            </w:tcBorders>
            <w:vAlign w:val="center"/>
          </w:tcPr>
          <w:p>
            <w:pPr>
              <w:snapToGrid w:val="0"/>
              <w:jc w:val="center"/>
              <w:rPr>
                <w:rFonts w:hint="eastAsia"/>
                <w:b/>
                <w:bCs/>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546" w:type="dxa"/>
            <w:tcBorders>
              <w:top w:val="single" w:color="auto" w:sz="4" w:space="0"/>
              <w:bottom w:val="single" w:color="auto" w:sz="4" w:space="0"/>
              <w:right w:val="single" w:color="auto" w:sz="4" w:space="0"/>
            </w:tcBorders>
            <w:vAlign w:val="center"/>
          </w:tcPr>
          <w:p>
            <w:pPr>
              <w:spacing w:line="360" w:lineRule="exact"/>
              <w:jc w:val="center"/>
              <w:rPr>
                <w:rFonts w:hint="eastAsia"/>
                <w:b/>
                <w:bCs/>
                <w:sz w:val="24"/>
                <w:highlight w:val="none"/>
              </w:rPr>
            </w:pPr>
            <w:r>
              <w:rPr>
                <w:rFonts w:hint="eastAsia" w:ascii="宋体" w:hAnsi="宋体" w:eastAsia="宋体" w:cs="宋体"/>
                <w:b/>
                <w:color w:val="000000" w:themeColor="text1"/>
                <w:sz w:val="24"/>
                <w:szCs w:val="24"/>
                <w:highlight w:val="none"/>
                <w14:textFill>
                  <w14:solidFill>
                    <w14:schemeClr w14:val="tx1"/>
                  </w14:solidFill>
                </w14:textFill>
              </w:rPr>
              <w:t>交货期及交货地点</w:t>
            </w:r>
          </w:p>
        </w:tc>
        <w:tc>
          <w:tcPr>
            <w:tcW w:w="347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（1）合同签订生</w:t>
            </w:r>
            <w:r>
              <w:rPr>
                <w:rFonts w:hint="eastAsia" w:ascii="宋体" w:hAnsi="宋体" w:eastAsia="宋体" w:cs="宋体"/>
                <w:color w:val="auto"/>
                <w:kern w:val="2"/>
                <w:sz w:val="24"/>
                <w:szCs w:val="24"/>
                <w:highlight w:val="none"/>
                <w:lang w:val="en-US" w:eastAsia="zh-CN" w:bidi="ar-SA"/>
              </w:rPr>
              <w:t>效后的</w:t>
            </w:r>
            <w:r>
              <w:rPr>
                <w:rFonts w:hint="eastAsia" w:ascii="宋体" w:hAnsi="宋体" w:cs="宋体"/>
                <w:color w:val="auto"/>
                <w:kern w:val="2"/>
                <w:sz w:val="24"/>
                <w:szCs w:val="24"/>
                <w:highlight w:val="none"/>
                <w:lang w:val="en-US" w:eastAsia="zh-CN" w:bidi="ar-SA"/>
              </w:rPr>
              <w:t>60</w:t>
            </w:r>
            <w:r>
              <w:rPr>
                <w:rFonts w:hint="eastAsia" w:ascii="宋体" w:hAnsi="宋体" w:eastAsia="宋体" w:cs="宋体"/>
                <w:kern w:val="2"/>
                <w:sz w:val="24"/>
                <w:szCs w:val="24"/>
                <w:highlight w:val="none"/>
                <w:lang w:val="en-US" w:eastAsia="zh-CN" w:bidi="ar-SA"/>
              </w:rPr>
              <w:t>日历</w:t>
            </w:r>
            <w:r>
              <w:rPr>
                <w:rFonts w:hint="eastAsia" w:ascii="宋体" w:hAnsi="宋体" w:eastAsia="宋体" w:cs="宋体"/>
                <w:color w:val="auto"/>
                <w:kern w:val="2"/>
                <w:sz w:val="24"/>
                <w:szCs w:val="24"/>
                <w:highlight w:val="none"/>
                <w:lang w:val="en-US" w:eastAsia="zh-CN" w:bidi="ar-SA"/>
              </w:rPr>
              <w:t>天内全部</w:t>
            </w:r>
            <w:r>
              <w:rPr>
                <w:rFonts w:hint="eastAsia" w:ascii="宋体" w:hAnsi="宋体" w:eastAsia="宋体" w:cs="宋体"/>
                <w:kern w:val="2"/>
                <w:sz w:val="24"/>
                <w:szCs w:val="24"/>
                <w:highlight w:val="none"/>
                <w:lang w:val="en-US" w:eastAsia="zh-CN" w:bidi="ar-SA"/>
              </w:rPr>
              <w:t>货物供货、安装调试完毕并经采购人验收合格。</w:t>
            </w:r>
          </w:p>
          <w:p>
            <w:pPr>
              <w:spacing w:line="360" w:lineRule="exact"/>
              <w:rPr>
                <w:rFonts w:hint="eastAsia"/>
                <w:b/>
                <w:bCs/>
                <w:sz w:val="24"/>
                <w:highlight w:val="none"/>
              </w:rPr>
            </w:pPr>
            <w:r>
              <w:rPr>
                <w:rFonts w:hint="eastAsia" w:ascii="宋体" w:hAnsi="宋体" w:eastAsia="宋体" w:cs="宋体"/>
                <w:kern w:val="2"/>
                <w:sz w:val="24"/>
                <w:szCs w:val="24"/>
                <w:highlight w:val="none"/>
                <w:lang w:val="en-US" w:eastAsia="zh-CN" w:bidi="ar-SA"/>
              </w:rPr>
              <w:t>（2）交货、安装地点：</w:t>
            </w:r>
            <w:r>
              <w:rPr>
                <w:rFonts w:hint="eastAsia" w:ascii="宋体" w:cs="宋体"/>
                <w:color w:val="auto"/>
                <w:sz w:val="24"/>
                <w:highlight w:val="none"/>
                <w:lang w:eastAsia="zh-CN"/>
              </w:rPr>
              <w:t>长兴县退役军人事务局</w:t>
            </w:r>
            <w:r>
              <w:rPr>
                <w:rFonts w:hint="eastAsia" w:ascii="宋体" w:hAnsi="宋体" w:eastAsia="宋体" w:cs="宋体"/>
                <w:kern w:val="2"/>
                <w:sz w:val="24"/>
                <w:szCs w:val="24"/>
                <w:highlight w:val="none"/>
                <w:lang w:val="en-US" w:eastAsia="zh-CN" w:bidi="ar-SA"/>
              </w:rPr>
              <w:t>。</w:t>
            </w:r>
          </w:p>
        </w:tc>
        <w:tc>
          <w:tcPr>
            <w:tcW w:w="11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b/>
                <w:bCs/>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000000"/>
                <w:sz w:val="24"/>
                <w:highlight w:val="none"/>
                <w:lang w:val="zh-CN"/>
              </w:rPr>
            </w:pPr>
          </w:p>
        </w:tc>
        <w:tc>
          <w:tcPr>
            <w:tcW w:w="1700" w:type="dxa"/>
            <w:tcBorders>
              <w:top w:val="single" w:color="auto" w:sz="4" w:space="0"/>
              <w:left w:val="single" w:color="auto" w:sz="4" w:space="0"/>
              <w:bottom w:val="single" w:color="auto" w:sz="4" w:space="0"/>
            </w:tcBorders>
            <w:vAlign w:val="center"/>
          </w:tcPr>
          <w:p>
            <w:pPr>
              <w:snapToGrid w:val="0"/>
              <w:jc w:val="center"/>
              <w:rPr>
                <w:rFonts w:hint="eastAsia"/>
                <w:b/>
                <w:bCs/>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546" w:type="dxa"/>
            <w:tcBorders>
              <w:top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auto"/>
                <w:sz w:val="24"/>
                <w:szCs w:val="24"/>
                <w:highlight w:val="none"/>
              </w:rPr>
              <w:t>付款方式</w:t>
            </w:r>
          </w:p>
        </w:tc>
        <w:tc>
          <w:tcPr>
            <w:tcW w:w="3472" w:type="dxa"/>
            <w:tcBorders>
              <w:top w:val="single" w:color="auto" w:sz="4" w:space="0"/>
              <w:left w:val="single" w:color="auto" w:sz="4" w:space="0"/>
              <w:bottom w:val="single" w:color="auto" w:sz="4" w:space="0"/>
              <w:right w:val="single" w:color="auto" w:sz="4" w:space="0"/>
            </w:tcBorders>
            <w:vAlign w:val="center"/>
          </w:tcPr>
          <w:p>
            <w:pPr>
              <w:pStyle w:val="2"/>
              <w:numPr>
                <w:ilvl w:val="0"/>
                <w:numId w:val="0"/>
              </w:numPr>
              <w:spacing w:line="360" w:lineRule="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根据省财政厅《关于进一步发挥政府采购政策功能全力推动经济稳进提质的通知》（浙财采监【2022】3号）要求，制定如下付款方式：</w:t>
            </w:r>
          </w:p>
          <w:p>
            <w:pPr>
              <w:pStyle w:val="2"/>
              <w:numPr>
                <w:ilvl w:val="0"/>
                <w:numId w:val="0"/>
              </w:numPr>
              <w:spacing w:line="360" w:lineRule="auto"/>
              <w:rPr>
                <w:rFonts w:hint="eastAsia" w:ascii="宋体" w:hAnsi="宋体" w:eastAsia="宋体" w:cs="宋体"/>
                <w:kern w:val="1"/>
                <w:sz w:val="24"/>
                <w:szCs w:val="24"/>
                <w:highlight w:val="none"/>
                <w:lang w:val="en-US" w:eastAsia="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kern w:val="1"/>
                <w:sz w:val="24"/>
                <w:szCs w:val="24"/>
                <w:highlight w:val="none"/>
                <w:lang w:val="en-US" w:eastAsia="zh-CN"/>
              </w:rPr>
              <w:t>、</w:t>
            </w:r>
            <w:r>
              <w:rPr>
                <w:rFonts w:hint="eastAsia" w:ascii="宋体" w:hAnsi="宋体" w:eastAsia="宋体" w:cs="宋体"/>
                <w:kern w:val="1"/>
                <w:sz w:val="24"/>
                <w:szCs w:val="24"/>
                <w:highlight w:val="none"/>
                <w:lang w:eastAsia="zh-CN"/>
              </w:rPr>
              <w:t>如</w:t>
            </w:r>
            <w:r>
              <w:rPr>
                <w:rFonts w:hint="eastAsia" w:ascii="宋体" w:hAnsi="宋体" w:eastAsia="宋体" w:cs="宋体"/>
                <w:kern w:val="1"/>
                <w:sz w:val="24"/>
                <w:szCs w:val="24"/>
                <w:highlight w:val="none"/>
                <w:lang w:val="en-US" w:eastAsia="zh-CN"/>
              </w:rPr>
              <w:t>中</w:t>
            </w:r>
            <w:r>
              <w:rPr>
                <w:rFonts w:hint="eastAsia" w:ascii="宋体" w:hAnsi="宋体" w:eastAsia="宋体" w:cs="宋体"/>
                <w:kern w:val="1"/>
                <w:sz w:val="24"/>
                <w:szCs w:val="24"/>
                <w:highlight w:val="none"/>
                <w:lang w:eastAsia="zh-CN"/>
              </w:rPr>
              <w:t>小微企业</w:t>
            </w:r>
            <w:r>
              <w:rPr>
                <w:rFonts w:hint="eastAsia" w:hAnsi="宋体" w:cs="宋体"/>
                <w:kern w:val="1"/>
                <w:sz w:val="24"/>
                <w:szCs w:val="24"/>
                <w:highlight w:val="none"/>
                <w:lang w:eastAsia="zh-CN"/>
              </w:rPr>
              <w:t>成交</w:t>
            </w:r>
            <w:r>
              <w:rPr>
                <w:rFonts w:hint="eastAsia" w:ascii="宋体" w:hAnsi="宋体" w:eastAsia="宋体" w:cs="宋体"/>
                <w:kern w:val="1"/>
                <w:sz w:val="24"/>
                <w:szCs w:val="24"/>
                <w:highlight w:val="none"/>
                <w:lang w:eastAsia="zh-CN"/>
              </w:rPr>
              <w:t>，</w:t>
            </w:r>
            <w:r>
              <w:rPr>
                <w:rFonts w:hint="eastAsia" w:ascii="宋体" w:hAnsi="宋体" w:eastAsia="宋体" w:cs="宋体"/>
                <w:kern w:val="1"/>
                <w:sz w:val="24"/>
                <w:szCs w:val="24"/>
                <w:highlight w:val="none"/>
              </w:rPr>
              <w:t>项目合同签订后</w:t>
            </w:r>
            <w:r>
              <w:rPr>
                <w:rFonts w:hint="eastAsia" w:ascii="宋体" w:hAnsi="宋体" w:eastAsia="宋体" w:cs="宋体"/>
                <w:kern w:val="1"/>
                <w:sz w:val="24"/>
                <w:szCs w:val="24"/>
                <w:highlight w:val="none"/>
                <w:lang w:eastAsia="zh-CN"/>
              </w:rPr>
              <w:t>七个工作</w:t>
            </w:r>
            <w:r>
              <w:rPr>
                <w:rFonts w:hint="eastAsia" w:ascii="宋体" w:hAnsi="宋体" w:eastAsia="宋体" w:cs="宋体"/>
                <w:kern w:val="1"/>
                <w:sz w:val="24"/>
                <w:szCs w:val="24"/>
                <w:highlight w:val="none"/>
              </w:rPr>
              <w:t>日内支付合同总金额的</w:t>
            </w:r>
            <w:r>
              <w:rPr>
                <w:rFonts w:hint="eastAsia" w:hAnsi="宋体" w:cs="宋体"/>
                <w:kern w:val="1"/>
                <w:sz w:val="24"/>
                <w:szCs w:val="24"/>
                <w:highlight w:val="none"/>
                <w:lang w:val="en-US" w:eastAsia="zh-CN"/>
              </w:rPr>
              <w:t>4</w:t>
            </w:r>
            <w:r>
              <w:rPr>
                <w:rFonts w:hint="eastAsia" w:ascii="宋体" w:hAnsi="宋体" w:eastAsia="宋体" w:cs="宋体"/>
                <w:kern w:val="1"/>
                <w:sz w:val="24"/>
                <w:szCs w:val="24"/>
                <w:highlight w:val="none"/>
              </w:rPr>
              <w:t>0%</w:t>
            </w:r>
            <w:r>
              <w:rPr>
                <w:rFonts w:hint="eastAsia" w:ascii="宋体" w:hAnsi="宋体" w:eastAsia="宋体" w:cs="宋体"/>
                <w:kern w:val="1"/>
                <w:sz w:val="24"/>
                <w:szCs w:val="24"/>
                <w:highlight w:val="none"/>
                <w:lang w:eastAsia="zh-CN"/>
              </w:rPr>
              <w:t>（如若不是中小微企业中标直接从第</w:t>
            </w:r>
            <w:r>
              <w:rPr>
                <w:rFonts w:hint="eastAsia" w:ascii="宋体" w:hAnsi="宋体" w:eastAsia="宋体" w:cs="宋体"/>
                <w:kern w:val="1"/>
                <w:sz w:val="24"/>
                <w:szCs w:val="24"/>
                <w:highlight w:val="none"/>
                <w:lang w:val="en-US" w:eastAsia="zh-CN"/>
              </w:rPr>
              <w:t>2点开始支付</w:t>
            </w:r>
            <w:r>
              <w:rPr>
                <w:rFonts w:hint="eastAsia" w:ascii="宋体" w:hAnsi="宋体" w:eastAsia="宋体" w:cs="宋体"/>
                <w:kern w:val="1"/>
                <w:sz w:val="24"/>
                <w:szCs w:val="24"/>
                <w:highlight w:val="none"/>
                <w:lang w:eastAsia="zh-CN"/>
              </w:rPr>
              <w:t>）</w:t>
            </w:r>
            <w:r>
              <w:rPr>
                <w:rFonts w:hint="eastAsia" w:ascii="宋体" w:hAnsi="宋体" w:eastAsia="宋体" w:cs="宋体"/>
                <w:kern w:val="1"/>
                <w:sz w:val="24"/>
                <w:szCs w:val="24"/>
                <w:highlight w:val="none"/>
                <w:lang w:val="en-US" w:eastAsia="zh-CN"/>
              </w:rPr>
              <w:t>；</w:t>
            </w:r>
          </w:p>
          <w:p>
            <w:pPr>
              <w:pStyle w:val="2"/>
              <w:numPr>
                <w:ilvl w:val="0"/>
                <w:numId w:val="0"/>
              </w:numPr>
              <w:spacing w:line="360" w:lineRule="auto"/>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lang w:val="en-US" w:eastAsia="zh-CN"/>
              </w:rPr>
              <w:t>2、</w:t>
            </w:r>
            <w:r>
              <w:rPr>
                <w:rFonts w:hint="eastAsia" w:ascii="宋体" w:hAnsi="宋体" w:eastAsia="宋体" w:cs="宋体"/>
                <w:kern w:val="1"/>
                <w:sz w:val="24"/>
                <w:szCs w:val="24"/>
                <w:highlight w:val="none"/>
              </w:rPr>
              <w:t>全部货物送达现场后支付合同总价的</w:t>
            </w:r>
            <w:r>
              <w:rPr>
                <w:rFonts w:hint="eastAsia" w:ascii="宋体" w:hAnsi="宋体" w:eastAsia="宋体" w:cs="宋体"/>
                <w:kern w:val="1"/>
                <w:sz w:val="24"/>
                <w:szCs w:val="24"/>
                <w:highlight w:val="none"/>
                <w:lang w:val="en-US" w:eastAsia="zh-CN"/>
              </w:rPr>
              <w:t>70</w:t>
            </w:r>
            <w:r>
              <w:rPr>
                <w:rFonts w:hint="eastAsia" w:ascii="宋体" w:hAnsi="宋体" w:eastAsia="宋体" w:cs="宋体"/>
                <w:kern w:val="1"/>
                <w:sz w:val="24"/>
                <w:szCs w:val="24"/>
                <w:highlight w:val="none"/>
              </w:rPr>
              <w:t>%；</w:t>
            </w:r>
          </w:p>
          <w:p>
            <w:pPr>
              <w:pStyle w:val="2"/>
              <w:numPr>
                <w:ilvl w:val="0"/>
                <w:numId w:val="0"/>
              </w:numPr>
              <w:spacing w:line="360" w:lineRule="auto"/>
              <w:ind w:left="0" w:leftChars="0"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1"/>
                <w:sz w:val="24"/>
                <w:szCs w:val="24"/>
                <w:highlight w:val="none"/>
                <w:lang w:val="en-US" w:eastAsia="zh-CN"/>
              </w:rPr>
              <w:t>3、</w:t>
            </w:r>
            <w:r>
              <w:rPr>
                <w:rFonts w:hint="eastAsia" w:ascii="宋体" w:hAnsi="宋体" w:eastAsia="宋体" w:cs="宋体"/>
                <w:kern w:val="1"/>
                <w:sz w:val="24"/>
                <w:szCs w:val="24"/>
                <w:highlight w:val="none"/>
              </w:rPr>
              <w:t>全部货物安装</w:t>
            </w:r>
            <w:r>
              <w:rPr>
                <w:rFonts w:hint="eastAsia" w:hAnsi="宋体" w:cs="宋体"/>
                <w:kern w:val="1"/>
                <w:sz w:val="24"/>
                <w:szCs w:val="24"/>
                <w:highlight w:val="none"/>
                <w:lang w:eastAsia="zh-CN"/>
              </w:rPr>
              <w:t>调试</w:t>
            </w:r>
            <w:r>
              <w:rPr>
                <w:rFonts w:hint="eastAsia" w:ascii="宋体" w:hAnsi="宋体" w:eastAsia="宋体" w:cs="宋体"/>
                <w:kern w:val="1"/>
                <w:sz w:val="24"/>
                <w:szCs w:val="24"/>
                <w:highlight w:val="none"/>
              </w:rPr>
              <w:t>完毕并验收合格后，付至结算价的100%。</w:t>
            </w:r>
          </w:p>
        </w:tc>
        <w:tc>
          <w:tcPr>
            <w:tcW w:w="11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b/>
                <w:bCs/>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color w:val="000000"/>
                <w:sz w:val="24"/>
                <w:highlight w:val="none"/>
                <w:lang w:val="zh-CN"/>
              </w:rPr>
            </w:pPr>
          </w:p>
        </w:tc>
        <w:tc>
          <w:tcPr>
            <w:tcW w:w="1700" w:type="dxa"/>
            <w:tcBorders>
              <w:top w:val="single" w:color="auto" w:sz="4" w:space="0"/>
              <w:left w:val="single" w:color="auto" w:sz="4" w:space="0"/>
              <w:bottom w:val="single" w:color="auto" w:sz="4" w:space="0"/>
            </w:tcBorders>
            <w:vAlign w:val="center"/>
          </w:tcPr>
          <w:p>
            <w:pPr>
              <w:snapToGrid w:val="0"/>
              <w:jc w:val="center"/>
              <w:rPr>
                <w:rFonts w:hint="eastAsia"/>
                <w:b/>
                <w:bCs/>
                <w:sz w:val="24"/>
                <w:szCs w:val="24"/>
                <w:highlight w:val="none"/>
              </w:rPr>
            </w:pPr>
          </w:p>
        </w:tc>
      </w:tr>
    </w:tbl>
    <w:p>
      <w:pPr>
        <w:pStyle w:val="52"/>
        <w:adjustRightInd w:val="0"/>
        <w:snapToGrid w:val="0"/>
        <w:spacing w:before="120" w:after="120" w:line="360" w:lineRule="auto"/>
        <w:ind w:left="720" w:hanging="720" w:hangingChars="300"/>
        <w:rPr>
          <w:rFonts w:ascii="宋体" w:cs="宋体"/>
          <w:sz w:val="24"/>
          <w:szCs w:val="24"/>
          <w:highlight w:val="none"/>
        </w:rPr>
      </w:pPr>
      <w:r>
        <w:rPr>
          <w:rFonts w:hint="eastAsia" w:ascii="宋体"/>
          <w:color w:val="000000"/>
          <w:sz w:val="24"/>
          <w:szCs w:val="24"/>
          <w:highlight w:val="none"/>
        </w:rPr>
        <w:t>注：供应商</w:t>
      </w:r>
      <w:r>
        <w:rPr>
          <w:rFonts w:hint="eastAsia" w:ascii="宋体" w:hAnsi="宋体" w:cs="宋体"/>
          <w:sz w:val="24"/>
          <w:szCs w:val="24"/>
          <w:highlight w:val="none"/>
        </w:rPr>
        <w:t>须对照</w:t>
      </w:r>
      <w:r>
        <w:rPr>
          <w:rFonts w:hint="eastAsia" w:ascii="宋体"/>
          <w:color w:val="000000"/>
          <w:sz w:val="24"/>
          <w:szCs w:val="24"/>
          <w:highlight w:val="none"/>
        </w:rPr>
        <w:t>磋商文件第三章采购需求“▲</w:t>
      </w:r>
      <w:r>
        <w:rPr>
          <w:rFonts w:hint="eastAsia" w:ascii="宋体"/>
          <w:color w:val="000000"/>
          <w:sz w:val="24"/>
          <w:szCs w:val="24"/>
          <w:highlight w:val="none"/>
          <w:lang w:eastAsia="zh-CN"/>
        </w:rPr>
        <w:t>七</w:t>
      </w:r>
      <w:r>
        <w:rPr>
          <w:rFonts w:hint="eastAsia" w:ascii="宋体"/>
          <w:color w:val="000000"/>
          <w:sz w:val="24"/>
          <w:szCs w:val="24"/>
          <w:highlight w:val="none"/>
        </w:rPr>
        <w:t>、商务响应表”中实质性要求</w:t>
      </w:r>
      <w:r>
        <w:rPr>
          <w:rFonts w:hint="eastAsia" w:ascii="宋体" w:hAnsi="宋体" w:cs="宋体"/>
          <w:sz w:val="24"/>
          <w:szCs w:val="24"/>
          <w:highlight w:val="none"/>
        </w:rPr>
        <w:t>条款进行逐项说明是否满足要求，并附相关证明文件，同时将相关证明文件的相应页码填写到上表“磋商响应文件中对应的页码”中。</w:t>
      </w:r>
    </w:p>
    <w:p>
      <w:pPr>
        <w:pStyle w:val="52"/>
        <w:adjustRightInd w:val="0"/>
        <w:snapToGrid w:val="0"/>
        <w:spacing w:before="120" w:after="120" w:line="500" w:lineRule="exact"/>
        <w:rPr>
          <w:rFonts w:ascii="宋体" w:cs="宋体"/>
          <w:sz w:val="24"/>
          <w:szCs w:val="24"/>
          <w:highlight w:val="none"/>
          <w:u w:val="single"/>
        </w:rPr>
      </w:pPr>
      <w:r>
        <w:rPr>
          <w:rFonts w:hint="eastAsia" w:ascii="宋体" w:hAnsi="宋体" w:cs="宋体"/>
          <w:sz w:val="24"/>
          <w:szCs w:val="24"/>
          <w:highlight w:val="none"/>
        </w:rPr>
        <w:t>供应商名称（签章）：</w:t>
      </w:r>
    </w:p>
    <w:p>
      <w:pPr>
        <w:pStyle w:val="52"/>
        <w:adjustRightInd w:val="0"/>
        <w:snapToGrid w:val="0"/>
        <w:spacing w:before="120" w:after="120" w:line="500" w:lineRule="exact"/>
        <w:rPr>
          <w:rFonts w:ascii="宋体" w:cs="宋体"/>
          <w:sz w:val="24"/>
          <w:szCs w:val="24"/>
          <w:highlight w:val="none"/>
        </w:rPr>
      </w:pPr>
      <w:r>
        <w:rPr>
          <w:rFonts w:hint="eastAsia" w:ascii="宋体" w:hAnsi="宋体" w:cs="宋体"/>
          <w:sz w:val="24"/>
          <w:szCs w:val="24"/>
          <w:highlight w:val="none"/>
        </w:rPr>
        <w:t>法定代表人或委托代理人（签字或签章）：</w:t>
      </w:r>
    </w:p>
    <w:p>
      <w:pPr>
        <w:snapToGrid w:val="0"/>
        <w:spacing w:before="120" w:beforeLines="50" w:line="400" w:lineRule="exact"/>
        <w:outlineLvl w:val="2"/>
        <w:rPr>
          <w:rFonts w:ascii="宋体" w:hAnsi="宋体"/>
          <w:color w:val="000000"/>
          <w:sz w:val="24"/>
          <w:highlight w:val="none"/>
          <w:lang w:val="zh-CN"/>
        </w:rPr>
      </w:pPr>
      <w:r>
        <w:rPr>
          <w:rFonts w:hint="eastAsia" w:ascii="宋体" w:hAnsi="宋体" w:cs="宋体"/>
          <w:sz w:val="24"/>
          <w:szCs w:val="24"/>
          <w:highlight w:val="none"/>
        </w:rPr>
        <w:t>日期：</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年</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月</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日</w:t>
      </w:r>
      <w:r>
        <w:rPr>
          <w:rFonts w:ascii="宋体"/>
          <w:b/>
          <w:color w:val="000000"/>
          <w:sz w:val="24"/>
          <w:highlight w:val="none"/>
        </w:rPr>
        <w:br w:type="page"/>
      </w:r>
      <w:r>
        <w:rPr>
          <w:rFonts w:hint="eastAsia" w:ascii="宋体" w:hAnsi="宋体"/>
          <w:color w:val="000000"/>
          <w:sz w:val="24"/>
          <w:highlight w:val="none"/>
          <w:lang w:val="zh-CN"/>
        </w:rPr>
        <w:t>附件</w:t>
      </w:r>
      <w:r>
        <w:rPr>
          <w:rFonts w:ascii="宋体" w:hAnsi="宋体"/>
          <w:color w:val="000000"/>
          <w:sz w:val="24"/>
          <w:highlight w:val="none"/>
          <w:lang w:val="zh-CN"/>
        </w:rPr>
        <w:t>7</w:t>
      </w:r>
      <w:r>
        <w:rPr>
          <w:rFonts w:hint="eastAsia" w:ascii="宋体" w:hAnsi="宋体"/>
          <w:color w:val="000000"/>
          <w:sz w:val="24"/>
          <w:highlight w:val="none"/>
          <w:lang w:val="zh-CN"/>
        </w:rPr>
        <w:t>：</w:t>
      </w:r>
    </w:p>
    <w:p>
      <w:pPr>
        <w:jc w:val="center"/>
        <w:rPr>
          <w:b/>
          <w:sz w:val="24"/>
          <w:szCs w:val="24"/>
          <w:highlight w:val="none"/>
        </w:rPr>
      </w:pPr>
      <w:r>
        <w:rPr>
          <w:rFonts w:hint="eastAsia"/>
          <w:b/>
          <w:sz w:val="24"/>
          <w:szCs w:val="24"/>
          <w:highlight w:val="none"/>
        </w:rPr>
        <w:t>供应商实质性技术条款响应情况表</w:t>
      </w:r>
    </w:p>
    <w:p>
      <w:pPr>
        <w:pStyle w:val="52"/>
        <w:adjustRightInd w:val="0"/>
        <w:snapToGrid w:val="0"/>
        <w:spacing w:before="120" w:after="120" w:line="500" w:lineRule="exact"/>
        <w:rPr>
          <w:rFonts w:hint="eastAsia" w:ascii="宋体" w:eastAsia="宋体" w:cs="宋体"/>
          <w:sz w:val="24"/>
          <w:szCs w:val="24"/>
          <w:highlight w:val="none"/>
          <w:lang w:eastAsia="zh-CN"/>
        </w:rPr>
      </w:pPr>
      <w:r>
        <w:rPr>
          <w:rFonts w:hint="eastAsia" w:ascii="宋体" w:hAnsi="宋体" w:cs="宋体"/>
          <w:sz w:val="24"/>
          <w:szCs w:val="24"/>
          <w:highlight w:val="none"/>
          <w:lang w:eastAsia="zh-CN"/>
        </w:rPr>
        <w:t>项目编号：</w:t>
      </w:r>
    </w:p>
    <w:p>
      <w:pPr>
        <w:snapToGrid w:val="0"/>
        <w:spacing w:before="120" w:beforeLines="50" w:line="400" w:lineRule="exact"/>
        <w:rPr>
          <w:rFonts w:ascii="宋体"/>
          <w:b/>
          <w:color w:val="000000"/>
          <w:sz w:val="24"/>
          <w:highlight w:val="none"/>
        </w:rPr>
      </w:pPr>
      <w:r>
        <w:rPr>
          <w:rFonts w:hint="eastAsia" w:ascii="宋体" w:hAnsi="宋体" w:cs="宋体"/>
          <w:sz w:val="24"/>
          <w:szCs w:val="24"/>
          <w:highlight w:val="none"/>
        </w:rPr>
        <w:t>项目名称：</w:t>
      </w:r>
    </w:p>
    <w:tbl>
      <w:tblPr>
        <w:tblStyle w:val="35"/>
        <w:tblW w:w="97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465"/>
        <w:gridCol w:w="1950"/>
        <w:gridCol w:w="1829"/>
        <w:gridCol w:w="1276"/>
        <w:gridCol w:w="1334"/>
        <w:gridCol w:w="13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pPr>
              <w:spacing w:line="400" w:lineRule="exact"/>
              <w:jc w:val="center"/>
              <w:rPr>
                <w:rFonts w:hAnsi="宋体"/>
                <w:color w:val="000000"/>
                <w:sz w:val="24"/>
                <w:szCs w:val="24"/>
                <w:highlight w:val="none"/>
              </w:rPr>
            </w:pPr>
            <w:r>
              <w:rPr>
                <w:rFonts w:hint="eastAsia" w:hAnsi="宋体"/>
                <w:color w:val="000000"/>
                <w:sz w:val="24"/>
                <w:szCs w:val="24"/>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olor w:val="000000"/>
                <w:sz w:val="24"/>
                <w:szCs w:val="24"/>
                <w:highlight w:val="none"/>
              </w:rPr>
            </w:pPr>
            <w:r>
              <w:rPr>
                <w:rFonts w:hint="eastAsia" w:hAnsi="宋体"/>
                <w:color w:val="000000"/>
                <w:sz w:val="24"/>
                <w:szCs w:val="24"/>
                <w:highlight w:val="none"/>
              </w:rPr>
              <w:t>项目类别</w:t>
            </w:r>
          </w:p>
        </w:tc>
        <w:tc>
          <w:tcPr>
            <w:tcW w:w="1950"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120" w:after="120"/>
              <w:jc w:val="center"/>
              <w:rPr>
                <w:rFonts w:hAnsi="宋体"/>
                <w:color w:val="000000"/>
                <w:szCs w:val="24"/>
                <w:highlight w:val="none"/>
              </w:rPr>
            </w:pPr>
            <w:r>
              <w:rPr>
                <w:rFonts w:hint="eastAsia" w:hAnsi="宋体"/>
                <w:color w:val="000000"/>
                <w:szCs w:val="24"/>
                <w:highlight w:val="none"/>
              </w:rPr>
              <w:t>按采购文件内容要求填写</w:t>
            </w:r>
          </w:p>
        </w:tc>
        <w:tc>
          <w:tcPr>
            <w:tcW w:w="1829"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120" w:after="120"/>
              <w:jc w:val="center"/>
              <w:rPr>
                <w:rFonts w:hAnsi="宋体"/>
                <w:color w:val="000000"/>
                <w:szCs w:val="24"/>
                <w:highlight w:val="none"/>
              </w:rPr>
            </w:pPr>
            <w:r>
              <w:rPr>
                <w:rFonts w:hint="eastAsia" w:hAnsi="宋体"/>
                <w:color w:val="000000"/>
                <w:szCs w:val="24"/>
                <w:highlight w:val="none"/>
              </w:rPr>
              <w:t>按磋商响应文件所投内容响应</w:t>
            </w:r>
          </w:p>
        </w:tc>
        <w:tc>
          <w:tcPr>
            <w:tcW w:w="1276"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120" w:after="120"/>
              <w:jc w:val="center"/>
              <w:rPr>
                <w:rFonts w:hAnsi="宋体"/>
                <w:color w:val="000000"/>
                <w:szCs w:val="24"/>
                <w:highlight w:val="none"/>
              </w:rPr>
            </w:pPr>
            <w:r>
              <w:rPr>
                <w:rFonts w:hint="eastAsia" w:hAnsi="宋体"/>
                <w:color w:val="000000"/>
                <w:szCs w:val="24"/>
                <w:highlight w:val="none"/>
              </w:rPr>
              <w:t>偏离情况</w:t>
            </w:r>
          </w:p>
        </w:tc>
        <w:tc>
          <w:tcPr>
            <w:tcW w:w="1334" w:type="dxa"/>
            <w:tcBorders>
              <w:top w:val="single" w:color="auto" w:sz="4" w:space="0"/>
              <w:left w:val="single" w:color="auto" w:sz="4" w:space="0"/>
              <w:bottom w:val="single" w:color="auto" w:sz="4" w:space="0"/>
              <w:right w:val="single" w:color="auto" w:sz="4" w:space="0"/>
            </w:tcBorders>
          </w:tcPr>
          <w:p>
            <w:pPr>
              <w:pStyle w:val="22"/>
              <w:snapToGrid w:val="0"/>
              <w:spacing w:before="120" w:after="120"/>
              <w:jc w:val="center"/>
              <w:rPr>
                <w:rFonts w:hAnsi="宋体"/>
                <w:color w:val="000000"/>
                <w:szCs w:val="24"/>
                <w:highlight w:val="none"/>
              </w:rPr>
            </w:pPr>
            <w:r>
              <w:rPr>
                <w:rFonts w:hAnsi="宋体"/>
                <w:color w:val="000000"/>
                <w:szCs w:val="24"/>
                <w:highlight w:val="none"/>
              </w:rPr>
              <w:t>供应商的承诺或说明</w:t>
            </w:r>
          </w:p>
        </w:tc>
        <w:tc>
          <w:tcPr>
            <w:tcW w:w="1334" w:type="dxa"/>
            <w:tcBorders>
              <w:top w:val="single" w:color="auto" w:sz="4" w:space="0"/>
              <w:left w:val="single" w:color="auto" w:sz="4" w:space="0"/>
              <w:bottom w:val="single" w:color="auto" w:sz="4" w:space="0"/>
            </w:tcBorders>
            <w:vAlign w:val="center"/>
          </w:tcPr>
          <w:p>
            <w:pPr>
              <w:pStyle w:val="22"/>
              <w:snapToGrid w:val="0"/>
              <w:spacing w:before="120" w:after="120"/>
              <w:jc w:val="center"/>
              <w:rPr>
                <w:rFonts w:hAnsi="宋体"/>
                <w:color w:val="000000"/>
                <w:szCs w:val="24"/>
                <w:highlight w:val="none"/>
              </w:rPr>
            </w:pPr>
            <w:r>
              <w:rPr>
                <w:rFonts w:hint="eastAsia" w:hAnsi="宋体"/>
                <w:color w:val="000000"/>
                <w:szCs w:val="24"/>
                <w:highlight w:val="none"/>
              </w:rPr>
              <w:t>磋商响应文件中对应的页码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pPr>
              <w:spacing w:line="400" w:lineRule="exact"/>
              <w:jc w:val="center"/>
              <w:rPr>
                <w:rFonts w:hAnsi="宋体"/>
                <w:color w:val="000000"/>
                <w:sz w:val="24"/>
                <w:szCs w:val="24"/>
                <w:highlight w:val="none"/>
              </w:rPr>
            </w:pPr>
            <w:r>
              <w:rPr>
                <w:rFonts w:hAnsi="宋体"/>
                <w:color w:val="000000"/>
                <w:sz w:val="24"/>
                <w:szCs w:val="24"/>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olor w:val="000000"/>
                <w:sz w:val="24"/>
                <w:szCs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120" w:after="120"/>
              <w:jc w:val="center"/>
              <w:rPr>
                <w:rFonts w:hAnsi="宋体"/>
                <w:color w:val="000000"/>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pPr>
              <w:pStyle w:val="22"/>
              <w:snapToGrid w:val="0"/>
              <w:spacing w:before="120" w:after="120"/>
              <w:rPr>
                <w:rFonts w:hAnsi="宋体"/>
                <w:color w:val="000000"/>
                <w:szCs w:val="24"/>
                <w:highlight w:val="none"/>
              </w:rPr>
            </w:pPr>
          </w:p>
        </w:tc>
        <w:tc>
          <w:tcPr>
            <w:tcW w:w="1276" w:type="dxa"/>
            <w:tcBorders>
              <w:left w:val="single" w:color="auto" w:sz="4" w:space="0"/>
              <w:bottom w:val="single" w:color="auto" w:sz="4" w:space="0"/>
              <w:right w:val="single" w:color="auto" w:sz="4" w:space="0"/>
            </w:tcBorders>
            <w:vAlign w:val="center"/>
          </w:tcPr>
          <w:p>
            <w:pPr>
              <w:pStyle w:val="22"/>
              <w:snapToGrid w:val="0"/>
              <w:spacing w:before="120" w:after="120"/>
              <w:jc w:val="center"/>
              <w:rPr>
                <w:rFonts w:hAnsi="宋体"/>
                <w:color w:val="000000"/>
                <w:szCs w:val="24"/>
                <w:highlight w:val="none"/>
              </w:rPr>
            </w:pPr>
          </w:p>
        </w:tc>
        <w:tc>
          <w:tcPr>
            <w:tcW w:w="1334" w:type="dxa"/>
            <w:tcBorders>
              <w:left w:val="single" w:color="auto" w:sz="4" w:space="0"/>
              <w:bottom w:val="single" w:color="auto" w:sz="4" w:space="0"/>
              <w:right w:val="single" w:color="auto" w:sz="4" w:space="0"/>
            </w:tcBorders>
          </w:tcPr>
          <w:p>
            <w:pPr>
              <w:pStyle w:val="22"/>
              <w:snapToGrid w:val="0"/>
              <w:spacing w:before="120" w:after="120"/>
              <w:jc w:val="center"/>
              <w:rPr>
                <w:rFonts w:hAnsi="宋体"/>
                <w:color w:val="000000"/>
                <w:szCs w:val="24"/>
                <w:highlight w:val="none"/>
              </w:rPr>
            </w:pPr>
          </w:p>
        </w:tc>
        <w:tc>
          <w:tcPr>
            <w:tcW w:w="1334" w:type="dxa"/>
            <w:tcBorders>
              <w:left w:val="single" w:color="auto" w:sz="4" w:space="0"/>
              <w:bottom w:val="single" w:color="auto" w:sz="4" w:space="0"/>
            </w:tcBorders>
            <w:vAlign w:val="center"/>
          </w:tcPr>
          <w:p>
            <w:pPr>
              <w:pStyle w:val="22"/>
              <w:snapToGrid w:val="0"/>
              <w:spacing w:before="120" w:after="120"/>
              <w:jc w:val="center"/>
              <w:rPr>
                <w:rFonts w:hAnsi="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pPr>
              <w:spacing w:line="400" w:lineRule="exact"/>
              <w:jc w:val="center"/>
              <w:rPr>
                <w:rFonts w:hAnsi="宋体"/>
                <w:color w:val="000000"/>
                <w:sz w:val="24"/>
                <w:szCs w:val="24"/>
                <w:highlight w:val="none"/>
              </w:rPr>
            </w:pPr>
            <w:r>
              <w:rPr>
                <w:rFonts w:hAnsi="宋体"/>
                <w:color w:val="000000"/>
                <w:sz w:val="24"/>
                <w:szCs w:val="24"/>
                <w:highlight w:val="none"/>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olor w:val="000000"/>
                <w:sz w:val="24"/>
                <w:szCs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120" w:after="120"/>
              <w:jc w:val="center"/>
              <w:outlineLvl w:val="0"/>
              <w:rPr>
                <w:rFonts w:hAnsi="宋体"/>
                <w:color w:val="000000"/>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pPr>
              <w:pStyle w:val="22"/>
              <w:snapToGrid w:val="0"/>
              <w:spacing w:before="120" w:after="120"/>
              <w:outlineLvl w:val="0"/>
              <w:rPr>
                <w:rFonts w:hAnsi="宋体"/>
                <w:color w:val="000000"/>
                <w:szCs w:val="24"/>
                <w:highlight w:val="none"/>
              </w:rPr>
            </w:pPr>
          </w:p>
        </w:tc>
        <w:tc>
          <w:tcPr>
            <w:tcW w:w="1276" w:type="dxa"/>
            <w:tcBorders>
              <w:left w:val="single" w:color="auto" w:sz="4" w:space="0"/>
              <w:bottom w:val="single" w:color="auto" w:sz="4" w:space="0"/>
              <w:right w:val="single" w:color="auto" w:sz="4" w:space="0"/>
            </w:tcBorders>
          </w:tcPr>
          <w:p>
            <w:pPr>
              <w:pStyle w:val="22"/>
              <w:snapToGrid w:val="0"/>
              <w:spacing w:before="120" w:after="120"/>
              <w:outlineLvl w:val="0"/>
              <w:rPr>
                <w:rFonts w:hAnsi="宋体"/>
                <w:color w:val="000000"/>
                <w:szCs w:val="24"/>
                <w:highlight w:val="none"/>
              </w:rPr>
            </w:pPr>
          </w:p>
        </w:tc>
        <w:tc>
          <w:tcPr>
            <w:tcW w:w="1334" w:type="dxa"/>
            <w:tcBorders>
              <w:left w:val="single" w:color="auto" w:sz="4" w:space="0"/>
              <w:bottom w:val="single" w:color="auto" w:sz="4" w:space="0"/>
              <w:right w:val="single" w:color="auto" w:sz="4" w:space="0"/>
            </w:tcBorders>
          </w:tcPr>
          <w:p>
            <w:pPr>
              <w:pStyle w:val="22"/>
              <w:snapToGrid w:val="0"/>
              <w:spacing w:before="120" w:after="120"/>
              <w:outlineLvl w:val="0"/>
              <w:rPr>
                <w:rFonts w:hAnsi="宋体"/>
                <w:color w:val="000000"/>
                <w:szCs w:val="24"/>
                <w:highlight w:val="none"/>
              </w:rPr>
            </w:pPr>
          </w:p>
        </w:tc>
        <w:tc>
          <w:tcPr>
            <w:tcW w:w="1334" w:type="dxa"/>
            <w:tcBorders>
              <w:left w:val="single" w:color="auto" w:sz="4" w:space="0"/>
              <w:bottom w:val="single" w:color="auto" w:sz="4" w:space="0"/>
            </w:tcBorders>
          </w:tcPr>
          <w:p>
            <w:pPr>
              <w:pStyle w:val="22"/>
              <w:snapToGrid w:val="0"/>
              <w:spacing w:before="120" w:after="120"/>
              <w:outlineLvl w:val="0"/>
              <w:rPr>
                <w:rFonts w:hAnsi="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pPr>
              <w:spacing w:line="400" w:lineRule="exact"/>
              <w:jc w:val="center"/>
              <w:rPr>
                <w:rFonts w:hAnsi="宋体"/>
                <w:color w:val="000000"/>
                <w:sz w:val="24"/>
                <w:szCs w:val="24"/>
                <w:highlight w:val="none"/>
              </w:rPr>
            </w:pPr>
            <w:r>
              <w:rPr>
                <w:rFonts w:hAnsi="宋体"/>
                <w:color w:val="000000"/>
                <w:sz w:val="24"/>
                <w:szCs w:val="24"/>
                <w:highlight w:val="none"/>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olor w:val="000000"/>
                <w:sz w:val="24"/>
                <w:szCs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120" w:after="120"/>
              <w:jc w:val="center"/>
              <w:outlineLvl w:val="0"/>
              <w:rPr>
                <w:rFonts w:hAnsi="宋体"/>
                <w:color w:val="000000"/>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pPr>
              <w:pStyle w:val="22"/>
              <w:snapToGrid w:val="0"/>
              <w:spacing w:before="120" w:after="120"/>
              <w:outlineLvl w:val="0"/>
              <w:rPr>
                <w:rFonts w:hAnsi="宋体"/>
                <w:color w:val="000000"/>
                <w:szCs w:val="24"/>
                <w:highlight w:val="none"/>
              </w:rPr>
            </w:pPr>
          </w:p>
        </w:tc>
        <w:tc>
          <w:tcPr>
            <w:tcW w:w="1276" w:type="dxa"/>
            <w:tcBorders>
              <w:left w:val="single" w:color="auto" w:sz="4" w:space="0"/>
              <w:bottom w:val="single" w:color="auto" w:sz="4" w:space="0"/>
              <w:right w:val="single" w:color="auto" w:sz="4" w:space="0"/>
            </w:tcBorders>
          </w:tcPr>
          <w:p>
            <w:pPr>
              <w:pStyle w:val="22"/>
              <w:snapToGrid w:val="0"/>
              <w:spacing w:before="120" w:after="120"/>
              <w:outlineLvl w:val="0"/>
              <w:rPr>
                <w:rFonts w:hAnsi="宋体"/>
                <w:color w:val="000000"/>
                <w:szCs w:val="24"/>
                <w:highlight w:val="none"/>
              </w:rPr>
            </w:pPr>
          </w:p>
        </w:tc>
        <w:tc>
          <w:tcPr>
            <w:tcW w:w="1334" w:type="dxa"/>
            <w:tcBorders>
              <w:left w:val="single" w:color="auto" w:sz="4" w:space="0"/>
              <w:bottom w:val="single" w:color="auto" w:sz="4" w:space="0"/>
              <w:right w:val="single" w:color="auto" w:sz="4" w:space="0"/>
            </w:tcBorders>
          </w:tcPr>
          <w:p>
            <w:pPr>
              <w:pStyle w:val="22"/>
              <w:snapToGrid w:val="0"/>
              <w:spacing w:before="120" w:after="120"/>
              <w:outlineLvl w:val="0"/>
              <w:rPr>
                <w:rFonts w:hAnsi="宋体"/>
                <w:color w:val="000000"/>
                <w:szCs w:val="24"/>
                <w:highlight w:val="none"/>
              </w:rPr>
            </w:pPr>
          </w:p>
        </w:tc>
        <w:tc>
          <w:tcPr>
            <w:tcW w:w="1334" w:type="dxa"/>
            <w:tcBorders>
              <w:left w:val="single" w:color="auto" w:sz="4" w:space="0"/>
              <w:bottom w:val="single" w:color="auto" w:sz="4" w:space="0"/>
            </w:tcBorders>
          </w:tcPr>
          <w:p>
            <w:pPr>
              <w:pStyle w:val="22"/>
              <w:snapToGrid w:val="0"/>
              <w:spacing w:before="120" w:after="120"/>
              <w:outlineLvl w:val="0"/>
              <w:rPr>
                <w:rFonts w:hAnsi="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pPr>
              <w:spacing w:line="400" w:lineRule="exact"/>
              <w:jc w:val="center"/>
              <w:rPr>
                <w:rFonts w:hAnsi="宋体"/>
                <w:color w:val="000000"/>
                <w:sz w:val="24"/>
                <w:szCs w:val="24"/>
                <w:highlight w:val="none"/>
              </w:rPr>
            </w:pPr>
            <w:r>
              <w:rPr>
                <w:rFonts w:hAnsi="宋体"/>
                <w:color w:val="000000"/>
                <w:sz w:val="24"/>
                <w:szCs w:val="24"/>
                <w:highlight w:val="none"/>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olor w:val="000000"/>
                <w:sz w:val="24"/>
                <w:szCs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120" w:after="120"/>
              <w:jc w:val="center"/>
              <w:outlineLvl w:val="0"/>
              <w:rPr>
                <w:rFonts w:hAnsi="宋体"/>
                <w:color w:val="000000"/>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pPr>
              <w:pStyle w:val="22"/>
              <w:snapToGrid w:val="0"/>
              <w:spacing w:before="120" w:after="120"/>
              <w:outlineLvl w:val="0"/>
              <w:rPr>
                <w:rFonts w:hAnsi="宋体"/>
                <w:color w:val="000000"/>
                <w:szCs w:val="24"/>
                <w:highlight w:val="none"/>
              </w:rPr>
            </w:pPr>
          </w:p>
        </w:tc>
        <w:tc>
          <w:tcPr>
            <w:tcW w:w="1276" w:type="dxa"/>
            <w:tcBorders>
              <w:left w:val="single" w:color="auto" w:sz="4" w:space="0"/>
              <w:bottom w:val="single" w:color="auto" w:sz="4" w:space="0"/>
              <w:right w:val="single" w:color="auto" w:sz="4" w:space="0"/>
            </w:tcBorders>
          </w:tcPr>
          <w:p>
            <w:pPr>
              <w:pStyle w:val="22"/>
              <w:snapToGrid w:val="0"/>
              <w:spacing w:before="120" w:after="120"/>
              <w:outlineLvl w:val="0"/>
              <w:rPr>
                <w:rFonts w:hAnsi="宋体"/>
                <w:color w:val="000000"/>
                <w:szCs w:val="24"/>
                <w:highlight w:val="none"/>
              </w:rPr>
            </w:pPr>
          </w:p>
        </w:tc>
        <w:tc>
          <w:tcPr>
            <w:tcW w:w="1334" w:type="dxa"/>
            <w:tcBorders>
              <w:left w:val="single" w:color="auto" w:sz="4" w:space="0"/>
              <w:bottom w:val="single" w:color="auto" w:sz="4" w:space="0"/>
              <w:right w:val="single" w:color="auto" w:sz="4" w:space="0"/>
            </w:tcBorders>
          </w:tcPr>
          <w:p>
            <w:pPr>
              <w:pStyle w:val="22"/>
              <w:snapToGrid w:val="0"/>
              <w:spacing w:before="120" w:after="120"/>
              <w:outlineLvl w:val="0"/>
              <w:rPr>
                <w:rFonts w:hAnsi="宋体"/>
                <w:color w:val="000000"/>
                <w:szCs w:val="24"/>
                <w:highlight w:val="none"/>
              </w:rPr>
            </w:pPr>
          </w:p>
        </w:tc>
        <w:tc>
          <w:tcPr>
            <w:tcW w:w="1334" w:type="dxa"/>
            <w:tcBorders>
              <w:left w:val="single" w:color="auto" w:sz="4" w:space="0"/>
              <w:bottom w:val="single" w:color="auto" w:sz="4" w:space="0"/>
            </w:tcBorders>
          </w:tcPr>
          <w:p>
            <w:pPr>
              <w:pStyle w:val="22"/>
              <w:snapToGrid w:val="0"/>
              <w:spacing w:before="120" w:after="120"/>
              <w:outlineLvl w:val="0"/>
              <w:rPr>
                <w:rFonts w:hAnsi="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pPr>
              <w:spacing w:line="400" w:lineRule="exact"/>
              <w:jc w:val="center"/>
              <w:rPr>
                <w:rFonts w:hAnsi="宋体"/>
                <w:color w:val="000000"/>
                <w:sz w:val="24"/>
                <w:szCs w:val="24"/>
                <w:highlight w:val="none"/>
              </w:rPr>
            </w:pPr>
            <w:r>
              <w:rPr>
                <w:rFonts w:hAnsi="宋体"/>
                <w:color w:val="000000"/>
                <w:sz w:val="24"/>
                <w:szCs w:val="24"/>
                <w:highlight w:val="none"/>
              </w:rPr>
              <w:t>5</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olor w:val="000000"/>
                <w:sz w:val="24"/>
                <w:szCs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120" w:after="120"/>
              <w:jc w:val="center"/>
              <w:outlineLvl w:val="0"/>
              <w:rPr>
                <w:rFonts w:hAnsi="宋体"/>
                <w:color w:val="000000"/>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pPr>
              <w:pStyle w:val="22"/>
              <w:snapToGrid w:val="0"/>
              <w:spacing w:before="120" w:after="120"/>
              <w:outlineLvl w:val="0"/>
              <w:rPr>
                <w:rFonts w:hAnsi="宋体"/>
                <w:color w:val="000000"/>
                <w:szCs w:val="24"/>
                <w:highlight w:val="none"/>
              </w:rPr>
            </w:pPr>
          </w:p>
        </w:tc>
        <w:tc>
          <w:tcPr>
            <w:tcW w:w="1276" w:type="dxa"/>
            <w:tcBorders>
              <w:left w:val="single" w:color="auto" w:sz="4" w:space="0"/>
              <w:bottom w:val="single" w:color="auto" w:sz="4" w:space="0"/>
              <w:right w:val="single" w:color="auto" w:sz="4" w:space="0"/>
            </w:tcBorders>
          </w:tcPr>
          <w:p>
            <w:pPr>
              <w:pStyle w:val="22"/>
              <w:snapToGrid w:val="0"/>
              <w:spacing w:before="120" w:after="120"/>
              <w:outlineLvl w:val="0"/>
              <w:rPr>
                <w:rFonts w:hAnsi="宋体"/>
                <w:color w:val="000000"/>
                <w:szCs w:val="24"/>
                <w:highlight w:val="none"/>
              </w:rPr>
            </w:pPr>
          </w:p>
        </w:tc>
        <w:tc>
          <w:tcPr>
            <w:tcW w:w="1334" w:type="dxa"/>
            <w:tcBorders>
              <w:left w:val="single" w:color="auto" w:sz="4" w:space="0"/>
              <w:bottom w:val="single" w:color="auto" w:sz="4" w:space="0"/>
              <w:right w:val="single" w:color="auto" w:sz="4" w:space="0"/>
            </w:tcBorders>
          </w:tcPr>
          <w:p>
            <w:pPr>
              <w:pStyle w:val="22"/>
              <w:snapToGrid w:val="0"/>
              <w:spacing w:before="120" w:after="120"/>
              <w:outlineLvl w:val="0"/>
              <w:rPr>
                <w:rFonts w:hAnsi="宋体"/>
                <w:color w:val="000000"/>
                <w:szCs w:val="24"/>
                <w:highlight w:val="none"/>
              </w:rPr>
            </w:pPr>
          </w:p>
        </w:tc>
        <w:tc>
          <w:tcPr>
            <w:tcW w:w="1334" w:type="dxa"/>
            <w:tcBorders>
              <w:left w:val="single" w:color="auto" w:sz="4" w:space="0"/>
              <w:bottom w:val="single" w:color="auto" w:sz="4" w:space="0"/>
            </w:tcBorders>
          </w:tcPr>
          <w:p>
            <w:pPr>
              <w:pStyle w:val="22"/>
              <w:snapToGrid w:val="0"/>
              <w:spacing w:before="120" w:after="120"/>
              <w:outlineLvl w:val="0"/>
              <w:rPr>
                <w:rFonts w:hAnsi="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pPr>
              <w:spacing w:line="400" w:lineRule="exact"/>
              <w:jc w:val="center"/>
              <w:rPr>
                <w:rFonts w:hAnsi="宋体"/>
                <w:color w:val="000000"/>
                <w:sz w:val="24"/>
                <w:szCs w:val="24"/>
                <w:highlight w:val="none"/>
              </w:rPr>
            </w:pPr>
            <w:r>
              <w:rPr>
                <w:rFonts w:hAnsi="宋体"/>
                <w:color w:val="000000"/>
                <w:sz w:val="24"/>
                <w:szCs w:val="24"/>
                <w:highlight w:val="none"/>
              </w:rPr>
              <w:t>6</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olor w:val="000000"/>
                <w:sz w:val="24"/>
                <w:szCs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120" w:after="120"/>
              <w:jc w:val="center"/>
              <w:outlineLvl w:val="0"/>
              <w:rPr>
                <w:rFonts w:hAnsi="宋体"/>
                <w:color w:val="000000"/>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pPr>
              <w:pStyle w:val="22"/>
              <w:snapToGrid w:val="0"/>
              <w:spacing w:before="120" w:after="120"/>
              <w:outlineLvl w:val="0"/>
              <w:rPr>
                <w:rFonts w:hAnsi="宋体"/>
                <w:color w:val="000000"/>
                <w:szCs w:val="24"/>
                <w:highlight w:val="none"/>
              </w:rPr>
            </w:pPr>
          </w:p>
        </w:tc>
        <w:tc>
          <w:tcPr>
            <w:tcW w:w="1276" w:type="dxa"/>
            <w:tcBorders>
              <w:left w:val="single" w:color="auto" w:sz="4" w:space="0"/>
              <w:bottom w:val="single" w:color="auto" w:sz="4" w:space="0"/>
              <w:right w:val="single" w:color="auto" w:sz="4" w:space="0"/>
            </w:tcBorders>
          </w:tcPr>
          <w:p>
            <w:pPr>
              <w:pStyle w:val="22"/>
              <w:snapToGrid w:val="0"/>
              <w:spacing w:before="120" w:after="120"/>
              <w:outlineLvl w:val="0"/>
              <w:rPr>
                <w:rFonts w:hAnsi="宋体"/>
                <w:color w:val="000000"/>
                <w:szCs w:val="24"/>
                <w:highlight w:val="none"/>
              </w:rPr>
            </w:pPr>
          </w:p>
        </w:tc>
        <w:tc>
          <w:tcPr>
            <w:tcW w:w="1334" w:type="dxa"/>
            <w:tcBorders>
              <w:left w:val="single" w:color="auto" w:sz="4" w:space="0"/>
              <w:bottom w:val="single" w:color="auto" w:sz="4" w:space="0"/>
              <w:right w:val="single" w:color="auto" w:sz="4" w:space="0"/>
            </w:tcBorders>
          </w:tcPr>
          <w:p>
            <w:pPr>
              <w:pStyle w:val="22"/>
              <w:snapToGrid w:val="0"/>
              <w:spacing w:before="120" w:after="120"/>
              <w:outlineLvl w:val="0"/>
              <w:rPr>
                <w:rFonts w:hAnsi="宋体"/>
                <w:color w:val="000000"/>
                <w:szCs w:val="24"/>
                <w:highlight w:val="none"/>
              </w:rPr>
            </w:pPr>
          </w:p>
        </w:tc>
        <w:tc>
          <w:tcPr>
            <w:tcW w:w="1334" w:type="dxa"/>
            <w:tcBorders>
              <w:left w:val="single" w:color="auto" w:sz="4" w:space="0"/>
              <w:bottom w:val="single" w:color="auto" w:sz="4" w:space="0"/>
            </w:tcBorders>
          </w:tcPr>
          <w:p>
            <w:pPr>
              <w:pStyle w:val="22"/>
              <w:snapToGrid w:val="0"/>
              <w:spacing w:before="120" w:after="120"/>
              <w:outlineLvl w:val="0"/>
              <w:rPr>
                <w:rFonts w:hAnsi="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pPr>
              <w:spacing w:line="400" w:lineRule="exact"/>
              <w:jc w:val="center"/>
              <w:rPr>
                <w:rFonts w:hAnsi="宋体"/>
                <w:color w:val="000000"/>
                <w:sz w:val="24"/>
                <w:szCs w:val="24"/>
                <w:highlight w:val="none"/>
              </w:rPr>
            </w:pPr>
            <w:r>
              <w:rPr>
                <w:rFonts w:hAnsi="宋体"/>
                <w:color w:val="000000"/>
                <w:sz w:val="24"/>
                <w:szCs w:val="24"/>
                <w:highlight w:val="none"/>
              </w:rPr>
              <w:t>7</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olor w:val="000000"/>
                <w:sz w:val="24"/>
                <w:szCs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120" w:after="120"/>
              <w:jc w:val="center"/>
              <w:outlineLvl w:val="0"/>
              <w:rPr>
                <w:rFonts w:hAnsi="宋体"/>
                <w:color w:val="000000"/>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pPr>
              <w:pStyle w:val="22"/>
              <w:snapToGrid w:val="0"/>
              <w:spacing w:before="120" w:after="120"/>
              <w:outlineLvl w:val="0"/>
              <w:rPr>
                <w:rFonts w:hAnsi="宋体"/>
                <w:color w:val="000000"/>
                <w:szCs w:val="24"/>
                <w:highlight w:val="none"/>
              </w:rPr>
            </w:pPr>
          </w:p>
        </w:tc>
        <w:tc>
          <w:tcPr>
            <w:tcW w:w="1276" w:type="dxa"/>
            <w:tcBorders>
              <w:left w:val="single" w:color="auto" w:sz="4" w:space="0"/>
              <w:bottom w:val="single" w:color="auto" w:sz="4" w:space="0"/>
              <w:right w:val="single" w:color="auto" w:sz="4" w:space="0"/>
            </w:tcBorders>
          </w:tcPr>
          <w:p>
            <w:pPr>
              <w:pStyle w:val="22"/>
              <w:snapToGrid w:val="0"/>
              <w:spacing w:before="120" w:after="120"/>
              <w:outlineLvl w:val="0"/>
              <w:rPr>
                <w:rFonts w:hAnsi="宋体"/>
                <w:color w:val="000000"/>
                <w:szCs w:val="24"/>
                <w:highlight w:val="none"/>
              </w:rPr>
            </w:pPr>
          </w:p>
        </w:tc>
        <w:tc>
          <w:tcPr>
            <w:tcW w:w="1334" w:type="dxa"/>
            <w:tcBorders>
              <w:left w:val="single" w:color="auto" w:sz="4" w:space="0"/>
              <w:bottom w:val="single" w:color="auto" w:sz="4" w:space="0"/>
              <w:right w:val="single" w:color="auto" w:sz="4" w:space="0"/>
            </w:tcBorders>
          </w:tcPr>
          <w:p>
            <w:pPr>
              <w:pStyle w:val="22"/>
              <w:snapToGrid w:val="0"/>
              <w:spacing w:before="120" w:after="120"/>
              <w:outlineLvl w:val="0"/>
              <w:rPr>
                <w:rFonts w:hAnsi="宋体"/>
                <w:color w:val="000000"/>
                <w:szCs w:val="24"/>
                <w:highlight w:val="none"/>
              </w:rPr>
            </w:pPr>
          </w:p>
        </w:tc>
        <w:tc>
          <w:tcPr>
            <w:tcW w:w="1334" w:type="dxa"/>
            <w:tcBorders>
              <w:left w:val="single" w:color="auto" w:sz="4" w:space="0"/>
              <w:bottom w:val="single" w:color="auto" w:sz="4" w:space="0"/>
            </w:tcBorders>
          </w:tcPr>
          <w:p>
            <w:pPr>
              <w:pStyle w:val="22"/>
              <w:snapToGrid w:val="0"/>
              <w:spacing w:before="120" w:after="120"/>
              <w:outlineLvl w:val="0"/>
              <w:rPr>
                <w:rFonts w:hAnsi="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pPr>
              <w:spacing w:line="400" w:lineRule="exact"/>
              <w:jc w:val="center"/>
              <w:rPr>
                <w:rFonts w:hAnsi="宋体"/>
                <w:color w:val="000000"/>
                <w:sz w:val="24"/>
                <w:szCs w:val="24"/>
                <w:highlight w:val="none"/>
              </w:rPr>
            </w:pPr>
            <w:r>
              <w:rPr>
                <w:rFonts w:hAnsi="宋体"/>
                <w:color w:val="000000"/>
                <w:sz w:val="24"/>
                <w:szCs w:val="24"/>
                <w:highlight w:val="none"/>
              </w:rPr>
              <w:t>8</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olor w:val="000000"/>
                <w:sz w:val="24"/>
                <w:szCs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120" w:after="120"/>
              <w:jc w:val="center"/>
              <w:outlineLvl w:val="0"/>
              <w:rPr>
                <w:rFonts w:hAnsi="宋体"/>
                <w:color w:val="000000"/>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pPr>
              <w:pStyle w:val="22"/>
              <w:snapToGrid w:val="0"/>
              <w:spacing w:before="120" w:after="120"/>
              <w:outlineLvl w:val="0"/>
              <w:rPr>
                <w:rFonts w:hAnsi="宋体"/>
                <w:color w:val="000000"/>
                <w:szCs w:val="24"/>
                <w:highlight w:val="none"/>
              </w:rPr>
            </w:pPr>
          </w:p>
        </w:tc>
        <w:tc>
          <w:tcPr>
            <w:tcW w:w="1276" w:type="dxa"/>
            <w:tcBorders>
              <w:left w:val="single" w:color="auto" w:sz="4" w:space="0"/>
              <w:bottom w:val="single" w:color="auto" w:sz="4" w:space="0"/>
              <w:right w:val="single" w:color="auto" w:sz="4" w:space="0"/>
            </w:tcBorders>
          </w:tcPr>
          <w:p>
            <w:pPr>
              <w:pStyle w:val="22"/>
              <w:snapToGrid w:val="0"/>
              <w:spacing w:before="120" w:after="120"/>
              <w:outlineLvl w:val="0"/>
              <w:rPr>
                <w:rFonts w:hAnsi="宋体"/>
                <w:color w:val="000000"/>
                <w:szCs w:val="24"/>
                <w:highlight w:val="none"/>
              </w:rPr>
            </w:pPr>
          </w:p>
        </w:tc>
        <w:tc>
          <w:tcPr>
            <w:tcW w:w="1334" w:type="dxa"/>
            <w:tcBorders>
              <w:left w:val="single" w:color="auto" w:sz="4" w:space="0"/>
              <w:bottom w:val="single" w:color="auto" w:sz="4" w:space="0"/>
              <w:right w:val="single" w:color="auto" w:sz="4" w:space="0"/>
            </w:tcBorders>
          </w:tcPr>
          <w:p>
            <w:pPr>
              <w:pStyle w:val="22"/>
              <w:snapToGrid w:val="0"/>
              <w:spacing w:before="120" w:after="120"/>
              <w:outlineLvl w:val="0"/>
              <w:rPr>
                <w:rFonts w:hAnsi="宋体"/>
                <w:color w:val="000000"/>
                <w:szCs w:val="24"/>
                <w:highlight w:val="none"/>
              </w:rPr>
            </w:pPr>
          </w:p>
        </w:tc>
        <w:tc>
          <w:tcPr>
            <w:tcW w:w="1334" w:type="dxa"/>
            <w:tcBorders>
              <w:left w:val="single" w:color="auto" w:sz="4" w:space="0"/>
              <w:bottom w:val="single" w:color="auto" w:sz="4" w:space="0"/>
            </w:tcBorders>
          </w:tcPr>
          <w:p>
            <w:pPr>
              <w:pStyle w:val="22"/>
              <w:snapToGrid w:val="0"/>
              <w:spacing w:before="120" w:after="120"/>
              <w:outlineLvl w:val="0"/>
              <w:rPr>
                <w:rFonts w:hAnsi="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534" w:type="dxa"/>
            <w:tcBorders>
              <w:top w:val="single" w:color="auto" w:sz="4" w:space="0"/>
              <w:bottom w:val="single" w:color="auto" w:sz="4" w:space="0"/>
              <w:right w:val="single" w:color="auto" w:sz="4" w:space="0"/>
            </w:tcBorders>
            <w:vAlign w:val="center"/>
          </w:tcPr>
          <w:p>
            <w:pPr>
              <w:spacing w:line="400" w:lineRule="exact"/>
              <w:jc w:val="center"/>
              <w:rPr>
                <w:rFonts w:hAnsi="宋体"/>
                <w:color w:val="000000"/>
                <w:sz w:val="24"/>
                <w:szCs w:val="24"/>
                <w:highlight w:val="none"/>
              </w:rPr>
            </w:pPr>
            <w:r>
              <w:rPr>
                <w:rFonts w:hAnsi="宋体"/>
                <w:color w:val="000000"/>
                <w:sz w:val="24"/>
                <w:szCs w:val="24"/>
                <w:highlight w:val="none"/>
              </w:rPr>
              <w:t>...</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olor w:val="000000"/>
                <w:sz w:val="24"/>
                <w:szCs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pStyle w:val="22"/>
              <w:snapToGrid w:val="0"/>
              <w:spacing w:before="120" w:after="120"/>
              <w:jc w:val="center"/>
              <w:outlineLvl w:val="0"/>
              <w:rPr>
                <w:rFonts w:hAnsi="宋体"/>
                <w:color w:val="000000"/>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pPr>
              <w:pStyle w:val="22"/>
              <w:snapToGrid w:val="0"/>
              <w:spacing w:before="120" w:after="120"/>
              <w:outlineLvl w:val="0"/>
              <w:rPr>
                <w:rFonts w:hAnsi="宋体"/>
                <w:color w:val="000000"/>
                <w:szCs w:val="24"/>
                <w:highlight w:val="none"/>
              </w:rPr>
            </w:pPr>
          </w:p>
        </w:tc>
        <w:tc>
          <w:tcPr>
            <w:tcW w:w="1276" w:type="dxa"/>
            <w:tcBorders>
              <w:left w:val="single" w:color="auto" w:sz="4" w:space="0"/>
              <w:bottom w:val="single" w:color="auto" w:sz="4" w:space="0"/>
              <w:right w:val="single" w:color="auto" w:sz="4" w:space="0"/>
            </w:tcBorders>
          </w:tcPr>
          <w:p>
            <w:pPr>
              <w:pStyle w:val="22"/>
              <w:snapToGrid w:val="0"/>
              <w:spacing w:before="120" w:after="120"/>
              <w:outlineLvl w:val="0"/>
              <w:rPr>
                <w:rFonts w:hAnsi="宋体"/>
                <w:color w:val="000000"/>
                <w:szCs w:val="24"/>
                <w:highlight w:val="none"/>
              </w:rPr>
            </w:pPr>
          </w:p>
        </w:tc>
        <w:tc>
          <w:tcPr>
            <w:tcW w:w="1334" w:type="dxa"/>
            <w:tcBorders>
              <w:left w:val="single" w:color="auto" w:sz="4" w:space="0"/>
              <w:bottom w:val="single" w:color="auto" w:sz="4" w:space="0"/>
              <w:right w:val="single" w:color="auto" w:sz="4" w:space="0"/>
            </w:tcBorders>
          </w:tcPr>
          <w:p>
            <w:pPr>
              <w:pStyle w:val="22"/>
              <w:snapToGrid w:val="0"/>
              <w:spacing w:before="120" w:after="120"/>
              <w:outlineLvl w:val="0"/>
              <w:rPr>
                <w:rFonts w:hAnsi="宋体"/>
                <w:color w:val="000000"/>
                <w:szCs w:val="24"/>
                <w:highlight w:val="none"/>
              </w:rPr>
            </w:pPr>
          </w:p>
        </w:tc>
        <w:tc>
          <w:tcPr>
            <w:tcW w:w="1334" w:type="dxa"/>
            <w:tcBorders>
              <w:left w:val="single" w:color="auto" w:sz="4" w:space="0"/>
              <w:bottom w:val="single" w:color="auto" w:sz="4" w:space="0"/>
            </w:tcBorders>
          </w:tcPr>
          <w:p>
            <w:pPr>
              <w:pStyle w:val="22"/>
              <w:snapToGrid w:val="0"/>
              <w:spacing w:before="120" w:after="120"/>
              <w:outlineLvl w:val="0"/>
              <w:rPr>
                <w:rFonts w:hAnsi="宋体"/>
                <w:color w:val="000000"/>
                <w:szCs w:val="24"/>
                <w:highlight w:val="none"/>
              </w:rPr>
            </w:pPr>
          </w:p>
        </w:tc>
      </w:tr>
    </w:tbl>
    <w:p>
      <w:pPr>
        <w:pStyle w:val="52"/>
        <w:adjustRightInd w:val="0"/>
        <w:snapToGrid w:val="0"/>
        <w:spacing w:before="120" w:after="120" w:line="360" w:lineRule="auto"/>
        <w:ind w:left="720" w:hanging="720" w:hangingChars="300"/>
        <w:rPr>
          <w:rFonts w:ascii="宋体" w:hAnsi="宋体" w:cs="宋体"/>
          <w:sz w:val="24"/>
          <w:szCs w:val="24"/>
          <w:highlight w:val="none"/>
        </w:rPr>
      </w:pPr>
      <w:r>
        <w:rPr>
          <w:rFonts w:hint="eastAsia" w:ascii="宋体" w:hAnsi="宋体" w:cs="宋体"/>
          <w:sz w:val="24"/>
          <w:szCs w:val="24"/>
          <w:highlight w:val="none"/>
        </w:rPr>
        <w:t>说明：供应商应对照磋商文件“第三章</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采购需求”的内容，逐条说明所提供服务已对磋商文件的实质性技术条款</w:t>
      </w:r>
      <w:r>
        <w:rPr>
          <w:rFonts w:hint="eastAsia" w:asciiTheme="minorEastAsia" w:hAnsiTheme="minorEastAsia" w:eastAsiaTheme="minorEastAsia" w:cstheme="minorEastAsia"/>
          <w:sz w:val="24"/>
          <w:szCs w:val="24"/>
          <w:highlight w:val="none"/>
        </w:rPr>
        <w:t>（标“▲”的条款）</w:t>
      </w:r>
      <w:r>
        <w:rPr>
          <w:rFonts w:hint="eastAsia" w:ascii="宋体" w:hAnsi="宋体" w:cs="宋体"/>
          <w:sz w:val="24"/>
          <w:szCs w:val="24"/>
          <w:highlight w:val="none"/>
        </w:rPr>
        <w:t>做出了实质性的响应，在“偏离情况”栏注明“正偏离”、“负偏离”或“无偏离”，并申明与规定一般项目条文的偏离和例外。特别对有具体要求的内容，供应商必须提供所投内容的具体说明，并附相关证明文件，同时将相关证明文件的相应页码填写到上表“磋商响应文件中对应的页码”中。</w:t>
      </w:r>
    </w:p>
    <w:p>
      <w:pPr>
        <w:pStyle w:val="52"/>
        <w:adjustRightInd w:val="0"/>
        <w:snapToGrid w:val="0"/>
        <w:spacing w:before="120" w:after="120" w:line="500" w:lineRule="exact"/>
        <w:rPr>
          <w:rFonts w:ascii="宋体" w:cs="宋体"/>
          <w:sz w:val="24"/>
          <w:szCs w:val="24"/>
          <w:highlight w:val="none"/>
        </w:rPr>
      </w:pPr>
    </w:p>
    <w:p>
      <w:pPr>
        <w:pStyle w:val="52"/>
        <w:adjustRightInd w:val="0"/>
        <w:snapToGrid w:val="0"/>
        <w:spacing w:before="120" w:after="120" w:line="360" w:lineRule="auto"/>
        <w:rPr>
          <w:rFonts w:ascii="宋体" w:cs="宋体"/>
          <w:sz w:val="24"/>
          <w:szCs w:val="24"/>
          <w:highlight w:val="none"/>
          <w:u w:val="single"/>
        </w:rPr>
      </w:pPr>
      <w:r>
        <w:rPr>
          <w:rFonts w:hint="eastAsia" w:ascii="宋体" w:hAnsi="宋体" w:cs="宋体"/>
          <w:sz w:val="24"/>
          <w:szCs w:val="24"/>
          <w:highlight w:val="none"/>
        </w:rPr>
        <w:t>供应商名称（签章）：</w:t>
      </w:r>
    </w:p>
    <w:p>
      <w:pPr>
        <w:pStyle w:val="52"/>
        <w:adjustRightInd w:val="0"/>
        <w:snapToGrid w:val="0"/>
        <w:spacing w:before="120" w:after="120" w:line="360" w:lineRule="auto"/>
        <w:rPr>
          <w:rFonts w:ascii="宋体" w:cs="宋体"/>
          <w:sz w:val="24"/>
          <w:szCs w:val="24"/>
          <w:highlight w:val="none"/>
        </w:rPr>
      </w:pPr>
      <w:r>
        <w:rPr>
          <w:rFonts w:hint="eastAsia" w:ascii="宋体" w:hAnsi="宋体" w:cs="宋体"/>
          <w:sz w:val="24"/>
          <w:szCs w:val="24"/>
          <w:highlight w:val="none"/>
        </w:rPr>
        <w:t>法定代表人或委托代理人（签字或签章）：</w:t>
      </w:r>
    </w:p>
    <w:p>
      <w:pPr>
        <w:pStyle w:val="57"/>
        <w:tabs>
          <w:tab w:val="left" w:pos="1365"/>
        </w:tabs>
        <w:spacing w:line="360" w:lineRule="auto"/>
        <w:jc w:val="left"/>
        <w:rPr>
          <w:rFonts w:ascii="宋体" w:hAnsi="宋体" w:cs="宋体"/>
          <w:sz w:val="24"/>
          <w:szCs w:val="24"/>
          <w:highlight w:val="none"/>
        </w:rPr>
      </w:pPr>
      <w:r>
        <w:rPr>
          <w:rFonts w:hint="eastAsia" w:ascii="宋体" w:hAnsi="宋体" w:cs="宋体"/>
          <w:sz w:val="24"/>
          <w:szCs w:val="24"/>
          <w:highlight w:val="none"/>
        </w:rPr>
        <w:t>日期：年月日</w:t>
      </w:r>
    </w:p>
    <w:p>
      <w:pPr>
        <w:spacing w:line="360" w:lineRule="auto"/>
        <w:rPr>
          <w:rFonts w:ascii="宋体" w:hAnsi="宋体"/>
          <w:color w:val="000000"/>
          <w:sz w:val="24"/>
          <w:highlight w:val="none"/>
        </w:rPr>
      </w:pPr>
      <w:r>
        <w:rPr>
          <w:highlight w:val="none"/>
        </w:rPr>
        <w:br w:type="page"/>
      </w:r>
      <w:r>
        <w:rPr>
          <w:rFonts w:hint="eastAsia" w:ascii="宋体" w:hAnsi="宋体"/>
          <w:color w:val="000000"/>
          <w:sz w:val="24"/>
          <w:highlight w:val="none"/>
        </w:rPr>
        <w:t xml:space="preserve">附件8：                   </w:t>
      </w:r>
    </w:p>
    <w:p>
      <w:pPr>
        <w:spacing w:line="360" w:lineRule="auto"/>
        <w:jc w:val="center"/>
        <w:rPr>
          <w:rFonts w:ascii="宋体" w:hAnsi="宋体"/>
          <w:b/>
          <w:color w:val="000000"/>
          <w:sz w:val="24"/>
          <w:szCs w:val="24"/>
          <w:highlight w:val="none"/>
        </w:rPr>
      </w:pPr>
      <w:r>
        <w:rPr>
          <w:rFonts w:hint="eastAsia" w:ascii="宋体" w:hAnsi="宋体"/>
          <w:b/>
          <w:color w:val="000000"/>
          <w:sz w:val="24"/>
          <w:szCs w:val="24"/>
          <w:highlight w:val="none"/>
        </w:rPr>
        <w:t>企业状况一览表</w:t>
      </w:r>
    </w:p>
    <w:p>
      <w:pPr>
        <w:pStyle w:val="52"/>
        <w:adjustRightInd w:val="0"/>
        <w:snapToGrid w:val="0"/>
        <w:spacing w:before="120" w:after="120" w:line="500" w:lineRule="exact"/>
        <w:rPr>
          <w:rFonts w:hint="eastAsia" w:ascii="宋体" w:eastAsia="宋体" w:cs="宋体"/>
          <w:sz w:val="24"/>
          <w:szCs w:val="24"/>
          <w:highlight w:val="none"/>
          <w:lang w:eastAsia="zh-CN"/>
        </w:rPr>
      </w:pPr>
      <w:r>
        <w:rPr>
          <w:rFonts w:hint="eastAsia" w:ascii="宋体" w:hAnsi="宋体" w:cs="宋体"/>
          <w:sz w:val="24"/>
          <w:szCs w:val="24"/>
          <w:highlight w:val="none"/>
          <w:lang w:eastAsia="zh-CN"/>
        </w:rPr>
        <w:t>项目编号：</w:t>
      </w:r>
    </w:p>
    <w:p>
      <w:pPr>
        <w:spacing w:line="360" w:lineRule="auto"/>
        <w:rPr>
          <w:rFonts w:ascii="宋体" w:hAnsi="宋体"/>
          <w:b/>
          <w:color w:val="000000"/>
          <w:sz w:val="24"/>
          <w:szCs w:val="24"/>
          <w:highlight w:val="none"/>
        </w:rPr>
      </w:pPr>
      <w:r>
        <w:rPr>
          <w:rFonts w:hint="eastAsia" w:ascii="宋体" w:hAnsi="宋体" w:cs="宋体"/>
          <w:sz w:val="24"/>
          <w:szCs w:val="24"/>
          <w:highlight w:val="none"/>
        </w:rPr>
        <w:t>项目名称：</w:t>
      </w:r>
    </w:p>
    <w:tbl>
      <w:tblPr>
        <w:tblStyle w:val="35"/>
        <w:tblW w:w="8805" w:type="dxa"/>
        <w:tblInd w:w="0" w:type="dxa"/>
        <w:tblLayout w:type="fixed"/>
        <w:tblCellMar>
          <w:top w:w="0" w:type="dxa"/>
          <w:left w:w="108" w:type="dxa"/>
          <w:bottom w:w="0" w:type="dxa"/>
          <w:right w:w="108" w:type="dxa"/>
        </w:tblCellMar>
      </w:tblPr>
      <w:tblGrid>
        <w:gridCol w:w="1908"/>
        <w:gridCol w:w="2880"/>
        <w:gridCol w:w="1800"/>
        <w:gridCol w:w="2217"/>
      </w:tblGrid>
      <w:tr>
        <w:tblPrEx>
          <w:tblCellMar>
            <w:top w:w="0" w:type="dxa"/>
            <w:left w:w="108" w:type="dxa"/>
            <w:bottom w:w="0" w:type="dxa"/>
            <w:right w:w="108" w:type="dxa"/>
          </w:tblCellMar>
        </w:tblPrEx>
        <w:trPr>
          <w:trHeight w:val="566" w:hRule="atLeast"/>
        </w:trPr>
        <w:tc>
          <w:tcPr>
            <w:tcW w:w="1908" w:type="dxa"/>
            <w:tcBorders>
              <w:top w:val="single" w:color="auto" w:sz="12" w:space="0"/>
              <w:left w:val="single" w:color="auto" w:sz="12" w:space="0"/>
              <w:bottom w:val="single" w:color="auto" w:sz="6" w:space="0"/>
              <w:right w:val="single" w:color="auto" w:sz="6" w:space="0"/>
            </w:tcBorders>
            <w:vAlign w:val="center"/>
          </w:tcPr>
          <w:p>
            <w:pPr>
              <w:tabs>
                <w:tab w:val="left" w:pos="2160"/>
              </w:tabs>
              <w:autoSpaceDE w:val="0"/>
              <w:autoSpaceDN w:val="0"/>
              <w:adjustRightInd w:val="0"/>
              <w:spacing w:line="480" w:lineRule="exact"/>
              <w:jc w:val="center"/>
              <w:rPr>
                <w:rFonts w:hint="eastAsia" w:ascii="宋体" w:hAnsi="Tunga" w:cs="宋体"/>
                <w:kern w:val="32"/>
                <w:szCs w:val="21"/>
                <w:highlight w:val="none"/>
                <w:lang w:val="zh-CN"/>
              </w:rPr>
            </w:pPr>
            <w:r>
              <w:rPr>
                <w:rFonts w:hint="eastAsia" w:ascii="宋体" w:hAnsi="Tunga" w:cs="宋体"/>
                <w:kern w:val="32"/>
                <w:szCs w:val="21"/>
                <w:highlight w:val="none"/>
                <w:lang w:val="zh-CN"/>
              </w:rPr>
              <w:t>企业注册名称</w:t>
            </w:r>
          </w:p>
        </w:tc>
        <w:tc>
          <w:tcPr>
            <w:tcW w:w="6897" w:type="dxa"/>
            <w:gridSpan w:val="3"/>
            <w:tcBorders>
              <w:top w:val="single" w:color="auto" w:sz="12" w:space="0"/>
              <w:left w:val="single" w:color="auto" w:sz="6" w:space="0"/>
              <w:bottom w:val="single" w:color="auto" w:sz="6" w:space="0"/>
              <w:right w:val="single" w:color="auto" w:sz="12" w:space="0"/>
            </w:tcBorders>
            <w:vAlign w:val="center"/>
          </w:tcPr>
          <w:p>
            <w:pPr>
              <w:tabs>
                <w:tab w:val="left" w:pos="2160"/>
              </w:tabs>
              <w:autoSpaceDE w:val="0"/>
              <w:autoSpaceDN w:val="0"/>
              <w:adjustRightInd w:val="0"/>
              <w:spacing w:line="480" w:lineRule="exact"/>
              <w:jc w:val="center"/>
              <w:rPr>
                <w:rFonts w:hint="eastAsia" w:ascii="宋体" w:hAnsi="Tunga" w:cs="宋体"/>
                <w:kern w:val="32"/>
                <w:szCs w:val="21"/>
                <w:highlight w:val="none"/>
                <w:lang w:val="zh-CN"/>
              </w:rPr>
            </w:pPr>
          </w:p>
        </w:tc>
      </w:tr>
      <w:tr>
        <w:tblPrEx>
          <w:tblCellMar>
            <w:top w:w="0" w:type="dxa"/>
            <w:left w:w="108" w:type="dxa"/>
            <w:bottom w:w="0" w:type="dxa"/>
            <w:right w:w="108" w:type="dxa"/>
          </w:tblCellMar>
        </w:tblPrEx>
        <w:trPr>
          <w:trHeight w:val="616" w:hRule="atLeast"/>
        </w:trPr>
        <w:tc>
          <w:tcPr>
            <w:tcW w:w="1908" w:type="dxa"/>
            <w:tcBorders>
              <w:top w:val="single" w:color="auto" w:sz="6" w:space="0"/>
              <w:left w:val="single" w:color="auto" w:sz="12" w:space="0"/>
              <w:bottom w:val="single" w:color="auto" w:sz="6" w:space="0"/>
              <w:right w:val="single" w:color="auto" w:sz="6" w:space="0"/>
            </w:tcBorders>
            <w:vAlign w:val="center"/>
          </w:tcPr>
          <w:p>
            <w:pPr>
              <w:tabs>
                <w:tab w:val="left" w:pos="2160"/>
              </w:tabs>
              <w:autoSpaceDE w:val="0"/>
              <w:autoSpaceDN w:val="0"/>
              <w:adjustRightInd w:val="0"/>
              <w:spacing w:line="480" w:lineRule="exact"/>
              <w:jc w:val="center"/>
              <w:rPr>
                <w:rFonts w:hint="eastAsia" w:ascii="宋体" w:hAnsi="Tunga" w:cs="宋体"/>
                <w:kern w:val="32"/>
                <w:szCs w:val="21"/>
                <w:highlight w:val="none"/>
                <w:lang w:val="zh-CN"/>
              </w:rPr>
            </w:pPr>
            <w:r>
              <w:rPr>
                <w:rFonts w:hint="eastAsia" w:ascii="宋体" w:hAnsi="Tunga" w:cs="宋体"/>
                <w:kern w:val="32"/>
                <w:szCs w:val="21"/>
                <w:highlight w:val="none"/>
                <w:lang w:val="zh-CN"/>
              </w:rPr>
              <w:t>企业法人代表</w:t>
            </w:r>
          </w:p>
        </w:tc>
        <w:tc>
          <w:tcPr>
            <w:tcW w:w="2880" w:type="dxa"/>
            <w:tcBorders>
              <w:top w:val="single" w:color="auto" w:sz="6" w:space="0"/>
              <w:left w:val="single" w:color="auto" w:sz="6" w:space="0"/>
              <w:bottom w:val="single" w:color="auto" w:sz="6" w:space="0"/>
              <w:right w:val="single" w:color="auto" w:sz="6" w:space="0"/>
            </w:tcBorders>
            <w:vAlign w:val="center"/>
          </w:tcPr>
          <w:p>
            <w:pPr>
              <w:tabs>
                <w:tab w:val="left" w:pos="2160"/>
              </w:tabs>
              <w:autoSpaceDE w:val="0"/>
              <w:autoSpaceDN w:val="0"/>
              <w:adjustRightInd w:val="0"/>
              <w:spacing w:line="480" w:lineRule="exact"/>
              <w:jc w:val="center"/>
              <w:rPr>
                <w:rFonts w:hint="eastAsia" w:ascii="宋体" w:hAnsi="Tunga" w:cs="宋体"/>
                <w:kern w:val="32"/>
                <w:szCs w:val="21"/>
                <w:highlight w:val="none"/>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pPr>
              <w:tabs>
                <w:tab w:val="left" w:pos="2160"/>
              </w:tabs>
              <w:autoSpaceDE w:val="0"/>
              <w:autoSpaceDN w:val="0"/>
              <w:adjustRightInd w:val="0"/>
              <w:spacing w:line="480" w:lineRule="exact"/>
              <w:jc w:val="center"/>
              <w:rPr>
                <w:rFonts w:hint="eastAsia" w:ascii="宋体" w:hAnsi="Tunga" w:cs="宋体"/>
                <w:kern w:val="32"/>
                <w:szCs w:val="21"/>
                <w:highlight w:val="none"/>
                <w:lang w:val="zh-CN"/>
              </w:rPr>
            </w:pPr>
            <w:r>
              <w:rPr>
                <w:rFonts w:hint="eastAsia" w:ascii="宋体" w:hAnsi="Tunga" w:cs="宋体"/>
                <w:kern w:val="32"/>
                <w:szCs w:val="21"/>
                <w:highlight w:val="none"/>
                <w:lang w:val="zh-CN"/>
              </w:rPr>
              <w:t>职   称</w:t>
            </w:r>
          </w:p>
        </w:tc>
        <w:tc>
          <w:tcPr>
            <w:tcW w:w="2217" w:type="dxa"/>
            <w:tcBorders>
              <w:top w:val="single" w:color="auto" w:sz="6" w:space="0"/>
              <w:left w:val="single" w:color="auto" w:sz="6" w:space="0"/>
              <w:bottom w:val="single" w:color="auto" w:sz="6" w:space="0"/>
              <w:right w:val="single" w:color="auto" w:sz="12" w:space="0"/>
            </w:tcBorders>
            <w:vAlign w:val="center"/>
          </w:tcPr>
          <w:p>
            <w:pPr>
              <w:tabs>
                <w:tab w:val="left" w:pos="2160"/>
              </w:tabs>
              <w:autoSpaceDE w:val="0"/>
              <w:autoSpaceDN w:val="0"/>
              <w:adjustRightInd w:val="0"/>
              <w:spacing w:line="480" w:lineRule="exact"/>
              <w:jc w:val="center"/>
              <w:rPr>
                <w:rFonts w:hint="eastAsia" w:ascii="宋体" w:hAnsi="Tunga" w:cs="宋体"/>
                <w:kern w:val="32"/>
                <w:szCs w:val="21"/>
                <w:highlight w:val="none"/>
                <w:lang w:val="zh-CN"/>
              </w:rPr>
            </w:pPr>
          </w:p>
        </w:tc>
      </w:tr>
      <w:tr>
        <w:tblPrEx>
          <w:tblCellMar>
            <w:top w:w="0" w:type="dxa"/>
            <w:left w:w="108" w:type="dxa"/>
            <w:bottom w:w="0" w:type="dxa"/>
            <w:right w:w="108" w:type="dxa"/>
          </w:tblCellMar>
        </w:tblPrEx>
        <w:trPr>
          <w:trHeight w:val="610" w:hRule="atLeast"/>
        </w:trPr>
        <w:tc>
          <w:tcPr>
            <w:tcW w:w="1908" w:type="dxa"/>
            <w:tcBorders>
              <w:top w:val="single" w:color="auto" w:sz="6" w:space="0"/>
              <w:left w:val="single" w:color="auto" w:sz="12" w:space="0"/>
              <w:bottom w:val="single" w:color="auto" w:sz="6" w:space="0"/>
              <w:right w:val="single" w:color="auto" w:sz="6" w:space="0"/>
            </w:tcBorders>
            <w:vAlign w:val="center"/>
          </w:tcPr>
          <w:p>
            <w:pPr>
              <w:tabs>
                <w:tab w:val="left" w:pos="2160"/>
              </w:tabs>
              <w:autoSpaceDE w:val="0"/>
              <w:autoSpaceDN w:val="0"/>
              <w:adjustRightInd w:val="0"/>
              <w:spacing w:line="480" w:lineRule="exact"/>
              <w:jc w:val="center"/>
              <w:rPr>
                <w:rFonts w:hint="eastAsia" w:ascii="宋体" w:hAnsi="Tunga" w:cs="宋体"/>
                <w:kern w:val="32"/>
                <w:szCs w:val="21"/>
                <w:highlight w:val="none"/>
                <w:lang w:val="zh-CN"/>
              </w:rPr>
            </w:pPr>
            <w:r>
              <w:rPr>
                <w:rFonts w:hint="eastAsia" w:ascii="宋体" w:hAnsi="Tunga" w:cs="宋体"/>
                <w:kern w:val="32"/>
                <w:szCs w:val="21"/>
                <w:highlight w:val="none"/>
                <w:lang w:val="zh-CN"/>
              </w:rPr>
              <w:t>企业资质等级</w:t>
            </w:r>
          </w:p>
        </w:tc>
        <w:tc>
          <w:tcPr>
            <w:tcW w:w="2880" w:type="dxa"/>
            <w:tcBorders>
              <w:top w:val="single" w:color="auto" w:sz="6" w:space="0"/>
              <w:left w:val="single" w:color="auto" w:sz="6" w:space="0"/>
              <w:bottom w:val="single" w:color="auto" w:sz="6" w:space="0"/>
              <w:right w:val="single" w:color="auto" w:sz="6" w:space="0"/>
            </w:tcBorders>
            <w:vAlign w:val="center"/>
          </w:tcPr>
          <w:p>
            <w:pPr>
              <w:tabs>
                <w:tab w:val="left" w:pos="2160"/>
              </w:tabs>
              <w:autoSpaceDE w:val="0"/>
              <w:autoSpaceDN w:val="0"/>
              <w:adjustRightInd w:val="0"/>
              <w:spacing w:line="480" w:lineRule="exact"/>
              <w:jc w:val="center"/>
              <w:rPr>
                <w:rFonts w:hint="eastAsia" w:ascii="宋体" w:hAnsi="Tunga" w:cs="宋体"/>
                <w:kern w:val="32"/>
                <w:szCs w:val="21"/>
                <w:highlight w:val="none"/>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pPr>
              <w:tabs>
                <w:tab w:val="left" w:pos="2160"/>
              </w:tabs>
              <w:autoSpaceDE w:val="0"/>
              <w:autoSpaceDN w:val="0"/>
              <w:adjustRightInd w:val="0"/>
              <w:spacing w:line="480" w:lineRule="exact"/>
              <w:jc w:val="center"/>
              <w:rPr>
                <w:rFonts w:hint="eastAsia" w:ascii="宋体" w:hAnsi="Tunga" w:cs="宋体"/>
                <w:kern w:val="32"/>
                <w:szCs w:val="21"/>
                <w:highlight w:val="none"/>
                <w:lang w:val="zh-CN"/>
              </w:rPr>
            </w:pPr>
            <w:r>
              <w:rPr>
                <w:rFonts w:hint="eastAsia" w:ascii="宋体" w:hAnsi="Tunga" w:cs="宋体"/>
                <w:kern w:val="32"/>
                <w:szCs w:val="21"/>
                <w:highlight w:val="none"/>
                <w:lang w:val="zh-CN"/>
              </w:rPr>
              <w:t>企业性质</w:t>
            </w:r>
          </w:p>
        </w:tc>
        <w:tc>
          <w:tcPr>
            <w:tcW w:w="2217" w:type="dxa"/>
            <w:tcBorders>
              <w:top w:val="single" w:color="auto" w:sz="6" w:space="0"/>
              <w:left w:val="single" w:color="auto" w:sz="6" w:space="0"/>
              <w:bottom w:val="single" w:color="auto" w:sz="6" w:space="0"/>
              <w:right w:val="single" w:color="auto" w:sz="12" w:space="0"/>
            </w:tcBorders>
            <w:vAlign w:val="center"/>
          </w:tcPr>
          <w:p>
            <w:pPr>
              <w:tabs>
                <w:tab w:val="left" w:pos="2160"/>
              </w:tabs>
              <w:autoSpaceDE w:val="0"/>
              <w:autoSpaceDN w:val="0"/>
              <w:adjustRightInd w:val="0"/>
              <w:spacing w:line="480" w:lineRule="exact"/>
              <w:jc w:val="center"/>
              <w:rPr>
                <w:rFonts w:hint="eastAsia" w:ascii="宋体" w:hAnsi="Tunga" w:cs="宋体"/>
                <w:kern w:val="32"/>
                <w:szCs w:val="21"/>
                <w:highlight w:val="none"/>
                <w:lang w:val="zh-CN"/>
              </w:rPr>
            </w:pPr>
          </w:p>
        </w:tc>
      </w:tr>
      <w:tr>
        <w:tblPrEx>
          <w:tblCellMar>
            <w:top w:w="0" w:type="dxa"/>
            <w:left w:w="108" w:type="dxa"/>
            <w:bottom w:w="0" w:type="dxa"/>
            <w:right w:w="108" w:type="dxa"/>
          </w:tblCellMar>
        </w:tblPrEx>
        <w:trPr>
          <w:trHeight w:val="605" w:hRule="atLeast"/>
        </w:trPr>
        <w:tc>
          <w:tcPr>
            <w:tcW w:w="1908" w:type="dxa"/>
            <w:tcBorders>
              <w:top w:val="single" w:color="auto" w:sz="6" w:space="0"/>
              <w:left w:val="single" w:color="auto" w:sz="12" w:space="0"/>
              <w:bottom w:val="single" w:color="auto" w:sz="6" w:space="0"/>
              <w:right w:val="single" w:color="auto" w:sz="6" w:space="0"/>
            </w:tcBorders>
            <w:vAlign w:val="center"/>
          </w:tcPr>
          <w:p>
            <w:pPr>
              <w:tabs>
                <w:tab w:val="left" w:pos="2160"/>
              </w:tabs>
              <w:autoSpaceDE w:val="0"/>
              <w:autoSpaceDN w:val="0"/>
              <w:adjustRightInd w:val="0"/>
              <w:spacing w:line="480" w:lineRule="exact"/>
              <w:jc w:val="center"/>
              <w:rPr>
                <w:rFonts w:hint="eastAsia" w:ascii="宋体" w:hAnsi="Tunga" w:cs="宋体"/>
                <w:kern w:val="32"/>
                <w:szCs w:val="21"/>
                <w:highlight w:val="none"/>
                <w:lang w:val="zh-CN"/>
              </w:rPr>
            </w:pPr>
            <w:r>
              <w:rPr>
                <w:rFonts w:hint="eastAsia" w:ascii="宋体" w:hAnsi="Tunga" w:cs="宋体"/>
                <w:kern w:val="32"/>
                <w:szCs w:val="21"/>
                <w:highlight w:val="none"/>
                <w:lang w:val="zh-CN"/>
              </w:rPr>
              <w:t>企业建立日期</w:t>
            </w:r>
          </w:p>
        </w:tc>
        <w:tc>
          <w:tcPr>
            <w:tcW w:w="2880" w:type="dxa"/>
            <w:tcBorders>
              <w:top w:val="single" w:color="auto" w:sz="6" w:space="0"/>
              <w:left w:val="single" w:color="auto" w:sz="6" w:space="0"/>
              <w:bottom w:val="single" w:color="auto" w:sz="6" w:space="0"/>
              <w:right w:val="single" w:color="auto" w:sz="6" w:space="0"/>
            </w:tcBorders>
            <w:vAlign w:val="center"/>
          </w:tcPr>
          <w:p>
            <w:pPr>
              <w:tabs>
                <w:tab w:val="left" w:pos="2160"/>
              </w:tabs>
              <w:autoSpaceDE w:val="0"/>
              <w:autoSpaceDN w:val="0"/>
              <w:adjustRightInd w:val="0"/>
              <w:spacing w:line="480" w:lineRule="exact"/>
              <w:jc w:val="center"/>
              <w:rPr>
                <w:rFonts w:hint="eastAsia" w:ascii="宋体" w:hAnsi="Tunga" w:cs="宋体"/>
                <w:kern w:val="32"/>
                <w:szCs w:val="21"/>
                <w:highlight w:val="none"/>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pPr>
              <w:tabs>
                <w:tab w:val="left" w:pos="2160"/>
              </w:tabs>
              <w:autoSpaceDE w:val="0"/>
              <w:autoSpaceDN w:val="0"/>
              <w:adjustRightInd w:val="0"/>
              <w:spacing w:line="480" w:lineRule="exact"/>
              <w:jc w:val="center"/>
              <w:rPr>
                <w:rFonts w:hint="eastAsia" w:ascii="宋体" w:hAnsi="Tunga" w:cs="宋体"/>
                <w:kern w:val="32"/>
                <w:szCs w:val="21"/>
                <w:highlight w:val="none"/>
                <w:lang w:val="zh-CN"/>
              </w:rPr>
            </w:pPr>
            <w:r>
              <w:rPr>
                <w:rFonts w:hint="eastAsia" w:ascii="宋体" w:hAnsi="Tunga" w:cs="宋体"/>
                <w:kern w:val="32"/>
                <w:szCs w:val="21"/>
                <w:highlight w:val="none"/>
                <w:lang w:val="zh-CN"/>
              </w:rPr>
              <w:t>经营方式</w:t>
            </w:r>
          </w:p>
        </w:tc>
        <w:tc>
          <w:tcPr>
            <w:tcW w:w="2217" w:type="dxa"/>
            <w:tcBorders>
              <w:top w:val="single" w:color="auto" w:sz="6" w:space="0"/>
              <w:left w:val="single" w:color="auto" w:sz="6" w:space="0"/>
              <w:bottom w:val="single" w:color="auto" w:sz="6" w:space="0"/>
              <w:right w:val="single" w:color="auto" w:sz="12" w:space="0"/>
            </w:tcBorders>
            <w:vAlign w:val="center"/>
          </w:tcPr>
          <w:p>
            <w:pPr>
              <w:tabs>
                <w:tab w:val="left" w:pos="2160"/>
              </w:tabs>
              <w:autoSpaceDE w:val="0"/>
              <w:autoSpaceDN w:val="0"/>
              <w:adjustRightInd w:val="0"/>
              <w:spacing w:line="480" w:lineRule="exact"/>
              <w:jc w:val="center"/>
              <w:rPr>
                <w:rFonts w:hint="eastAsia" w:ascii="宋体" w:hAnsi="Tunga" w:cs="宋体"/>
                <w:kern w:val="32"/>
                <w:szCs w:val="21"/>
                <w:highlight w:val="none"/>
                <w:lang w:val="zh-CN"/>
              </w:rPr>
            </w:pPr>
          </w:p>
        </w:tc>
      </w:tr>
      <w:tr>
        <w:tblPrEx>
          <w:tblCellMar>
            <w:top w:w="0" w:type="dxa"/>
            <w:left w:w="108" w:type="dxa"/>
            <w:bottom w:w="0" w:type="dxa"/>
            <w:right w:w="108" w:type="dxa"/>
          </w:tblCellMar>
        </w:tblPrEx>
        <w:trPr>
          <w:trHeight w:val="613" w:hRule="atLeast"/>
        </w:trPr>
        <w:tc>
          <w:tcPr>
            <w:tcW w:w="1908" w:type="dxa"/>
            <w:tcBorders>
              <w:top w:val="single" w:color="auto" w:sz="6" w:space="0"/>
              <w:left w:val="single" w:color="auto" w:sz="12" w:space="0"/>
              <w:bottom w:val="single" w:color="auto" w:sz="6" w:space="0"/>
              <w:right w:val="single" w:color="auto" w:sz="6" w:space="0"/>
            </w:tcBorders>
            <w:vAlign w:val="center"/>
          </w:tcPr>
          <w:p>
            <w:pPr>
              <w:tabs>
                <w:tab w:val="left" w:pos="2160"/>
              </w:tabs>
              <w:autoSpaceDE w:val="0"/>
              <w:autoSpaceDN w:val="0"/>
              <w:adjustRightInd w:val="0"/>
              <w:spacing w:line="480" w:lineRule="exact"/>
              <w:jc w:val="center"/>
              <w:rPr>
                <w:rFonts w:hint="eastAsia" w:ascii="宋体" w:hAnsi="Tunga" w:cs="宋体"/>
                <w:kern w:val="32"/>
                <w:szCs w:val="21"/>
                <w:highlight w:val="none"/>
                <w:lang w:val="zh-CN"/>
              </w:rPr>
            </w:pPr>
            <w:r>
              <w:rPr>
                <w:rFonts w:hint="eastAsia" w:ascii="宋体" w:hAnsi="Tunga" w:cs="宋体"/>
                <w:kern w:val="32"/>
                <w:szCs w:val="21"/>
                <w:highlight w:val="none"/>
                <w:lang w:val="zh-CN"/>
              </w:rPr>
              <w:t>企业联系电话</w:t>
            </w:r>
          </w:p>
        </w:tc>
        <w:tc>
          <w:tcPr>
            <w:tcW w:w="2880" w:type="dxa"/>
            <w:tcBorders>
              <w:top w:val="single" w:color="auto" w:sz="6" w:space="0"/>
              <w:left w:val="single" w:color="auto" w:sz="6" w:space="0"/>
              <w:bottom w:val="single" w:color="auto" w:sz="6" w:space="0"/>
              <w:right w:val="single" w:color="auto" w:sz="6" w:space="0"/>
            </w:tcBorders>
            <w:vAlign w:val="center"/>
          </w:tcPr>
          <w:p>
            <w:pPr>
              <w:tabs>
                <w:tab w:val="left" w:pos="2160"/>
              </w:tabs>
              <w:autoSpaceDE w:val="0"/>
              <w:autoSpaceDN w:val="0"/>
              <w:adjustRightInd w:val="0"/>
              <w:spacing w:line="480" w:lineRule="exact"/>
              <w:jc w:val="center"/>
              <w:rPr>
                <w:rFonts w:hint="eastAsia" w:ascii="宋体" w:hAnsi="Tunga" w:cs="宋体"/>
                <w:kern w:val="32"/>
                <w:szCs w:val="21"/>
                <w:highlight w:val="none"/>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pPr>
              <w:tabs>
                <w:tab w:val="left" w:pos="2160"/>
              </w:tabs>
              <w:autoSpaceDE w:val="0"/>
              <w:autoSpaceDN w:val="0"/>
              <w:adjustRightInd w:val="0"/>
              <w:spacing w:line="480" w:lineRule="exact"/>
              <w:jc w:val="center"/>
              <w:rPr>
                <w:rFonts w:hint="eastAsia" w:ascii="宋体" w:hAnsi="Tunga" w:cs="宋体"/>
                <w:kern w:val="32"/>
                <w:szCs w:val="21"/>
                <w:highlight w:val="none"/>
                <w:lang w:val="zh-CN"/>
              </w:rPr>
            </w:pPr>
            <w:r>
              <w:rPr>
                <w:rFonts w:hint="eastAsia" w:ascii="宋体" w:hAnsi="Tunga" w:cs="宋体"/>
                <w:kern w:val="32"/>
                <w:szCs w:val="21"/>
                <w:highlight w:val="none"/>
                <w:lang w:val="zh-CN"/>
              </w:rPr>
              <w:t>单位地址</w:t>
            </w:r>
          </w:p>
        </w:tc>
        <w:tc>
          <w:tcPr>
            <w:tcW w:w="2217" w:type="dxa"/>
            <w:tcBorders>
              <w:top w:val="single" w:color="auto" w:sz="6" w:space="0"/>
              <w:left w:val="single" w:color="auto" w:sz="6" w:space="0"/>
              <w:bottom w:val="single" w:color="auto" w:sz="6" w:space="0"/>
              <w:right w:val="single" w:color="auto" w:sz="12" w:space="0"/>
            </w:tcBorders>
            <w:vAlign w:val="center"/>
          </w:tcPr>
          <w:p>
            <w:pPr>
              <w:tabs>
                <w:tab w:val="left" w:pos="2160"/>
              </w:tabs>
              <w:autoSpaceDE w:val="0"/>
              <w:autoSpaceDN w:val="0"/>
              <w:adjustRightInd w:val="0"/>
              <w:spacing w:line="480" w:lineRule="exact"/>
              <w:jc w:val="center"/>
              <w:rPr>
                <w:rFonts w:hint="eastAsia" w:ascii="宋体" w:hAnsi="Tunga" w:cs="宋体"/>
                <w:kern w:val="32"/>
                <w:szCs w:val="21"/>
                <w:highlight w:val="none"/>
                <w:lang w:val="zh-CN"/>
              </w:rPr>
            </w:pPr>
          </w:p>
        </w:tc>
      </w:tr>
      <w:tr>
        <w:tblPrEx>
          <w:tblCellMar>
            <w:top w:w="0" w:type="dxa"/>
            <w:left w:w="108" w:type="dxa"/>
            <w:bottom w:w="0" w:type="dxa"/>
            <w:right w:w="108" w:type="dxa"/>
          </w:tblCellMar>
        </w:tblPrEx>
        <w:trPr>
          <w:trHeight w:val="621" w:hRule="atLeast"/>
        </w:trPr>
        <w:tc>
          <w:tcPr>
            <w:tcW w:w="1908" w:type="dxa"/>
            <w:tcBorders>
              <w:top w:val="single" w:color="auto" w:sz="6" w:space="0"/>
              <w:left w:val="single" w:color="auto" w:sz="12" w:space="0"/>
              <w:bottom w:val="single" w:color="auto" w:sz="6" w:space="0"/>
              <w:right w:val="single" w:color="auto" w:sz="6" w:space="0"/>
            </w:tcBorders>
            <w:vAlign w:val="center"/>
          </w:tcPr>
          <w:p>
            <w:pPr>
              <w:tabs>
                <w:tab w:val="left" w:pos="2160"/>
              </w:tabs>
              <w:autoSpaceDE w:val="0"/>
              <w:autoSpaceDN w:val="0"/>
              <w:adjustRightInd w:val="0"/>
              <w:spacing w:line="480" w:lineRule="exact"/>
              <w:jc w:val="center"/>
              <w:rPr>
                <w:rFonts w:hint="eastAsia" w:ascii="宋体" w:hAnsi="Tunga" w:cs="宋体"/>
                <w:kern w:val="32"/>
                <w:szCs w:val="21"/>
                <w:highlight w:val="none"/>
                <w:lang w:val="zh-CN"/>
              </w:rPr>
            </w:pPr>
            <w:r>
              <w:rPr>
                <w:rFonts w:hint="eastAsia" w:ascii="宋体" w:hAnsi="Tunga" w:cs="宋体"/>
                <w:kern w:val="32"/>
                <w:szCs w:val="21"/>
                <w:highlight w:val="none"/>
                <w:lang w:val="zh-CN"/>
              </w:rPr>
              <w:t>上级主管部门</w:t>
            </w:r>
          </w:p>
        </w:tc>
        <w:tc>
          <w:tcPr>
            <w:tcW w:w="6897" w:type="dxa"/>
            <w:gridSpan w:val="3"/>
            <w:tcBorders>
              <w:top w:val="single" w:color="auto" w:sz="6" w:space="0"/>
              <w:left w:val="single" w:color="auto" w:sz="6" w:space="0"/>
              <w:bottom w:val="single" w:color="auto" w:sz="6" w:space="0"/>
              <w:right w:val="single" w:color="auto" w:sz="12" w:space="0"/>
            </w:tcBorders>
            <w:vAlign w:val="center"/>
          </w:tcPr>
          <w:p>
            <w:pPr>
              <w:tabs>
                <w:tab w:val="left" w:pos="2160"/>
              </w:tabs>
              <w:autoSpaceDE w:val="0"/>
              <w:autoSpaceDN w:val="0"/>
              <w:adjustRightInd w:val="0"/>
              <w:spacing w:line="480" w:lineRule="exact"/>
              <w:jc w:val="center"/>
              <w:rPr>
                <w:rFonts w:hint="eastAsia" w:ascii="宋体" w:hAnsi="Tunga" w:cs="宋体"/>
                <w:kern w:val="32"/>
                <w:szCs w:val="21"/>
                <w:highlight w:val="none"/>
                <w:lang w:val="zh-CN"/>
              </w:rPr>
            </w:pPr>
          </w:p>
        </w:tc>
      </w:tr>
      <w:tr>
        <w:tblPrEx>
          <w:tblCellMar>
            <w:top w:w="0" w:type="dxa"/>
            <w:left w:w="108" w:type="dxa"/>
            <w:bottom w:w="0" w:type="dxa"/>
            <w:right w:w="108" w:type="dxa"/>
          </w:tblCellMar>
        </w:tblPrEx>
        <w:trPr>
          <w:trHeight w:val="1237" w:hRule="atLeast"/>
        </w:trPr>
        <w:tc>
          <w:tcPr>
            <w:tcW w:w="1908" w:type="dxa"/>
            <w:tcBorders>
              <w:top w:val="single" w:color="auto" w:sz="6" w:space="0"/>
              <w:left w:val="single" w:color="auto" w:sz="12" w:space="0"/>
              <w:bottom w:val="single" w:color="auto" w:sz="6" w:space="0"/>
              <w:right w:val="single" w:color="auto" w:sz="6" w:space="0"/>
            </w:tcBorders>
            <w:vAlign w:val="center"/>
          </w:tcPr>
          <w:p>
            <w:pPr>
              <w:tabs>
                <w:tab w:val="left" w:pos="2160"/>
              </w:tabs>
              <w:autoSpaceDE w:val="0"/>
              <w:autoSpaceDN w:val="0"/>
              <w:adjustRightInd w:val="0"/>
              <w:spacing w:line="480" w:lineRule="exact"/>
              <w:jc w:val="center"/>
              <w:rPr>
                <w:rFonts w:hint="eastAsia" w:ascii="宋体" w:hAnsi="Tunga" w:cs="宋体"/>
                <w:kern w:val="32"/>
                <w:szCs w:val="21"/>
                <w:highlight w:val="none"/>
                <w:lang w:val="zh-CN"/>
              </w:rPr>
            </w:pPr>
            <w:r>
              <w:rPr>
                <w:rFonts w:hint="eastAsia" w:ascii="宋体" w:hAnsi="Tunga" w:cs="宋体"/>
                <w:kern w:val="32"/>
                <w:szCs w:val="21"/>
                <w:highlight w:val="none"/>
                <w:lang w:val="zh-CN"/>
              </w:rPr>
              <w:t>经 营</w:t>
            </w:r>
          </w:p>
          <w:p>
            <w:pPr>
              <w:tabs>
                <w:tab w:val="left" w:pos="2160"/>
              </w:tabs>
              <w:autoSpaceDE w:val="0"/>
              <w:autoSpaceDN w:val="0"/>
              <w:adjustRightInd w:val="0"/>
              <w:spacing w:line="480" w:lineRule="exact"/>
              <w:jc w:val="center"/>
              <w:rPr>
                <w:rFonts w:hint="eastAsia" w:ascii="宋体" w:hAnsi="Tunga" w:cs="宋体"/>
                <w:kern w:val="32"/>
                <w:szCs w:val="21"/>
                <w:highlight w:val="none"/>
                <w:lang w:val="zh-CN"/>
              </w:rPr>
            </w:pPr>
            <w:r>
              <w:rPr>
                <w:rFonts w:hint="eastAsia" w:ascii="宋体" w:hAnsi="Tunga" w:cs="宋体"/>
                <w:kern w:val="32"/>
                <w:szCs w:val="21"/>
                <w:highlight w:val="none"/>
                <w:lang w:val="zh-CN"/>
              </w:rPr>
              <w:t>范 围</w:t>
            </w:r>
          </w:p>
        </w:tc>
        <w:tc>
          <w:tcPr>
            <w:tcW w:w="6897" w:type="dxa"/>
            <w:gridSpan w:val="3"/>
            <w:tcBorders>
              <w:top w:val="single" w:color="auto" w:sz="6" w:space="0"/>
              <w:left w:val="single" w:color="auto" w:sz="6" w:space="0"/>
              <w:bottom w:val="single" w:color="auto" w:sz="6" w:space="0"/>
              <w:right w:val="single" w:color="auto" w:sz="12" w:space="0"/>
            </w:tcBorders>
            <w:vAlign w:val="center"/>
          </w:tcPr>
          <w:p>
            <w:pPr>
              <w:tabs>
                <w:tab w:val="left" w:pos="2160"/>
              </w:tabs>
              <w:autoSpaceDE w:val="0"/>
              <w:autoSpaceDN w:val="0"/>
              <w:adjustRightInd w:val="0"/>
              <w:spacing w:line="480" w:lineRule="exact"/>
              <w:jc w:val="center"/>
              <w:rPr>
                <w:rFonts w:hint="eastAsia" w:ascii="宋体" w:hAnsi="Tunga" w:cs="宋体"/>
                <w:kern w:val="32"/>
                <w:szCs w:val="21"/>
                <w:highlight w:val="none"/>
                <w:lang w:val="zh-CN"/>
              </w:rPr>
            </w:pPr>
          </w:p>
        </w:tc>
      </w:tr>
      <w:tr>
        <w:tblPrEx>
          <w:tblCellMar>
            <w:top w:w="0" w:type="dxa"/>
            <w:left w:w="108" w:type="dxa"/>
            <w:bottom w:w="0" w:type="dxa"/>
            <w:right w:w="108" w:type="dxa"/>
          </w:tblCellMar>
        </w:tblPrEx>
        <w:trPr>
          <w:trHeight w:val="4050" w:hRule="atLeast"/>
        </w:trPr>
        <w:tc>
          <w:tcPr>
            <w:tcW w:w="1908" w:type="dxa"/>
            <w:tcBorders>
              <w:top w:val="single" w:color="auto" w:sz="6" w:space="0"/>
              <w:left w:val="single" w:color="auto" w:sz="12" w:space="0"/>
              <w:bottom w:val="single" w:color="auto" w:sz="12" w:space="0"/>
              <w:right w:val="single" w:color="auto" w:sz="6" w:space="0"/>
            </w:tcBorders>
          </w:tcPr>
          <w:p>
            <w:pPr>
              <w:tabs>
                <w:tab w:val="left" w:pos="2160"/>
              </w:tabs>
              <w:autoSpaceDE w:val="0"/>
              <w:autoSpaceDN w:val="0"/>
              <w:adjustRightInd w:val="0"/>
              <w:spacing w:line="480" w:lineRule="exact"/>
              <w:jc w:val="both"/>
              <w:rPr>
                <w:rFonts w:hint="eastAsia" w:ascii="宋体" w:hAnsi="Tunga" w:cs="宋体"/>
                <w:kern w:val="32"/>
                <w:szCs w:val="21"/>
                <w:highlight w:val="none"/>
                <w:lang w:val="zh-CN"/>
              </w:rPr>
            </w:pPr>
          </w:p>
          <w:p>
            <w:pPr>
              <w:tabs>
                <w:tab w:val="left" w:pos="2160"/>
              </w:tabs>
              <w:autoSpaceDE w:val="0"/>
              <w:autoSpaceDN w:val="0"/>
              <w:adjustRightInd w:val="0"/>
              <w:spacing w:line="480" w:lineRule="exact"/>
              <w:jc w:val="center"/>
              <w:rPr>
                <w:rFonts w:hint="eastAsia" w:ascii="宋体" w:hAnsi="Tunga" w:cs="宋体"/>
                <w:kern w:val="32"/>
                <w:szCs w:val="21"/>
                <w:highlight w:val="none"/>
                <w:lang w:val="zh-CN"/>
              </w:rPr>
            </w:pPr>
          </w:p>
          <w:p>
            <w:pPr>
              <w:tabs>
                <w:tab w:val="left" w:pos="2160"/>
              </w:tabs>
              <w:autoSpaceDE w:val="0"/>
              <w:autoSpaceDN w:val="0"/>
              <w:adjustRightInd w:val="0"/>
              <w:spacing w:line="480" w:lineRule="exact"/>
              <w:jc w:val="center"/>
              <w:rPr>
                <w:rFonts w:hint="eastAsia" w:ascii="宋体" w:hAnsi="Tunga" w:cs="宋体"/>
                <w:kern w:val="32"/>
                <w:szCs w:val="21"/>
                <w:highlight w:val="none"/>
                <w:lang w:val="zh-CN"/>
              </w:rPr>
            </w:pPr>
            <w:r>
              <w:rPr>
                <w:rFonts w:hint="eastAsia" w:ascii="宋体" w:hAnsi="Tunga" w:cs="宋体"/>
                <w:kern w:val="32"/>
                <w:szCs w:val="21"/>
                <w:highlight w:val="none"/>
                <w:lang w:val="zh-CN"/>
              </w:rPr>
              <w:t>企 业</w:t>
            </w:r>
          </w:p>
          <w:p>
            <w:pPr>
              <w:tabs>
                <w:tab w:val="left" w:pos="2160"/>
              </w:tabs>
              <w:autoSpaceDE w:val="0"/>
              <w:autoSpaceDN w:val="0"/>
              <w:adjustRightInd w:val="0"/>
              <w:spacing w:line="480" w:lineRule="exact"/>
              <w:jc w:val="center"/>
              <w:rPr>
                <w:rFonts w:hint="eastAsia" w:ascii="宋体" w:hAnsi="Tunga" w:cs="宋体"/>
                <w:kern w:val="32"/>
                <w:szCs w:val="21"/>
                <w:highlight w:val="none"/>
                <w:lang w:val="zh-CN"/>
              </w:rPr>
            </w:pPr>
          </w:p>
          <w:p>
            <w:pPr>
              <w:tabs>
                <w:tab w:val="left" w:pos="2160"/>
              </w:tabs>
              <w:autoSpaceDE w:val="0"/>
              <w:autoSpaceDN w:val="0"/>
              <w:adjustRightInd w:val="0"/>
              <w:spacing w:line="480" w:lineRule="exact"/>
              <w:jc w:val="center"/>
              <w:rPr>
                <w:rFonts w:hint="eastAsia" w:ascii="宋体" w:hAnsi="Tunga" w:cs="宋体"/>
                <w:kern w:val="32"/>
                <w:szCs w:val="21"/>
                <w:highlight w:val="none"/>
                <w:lang w:val="zh-CN"/>
              </w:rPr>
            </w:pPr>
          </w:p>
          <w:p>
            <w:pPr>
              <w:tabs>
                <w:tab w:val="left" w:pos="2160"/>
              </w:tabs>
              <w:autoSpaceDE w:val="0"/>
              <w:autoSpaceDN w:val="0"/>
              <w:adjustRightInd w:val="0"/>
              <w:spacing w:line="480" w:lineRule="exact"/>
              <w:jc w:val="center"/>
              <w:rPr>
                <w:rFonts w:hint="eastAsia" w:ascii="宋体" w:hAnsi="Tunga" w:cs="宋体"/>
                <w:kern w:val="32"/>
                <w:szCs w:val="21"/>
                <w:highlight w:val="none"/>
                <w:lang w:val="zh-CN"/>
              </w:rPr>
            </w:pPr>
            <w:r>
              <w:rPr>
                <w:rFonts w:hint="eastAsia" w:ascii="宋体" w:hAnsi="Tunga" w:cs="宋体"/>
                <w:kern w:val="32"/>
                <w:szCs w:val="21"/>
                <w:highlight w:val="none"/>
                <w:lang w:val="zh-CN"/>
              </w:rPr>
              <w:t>简 历</w:t>
            </w:r>
          </w:p>
          <w:p>
            <w:pPr>
              <w:tabs>
                <w:tab w:val="left" w:pos="2160"/>
              </w:tabs>
              <w:autoSpaceDE w:val="0"/>
              <w:autoSpaceDN w:val="0"/>
              <w:adjustRightInd w:val="0"/>
              <w:spacing w:line="480" w:lineRule="exact"/>
              <w:jc w:val="both"/>
              <w:rPr>
                <w:rFonts w:hint="eastAsia" w:ascii="宋体" w:hAnsi="Tunga" w:cs="宋体"/>
                <w:kern w:val="32"/>
                <w:szCs w:val="21"/>
                <w:highlight w:val="none"/>
                <w:lang w:val="zh-CN"/>
              </w:rPr>
            </w:pPr>
          </w:p>
          <w:p>
            <w:pPr>
              <w:tabs>
                <w:tab w:val="left" w:pos="2160"/>
              </w:tabs>
              <w:autoSpaceDE w:val="0"/>
              <w:autoSpaceDN w:val="0"/>
              <w:adjustRightInd w:val="0"/>
              <w:spacing w:line="480" w:lineRule="exact"/>
              <w:jc w:val="center"/>
              <w:rPr>
                <w:rFonts w:hint="eastAsia" w:ascii="宋体" w:hAnsi="Tunga" w:cs="宋体"/>
                <w:kern w:val="32"/>
                <w:szCs w:val="21"/>
                <w:highlight w:val="none"/>
                <w:lang w:val="zh-CN"/>
              </w:rPr>
            </w:pPr>
          </w:p>
        </w:tc>
        <w:tc>
          <w:tcPr>
            <w:tcW w:w="6897" w:type="dxa"/>
            <w:gridSpan w:val="3"/>
            <w:tcBorders>
              <w:top w:val="single" w:color="auto" w:sz="6" w:space="0"/>
              <w:left w:val="single" w:color="auto" w:sz="6" w:space="0"/>
              <w:bottom w:val="single" w:color="auto" w:sz="12" w:space="0"/>
              <w:right w:val="single" w:color="auto" w:sz="12" w:space="0"/>
            </w:tcBorders>
          </w:tcPr>
          <w:p>
            <w:pPr>
              <w:tabs>
                <w:tab w:val="left" w:pos="2160"/>
              </w:tabs>
              <w:autoSpaceDE w:val="0"/>
              <w:autoSpaceDN w:val="0"/>
              <w:adjustRightInd w:val="0"/>
              <w:spacing w:line="480" w:lineRule="exact"/>
              <w:rPr>
                <w:rFonts w:hint="eastAsia" w:ascii="宋体" w:hAnsi="Tunga" w:cs="宋体"/>
                <w:kern w:val="32"/>
                <w:szCs w:val="21"/>
                <w:highlight w:val="none"/>
                <w:lang w:val="zh-CN"/>
              </w:rPr>
            </w:pPr>
          </w:p>
        </w:tc>
      </w:tr>
    </w:tbl>
    <w:p>
      <w:pPr>
        <w:pStyle w:val="52"/>
        <w:adjustRightInd w:val="0"/>
        <w:snapToGrid w:val="0"/>
        <w:spacing w:before="120" w:after="120" w:line="500" w:lineRule="exact"/>
        <w:rPr>
          <w:rFonts w:ascii="宋体" w:cs="宋体"/>
          <w:sz w:val="24"/>
          <w:szCs w:val="24"/>
          <w:highlight w:val="none"/>
          <w:u w:val="single"/>
        </w:rPr>
      </w:pPr>
      <w:r>
        <w:rPr>
          <w:rFonts w:hint="eastAsia" w:ascii="宋体" w:hAnsi="宋体" w:cs="宋体"/>
          <w:sz w:val="24"/>
          <w:szCs w:val="24"/>
          <w:highlight w:val="none"/>
        </w:rPr>
        <w:t>供应商名称（签章）：</w:t>
      </w:r>
    </w:p>
    <w:p>
      <w:pPr>
        <w:pStyle w:val="52"/>
        <w:adjustRightInd w:val="0"/>
        <w:snapToGrid w:val="0"/>
        <w:spacing w:before="120" w:after="120" w:line="500" w:lineRule="exact"/>
        <w:rPr>
          <w:rFonts w:ascii="宋体" w:cs="宋体"/>
          <w:sz w:val="24"/>
          <w:szCs w:val="24"/>
          <w:highlight w:val="none"/>
        </w:rPr>
      </w:pPr>
      <w:r>
        <w:rPr>
          <w:rFonts w:hint="eastAsia" w:ascii="宋体" w:hAnsi="宋体" w:cs="宋体"/>
          <w:sz w:val="24"/>
          <w:szCs w:val="24"/>
          <w:highlight w:val="none"/>
        </w:rPr>
        <w:t>法定代表人或委托代理人（签字或签章）：</w:t>
      </w:r>
    </w:p>
    <w:p>
      <w:pPr>
        <w:pStyle w:val="5"/>
        <w:ind w:left="0" w:leftChars="0" w:firstLine="0" w:firstLineChars="0"/>
        <w:rPr>
          <w:rFonts w:ascii="宋体" w:hAnsi="宋体" w:cs="宋体"/>
          <w:sz w:val="24"/>
          <w:szCs w:val="24"/>
          <w:highlight w:val="none"/>
        </w:rPr>
      </w:pPr>
      <w:r>
        <w:rPr>
          <w:rFonts w:hint="eastAsia" w:ascii="宋体" w:hAnsi="宋体" w:cs="宋体"/>
          <w:sz w:val="24"/>
          <w:szCs w:val="24"/>
          <w:highlight w:val="none"/>
        </w:rPr>
        <w:t>日期：年月日</w:t>
      </w:r>
    </w:p>
    <w:p>
      <w:pPr>
        <w:spacing w:line="360" w:lineRule="auto"/>
        <w:rPr>
          <w:highlight w:val="none"/>
        </w:rPr>
      </w:pPr>
    </w:p>
    <w:p>
      <w:pPr>
        <w:pStyle w:val="4"/>
      </w:pPr>
    </w:p>
    <w:p>
      <w:pPr>
        <w:spacing w:line="360" w:lineRule="auto"/>
        <w:rPr>
          <w:rFonts w:ascii="宋体" w:hAnsi="宋体"/>
          <w:color w:val="000000"/>
          <w:sz w:val="24"/>
          <w:highlight w:val="none"/>
        </w:rPr>
      </w:pPr>
      <w:r>
        <w:rPr>
          <w:rFonts w:hint="eastAsia" w:ascii="宋体" w:hAnsi="宋体"/>
          <w:color w:val="000000"/>
          <w:sz w:val="24"/>
          <w:highlight w:val="none"/>
          <w:lang w:val="en-US" w:eastAsia="zh-CN"/>
        </w:rPr>
        <w:t>附件9:</w:t>
      </w:r>
      <w:r>
        <w:rPr>
          <w:rFonts w:hint="eastAsia" w:ascii="宋体" w:hAnsi="宋体"/>
          <w:color w:val="000000"/>
          <w:sz w:val="24"/>
          <w:highlight w:val="none"/>
        </w:rPr>
        <w:t>服务本项目的人员配备表</w:t>
      </w:r>
    </w:p>
    <w:p>
      <w:pPr>
        <w:pStyle w:val="57"/>
        <w:tabs>
          <w:tab w:val="left" w:pos="1365"/>
        </w:tabs>
        <w:spacing w:line="360" w:lineRule="auto"/>
        <w:jc w:val="center"/>
        <w:rPr>
          <w:rFonts w:ascii="宋体"/>
          <w:b/>
          <w:color w:val="000000"/>
          <w:sz w:val="24"/>
          <w:highlight w:val="none"/>
        </w:rPr>
      </w:pPr>
      <w:r>
        <w:rPr>
          <w:rFonts w:hint="eastAsia" w:ascii="宋体" w:hAnsi="宋体"/>
          <w:b/>
          <w:color w:val="000000"/>
          <w:sz w:val="24"/>
          <w:highlight w:val="none"/>
        </w:rPr>
        <w:t>项目负责人简历表</w:t>
      </w:r>
      <w:r>
        <w:rPr>
          <w:rFonts w:ascii="宋体" w:hAnsi="宋体"/>
          <w:b/>
          <w:color w:val="000000"/>
          <w:sz w:val="24"/>
          <w:highlight w:val="none"/>
        </w:rPr>
        <w:t>-1</w:t>
      </w:r>
    </w:p>
    <w:p>
      <w:pPr>
        <w:pStyle w:val="52"/>
        <w:adjustRightInd w:val="0"/>
        <w:snapToGrid w:val="0"/>
        <w:spacing w:before="120" w:after="120" w:line="500" w:lineRule="exact"/>
        <w:rPr>
          <w:rFonts w:ascii="宋体" w:cs="宋体"/>
          <w:sz w:val="24"/>
          <w:szCs w:val="24"/>
          <w:highlight w:val="none"/>
        </w:rPr>
      </w:pPr>
      <w:r>
        <w:rPr>
          <w:rFonts w:hint="eastAsia" w:ascii="宋体" w:hAnsi="宋体" w:cs="宋体"/>
          <w:sz w:val="24"/>
          <w:szCs w:val="24"/>
          <w:highlight w:val="none"/>
        </w:rPr>
        <w:t>采购项目编号：</w:t>
      </w:r>
    </w:p>
    <w:p>
      <w:pPr>
        <w:pStyle w:val="52"/>
        <w:adjustRightInd w:val="0"/>
        <w:snapToGrid w:val="0"/>
        <w:spacing w:before="120" w:after="120" w:line="500" w:lineRule="exact"/>
        <w:rPr>
          <w:rFonts w:ascii="宋体" w:cs="宋体"/>
          <w:sz w:val="24"/>
          <w:szCs w:val="24"/>
          <w:highlight w:val="none"/>
          <w:u w:val="single"/>
        </w:rPr>
      </w:pPr>
      <w:r>
        <w:rPr>
          <w:rFonts w:hint="eastAsia" w:ascii="宋体" w:hAnsi="宋体" w:cs="宋体"/>
          <w:sz w:val="24"/>
          <w:szCs w:val="24"/>
          <w:highlight w:val="none"/>
        </w:rPr>
        <w:t>采购项目名称：</w:t>
      </w:r>
    </w:p>
    <w:tbl>
      <w:tblPr>
        <w:tblStyle w:val="35"/>
        <w:tblW w:w="889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06"/>
        <w:gridCol w:w="1224"/>
        <w:gridCol w:w="612"/>
        <w:gridCol w:w="918"/>
        <w:gridCol w:w="918"/>
        <w:gridCol w:w="612"/>
        <w:gridCol w:w="1224"/>
        <w:gridCol w:w="306"/>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pPr>
              <w:pStyle w:val="52"/>
              <w:spacing w:before="120" w:after="120"/>
              <w:jc w:val="center"/>
              <w:rPr>
                <w:rFonts w:ascii="宋体" w:cs="宋体"/>
                <w:sz w:val="24"/>
                <w:szCs w:val="24"/>
                <w:highlight w:val="none"/>
              </w:rPr>
            </w:pPr>
            <w:r>
              <w:rPr>
                <w:rFonts w:hint="eastAsia" w:ascii="宋体" w:hAnsi="宋体" w:cs="宋体"/>
                <w:sz w:val="24"/>
                <w:szCs w:val="24"/>
                <w:highlight w:val="none"/>
              </w:rPr>
              <w:t>姓名</w:t>
            </w:r>
          </w:p>
        </w:tc>
        <w:tc>
          <w:tcPr>
            <w:tcW w:w="1530" w:type="dxa"/>
            <w:gridSpan w:val="2"/>
            <w:vAlign w:val="center"/>
          </w:tcPr>
          <w:p>
            <w:pPr>
              <w:pStyle w:val="52"/>
              <w:spacing w:before="120" w:after="120"/>
              <w:jc w:val="center"/>
              <w:rPr>
                <w:rFonts w:ascii="宋体" w:cs="宋体"/>
                <w:sz w:val="24"/>
                <w:szCs w:val="24"/>
                <w:highlight w:val="none"/>
              </w:rPr>
            </w:pPr>
          </w:p>
        </w:tc>
        <w:tc>
          <w:tcPr>
            <w:tcW w:w="1530" w:type="dxa"/>
            <w:gridSpan w:val="2"/>
            <w:vAlign w:val="center"/>
          </w:tcPr>
          <w:p>
            <w:pPr>
              <w:pStyle w:val="52"/>
              <w:spacing w:before="120" w:after="120"/>
              <w:jc w:val="center"/>
              <w:rPr>
                <w:rFonts w:ascii="宋体" w:cs="宋体"/>
                <w:sz w:val="24"/>
                <w:szCs w:val="24"/>
                <w:highlight w:val="none"/>
              </w:rPr>
            </w:pPr>
            <w:r>
              <w:rPr>
                <w:rFonts w:hint="eastAsia" w:ascii="宋体" w:hAnsi="宋体" w:cs="宋体"/>
                <w:sz w:val="24"/>
                <w:szCs w:val="24"/>
                <w:highlight w:val="none"/>
              </w:rPr>
              <w:t>性别</w:t>
            </w:r>
          </w:p>
        </w:tc>
        <w:tc>
          <w:tcPr>
            <w:tcW w:w="1530" w:type="dxa"/>
            <w:gridSpan w:val="2"/>
            <w:vAlign w:val="center"/>
          </w:tcPr>
          <w:p>
            <w:pPr>
              <w:pStyle w:val="52"/>
              <w:spacing w:before="120" w:after="120"/>
              <w:jc w:val="center"/>
              <w:rPr>
                <w:rFonts w:ascii="宋体" w:cs="宋体"/>
                <w:sz w:val="24"/>
                <w:szCs w:val="24"/>
                <w:highlight w:val="none"/>
              </w:rPr>
            </w:pPr>
          </w:p>
        </w:tc>
        <w:tc>
          <w:tcPr>
            <w:tcW w:w="1530" w:type="dxa"/>
            <w:gridSpan w:val="2"/>
            <w:vAlign w:val="center"/>
          </w:tcPr>
          <w:p>
            <w:pPr>
              <w:pStyle w:val="52"/>
              <w:spacing w:before="120" w:after="120"/>
              <w:jc w:val="center"/>
              <w:rPr>
                <w:rFonts w:ascii="宋体" w:cs="宋体"/>
                <w:sz w:val="24"/>
                <w:szCs w:val="24"/>
                <w:highlight w:val="none"/>
              </w:rPr>
            </w:pPr>
            <w:r>
              <w:rPr>
                <w:rFonts w:hint="eastAsia" w:ascii="宋体" w:hAnsi="宋体" w:cs="宋体"/>
                <w:sz w:val="24"/>
                <w:szCs w:val="24"/>
                <w:highlight w:val="none"/>
              </w:rPr>
              <w:t>年龄</w:t>
            </w:r>
          </w:p>
        </w:tc>
        <w:tc>
          <w:tcPr>
            <w:tcW w:w="1248" w:type="dxa"/>
            <w:vAlign w:val="center"/>
          </w:tcPr>
          <w:p>
            <w:pPr>
              <w:pStyle w:val="52"/>
              <w:spacing w:before="120" w:after="120"/>
              <w:jc w:val="center"/>
              <w:rPr>
                <w:rFonts w:asci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pPr>
              <w:pStyle w:val="52"/>
              <w:spacing w:before="120" w:after="120"/>
              <w:jc w:val="center"/>
              <w:rPr>
                <w:rFonts w:ascii="宋体" w:cs="宋体"/>
                <w:sz w:val="24"/>
                <w:szCs w:val="24"/>
                <w:highlight w:val="none"/>
              </w:rPr>
            </w:pPr>
            <w:r>
              <w:rPr>
                <w:rFonts w:hint="eastAsia" w:ascii="宋体" w:hAnsi="宋体" w:cs="宋体"/>
                <w:sz w:val="24"/>
                <w:szCs w:val="24"/>
                <w:highlight w:val="none"/>
              </w:rPr>
              <w:t>职务</w:t>
            </w:r>
          </w:p>
        </w:tc>
        <w:tc>
          <w:tcPr>
            <w:tcW w:w="1530" w:type="dxa"/>
            <w:gridSpan w:val="2"/>
            <w:vAlign w:val="center"/>
          </w:tcPr>
          <w:p>
            <w:pPr>
              <w:pStyle w:val="52"/>
              <w:spacing w:before="120" w:after="120"/>
              <w:jc w:val="center"/>
              <w:rPr>
                <w:rFonts w:ascii="宋体" w:cs="宋体"/>
                <w:sz w:val="24"/>
                <w:szCs w:val="24"/>
                <w:highlight w:val="none"/>
              </w:rPr>
            </w:pPr>
          </w:p>
        </w:tc>
        <w:tc>
          <w:tcPr>
            <w:tcW w:w="1530" w:type="dxa"/>
            <w:gridSpan w:val="2"/>
            <w:vAlign w:val="center"/>
          </w:tcPr>
          <w:p>
            <w:pPr>
              <w:pStyle w:val="52"/>
              <w:spacing w:before="120" w:after="120"/>
              <w:jc w:val="center"/>
              <w:rPr>
                <w:rFonts w:ascii="宋体" w:cs="宋体"/>
                <w:sz w:val="24"/>
                <w:szCs w:val="24"/>
                <w:highlight w:val="none"/>
              </w:rPr>
            </w:pPr>
            <w:r>
              <w:rPr>
                <w:rFonts w:hint="eastAsia" w:ascii="宋体" w:hAnsi="宋体" w:cs="宋体"/>
                <w:sz w:val="24"/>
                <w:szCs w:val="24"/>
                <w:highlight w:val="none"/>
              </w:rPr>
              <w:t>职称</w:t>
            </w:r>
          </w:p>
        </w:tc>
        <w:tc>
          <w:tcPr>
            <w:tcW w:w="1530" w:type="dxa"/>
            <w:gridSpan w:val="2"/>
            <w:vAlign w:val="center"/>
          </w:tcPr>
          <w:p>
            <w:pPr>
              <w:pStyle w:val="52"/>
              <w:spacing w:before="120" w:after="120"/>
              <w:jc w:val="center"/>
              <w:rPr>
                <w:rFonts w:ascii="宋体" w:cs="宋体"/>
                <w:sz w:val="24"/>
                <w:szCs w:val="24"/>
                <w:highlight w:val="none"/>
              </w:rPr>
            </w:pPr>
          </w:p>
        </w:tc>
        <w:tc>
          <w:tcPr>
            <w:tcW w:w="1530" w:type="dxa"/>
            <w:gridSpan w:val="2"/>
            <w:vAlign w:val="center"/>
          </w:tcPr>
          <w:p>
            <w:pPr>
              <w:pStyle w:val="52"/>
              <w:spacing w:before="120" w:after="120"/>
              <w:jc w:val="center"/>
              <w:rPr>
                <w:rFonts w:ascii="宋体" w:cs="宋体"/>
                <w:sz w:val="24"/>
                <w:szCs w:val="24"/>
                <w:highlight w:val="none"/>
              </w:rPr>
            </w:pPr>
            <w:r>
              <w:rPr>
                <w:rFonts w:hint="eastAsia" w:ascii="宋体" w:hAnsi="宋体" w:cs="宋体"/>
                <w:sz w:val="24"/>
                <w:szCs w:val="24"/>
                <w:highlight w:val="none"/>
              </w:rPr>
              <w:t>学历</w:t>
            </w:r>
          </w:p>
        </w:tc>
        <w:tc>
          <w:tcPr>
            <w:tcW w:w="1248" w:type="dxa"/>
            <w:vAlign w:val="center"/>
          </w:tcPr>
          <w:p>
            <w:pPr>
              <w:pStyle w:val="52"/>
              <w:spacing w:before="120" w:after="120"/>
              <w:jc w:val="center"/>
              <w:rPr>
                <w:rFonts w:asci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0" w:type="dxa"/>
            <w:vAlign w:val="center"/>
          </w:tcPr>
          <w:p>
            <w:pPr>
              <w:pStyle w:val="52"/>
              <w:spacing w:before="120" w:after="120"/>
              <w:jc w:val="center"/>
              <w:rPr>
                <w:rFonts w:ascii="宋体" w:cs="宋体"/>
                <w:sz w:val="24"/>
                <w:szCs w:val="24"/>
                <w:highlight w:val="none"/>
              </w:rPr>
            </w:pPr>
            <w:r>
              <w:rPr>
                <w:rFonts w:hint="eastAsia" w:ascii="宋体" w:hAnsi="宋体" w:cs="宋体"/>
                <w:sz w:val="24"/>
                <w:szCs w:val="24"/>
                <w:highlight w:val="none"/>
              </w:rPr>
              <w:t>参加工作</w:t>
            </w:r>
          </w:p>
          <w:p>
            <w:pPr>
              <w:pStyle w:val="52"/>
              <w:spacing w:before="120" w:after="120"/>
              <w:jc w:val="center"/>
              <w:rPr>
                <w:rFonts w:ascii="宋体" w:cs="宋体"/>
                <w:sz w:val="24"/>
                <w:szCs w:val="24"/>
                <w:highlight w:val="none"/>
              </w:rPr>
            </w:pPr>
            <w:r>
              <w:rPr>
                <w:rFonts w:hint="eastAsia" w:ascii="宋体" w:hAnsi="宋体" w:cs="宋体"/>
                <w:sz w:val="24"/>
                <w:szCs w:val="24"/>
                <w:highlight w:val="none"/>
              </w:rPr>
              <w:t>时间</w:t>
            </w:r>
          </w:p>
        </w:tc>
        <w:tc>
          <w:tcPr>
            <w:tcW w:w="1530" w:type="dxa"/>
            <w:gridSpan w:val="2"/>
            <w:vAlign w:val="center"/>
          </w:tcPr>
          <w:p>
            <w:pPr>
              <w:pStyle w:val="52"/>
              <w:spacing w:before="120" w:after="120"/>
              <w:jc w:val="center"/>
              <w:rPr>
                <w:rFonts w:ascii="宋体" w:cs="宋体"/>
                <w:sz w:val="24"/>
                <w:szCs w:val="24"/>
                <w:highlight w:val="none"/>
              </w:rPr>
            </w:pPr>
          </w:p>
        </w:tc>
        <w:tc>
          <w:tcPr>
            <w:tcW w:w="1530" w:type="dxa"/>
            <w:gridSpan w:val="2"/>
            <w:vAlign w:val="center"/>
          </w:tcPr>
          <w:p>
            <w:pPr>
              <w:pStyle w:val="52"/>
              <w:spacing w:before="120" w:after="120"/>
              <w:jc w:val="center"/>
              <w:rPr>
                <w:rFonts w:ascii="宋体" w:cs="宋体"/>
                <w:sz w:val="24"/>
                <w:szCs w:val="24"/>
                <w:highlight w:val="none"/>
              </w:rPr>
            </w:pPr>
            <w:r>
              <w:rPr>
                <w:rFonts w:hint="eastAsia" w:ascii="宋体" w:hAnsi="宋体" w:cs="宋体"/>
                <w:sz w:val="24"/>
                <w:szCs w:val="24"/>
                <w:highlight w:val="none"/>
              </w:rPr>
              <w:t>从事本行业工作年限</w:t>
            </w:r>
          </w:p>
        </w:tc>
        <w:tc>
          <w:tcPr>
            <w:tcW w:w="1530" w:type="dxa"/>
            <w:gridSpan w:val="2"/>
            <w:vAlign w:val="center"/>
          </w:tcPr>
          <w:p>
            <w:pPr>
              <w:pStyle w:val="52"/>
              <w:spacing w:before="120" w:after="120"/>
              <w:jc w:val="center"/>
              <w:rPr>
                <w:rFonts w:ascii="宋体" w:cs="宋体"/>
                <w:sz w:val="24"/>
                <w:szCs w:val="24"/>
                <w:highlight w:val="none"/>
              </w:rPr>
            </w:pPr>
          </w:p>
        </w:tc>
        <w:tc>
          <w:tcPr>
            <w:tcW w:w="1530" w:type="dxa"/>
            <w:gridSpan w:val="2"/>
            <w:vAlign w:val="center"/>
          </w:tcPr>
          <w:p>
            <w:pPr>
              <w:pStyle w:val="52"/>
              <w:spacing w:before="120" w:after="120"/>
              <w:jc w:val="center"/>
              <w:rPr>
                <w:rFonts w:ascii="宋体" w:cs="宋体"/>
                <w:sz w:val="24"/>
                <w:szCs w:val="24"/>
                <w:highlight w:val="none"/>
              </w:rPr>
            </w:pPr>
            <w:r>
              <w:rPr>
                <w:rFonts w:hint="eastAsia" w:ascii="宋体" w:hAnsi="宋体" w:cs="宋体"/>
                <w:sz w:val="24"/>
                <w:szCs w:val="24"/>
                <w:highlight w:val="none"/>
              </w:rPr>
              <w:t>个人专业资质及证书</w:t>
            </w:r>
          </w:p>
        </w:tc>
        <w:tc>
          <w:tcPr>
            <w:tcW w:w="1248" w:type="dxa"/>
            <w:vAlign w:val="center"/>
          </w:tcPr>
          <w:p>
            <w:pPr>
              <w:pStyle w:val="52"/>
              <w:spacing w:before="120" w:after="120"/>
              <w:jc w:val="center"/>
              <w:rPr>
                <w:rFonts w:asci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8898" w:type="dxa"/>
            <w:gridSpan w:val="10"/>
            <w:vAlign w:val="center"/>
          </w:tcPr>
          <w:p>
            <w:pPr>
              <w:pStyle w:val="52"/>
              <w:spacing w:before="120" w:after="120"/>
              <w:jc w:val="center"/>
              <w:rPr>
                <w:rFonts w:ascii="宋体" w:cs="宋体"/>
                <w:sz w:val="24"/>
                <w:szCs w:val="24"/>
                <w:highlight w:val="none"/>
              </w:rPr>
            </w:pPr>
            <w:r>
              <w:rPr>
                <w:rFonts w:hint="eastAsia" w:ascii="宋体" w:hAnsi="宋体" w:cs="宋体"/>
                <w:sz w:val="24"/>
                <w:szCs w:val="24"/>
                <w:highlight w:val="none"/>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trPr>
        <w:tc>
          <w:tcPr>
            <w:tcW w:w="8898" w:type="dxa"/>
            <w:gridSpan w:val="10"/>
            <w:vAlign w:val="center"/>
          </w:tcPr>
          <w:p>
            <w:pPr>
              <w:pStyle w:val="52"/>
              <w:spacing w:before="120" w:after="120"/>
              <w:jc w:val="center"/>
              <w:rPr>
                <w:rFonts w:asci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8898" w:type="dxa"/>
            <w:gridSpan w:val="10"/>
            <w:vAlign w:val="center"/>
          </w:tcPr>
          <w:p>
            <w:pPr>
              <w:pStyle w:val="52"/>
              <w:spacing w:before="120" w:after="120"/>
              <w:jc w:val="center"/>
              <w:rPr>
                <w:rFonts w:ascii="宋体" w:cs="宋体"/>
                <w:sz w:val="24"/>
                <w:szCs w:val="24"/>
                <w:highlight w:val="none"/>
              </w:rPr>
            </w:pPr>
            <w:r>
              <w:rPr>
                <w:rFonts w:hint="eastAsia" w:ascii="宋体" w:hAnsi="宋体" w:cs="宋体"/>
                <w:sz w:val="24"/>
                <w:szCs w:val="24"/>
                <w:highlight w:val="none"/>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pPr>
              <w:pStyle w:val="52"/>
              <w:spacing w:before="120" w:after="120"/>
              <w:jc w:val="center"/>
              <w:rPr>
                <w:rFonts w:ascii="宋体" w:cs="宋体"/>
                <w:sz w:val="24"/>
                <w:szCs w:val="24"/>
                <w:highlight w:val="none"/>
              </w:rPr>
            </w:pPr>
            <w:r>
              <w:rPr>
                <w:rFonts w:hint="eastAsia" w:ascii="宋体" w:hAnsi="宋体" w:cs="宋体"/>
                <w:sz w:val="24"/>
                <w:szCs w:val="24"/>
                <w:highlight w:val="none"/>
              </w:rPr>
              <w:t>项目使用单位</w:t>
            </w:r>
          </w:p>
        </w:tc>
        <w:tc>
          <w:tcPr>
            <w:tcW w:w="1836" w:type="dxa"/>
            <w:gridSpan w:val="2"/>
            <w:vAlign w:val="center"/>
          </w:tcPr>
          <w:p>
            <w:pPr>
              <w:pStyle w:val="52"/>
              <w:spacing w:before="120" w:after="120"/>
              <w:jc w:val="center"/>
              <w:rPr>
                <w:rFonts w:ascii="宋体" w:cs="宋体"/>
                <w:sz w:val="24"/>
                <w:szCs w:val="24"/>
                <w:highlight w:val="none"/>
              </w:rPr>
            </w:pPr>
            <w:r>
              <w:rPr>
                <w:rFonts w:hint="eastAsia" w:ascii="宋体" w:hAnsi="宋体" w:cs="宋体"/>
                <w:sz w:val="24"/>
                <w:szCs w:val="24"/>
                <w:highlight w:val="none"/>
              </w:rPr>
              <w:t>项目名称</w:t>
            </w:r>
          </w:p>
        </w:tc>
        <w:tc>
          <w:tcPr>
            <w:tcW w:w="1836" w:type="dxa"/>
            <w:gridSpan w:val="2"/>
            <w:vAlign w:val="center"/>
          </w:tcPr>
          <w:p>
            <w:pPr>
              <w:pStyle w:val="52"/>
              <w:spacing w:before="120" w:after="120"/>
              <w:jc w:val="center"/>
              <w:rPr>
                <w:rFonts w:ascii="宋体" w:cs="宋体"/>
                <w:sz w:val="24"/>
                <w:szCs w:val="24"/>
                <w:highlight w:val="none"/>
              </w:rPr>
            </w:pPr>
            <w:r>
              <w:rPr>
                <w:rFonts w:hint="eastAsia" w:ascii="宋体" w:hAnsi="宋体" w:cs="宋体"/>
                <w:sz w:val="24"/>
                <w:szCs w:val="24"/>
                <w:highlight w:val="none"/>
              </w:rPr>
              <w:t>项目建设内容</w:t>
            </w:r>
          </w:p>
        </w:tc>
        <w:tc>
          <w:tcPr>
            <w:tcW w:w="1836" w:type="dxa"/>
            <w:gridSpan w:val="2"/>
            <w:vAlign w:val="center"/>
          </w:tcPr>
          <w:p>
            <w:pPr>
              <w:pStyle w:val="52"/>
              <w:spacing w:before="120" w:after="120"/>
              <w:jc w:val="center"/>
              <w:rPr>
                <w:rFonts w:ascii="宋体" w:cs="宋体"/>
                <w:sz w:val="24"/>
                <w:szCs w:val="24"/>
                <w:highlight w:val="none"/>
              </w:rPr>
            </w:pPr>
            <w:r>
              <w:rPr>
                <w:rFonts w:hint="eastAsia" w:ascii="宋体" w:hAnsi="宋体" w:cs="宋体"/>
                <w:sz w:val="24"/>
                <w:szCs w:val="24"/>
                <w:highlight w:val="none"/>
              </w:rPr>
              <w:t>项目总金额</w:t>
            </w:r>
          </w:p>
        </w:tc>
        <w:tc>
          <w:tcPr>
            <w:tcW w:w="1554" w:type="dxa"/>
            <w:gridSpan w:val="2"/>
            <w:vAlign w:val="center"/>
          </w:tcPr>
          <w:p>
            <w:pPr>
              <w:pStyle w:val="52"/>
              <w:spacing w:before="120" w:after="120"/>
              <w:jc w:val="center"/>
              <w:rPr>
                <w:rFonts w:ascii="宋体" w:cs="宋体"/>
                <w:sz w:val="24"/>
                <w:szCs w:val="24"/>
                <w:highlight w:val="none"/>
              </w:rPr>
            </w:pPr>
            <w:r>
              <w:rPr>
                <w:rFonts w:hint="eastAsia" w:ascii="宋体" w:hAnsi="宋体" w:cs="宋体"/>
                <w:sz w:val="24"/>
                <w:szCs w:val="24"/>
                <w:highlight w:val="none"/>
              </w:rPr>
              <w:t>项目建设周期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pPr>
              <w:pStyle w:val="52"/>
              <w:spacing w:before="120" w:after="120"/>
              <w:jc w:val="center"/>
              <w:rPr>
                <w:rFonts w:ascii="宋体" w:cs="宋体"/>
                <w:sz w:val="24"/>
                <w:szCs w:val="24"/>
                <w:highlight w:val="none"/>
              </w:rPr>
            </w:pPr>
          </w:p>
        </w:tc>
        <w:tc>
          <w:tcPr>
            <w:tcW w:w="1836" w:type="dxa"/>
            <w:gridSpan w:val="2"/>
            <w:vAlign w:val="center"/>
          </w:tcPr>
          <w:p>
            <w:pPr>
              <w:pStyle w:val="52"/>
              <w:spacing w:before="120" w:after="120"/>
              <w:jc w:val="center"/>
              <w:rPr>
                <w:rFonts w:ascii="宋体" w:cs="宋体"/>
                <w:sz w:val="24"/>
                <w:szCs w:val="24"/>
                <w:highlight w:val="none"/>
              </w:rPr>
            </w:pPr>
          </w:p>
        </w:tc>
        <w:tc>
          <w:tcPr>
            <w:tcW w:w="1836" w:type="dxa"/>
            <w:gridSpan w:val="2"/>
            <w:vAlign w:val="center"/>
          </w:tcPr>
          <w:p>
            <w:pPr>
              <w:pStyle w:val="52"/>
              <w:spacing w:before="120" w:after="120"/>
              <w:jc w:val="center"/>
              <w:rPr>
                <w:rFonts w:ascii="宋体" w:cs="宋体"/>
                <w:sz w:val="24"/>
                <w:szCs w:val="24"/>
                <w:highlight w:val="none"/>
              </w:rPr>
            </w:pPr>
          </w:p>
        </w:tc>
        <w:tc>
          <w:tcPr>
            <w:tcW w:w="1836" w:type="dxa"/>
            <w:gridSpan w:val="2"/>
            <w:vAlign w:val="center"/>
          </w:tcPr>
          <w:p>
            <w:pPr>
              <w:pStyle w:val="52"/>
              <w:spacing w:before="120" w:after="120"/>
              <w:jc w:val="center"/>
              <w:rPr>
                <w:rFonts w:ascii="宋体" w:cs="宋体"/>
                <w:sz w:val="24"/>
                <w:szCs w:val="24"/>
                <w:highlight w:val="none"/>
              </w:rPr>
            </w:pPr>
          </w:p>
        </w:tc>
        <w:tc>
          <w:tcPr>
            <w:tcW w:w="1554" w:type="dxa"/>
            <w:gridSpan w:val="2"/>
            <w:vAlign w:val="center"/>
          </w:tcPr>
          <w:p>
            <w:pPr>
              <w:pStyle w:val="52"/>
              <w:spacing w:before="120" w:after="120"/>
              <w:jc w:val="center"/>
              <w:rPr>
                <w:rFonts w:asci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pPr>
              <w:pStyle w:val="52"/>
              <w:spacing w:before="120" w:after="120"/>
              <w:jc w:val="center"/>
              <w:rPr>
                <w:rFonts w:ascii="宋体" w:cs="宋体"/>
                <w:sz w:val="24"/>
                <w:szCs w:val="24"/>
                <w:highlight w:val="none"/>
              </w:rPr>
            </w:pPr>
          </w:p>
        </w:tc>
        <w:tc>
          <w:tcPr>
            <w:tcW w:w="1836" w:type="dxa"/>
            <w:gridSpan w:val="2"/>
            <w:vAlign w:val="center"/>
          </w:tcPr>
          <w:p>
            <w:pPr>
              <w:pStyle w:val="52"/>
              <w:spacing w:before="120" w:after="120"/>
              <w:jc w:val="center"/>
              <w:rPr>
                <w:rFonts w:ascii="宋体" w:cs="宋体"/>
                <w:sz w:val="24"/>
                <w:szCs w:val="24"/>
                <w:highlight w:val="none"/>
              </w:rPr>
            </w:pPr>
          </w:p>
        </w:tc>
        <w:tc>
          <w:tcPr>
            <w:tcW w:w="1836" w:type="dxa"/>
            <w:gridSpan w:val="2"/>
            <w:vAlign w:val="center"/>
          </w:tcPr>
          <w:p>
            <w:pPr>
              <w:pStyle w:val="52"/>
              <w:spacing w:before="120" w:after="120"/>
              <w:jc w:val="center"/>
              <w:rPr>
                <w:rFonts w:ascii="宋体" w:cs="宋体"/>
                <w:sz w:val="24"/>
                <w:szCs w:val="24"/>
                <w:highlight w:val="none"/>
              </w:rPr>
            </w:pPr>
          </w:p>
        </w:tc>
        <w:tc>
          <w:tcPr>
            <w:tcW w:w="1836" w:type="dxa"/>
            <w:gridSpan w:val="2"/>
            <w:vAlign w:val="center"/>
          </w:tcPr>
          <w:p>
            <w:pPr>
              <w:pStyle w:val="52"/>
              <w:spacing w:before="120" w:after="120"/>
              <w:jc w:val="center"/>
              <w:rPr>
                <w:rFonts w:ascii="宋体" w:cs="宋体"/>
                <w:sz w:val="24"/>
                <w:szCs w:val="24"/>
                <w:highlight w:val="none"/>
              </w:rPr>
            </w:pPr>
          </w:p>
        </w:tc>
        <w:tc>
          <w:tcPr>
            <w:tcW w:w="1554" w:type="dxa"/>
            <w:gridSpan w:val="2"/>
            <w:vAlign w:val="center"/>
          </w:tcPr>
          <w:p>
            <w:pPr>
              <w:pStyle w:val="52"/>
              <w:spacing w:before="120" w:after="120"/>
              <w:jc w:val="center"/>
              <w:rPr>
                <w:rFonts w:asci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pPr>
              <w:pStyle w:val="52"/>
              <w:spacing w:before="120" w:after="120"/>
              <w:jc w:val="center"/>
              <w:rPr>
                <w:rFonts w:ascii="宋体" w:cs="宋体"/>
                <w:sz w:val="24"/>
                <w:szCs w:val="24"/>
                <w:highlight w:val="none"/>
              </w:rPr>
            </w:pPr>
          </w:p>
        </w:tc>
        <w:tc>
          <w:tcPr>
            <w:tcW w:w="1836" w:type="dxa"/>
            <w:gridSpan w:val="2"/>
            <w:vAlign w:val="center"/>
          </w:tcPr>
          <w:p>
            <w:pPr>
              <w:pStyle w:val="52"/>
              <w:spacing w:before="120" w:after="120"/>
              <w:jc w:val="center"/>
              <w:rPr>
                <w:rFonts w:ascii="宋体" w:cs="宋体"/>
                <w:sz w:val="24"/>
                <w:szCs w:val="24"/>
                <w:highlight w:val="none"/>
              </w:rPr>
            </w:pPr>
          </w:p>
        </w:tc>
        <w:tc>
          <w:tcPr>
            <w:tcW w:w="1836" w:type="dxa"/>
            <w:gridSpan w:val="2"/>
            <w:vAlign w:val="center"/>
          </w:tcPr>
          <w:p>
            <w:pPr>
              <w:pStyle w:val="52"/>
              <w:spacing w:before="120" w:after="120"/>
              <w:jc w:val="center"/>
              <w:rPr>
                <w:rFonts w:ascii="宋体" w:cs="宋体"/>
                <w:sz w:val="24"/>
                <w:szCs w:val="24"/>
                <w:highlight w:val="none"/>
              </w:rPr>
            </w:pPr>
          </w:p>
        </w:tc>
        <w:tc>
          <w:tcPr>
            <w:tcW w:w="1836" w:type="dxa"/>
            <w:gridSpan w:val="2"/>
            <w:vAlign w:val="center"/>
          </w:tcPr>
          <w:p>
            <w:pPr>
              <w:pStyle w:val="52"/>
              <w:spacing w:before="120" w:after="120"/>
              <w:jc w:val="center"/>
              <w:rPr>
                <w:rFonts w:ascii="宋体" w:cs="宋体"/>
                <w:sz w:val="24"/>
                <w:szCs w:val="24"/>
                <w:highlight w:val="none"/>
              </w:rPr>
            </w:pPr>
          </w:p>
        </w:tc>
        <w:tc>
          <w:tcPr>
            <w:tcW w:w="1554" w:type="dxa"/>
            <w:gridSpan w:val="2"/>
            <w:vAlign w:val="center"/>
          </w:tcPr>
          <w:p>
            <w:pPr>
              <w:pStyle w:val="52"/>
              <w:spacing w:before="120" w:after="120"/>
              <w:jc w:val="center"/>
              <w:rPr>
                <w:rFonts w:asci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pPr>
              <w:pStyle w:val="52"/>
              <w:spacing w:before="120" w:after="120"/>
              <w:jc w:val="center"/>
              <w:rPr>
                <w:rFonts w:ascii="宋体" w:cs="宋体"/>
                <w:sz w:val="24"/>
                <w:szCs w:val="24"/>
                <w:highlight w:val="none"/>
              </w:rPr>
            </w:pPr>
          </w:p>
        </w:tc>
        <w:tc>
          <w:tcPr>
            <w:tcW w:w="1836" w:type="dxa"/>
            <w:gridSpan w:val="2"/>
            <w:vAlign w:val="center"/>
          </w:tcPr>
          <w:p>
            <w:pPr>
              <w:pStyle w:val="52"/>
              <w:spacing w:before="120" w:after="120"/>
              <w:jc w:val="center"/>
              <w:rPr>
                <w:rFonts w:ascii="宋体" w:cs="宋体"/>
                <w:sz w:val="24"/>
                <w:szCs w:val="24"/>
                <w:highlight w:val="none"/>
              </w:rPr>
            </w:pPr>
          </w:p>
        </w:tc>
        <w:tc>
          <w:tcPr>
            <w:tcW w:w="1836" w:type="dxa"/>
            <w:gridSpan w:val="2"/>
            <w:vAlign w:val="center"/>
          </w:tcPr>
          <w:p>
            <w:pPr>
              <w:pStyle w:val="52"/>
              <w:spacing w:before="120" w:after="120"/>
              <w:jc w:val="center"/>
              <w:rPr>
                <w:rFonts w:ascii="宋体" w:cs="宋体"/>
                <w:sz w:val="24"/>
                <w:szCs w:val="24"/>
                <w:highlight w:val="none"/>
              </w:rPr>
            </w:pPr>
          </w:p>
        </w:tc>
        <w:tc>
          <w:tcPr>
            <w:tcW w:w="1836" w:type="dxa"/>
            <w:gridSpan w:val="2"/>
            <w:vAlign w:val="center"/>
          </w:tcPr>
          <w:p>
            <w:pPr>
              <w:pStyle w:val="52"/>
              <w:spacing w:before="120" w:after="120"/>
              <w:jc w:val="center"/>
              <w:rPr>
                <w:rFonts w:ascii="宋体" w:cs="宋体"/>
                <w:sz w:val="24"/>
                <w:szCs w:val="24"/>
                <w:highlight w:val="none"/>
              </w:rPr>
            </w:pPr>
          </w:p>
        </w:tc>
        <w:tc>
          <w:tcPr>
            <w:tcW w:w="1554" w:type="dxa"/>
            <w:gridSpan w:val="2"/>
            <w:vAlign w:val="center"/>
          </w:tcPr>
          <w:p>
            <w:pPr>
              <w:pStyle w:val="52"/>
              <w:spacing w:before="120" w:after="120"/>
              <w:jc w:val="center"/>
              <w:rPr>
                <w:rFonts w:asci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pPr>
              <w:pStyle w:val="52"/>
              <w:spacing w:before="120" w:after="120"/>
              <w:jc w:val="center"/>
              <w:rPr>
                <w:rFonts w:ascii="宋体" w:cs="宋体"/>
                <w:sz w:val="24"/>
                <w:szCs w:val="24"/>
                <w:highlight w:val="none"/>
              </w:rPr>
            </w:pPr>
          </w:p>
        </w:tc>
        <w:tc>
          <w:tcPr>
            <w:tcW w:w="1836" w:type="dxa"/>
            <w:gridSpan w:val="2"/>
            <w:vAlign w:val="center"/>
          </w:tcPr>
          <w:p>
            <w:pPr>
              <w:pStyle w:val="52"/>
              <w:spacing w:before="120" w:after="120"/>
              <w:jc w:val="center"/>
              <w:rPr>
                <w:rFonts w:ascii="宋体" w:cs="宋体"/>
                <w:sz w:val="24"/>
                <w:szCs w:val="24"/>
                <w:highlight w:val="none"/>
              </w:rPr>
            </w:pPr>
          </w:p>
        </w:tc>
        <w:tc>
          <w:tcPr>
            <w:tcW w:w="1836" w:type="dxa"/>
            <w:gridSpan w:val="2"/>
            <w:vAlign w:val="center"/>
          </w:tcPr>
          <w:p>
            <w:pPr>
              <w:pStyle w:val="52"/>
              <w:spacing w:before="120" w:after="120"/>
              <w:jc w:val="center"/>
              <w:rPr>
                <w:rFonts w:ascii="宋体" w:cs="宋体"/>
                <w:sz w:val="24"/>
                <w:szCs w:val="24"/>
                <w:highlight w:val="none"/>
              </w:rPr>
            </w:pPr>
          </w:p>
        </w:tc>
        <w:tc>
          <w:tcPr>
            <w:tcW w:w="1836" w:type="dxa"/>
            <w:gridSpan w:val="2"/>
            <w:vAlign w:val="center"/>
          </w:tcPr>
          <w:p>
            <w:pPr>
              <w:pStyle w:val="52"/>
              <w:spacing w:before="120" w:after="120"/>
              <w:jc w:val="center"/>
              <w:rPr>
                <w:rFonts w:ascii="宋体" w:cs="宋体"/>
                <w:sz w:val="24"/>
                <w:szCs w:val="24"/>
                <w:highlight w:val="none"/>
              </w:rPr>
            </w:pPr>
          </w:p>
        </w:tc>
        <w:tc>
          <w:tcPr>
            <w:tcW w:w="1554" w:type="dxa"/>
            <w:gridSpan w:val="2"/>
            <w:vAlign w:val="center"/>
          </w:tcPr>
          <w:p>
            <w:pPr>
              <w:pStyle w:val="52"/>
              <w:spacing w:before="120" w:after="120"/>
              <w:jc w:val="center"/>
              <w:rPr>
                <w:rFonts w:ascii="宋体" w:cs="宋体"/>
                <w:sz w:val="24"/>
                <w:szCs w:val="24"/>
                <w:highlight w:val="none"/>
              </w:rPr>
            </w:pPr>
          </w:p>
        </w:tc>
      </w:tr>
    </w:tbl>
    <w:p>
      <w:pPr>
        <w:pStyle w:val="52"/>
        <w:spacing w:before="120" w:after="120"/>
        <w:jc w:val="center"/>
        <w:rPr>
          <w:rFonts w:ascii="宋体" w:cs="宋体"/>
          <w:sz w:val="24"/>
          <w:szCs w:val="24"/>
          <w:highlight w:val="none"/>
        </w:rPr>
      </w:pPr>
      <w:r>
        <w:rPr>
          <w:rFonts w:hint="eastAsia" w:ascii="宋体" w:hAnsi="宋体" w:cs="宋体"/>
          <w:sz w:val="24"/>
          <w:szCs w:val="24"/>
          <w:highlight w:val="none"/>
        </w:rPr>
        <w:t>说明：必须附相关证明材料的完整清晰扫描件，否则评委在评审时将不予承认。</w:t>
      </w:r>
    </w:p>
    <w:p>
      <w:pPr>
        <w:pStyle w:val="52"/>
        <w:adjustRightInd w:val="0"/>
        <w:snapToGrid w:val="0"/>
        <w:spacing w:before="120" w:after="120" w:line="500" w:lineRule="exact"/>
        <w:rPr>
          <w:rFonts w:ascii="宋体" w:cs="宋体"/>
          <w:sz w:val="24"/>
          <w:szCs w:val="24"/>
          <w:highlight w:val="none"/>
          <w:u w:val="single"/>
        </w:rPr>
      </w:pPr>
      <w:r>
        <w:rPr>
          <w:rFonts w:hint="eastAsia" w:ascii="宋体" w:hAnsi="宋体" w:cs="宋体"/>
          <w:sz w:val="24"/>
          <w:szCs w:val="24"/>
          <w:highlight w:val="none"/>
        </w:rPr>
        <w:t>供应商名称（签章）：</w:t>
      </w:r>
    </w:p>
    <w:p>
      <w:pPr>
        <w:pStyle w:val="52"/>
        <w:adjustRightInd w:val="0"/>
        <w:snapToGrid w:val="0"/>
        <w:spacing w:before="120" w:after="120" w:line="500" w:lineRule="exact"/>
        <w:rPr>
          <w:rFonts w:ascii="宋体" w:cs="宋体"/>
          <w:sz w:val="24"/>
          <w:szCs w:val="24"/>
          <w:highlight w:val="none"/>
        </w:rPr>
      </w:pPr>
      <w:r>
        <w:rPr>
          <w:rFonts w:hint="eastAsia" w:ascii="宋体" w:hAnsi="宋体" w:cs="宋体"/>
          <w:sz w:val="24"/>
          <w:szCs w:val="24"/>
          <w:highlight w:val="none"/>
        </w:rPr>
        <w:t>法定代表人或委托代理人（签字或签章）：</w:t>
      </w:r>
    </w:p>
    <w:p>
      <w:pPr>
        <w:spacing w:line="360" w:lineRule="auto"/>
        <w:rPr>
          <w:rFonts w:ascii="宋体" w:hAnsi="宋体"/>
          <w:color w:val="000000"/>
          <w:sz w:val="24"/>
          <w:highlight w:val="none"/>
        </w:rPr>
      </w:pPr>
      <w:r>
        <w:rPr>
          <w:rFonts w:hint="eastAsia" w:ascii="宋体" w:hAnsi="宋体" w:cs="宋体"/>
          <w:sz w:val="24"/>
          <w:szCs w:val="24"/>
          <w:highlight w:val="none"/>
        </w:rPr>
        <w:t>日期：年月日</w:t>
      </w:r>
      <w:r>
        <w:rPr>
          <w:highlight w:val="none"/>
        </w:rPr>
        <w:br w:type="page"/>
      </w:r>
      <w:r>
        <w:rPr>
          <w:rFonts w:hint="eastAsia" w:ascii="宋体" w:hAnsi="宋体"/>
          <w:color w:val="000000"/>
          <w:sz w:val="24"/>
          <w:highlight w:val="none"/>
        </w:rPr>
        <w:t>附件</w:t>
      </w:r>
      <w:r>
        <w:rPr>
          <w:rFonts w:hint="eastAsia" w:ascii="宋体" w:hAnsi="宋体"/>
          <w:color w:val="000000"/>
          <w:sz w:val="24"/>
          <w:highlight w:val="none"/>
          <w:lang w:val="en-US" w:eastAsia="zh-CN"/>
        </w:rPr>
        <w:t>10</w:t>
      </w:r>
      <w:r>
        <w:rPr>
          <w:rFonts w:hint="eastAsia" w:ascii="宋体" w:hAnsi="宋体"/>
          <w:color w:val="000000"/>
          <w:sz w:val="24"/>
          <w:highlight w:val="none"/>
        </w:rPr>
        <w:t>：项目实施人员一览表</w:t>
      </w:r>
    </w:p>
    <w:p>
      <w:pPr>
        <w:snapToGrid w:val="0"/>
        <w:spacing w:before="120" w:beforeLines="50" w:after="50" w:line="400" w:lineRule="exact"/>
        <w:jc w:val="center"/>
        <w:rPr>
          <w:rFonts w:ascii="宋体" w:hAnsi="宋体"/>
          <w:b/>
          <w:color w:val="000000"/>
          <w:sz w:val="24"/>
          <w:highlight w:val="none"/>
        </w:rPr>
      </w:pPr>
      <w:r>
        <w:rPr>
          <w:rFonts w:hint="eastAsia" w:ascii="宋体" w:hAnsi="宋体"/>
          <w:b/>
          <w:color w:val="000000"/>
          <w:sz w:val="24"/>
          <w:highlight w:val="none"/>
        </w:rPr>
        <w:t>项目实施人员（主要从业人员及其技术资格）一览表</w:t>
      </w:r>
    </w:p>
    <w:p>
      <w:pPr>
        <w:pStyle w:val="52"/>
        <w:adjustRightInd w:val="0"/>
        <w:snapToGrid w:val="0"/>
        <w:spacing w:before="120" w:after="120" w:line="500" w:lineRule="exact"/>
        <w:rPr>
          <w:rFonts w:hint="eastAsia" w:ascii="宋体" w:eastAsia="宋体" w:cs="宋体"/>
          <w:sz w:val="24"/>
          <w:szCs w:val="24"/>
          <w:highlight w:val="none"/>
          <w:lang w:eastAsia="zh-CN"/>
        </w:rPr>
      </w:pPr>
      <w:r>
        <w:rPr>
          <w:rFonts w:hint="eastAsia" w:ascii="宋体" w:hAnsi="宋体" w:cs="宋体"/>
          <w:sz w:val="24"/>
          <w:szCs w:val="24"/>
          <w:highlight w:val="none"/>
          <w:lang w:eastAsia="zh-CN"/>
        </w:rPr>
        <w:t>项目编号：</w:t>
      </w:r>
    </w:p>
    <w:p>
      <w:pPr>
        <w:snapToGrid w:val="0"/>
        <w:spacing w:before="120" w:beforeLines="50" w:after="50" w:line="400" w:lineRule="exact"/>
        <w:rPr>
          <w:rFonts w:ascii="宋体" w:hAnsi="宋体"/>
          <w:color w:val="000000"/>
          <w:sz w:val="24"/>
          <w:highlight w:val="none"/>
        </w:rPr>
      </w:pPr>
      <w:r>
        <w:rPr>
          <w:rFonts w:hint="eastAsia" w:ascii="宋体" w:hAnsi="宋体" w:cs="宋体"/>
          <w:sz w:val="24"/>
          <w:szCs w:val="24"/>
          <w:highlight w:val="none"/>
        </w:rPr>
        <w:t>项目名称：</w:t>
      </w:r>
    </w:p>
    <w:tbl>
      <w:tblPr>
        <w:tblStyle w:val="35"/>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00" w:lineRule="exact"/>
              <w:jc w:val="center"/>
              <w:rPr>
                <w:rFonts w:ascii="宋体" w:hAnsi="宋体"/>
                <w:color w:val="000000"/>
                <w:sz w:val="24"/>
                <w:highlight w:val="none"/>
              </w:rPr>
            </w:pPr>
            <w:r>
              <w:rPr>
                <w:rFonts w:hint="eastAsia" w:ascii="宋体" w:hAnsi="宋体"/>
                <w:color w:val="000000"/>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00" w:lineRule="exact"/>
              <w:jc w:val="center"/>
              <w:rPr>
                <w:rFonts w:ascii="宋体" w:hAnsi="宋体"/>
                <w:color w:val="000000"/>
                <w:sz w:val="24"/>
                <w:highlight w:val="none"/>
              </w:rPr>
            </w:pPr>
            <w:r>
              <w:rPr>
                <w:rFonts w:hint="eastAsia" w:ascii="宋体" w:hAnsi="宋体"/>
                <w:color w:val="000000"/>
                <w:sz w:val="24"/>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00" w:lineRule="exact"/>
              <w:jc w:val="center"/>
              <w:rPr>
                <w:rFonts w:ascii="宋体" w:hAnsi="宋体"/>
                <w:color w:val="000000"/>
                <w:sz w:val="24"/>
                <w:highlight w:val="none"/>
              </w:rPr>
            </w:pPr>
            <w:r>
              <w:rPr>
                <w:rFonts w:hint="eastAsia" w:ascii="宋体" w:hAnsi="宋体"/>
                <w:color w:val="000000"/>
                <w:sz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00" w:lineRule="exact"/>
              <w:jc w:val="center"/>
              <w:rPr>
                <w:rFonts w:ascii="宋体" w:hAnsi="宋体"/>
                <w:color w:val="000000"/>
                <w:sz w:val="24"/>
                <w:highlight w:val="none"/>
              </w:rPr>
            </w:pPr>
            <w:r>
              <w:rPr>
                <w:rFonts w:hint="eastAsia" w:ascii="宋体" w:hAnsi="宋体"/>
                <w:color w:val="000000"/>
                <w:sz w:val="24"/>
                <w:highlight w:val="none"/>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00" w:lineRule="exact"/>
              <w:jc w:val="center"/>
              <w:rPr>
                <w:rFonts w:ascii="宋体" w:hAnsi="宋体"/>
                <w:color w:val="000000"/>
                <w:sz w:val="24"/>
                <w:highlight w:val="none"/>
              </w:rPr>
            </w:pPr>
            <w:r>
              <w:rPr>
                <w:rFonts w:hint="eastAsia" w:ascii="宋体" w:hAnsi="宋体"/>
                <w:color w:val="000000"/>
                <w:sz w:val="24"/>
                <w:highlight w:val="none"/>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00" w:lineRule="exact"/>
              <w:jc w:val="center"/>
              <w:rPr>
                <w:rFonts w:ascii="宋体" w:hAnsi="宋体"/>
                <w:color w:val="000000"/>
                <w:sz w:val="24"/>
                <w:highlight w:val="none"/>
              </w:rPr>
            </w:pPr>
            <w:r>
              <w:rPr>
                <w:rFonts w:hint="eastAsia" w:ascii="宋体" w:hAnsi="宋体"/>
                <w:color w:val="000000"/>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c>
          <w:tcPr>
            <w:tcW w:w="1663" w:type="dxa"/>
            <w:tcBorders>
              <w:top w:val="single" w:color="auto" w:sz="4" w:space="0"/>
              <w:left w:val="single" w:color="auto" w:sz="4" w:space="0"/>
              <w:bottom w:val="single" w:color="auto" w:sz="4" w:space="0"/>
              <w:right w:val="single" w:color="auto" w:sz="4" w:space="0"/>
            </w:tcBorders>
          </w:tcPr>
          <w:p>
            <w:pPr>
              <w:pStyle w:val="23"/>
              <w:snapToGrid w:val="0"/>
              <w:spacing w:before="120" w:beforeLines="50" w:after="50" w:line="400" w:lineRule="exact"/>
              <w:ind w:left="5250"/>
              <w:rPr>
                <w:rFonts w:ascii="宋体" w:hAnsi="宋体" w:eastAsia="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00" w:lineRule="exact"/>
              <w:rPr>
                <w:rFonts w:ascii="宋体" w:hAnsi="宋体"/>
                <w:color w:val="000000"/>
                <w:sz w:val="24"/>
                <w:highlight w:val="none"/>
              </w:rPr>
            </w:pPr>
          </w:p>
        </w:tc>
      </w:tr>
    </w:tbl>
    <w:p>
      <w:pPr>
        <w:pStyle w:val="52"/>
        <w:spacing w:before="120" w:after="120" w:line="360" w:lineRule="auto"/>
        <w:jc w:val="left"/>
        <w:rPr>
          <w:rFonts w:ascii="宋体"/>
          <w:sz w:val="24"/>
          <w:szCs w:val="24"/>
          <w:highlight w:val="none"/>
        </w:rPr>
      </w:pPr>
      <w:r>
        <w:rPr>
          <w:rFonts w:hint="eastAsia" w:ascii="宋体" w:hAnsi="宋体"/>
          <w:color w:val="000000"/>
          <w:sz w:val="24"/>
          <w:highlight w:val="none"/>
        </w:rPr>
        <w:t>注：在填写时，如本表格不适合磋商响应单位的实际情况，可根据本表格式自行划表填写。</w:t>
      </w:r>
    </w:p>
    <w:p>
      <w:pPr>
        <w:pStyle w:val="52"/>
        <w:spacing w:before="120" w:after="120" w:line="360" w:lineRule="auto"/>
        <w:jc w:val="left"/>
        <w:rPr>
          <w:rFonts w:ascii="宋体"/>
          <w:sz w:val="24"/>
          <w:szCs w:val="24"/>
          <w:highlight w:val="none"/>
        </w:rPr>
      </w:pPr>
    </w:p>
    <w:p>
      <w:pPr>
        <w:pStyle w:val="52"/>
        <w:adjustRightInd w:val="0"/>
        <w:snapToGrid w:val="0"/>
        <w:spacing w:before="120" w:after="120" w:line="500" w:lineRule="exact"/>
        <w:rPr>
          <w:rFonts w:ascii="宋体" w:cs="宋体"/>
          <w:sz w:val="24"/>
          <w:szCs w:val="24"/>
          <w:highlight w:val="none"/>
          <w:u w:val="single"/>
        </w:rPr>
      </w:pPr>
      <w:r>
        <w:rPr>
          <w:rFonts w:hint="eastAsia" w:ascii="宋体" w:hAnsi="宋体" w:cs="宋体"/>
          <w:sz w:val="24"/>
          <w:szCs w:val="24"/>
          <w:highlight w:val="none"/>
        </w:rPr>
        <w:t>供应商名称（签章）：</w:t>
      </w:r>
    </w:p>
    <w:p>
      <w:pPr>
        <w:pStyle w:val="52"/>
        <w:adjustRightInd w:val="0"/>
        <w:snapToGrid w:val="0"/>
        <w:spacing w:before="120" w:after="120" w:line="500" w:lineRule="exact"/>
        <w:rPr>
          <w:rFonts w:ascii="宋体" w:cs="宋体"/>
          <w:sz w:val="24"/>
          <w:szCs w:val="24"/>
          <w:highlight w:val="none"/>
        </w:rPr>
      </w:pPr>
      <w:r>
        <w:rPr>
          <w:rFonts w:hint="eastAsia" w:ascii="宋体" w:hAnsi="宋体" w:cs="宋体"/>
          <w:sz w:val="24"/>
          <w:szCs w:val="24"/>
          <w:highlight w:val="none"/>
        </w:rPr>
        <w:t>法定代表人或委托代理人（签字或签章）：</w:t>
      </w:r>
    </w:p>
    <w:p>
      <w:pPr>
        <w:pStyle w:val="52"/>
        <w:spacing w:before="120" w:after="120" w:line="500" w:lineRule="exact"/>
        <w:rPr>
          <w:rFonts w:ascii="宋体" w:cs="宋体"/>
          <w:sz w:val="24"/>
          <w:szCs w:val="24"/>
          <w:highlight w:val="none"/>
        </w:rPr>
      </w:pPr>
      <w:r>
        <w:rPr>
          <w:rFonts w:hint="eastAsia" w:ascii="宋体" w:hAnsi="宋体" w:cs="宋体"/>
          <w:sz w:val="24"/>
          <w:szCs w:val="24"/>
          <w:highlight w:val="none"/>
        </w:rPr>
        <w:t>日期：年月日</w:t>
      </w:r>
    </w:p>
    <w:p>
      <w:pPr>
        <w:autoSpaceDE w:val="0"/>
        <w:autoSpaceDN w:val="0"/>
        <w:spacing w:before="50" w:after="50"/>
        <w:ind w:right="-817"/>
        <w:rPr>
          <w:rFonts w:ascii="宋体" w:hAnsi="宋体"/>
          <w:sz w:val="24"/>
          <w:highlight w:val="none"/>
          <w:lang w:val="zh-CN"/>
        </w:rPr>
      </w:pPr>
    </w:p>
    <w:p>
      <w:pPr>
        <w:snapToGrid w:val="0"/>
        <w:spacing w:before="120" w:beforeLines="50" w:line="400" w:lineRule="exact"/>
        <w:outlineLvl w:val="2"/>
        <w:rPr>
          <w:highlight w:val="none"/>
        </w:rPr>
      </w:pPr>
    </w:p>
    <w:p>
      <w:pPr>
        <w:pStyle w:val="4"/>
        <w:rPr>
          <w:highlight w:val="none"/>
        </w:rPr>
      </w:pPr>
    </w:p>
    <w:p>
      <w:pPr>
        <w:pStyle w:val="5"/>
      </w:pPr>
    </w:p>
    <w:p>
      <w:pPr>
        <w:pStyle w:val="7"/>
        <w:spacing w:line="400" w:lineRule="exact"/>
        <w:jc w:val="both"/>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lang w:val="en-US" w:eastAsia="zh-CN"/>
        </w:rPr>
        <w:t>附件</w:t>
      </w:r>
      <w:r>
        <w:rPr>
          <w:rFonts w:hint="eastAsia" w:hAnsi="宋体" w:cs="宋体"/>
          <w:b w:val="0"/>
          <w:bCs/>
          <w:color w:val="000000"/>
          <w:sz w:val="24"/>
          <w:szCs w:val="24"/>
          <w:highlight w:val="none"/>
          <w:lang w:val="en-US" w:eastAsia="zh-CN"/>
        </w:rPr>
        <w:t>11</w:t>
      </w:r>
      <w:r>
        <w:rPr>
          <w:rFonts w:hint="eastAsia" w:ascii="宋体" w:hAnsi="宋体" w:eastAsia="宋体" w:cs="宋体"/>
          <w:b w:val="0"/>
          <w:bCs/>
          <w:color w:val="000000"/>
          <w:sz w:val="24"/>
          <w:szCs w:val="24"/>
          <w:highlight w:val="none"/>
          <w:lang w:val="en-US" w:eastAsia="zh-CN"/>
        </w:rPr>
        <w:t>：本项目拟投入的设施设备一览表</w:t>
      </w:r>
    </w:p>
    <w:p>
      <w:pPr>
        <w:pStyle w:val="9"/>
        <w:spacing w:line="360" w:lineRule="auto"/>
        <w:ind w:firstLine="0"/>
        <w:jc w:val="center"/>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本项目拟投入的设施设备一览表</w:t>
      </w:r>
    </w:p>
    <w:p>
      <w:pPr>
        <w:pStyle w:val="5"/>
        <w:ind w:left="0" w:leftChars="0" w:firstLine="0" w:firstLineChars="0"/>
        <w:rPr>
          <w:rFonts w:hint="eastAsia"/>
          <w:highlight w:val="none"/>
        </w:rPr>
      </w:pPr>
      <w:r>
        <w:rPr>
          <w:rStyle w:val="92"/>
          <w:rFonts w:hint="eastAsia" w:ascii="宋体" w:hAnsi="宋体" w:eastAsia="宋体" w:cs="宋体"/>
          <w:b w:val="0"/>
          <w:bCs/>
          <w:sz w:val="24"/>
          <w:szCs w:val="24"/>
          <w:highlight w:val="none"/>
        </w:rPr>
        <w:t>项目编号：</w:t>
      </w:r>
    </w:p>
    <w:p>
      <w:pPr>
        <w:spacing w:line="460" w:lineRule="exact"/>
        <w:rPr>
          <w:rFonts w:hint="eastAsia" w:ascii="宋体" w:hAnsi="宋体" w:eastAsia="宋体" w:cs="宋体"/>
          <w:b w:val="0"/>
          <w:bCs/>
          <w:sz w:val="24"/>
          <w:szCs w:val="24"/>
          <w:highlight w:val="none"/>
        </w:rPr>
      </w:pPr>
      <w:r>
        <w:rPr>
          <w:rStyle w:val="92"/>
          <w:rFonts w:hint="eastAsia" w:ascii="宋体" w:hAnsi="宋体" w:eastAsia="宋体" w:cs="宋体"/>
          <w:b w:val="0"/>
          <w:bCs/>
          <w:sz w:val="24"/>
          <w:szCs w:val="24"/>
          <w:highlight w:val="none"/>
        </w:rPr>
        <w:t xml:space="preserve">项目名称：                                         </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1326"/>
        <w:gridCol w:w="1191"/>
        <w:gridCol w:w="1163"/>
        <w:gridCol w:w="1179"/>
        <w:gridCol w:w="1191"/>
        <w:gridCol w:w="998"/>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359" w:type="pct"/>
            <w:noWrap w:val="0"/>
            <w:vAlign w:val="center"/>
          </w:tcPr>
          <w:p>
            <w:pPr>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序号</w:t>
            </w:r>
          </w:p>
        </w:tc>
        <w:tc>
          <w:tcPr>
            <w:tcW w:w="756" w:type="pct"/>
            <w:noWrap w:val="0"/>
            <w:vAlign w:val="center"/>
          </w:tcPr>
          <w:p>
            <w:pPr>
              <w:jc w:val="center"/>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设备名称</w:t>
            </w:r>
            <w:r>
              <w:rPr>
                <w:rFonts w:hint="eastAsia" w:ascii="宋体" w:hAnsi="宋体" w:cs="宋体"/>
                <w:b w:val="0"/>
                <w:bCs/>
                <w:sz w:val="24"/>
                <w:szCs w:val="24"/>
                <w:highlight w:val="none"/>
                <w:lang w:val="en-US" w:eastAsia="zh-CN"/>
              </w:rPr>
              <w:t>/</w:t>
            </w:r>
            <w:r>
              <w:rPr>
                <w:rFonts w:hint="eastAsia" w:ascii="宋体" w:hAnsi="宋体" w:eastAsia="宋体" w:cs="宋体"/>
                <w:b w:val="0"/>
                <w:bCs/>
                <w:color w:val="000000"/>
                <w:sz w:val="24"/>
                <w:szCs w:val="24"/>
                <w:highlight w:val="none"/>
                <w:lang w:val="en-US" w:eastAsia="zh-CN"/>
              </w:rPr>
              <w:t>检测设施</w:t>
            </w:r>
          </w:p>
        </w:tc>
        <w:tc>
          <w:tcPr>
            <w:tcW w:w="679" w:type="pct"/>
            <w:noWrap w:val="0"/>
            <w:vAlign w:val="center"/>
          </w:tcPr>
          <w:p>
            <w:pPr>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规格型号</w:t>
            </w:r>
          </w:p>
        </w:tc>
        <w:tc>
          <w:tcPr>
            <w:tcW w:w="663" w:type="pct"/>
            <w:noWrap w:val="0"/>
            <w:vAlign w:val="center"/>
          </w:tcPr>
          <w:p>
            <w:pPr>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品牌/产地</w:t>
            </w:r>
          </w:p>
        </w:tc>
        <w:tc>
          <w:tcPr>
            <w:tcW w:w="672" w:type="pct"/>
            <w:noWrap w:val="0"/>
            <w:vAlign w:val="center"/>
          </w:tcPr>
          <w:p>
            <w:pPr>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出厂年月</w:t>
            </w:r>
          </w:p>
        </w:tc>
        <w:tc>
          <w:tcPr>
            <w:tcW w:w="679" w:type="pct"/>
            <w:noWrap w:val="0"/>
            <w:vAlign w:val="center"/>
          </w:tcPr>
          <w:p>
            <w:pPr>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数量（台）</w:t>
            </w:r>
          </w:p>
        </w:tc>
        <w:tc>
          <w:tcPr>
            <w:tcW w:w="998" w:type="dxa"/>
            <w:noWrap w:val="0"/>
            <w:vAlign w:val="center"/>
          </w:tcPr>
          <w:p>
            <w:pPr>
              <w:pStyle w:val="102"/>
              <w:jc w:val="center"/>
              <w:rPr>
                <w:rFonts w:hint="eastAsia" w:ascii="宋体" w:hAnsi="宋体" w:eastAsia="宋体" w:cs="宋体"/>
                <w:b w:val="0"/>
                <w:bCs/>
                <w:sz w:val="24"/>
                <w:szCs w:val="24"/>
                <w:highlight w:val="none"/>
              </w:rPr>
            </w:pPr>
            <w:r>
              <w:rPr>
                <w:rFonts w:hint="eastAsia" w:ascii="宋体" w:hAnsi="宋体" w:eastAsia="宋体" w:cs="宋体"/>
                <w:bCs/>
                <w:sz w:val="24"/>
                <w:highlight w:val="none"/>
              </w:rPr>
              <w:t>用途</w:t>
            </w:r>
          </w:p>
        </w:tc>
        <w:tc>
          <w:tcPr>
            <w:tcW w:w="1089" w:type="dxa"/>
            <w:noWrap w:val="0"/>
            <w:vAlign w:val="center"/>
          </w:tcPr>
          <w:p>
            <w:pPr>
              <w:pStyle w:val="102"/>
              <w:jc w:val="center"/>
              <w:rPr>
                <w:rFonts w:hint="eastAsia" w:ascii="宋体" w:hAnsi="宋体" w:eastAsia="宋体" w:cs="宋体"/>
                <w:b w:val="0"/>
                <w:bCs/>
                <w:sz w:val="24"/>
                <w:szCs w:val="24"/>
                <w:highlight w:val="none"/>
              </w:rPr>
            </w:pPr>
            <w:r>
              <w:rPr>
                <w:rFonts w:hint="eastAsia" w:ascii="宋体" w:hAnsi="宋体" w:eastAsia="宋体" w:cs="宋体"/>
                <w:bCs/>
                <w:sz w:val="24"/>
                <w:highlight w:val="none"/>
              </w:rPr>
              <w:t>备注（自有或租赁）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noWrap w:val="0"/>
            <w:vAlign w:val="center"/>
          </w:tcPr>
          <w:p>
            <w:pPr>
              <w:jc w:val="center"/>
              <w:rPr>
                <w:rFonts w:hint="eastAsia" w:ascii="宋体" w:hAnsi="宋体" w:eastAsia="宋体" w:cs="宋体"/>
                <w:b w:val="0"/>
                <w:bCs/>
                <w:sz w:val="24"/>
                <w:szCs w:val="24"/>
                <w:highlight w:val="none"/>
              </w:rPr>
            </w:pPr>
          </w:p>
        </w:tc>
        <w:tc>
          <w:tcPr>
            <w:tcW w:w="756" w:type="pct"/>
            <w:noWrap w:val="0"/>
            <w:vAlign w:val="center"/>
          </w:tcPr>
          <w:p>
            <w:pPr>
              <w:jc w:val="center"/>
              <w:rPr>
                <w:rFonts w:hint="eastAsia" w:ascii="宋体" w:hAnsi="宋体" w:eastAsia="宋体" w:cs="宋体"/>
                <w:b w:val="0"/>
                <w:bCs/>
                <w:sz w:val="24"/>
                <w:szCs w:val="24"/>
                <w:highlight w:val="none"/>
              </w:rPr>
            </w:pPr>
          </w:p>
        </w:tc>
        <w:tc>
          <w:tcPr>
            <w:tcW w:w="679" w:type="pct"/>
            <w:noWrap w:val="0"/>
            <w:vAlign w:val="center"/>
          </w:tcPr>
          <w:p>
            <w:pPr>
              <w:jc w:val="center"/>
              <w:rPr>
                <w:rFonts w:hint="eastAsia" w:ascii="宋体" w:hAnsi="宋体" w:eastAsia="宋体" w:cs="宋体"/>
                <w:b w:val="0"/>
                <w:bCs/>
                <w:sz w:val="24"/>
                <w:szCs w:val="24"/>
                <w:highlight w:val="none"/>
              </w:rPr>
            </w:pPr>
          </w:p>
        </w:tc>
        <w:tc>
          <w:tcPr>
            <w:tcW w:w="663" w:type="pct"/>
            <w:noWrap w:val="0"/>
            <w:vAlign w:val="center"/>
          </w:tcPr>
          <w:p>
            <w:pPr>
              <w:jc w:val="center"/>
              <w:rPr>
                <w:rFonts w:hint="eastAsia" w:ascii="宋体" w:hAnsi="宋体" w:eastAsia="宋体" w:cs="宋体"/>
                <w:b w:val="0"/>
                <w:bCs/>
                <w:sz w:val="24"/>
                <w:szCs w:val="24"/>
                <w:highlight w:val="none"/>
              </w:rPr>
            </w:pPr>
          </w:p>
        </w:tc>
        <w:tc>
          <w:tcPr>
            <w:tcW w:w="672" w:type="pct"/>
            <w:noWrap w:val="0"/>
            <w:vAlign w:val="center"/>
          </w:tcPr>
          <w:p>
            <w:pPr>
              <w:jc w:val="center"/>
              <w:rPr>
                <w:rFonts w:hint="eastAsia" w:ascii="宋体" w:hAnsi="宋体" w:eastAsia="宋体" w:cs="宋体"/>
                <w:b w:val="0"/>
                <w:bCs/>
                <w:sz w:val="24"/>
                <w:szCs w:val="24"/>
                <w:highlight w:val="none"/>
              </w:rPr>
            </w:pPr>
          </w:p>
        </w:tc>
        <w:tc>
          <w:tcPr>
            <w:tcW w:w="679" w:type="pct"/>
            <w:noWrap w:val="0"/>
            <w:vAlign w:val="center"/>
          </w:tcPr>
          <w:p>
            <w:pPr>
              <w:jc w:val="center"/>
              <w:rPr>
                <w:rFonts w:hint="eastAsia" w:ascii="宋体" w:hAnsi="宋体" w:eastAsia="宋体" w:cs="宋体"/>
                <w:b w:val="0"/>
                <w:bCs/>
                <w:sz w:val="24"/>
                <w:szCs w:val="24"/>
                <w:highlight w:val="none"/>
              </w:rPr>
            </w:pPr>
          </w:p>
        </w:tc>
        <w:tc>
          <w:tcPr>
            <w:tcW w:w="569" w:type="pct"/>
            <w:noWrap w:val="0"/>
            <w:vAlign w:val="center"/>
          </w:tcPr>
          <w:p>
            <w:pPr>
              <w:jc w:val="center"/>
              <w:rPr>
                <w:rFonts w:hint="eastAsia" w:ascii="宋体" w:hAnsi="宋体" w:eastAsia="宋体" w:cs="宋体"/>
                <w:b w:val="0"/>
                <w:bCs/>
                <w:sz w:val="24"/>
                <w:szCs w:val="24"/>
                <w:highlight w:val="none"/>
              </w:rPr>
            </w:pPr>
          </w:p>
        </w:tc>
        <w:tc>
          <w:tcPr>
            <w:tcW w:w="621" w:type="pct"/>
            <w:noWrap w:val="0"/>
            <w:vAlign w:val="center"/>
          </w:tcPr>
          <w:p>
            <w:pPr>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noWrap w:val="0"/>
            <w:vAlign w:val="center"/>
          </w:tcPr>
          <w:p>
            <w:pPr>
              <w:jc w:val="center"/>
              <w:rPr>
                <w:rFonts w:hint="eastAsia" w:ascii="宋体" w:hAnsi="宋体" w:eastAsia="宋体" w:cs="宋体"/>
                <w:b w:val="0"/>
                <w:bCs/>
                <w:sz w:val="24"/>
                <w:szCs w:val="24"/>
                <w:highlight w:val="none"/>
              </w:rPr>
            </w:pPr>
          </w:p>
        </w:tc>
        <w:tc>
          <w:tcPr>
            <w:tcW w:w="756" w:type="pct"/>
            <w:noWrap w:val="0"/>
            <w:vAlign w:val="center"/>
          </w:tcPr>
          <w:p>
            <w:pPr>
              <w:jc w:val="center"/>
              <w:rPr>
                <w:rFonts w:hint="eastAsia" w:ascii="宋体" w:hAnsi="宋体" w:eastAsia="宋体" w:cs="宋体"/>
                <w:b w:val="0"/>
                <w:bCs/>
                <w:sz w:val="24"/>
                <w:szCs w:val="24"/>
                <w:highlight w:val="none"/>
              </w:rPr>
            </w:pPr>
          </w:p>
        </w:tc>
        <w:tc>
          <w:tcPr>
            <w:tcW w:w="679" w:type="pct"/>
            <w:noWrap w:val="0"/>
            <w:vAlign w:val="center"/>
          </w:tcPr>
          <w:p>
            <w:pPr>
              <w:jc w:val="center"/>
              <w:rPr>
                <w:rFonts w:hint="eastAsia" w:ascii="宋体" w:hAnsi="宋体" w:eastAsia="宋体" w:cs="宋体"/>
                <w:b w:val="0"/>
                <w:bCs/>
                <w:sz w:val="24"/>
                <w:szCs w:val="24"/>
                <w:highlight w:val="none"/>
              </w:rPr>
            </w:pPr>
          </w:p>
        </w:tc>
        <w:tc>
          <w:tcPr>
            <w:tcW w:w="663" w:type="pct"/>
            <w:noWrap w:val="0"/>
            <w:vAlign w:val="center"/>
          </w:tcPr>
          <w:p>
            <w:pPr>
              <w:jc w:val="center"/>
              <w:rPr>
                <w:rFonts w:hint="eastAsia" w:ascii="宋体" w:hAnsi="宋体" w:eastAsia="宋体" w:cs="宋体"/>
                <w:b w:val="0"/>
                <w:bCs/>
                <w:sz w:val="24"/>
                <w:szCs w:val="24"/>
                <w:highlight w:val="none"/>
              </w:rPr>
            </w:pPr>
          </w:p>
        </w:tc>
        <w:tc>
          <w:tcPr>
            <w:tcW w:w="672" w:type="pct"/>
            <w:noWrap w:val="0"/>
            <w:vAlign w:val="center"/>
          </w:tcPr>
          <w:p>
            <w:pPr>
              <w:jc w:val="center"/>
              <w:rPr>
                <w:rFonts w:hint="eastAsia" w:ascii="宋体" w:hAnsi="宋体" w:eastAsia="宋体" w:cs="宋体"/>
                <w:b w:val="0"/>
                <w:bCs/>
                <w:sz w:val="24"/>
                <w:szCs w:val="24"/>
                <w:highlight w:val="none"/>
              </w:rPr>
            </w:pPr>
          </w:p>
        </w:tc>
        <w:tc>
          <w:tcPr>
            <w:tcW w:w="679" w:type="pct"/>
            <w:noWrap w:val="0"/>
            <w:vAlign w:val="center"/>
          </w:tcPr>
          <w:p>
            <w:pPr>
              <w:jc w:val="center"/>
              <w:rPr>
                <w:rFonts w:hint="eastAsia" w:ascii="宋体" w:hAnsi="宋体" w:eastAsia="宋体" w:cs="宋体"/>
                <w:b w:val="0"/>
                <w:bCs/>
                <w:sz w:val="24"/>
                <w:szCs w:val="24"/>
                <w:highlight w:val="none"/>
              </w:rPr>
            </w:pPr>
          </w:p>
        </w:tc>
        <w:tc>
          <w:tcPr>
            <w:tcW w:w="569" w:type="pct"/>
            <w:noWrap w:val="0"/>
            <w:vAlign w:val="center"/>
          </w:tcPr>
          <w:p>
            <w:pPr>
              <w:jc w:val="center"/>
              <w:rPr>
                <w:rFonts w:hint="eastAsia" w:ascii="宋体" w:hAnsi="宋体" w:eastAsia="宋体" w:cs="宋体"/>
                <w:b w:val="0"/>
                <w:bCs/>
                <w:sz w:val="24"/>
                <w:szCs w:val="24"/>
                <w:highlight w:val="none"/>
              </w:rPr>
            </w:pPr>
          </w:p>
        </w:tc>
        <w:tc>
          <w:tcPr>
            <w:tcW w:w="621" w:type="pct"/>
            <w:noWrap w:val="0"/>
            <w:vAlign w:val="center"/>
          </w:tcPr>
          <w:p>
            <w:pPr>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noWrap w:val="0"/>
            <w:vAlign w:val="center"/>
          </w:tcPr>
          <w:p>
            <w:pPr>
              <w:jc w:val="center"/>
              <w:rPr>
                <w:rFonts w:hint="eastAsia" w:ascii="宋体" w:hAnsi="宋体" w:eastAsia="宋体" w:cs="宋体"/>
                <w:b w:val="0"/>
                <w:bCs/>
                <w:sz w:val="24"/>
                <w:szCs w:val="24"/>
                <w:highlight w:val="none"/>
              </w:rPr>
            </w:pPr>
          </w:p>
        </w:tc>
        <w:tc>
          <w:tcPr>
            <w:tcW w:w="756" w:type="pct"/>
            <w:noWrap w:val="0"/>
            <w:vAlign w:val="center"/>
          </w:tcPr>
          <w:p>
            <w:pPr>
              <w:jc w:val="center"/>
              <w:rPr>
                <w:rFonts w:hint="eastAsia" w:ascii="宋体" w:hAnsi="宋体" w:eastAsia="宋体" w:cs="宋体"/>
                <w:b w:val="0"/>
                <w:bCs/>
                <w:sz w:val="24"/>
                <w:szCs w:val="24"/>
                <w:highlight w:val="none"/>
              </w:rPr>
            </w:pPr>
          </w:p>
        </w:tc>
        <w:tc>
          <w:tcPr>
            <w:tcW w:w="679" w:type="pct"/>
            <w:noWrap w:val="0"/>
            <w:vAlign w:val="center"/>
          </w:tcPr>
          <w:p>
            <w:pPr>
              <w:jc w:val="center"/>
              <w:rPr>
                <w:rFonts w:hint="eastAsia" w:ascii="宋体" w:hAnsi="宋体" w:eastAsia="宋体" w:cs="宋体"/>
                <w:b w:val="0"/>
                <w:bCs/>
                <w:sz w:val="24"/>
                <w:szCs w:val="24"/>
                <w:highlight w:val="none"/>
              </w:rPr>
            </w:pPr>
          </w:p>
        </w:tc>
        <w:tc>
          <w:tcPr>
            <w:tcW w:w="663" w:type="pct"/>
            <w:noWrap w:val="0"/>
            <w:vAlign w:val="center"/>
          </w:tcPr>
          <w:p>
            <w:pPr>
              <w:jc w:val="center"/>
              <w:rPr>
                <w:rFonts w:hint="eastAsia" w:ascii="宋体" w:hAnsi="宋体" w:eastAsia="宋体" w:cs="宋体"/>
                <w:b w:val="0"/>
                <w:bCs/>
                <w:sz w:val="24"/>
                <w:szCs w:val="24"/>
                <w:highlight w:val="none"/>
              </w:rPr>
            </w:pPr>
          </w:p>
        </w:tc>
        <w:tc>
          <w:tcPr>
            <w:tcW w:w="672" w:type="pct"/>
            <w:noWrap w:val="0"/>
            <w:vAlign w:val="center"/>
          </w:tcPr>
          <w:p>
            <w:pPr>
              <w:jc w:val="center"/>
              <w:rPr>
                <w:rFonts w:hint="eastAsia" w:ascii="宋体" w:hAnsi="宋体" w:eastAsia="宋体" w:cs="宋体"/>
                <w:b w:val="0"/>
                <w:bCs/>
                <w:sz w:val="24"/>
                <w:szCs w:val="24"/>
                <w:highlight w:val="none"/>
              </w:rPr>
            </w:pPr>
          </w:p>
        </w:tc>
        <w:tc>
          <w:tcPr>
            <w:tcW w:w="679" w:type="pct"/>
            <w:noWrap w:val="0"/>
            <w:vAlign w:val="center"/>
          </w:tcPr>
          <w:p>
            <w:pPr>
              <w:jc w:val="center"/>
              <w:rPr>
                <w:rFonts w:hint="eastAsia" w:ascii="宋体" w:hAnsi="宋体" w:eastAsia="宋体" w:cs="宋体"/>
                <w:b w:val="0"/>
                <w:bCs/>
                <w:sz w:val="24"/>
                <w:szCs w:val="24"/>
                <w:highlight w:val="none"/>
              </w:rPr>
            </w:pPr>
          </w:p>
        </w:tc>
        <w:tc>
          <w:tcPr>
            <w:tcW w:w="569" w:type="pct"/>
            <w:noWrap w:val="0"/>
            <w:vAlign w:val="center"/>
          </w:tcPr>
          <w:p>
            <w:pPr>
              <w:jc w:val="center"/>
              <w:rPr>
                <w:rFonts w:hint="eastAsia" w:ascii="宋体" w:hAnsi="宋体" w:eastAsia="宋体" w:cs="宋体"/>
                <w:b w:val="0"/>
                <w:bCs/>
                <w:sz w:val="24"/>
                <w:szCs w:val="24"/>
                <w:highlight w:val="none"/>
              </w:rPr>
            </w:pPr>
          </w:p>
        </w:tc>
        <w:tc>
          <w:tcPr>
            <w:tcW w:w="621" w:type="pct"/>
            <w:noWrap w:val="0"/>
            <w:vAlign w:val="center"/>
          </w:tcPr>
          <w:p>
            <w:pPr>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noWrap w:val="0"/>
            <w:vAlign w:val="center"/>
          </w:tcPr>
          <w:p>
            <w:pPr>
              <w:jc w:val="center"/>
              <w:rPr>
                <w:rFonts w:hint="eastAsia" w:ascii="宋体" w:hAnsi="宋体" w:eastAsia="宋体" w:cs="宋体"/>
                <w:b w:val="0"/>
                <w:bCs/>
                <w:sz w:val="24"/>
                <w:szCs w:val="24"/>
                <w:highlight w:val="none"/>
              </w:rPr>
            </w:pPr>
          </w:p>
        </w:tc>
        <w:tc>
          <w:tcPr>
            <w:tcW w:w="756" w:type="pct"/>
            <w:noWrap w:val="0"/>
            <w:vAlign w:val="center"/>
          </w:tcPr>
          <w:p>
            <w:pPr>
              <w:jc w:val="center"/>
              <w:rPr>
                <w:rFonts w:hint="eastAsia" w:ascii="宋体" w:hAnsi="宋体" w:eastAsia="宋体" w:cs="宋体"/>
                <w:b w:val="0"/>
                <w:bCs/>
                <w:sz w:val="24"/>
                <w:szCs w:val="24"/>
                <w:highlight w:val="none"/>
              </w:rPr>
            </w:pPr>
          </w:p>
        </w:tc>
        <w:tc>
          <w:tcPr>
            <w:tcW w:w="679" w:type="pct"/>
            <w:noWrap w:val="0"/>
            <w:vAlign w:val="center"/>
          </w:tcPr>
          <w:p>
            <w:pPr>
              <w:jc w:val="center"/>
              <w:rPr>
                <w:rFonts w:hint="eastAsia" w:ascii="宋体" w:hAnsi="宋体" w:eastAsia="宋体" w:cs="宋体"/>
                <w:b w:val="0"/>
                <w:bCs/>
                <w:sz w:val="24"/>
                <w:szCs w:val="24"/>
                <w:highlight w:val="none"/>
              </w:rPr>
            </w:pPr>
          </w:p>
        </w:tc>
        <w:tc>
          <w:tcPr>
            <w:tcW w:w="663" w:type="pct"/>
            <w:noWrap w:val="0"/>
            <w:vAlign w:val="center"/>
          </w:tcPr>
          <w:p>
            <w:pPr>
              <w:jc w:val="center"/>
              <w:rPr>
                <w:rFonts w:hint="eastAsia" w:ascii="宋体" w:hAnsi="宋体" w:eastAsia="宋体" w:cs="宋体"/>
                <w:b w:val="0"/>
                <w:bCs/>
                <w:sz w:val="24"/>
                <w:szCs w:val="24"/>
                <w:highlight w:val="none"/>
              </w:rPr>
            </w:pPr>
          </w:p>
        </w:tc>
        <w:tc>
          <w:tcPr>
            <w:tcW w:w="672" w:type="pct"/>
            <w:noWrap w:val="0"/>
            <w:vAlign w:val="center"/>
          </w:tcPr>
          <w:p>
            <w:pPr>
              <w:jc w:val="center"/>
              <w:rPr>
                <w:rFonts w:hint="eastAsia" w:ascii="宋体" w:hAnsi="宋体" w:eastAsia="宋体" w:cs="宋体"/>
                <w:b w:val="0"/>
                <w:bCs/>
                <w:sz w:val="24"/>
                <w:szCs w:val="24"/>
                <w:highlight w:val="none"/>
              </w:rPr>
            </w:pPr>
          </w:p>
        </w:tc>
        <w:tc>
          <w:tcPr>
            <w:tcW w:w="679" w:type="pct"/>
            <w:noWrap w:val="0"/>
            <w:vAlign w:val="center"/>
          </w:tcPr>
          <w:p>
            <w:pPr>
              <w:jc w:val="center"/>
              <w:rPr>
                <w:rFonts w:hint="eastAsia" w:ascii="宋体" w:hAnsi="宋体" w:eastAsia="宋体" w:cs="宋体"/>
                <w:b w:val="0"/>
                <w:bCs/>
                <w:sz w:val="24"/>
                <w:szCs w:val="24"/>
                <w:highlight w:val="none"/>
              </w:rPr>
            </w:pPr>
          </w:p>
        </w:tc>
        <w:tc>
          <w:tcPr>
            <w:tcW w:w="569" w:type="pct"/>
            <w:noWrap w:val="0"/>
            <w:vAlign w:val="center"/>
          </w:tcPr>
          <w:p>
            <w:pPr>
              <w:jc w:val="center"/>
              <w:rPr>
                <w:rFonts w:hint="eastAsia" w:ascii="宋体" w:hAnsi="宋体" w:eastAsia="宋体" w:cs="宋体"/>
                <w:b w:val="0"/>
                <w:bCs/>
                <w:sz w:val="24"/>
                <w:szCs w:val="24"/>
                <w:highlight w:val="none"/>
              </w:rPr>
            </w:pPr>
          </w:p>
        </w:tc>
        <w:tc>
          <w:tcPr>
            <w:tcW w:w="621" w:type="pct"/>
            <w:noWrap w:val="0"/>
            <w:vAlign w:val="center"/>
          </w:tcPr>
          <w:p>
            <w:pPr>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noWrap w:val="0"/>
            <w:vAlign w:val="center"/>
          </w:tcPr>
          <w:p>
            <w:pPr>
              <w:jc w:val="center"/>
              <w:rPr>
                <w:rFonts w:hint="eastAsia" w:ascii="宋体" w:hAnsi="宋体" w:eastAsia="宋体" w:cs="宋体"/>
                <w:b w:val="0"/>
                <w:bCs/>
                <w:sz w:val="24"/>
                <w:szCs w:val="24"/>
                <w:highlight w:val="none"/>
              </w:rPr>
            </w:pPr>
          </w:p>
        </w:tc>
        <w:tc>
          <w:tcPr>
            <w:tcW w:w="756" w:type="pct"/>
            <w:noWrap w:val="0"/>
            <w:vAlign w:val="center"/>
          </w:tcPr>
          <w:p>
            <w:pPr>
              <w:jc w:val="center"/>
              <w:rPr>
                <w:rFonts w:hint="eastAsia" w:ascii="宋体" w:hAnsi="宋体" w:eastAsia="宋体" w:cs="宋体"/>
                <w:b w:val="0"/>
                <w:bCs/>
                <w:sz w:val="24"/>
                <w:szCs w:val="24"/>
                <w:highlight w:val="none"/>
              </w:rPr>
            </w:pPr>
          </w:p>
        </w:tc>
        <w:tc>
          <w:tcPr>
            <w:tcW w:w="679" w:type="pct"/>
            <w:noWrap w:val="0"/>
            <w:vAlign w:val="center"/>
          </w:tcPr>
          <w:p>
            <w:pPr>
              <w:jc w:val="center"/>
              <w:rPr>
                <w:rFonts w:hint="eastAsia" w:ascii="宋体" w:hAnsi="宋体" w:eastAsia="宋体" w:cs="宋体"/>
                <w:b w:val="0"/>
                <w:bCs/>
                <w:sz w:val="24"/>
                <w:szCs w:val="24"/>
                <w:highlight w:val="none"/>
              </w:rPr>
            </w:pPr>
          </w:p>
        </w:tc>
        <w:tc>
          <w:tcPr>
            <w:tcW w:w="663" w:type="pct"/>
            <w:noWrap w:val="0"/>
            <w:vAlign w:val="center"/>
          </w:tcPr>
          <w:p>
            <w:pPr>
              <w:jc w:val="center"/>
              <w:rPr>
                <w:rFonts w:hint="eastAsia" w:ascii="宋体" w:hAnsi="宋体" w:eastAsia="宋体" w:cs="宋体"/>
                <w:b w:val="0"/>
                <w:bCs/>
                <w:sz w:val="24"/>
                <w:szCs w:val="24"/>
                <w:highlight w:val="none"/>
              </w:rPr>
            </w:pPr>
          </w:p>
        </w:tc>
        <w:tc>
          <w:tcPr>
            <w:tcW w:w="672" w:type="pct"/>
            <w:noWrap w:val="0"/>
            <w:vAlign w:val="center"/>
          </w:tcPr>
          <w:p>
            <w:pPr>
              <w:jc w:val="center"/>
              <w:rPr>
                <w:rFonts w:hint="eastAsia" w:ascii="宋体" w:hAnsi="宋体" w:eastAsia="宋体" w:cs="宋体"/>
                <w:b w:val="0"/>
                <w:bCs/>
                <w:sz w:val="24"/>
                <w:szCs w:val="24"/>
                <w:highlight w:val="none"/>
              </w:rPr>
            </w:pPr>
          </w:p>
        </w:tc>
        <w:tc>
          <w:tcPr>
            <w:tcW w:w="679" w:type="pct"/>
            <w:noWrap w:val="0"/>
            <w:vAlign w:val="center"/>
          </w:tcPr>
          <w:p>
            <w:pPr>
              <w:jc w:val="center"/>
              <w:rPr>
                <w:rFonts w:hint="eastAsia" w:ascii="宋体" w:hAnsi="宋体" w:eastAsia="宋体" w:cs="宋体"/>
                <w:b w:val="0"/>
                <w:bCs/>
                <w:sz w:val="24"/>
                <w:szCs w:val="24"/>
                <w:highlight w:val="none"/>
              </w:rPr>
            </w:pPr>
          </w:p>
        </w:tc>
        <w:tc>
          <w:tcPr>
            <w:tcW w:w="569" w:type="pct"/>
            <w:noWrap w:val="0"/>
            <w:vAlign w:val="center"/>
          </w:tcPr>
          <w:p>
            <w:pPr>
              <w:jc w:val="center"/>
              <w:rPr>
                <w:rFonts w:hint="eastAsia" w:ascii="宋体" w:hAnsi="宋体" w:eastAsia="宋体" w:cs="宋体"/>
                <w:b w:val="0"/>
                <w:bCs/>
                <w:sz w:val="24"/>
                <w:szCs w:val="24"/>
                <w:highlight w:val="none"/>
              </w:rPr>
            </w:pPr>
          </w:p>
        </w:tc>
        <w:tc>
          <w:tcPr>
            <w:tcW w:w="621" w:type="pct"/>
            <w:noWrap w:val="0"/>
            <w:vAlign w:val="center"/>
          </w:tcPr>
          <w:p>
            <w:pPr>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noWrap w:val="0"/>
            <w:vAlign w:val="center"/>
          </w:tcPr>
          <w:p>
            <w:pPr>
              <w:jc w:val="center"/>
              <w:rPr>
                <w:rFonts w:hint="eastAsia" w:ascii="宋体" w:hAnsi="宋体" w:eastAsia="宋体" w:cs="宋体"/>
                <w:b w:val="0"/>
                <w:bCs/>
                <w:sz w:val="24"/>
                <w:szCs w:val="24"/>
                <w:highlight w:val="none"/>
              </w:rPr>
            </w:pPr>
          </w:p>
        </w:tc>
        <w:tc>
          <w:tcPr>
            <w:tcW w:w="756" w:type="pct"/>
            <w:noWrap w:val="0"/>
            <w:vAlign w:val="center"/>
          </w:tcPr>
          <w:p>
            <w:pPr>
              <w:jc w:val="center"/>
              <w:rPr>
                <w:rFonts w:hint="eastAsia" w:ascii="宋体" w:hAnsi="宋体" w:eastAsia="宋体" w:cs="宋体"/>
                <w:b w:val="0"/>
                <w:bCs/>
                <w:sz w:val="24"/>
                <w:szCs w:val="24"/>
                <w:highlight w:val="none"/>
              </w:rPr>
            </w:pPr>
          </w:p>
        </w:tc>
        <w:tc>
          <w:tcPr>
            <w:tcW w:w="679" w:type="pct"/>
            <w:noWrap w:val="0"/>
            <w:vAlign w:val="center"/>
          </w:tcPr>
          <w:p>
            <w:pPr>
              <w:jc w:val="center"/>
              <w:rPr>
                <w:rFonts w:hint="eastAsia" w:ascii="宋体" w:hAnsi="宋体" w:eastAsia="宋体" w:cs="宋体"/>
                <w:b w:val="0"/>
                <w:bCs/>
                <w:sz w:val="24"/>
                <w:szCs w:val="24"/>
                <w:highlight w:val="none"/>
              </w:rPr>
            </w:pPr>
          </w:p>
        </w:tc>
        <w:tc>
          <w:tcPr>
            <w:tcW w:w="663" w:type="pct"/>
            <w:noWrap w:val="0"/>
            <w:vAlign w:val="center"/>
          </w:tcPr>
          <w:p>
            <w:pPr>
              <w:jc w:val="center"/>
              <w:rPr>
                <w:rFonts w:hint="eastAsia" w:ascii="宋体" w:hAnsi="宋体" w:eastAsia="宋体" w:cs="宋体"/>
                <w:b w:val="0"/>
                <w:bCs/>
                <w:sz w:val="24"/>
                <w:szCs w:val="24"/>
                <w:highlight w:val="none"/>
              </w:rPr>
            </w:pPr>
          </w:p>
        </w:tc>
        <w:tc>
          <w:tcPr>
            <w:tcW w:w="672" w:type="pct"/>
            <w:noWrap w:val="0"/>
            <w:vAlign w:val="center"/>
          </w:tcPr>
          <w:p>
            <w:pPr>
              <w:jc w:val="center"/>
              <w:rPr>
                <w:rFonts w:hint="eastAsia" w:ascii="宋体" w:hAnsi="宋体" w:eastAsia="宋体" w:cs="宋体"/>
                <w:b w:val="0"/>
                <w:bCs/>
                <w:sz w:val="24"/>
                <w:szCs w:val="24"/>
                <w:highlight w:val="none"/>
              </w:rPr>
            </w:pPr>
          </w:p>
        </w:tc>
        <w:tc>
          <w:tcPr>
            <w:tcW w:w="679" w:type="pct"/>
            <w:noWrap w:val="0"/>
            <w:vAlign w:val="center"/>
          </w:tcPr>
          <w:p>
            <w:pPr>
              <w:jc w:val="center"/>
              <w:rPr>
                <w:rFonts w:hint="eastAsia" w:ascii="宋体" w:hAnsi="宋体" w:eastAsia="宋体" w:cs="宋体"/>
                <w:b w:val="0"/>
                <w:bCs/>
                <w:sz w:val="24"/>
                <w:szCs w:val="24"/>
                <w:highlight w:val="none"/>
              </w:rPr>
            </w:pPr>
          </w:p>
        </w:tc>
        <w:tc>
          <w:tcPr>
            <w:tcW w:w="569" w:type="pct"/>
            <w:noWrap w:val="0"/>
            <w:vAlign w:val="center"/>
          </w:tcPr>
          <w:p>
            <w:pPr>
              <w:jc w:val="center"/>
              <w:rPr>
                <w:rFonts w:hint="eastAsia" w:ascii="宋体" w:hAnsi="宋体" w:eastAsia="宋体" w:cs="宋体"/>
                <w:b w:val="0"/>
                <w:bCs/>
                <w:sz w:val="24"/>
                <w:szCs w:val="24"/>
                <w:highlight w:val="none"/>
              </w:rPr>
            </w:pPr>
          </w:p>
        </w:tc>
        <w:tc>
          <w:tcPr>
            <w:tcW w:w="621" w:type="pct"/>
            <w:noWrap w:val="0"/>
            <w:vAlign w:val="center"/>
          </w:tcPr>
          <w:p>
            <w:pPr>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noWrap w:val="0"/>
            <w:vAlign w:val="center"/>
          </w:tcPr>
          <w:p>
            <w:pPr>
              <w:jc w:val="center"/>
              <w:rPr>
                <w:rFonts w:hint="eastAsia" w:ascii="新宋体" w:hAnsi="新宋体" w:eastAsia="新宋体"/>
                <w:sz w:val="22"/>
                <w:szCs w:val="22"/>
                <w:highlight w:val="none"/>
              </w:rPr>
            </w:pPr>
          </w:p>
        </w:tc>
        <w:tc>
          <w:tcPr>
            <w:tcW w:w="756" w:type="pct"/>
            <w:noWrap w:val="0"/>
            <w:vAlign w:val="center"/>
          </w:tcPr>
          <w:p>
            <w:pPr>
              <w:jc w:val="center"/>
              <w:rPr>
                <w:rFonts w:hint="eastAsia" w:ascii="新宋体" w:hAnsi="新宋体" w:eastAsia="新宋体"/>
                <w:sz w:val="22"/>
                <w:szCs w:val="22"/>
                <w:highlight w:val="none"/>
              </w:rPr>
            </w:pPr>
          </w:p>
        </w:tc>
        <w:tc>
          <w:tcPr>
            <w:tcW w:w="679" w:type="pct"/>
            <w:noWrap w:val="0"/>
            <w:vAlign w:val="center"/>
          </w:tcPr>
          <w:p>
            <w:pPr>
              <w:jc w:val="center"/>
              <w:rPr>
                <w:rFonts w:hint="eastAsia" w:ascii="新宋体" w:hAnsi="新宋体" w:eastAsia="新宋体"/>
                <w:sz w:val="22"/>
                <w:szCs w:val="22"/>
                <w:highlight w:val="none"/>
              </w:rPr>
            </w:pPr>
          </w:p>
        </w:tc>
        <w:tc>
          <w:tcPr>
            <w:tcW w:w="663" w:type="pct"/>
            <w:noWrap w:val="0"/>
            <w:vAlign w:val="center"/>
          </w:tcPr>
          <w:p>
            <w:pPr>
              <w:jc w:val="center"/>
              <w:rPr>
                <w:rFonts w:hint="eastAsia" w:ascii="新宋体" w:hAnsi="新宋体" w:eastAsia="新宋体"/>
                <w:sz w:val="22"/>
                <w:szCs w:val="22"/>
                <w:highlight w:val="none"/>
              </w:rPr>
            </w:pPr>
          </w:p>
        </w:tc>
        <w:tc>
          <w:tcPr>
            <w:tcW w:w="672" w:type="pct"/>
            <w:noWrap w:val="0"/>
            <w:vAlign w:val="center"/>
          </w:tcPr>
          <w:p>
            <w:pPr>
              <w:jc w:val="center"/>
              <w:rPr>
                <w:rFonts w:hint="eastAsia" w:ascii="新宋体" w:hAnsi="新宋体" w:eastAsia="新宋体"/>
                <w:sz w:val="22"/>
                <w:szCs w:val="22"/>
                <w:highlight w:val="none"/>
              </w:rPr>
            </w:pPr>
          </w:p>
        </w:tc>
        <w:tc>
          <w:tcPr>
            <w:tcW w:w="679" w:type="pct"/>
            <w:noWrap w:val="0"/>
            <w:vAlign w:val="center"/>
          </w:tcPr>
          <w:p>
            <w:pPr>
              <w:jc w:val="center"/>
              <w:rPr>
                <w:rFonts w:hint="eastAsia" w:ascii="新宋体" w:hAnsi="新宋体" w:eastAsia="新宋体"/>
                <w:sz w:val="22"/>
                <w:szCs w:val="22"/>
                <w:highlight w:val="none"/>
              </w:rPr>
            </w:pPr>
          </w:p>
        </w:tc>
        <w:tc>
          <w:tcPr>
            <w:tcW w:w="569" w:type="pct"/>
            <w:noWrap w:val="0"/>
            <w:vAlign w:val="center"/>
          </w:tcPr>
          <w:p>
            <w:pPr>
              <w:jc w:val="center"/>
              <w:rPr>
                <w:rFonts w:hint="eastAsia" w:ascii="新宋体" w:hAnsi="新宋体" w:eastAsia="新宋体"/>
                <w:sz w:val="22"/>
                <w:szCs w:val="22"/>
                <w:highlight w:val="none"/>
              </w:rPr>
            </w:pPr>
          </w:p>
        </w:tc>
        <w:tc>
          <w:tcPr>
            <w:tcW w:w="621" w:type="pct"/>
            <w:noWrap w:val="0"/>
            <w:vAlign w:val="center"/>
          </w:tcPr>
          <w:p>
            <w:pPr>
              <w:jc w:val="center"/>
              <w:rPr>
                <w:rFonts w:hint="eastAsia" w:ascii="新宋体" w:hAnsi="新宋体" w:eastAsia="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noWrap w:val="0"/>
            <w:vAlign w:val="center"/>
          </w:tcPr>
          <w:p>
            <w:pPr>
              <w:jc w:val="center"/>
              <w:rPr>
                <w:rFonts w:hint="eastAsia" w:ascii="新宋体" w:hAnsi="新宋体" w:eastAsia="新宋体"/>
                <w:sz w:val="22"/>
                <w:szCs w:val="22"/>
                <w:highlight w:val="none"/>
              </w:rPr>
            </w:pPr>
          </w:p>
        </w:tc>
        <w:tc>
          <w:tcPr>
            <w:tcW w:w="756" w:type="pct"/>
            <w:noWrap w:val="0"/>
            <w:vAlign w:val="center"/>
          </w:tcPr>
          <w:p>
            <w:pPr>
              <w:jc w:val="center"/>
              <w:rPr>
                <w:rFonts w:hint="eastAsia" w:ascii="新宋体" w:hAnsi="新宋体" w:eastAsia="新宋体"/>
                <w:sz w:val="22"/>
                <w:szCs w:val="22"/>
                <w:highlight w:val="none"/>
              </w:rPr>
            </w:pPr>
          </w:p>
        </w:tc>
        <w:tc>
          <w:tcPr>
            <w:tcW w:w="679" w:type="pct"/>
            <w:noWrap w:val="0"/>
            <w:vAlign w:val="center"/>
          </w:tcPr>
          <w:p>
            <w:pPr>
              <w:jc w:val="center"/>
              <w:rPr>
                <w:rFonts w:hint="eastAsia" w:ascii="新宋体" w:hAnsi="新宋体" w:eastAsia="新宋体"/>
                <w:sz w:val="22"/>
                <w:szCs w:val="22"/>
                <w:highlight w:val="none"/>
              </w:rPr>
            </w:pPr>
          </w:p>
        </w:tc>
        <w:tc>
          <w:tcPr>
            <w:tcW w:w="663" w:type="pct"/>
            <w:noWrap w:val="0"/>
            <w:vAlign w:val="center"/>
          </w:tcPr>
          <w:p>
            <w:pPr>
              <w:jc w:val="center"/>
              <w:rPr>
                <w:rFonts w:hint="eastAsia" w:ascii="新宋体" w:hAnsi="新宋体" w:eastAsia="新宋体"/>
                <w:sz w:val="22"/>
                <w:szCs w:val="22"/>
                <w:highlight w:val="none"/>
              </w:rPr>
            </w:pPr>
          </w:p>
        </w:tc>
        <w:tc>
          <w:tcPr>
            <w:tcW w:w="672" w:type="pct"/>
            <w:noWrap w:val="0"/>
            <w:vAlign w:val="center"/>
          </w:tcPr>
          <w:p>
            <w:pPr>
              <w:jc w:val="center"/>
              <w:rPr>
                <w:rFonts w:hint="eastAsia" w:ascii="新宋体" w:hAnsi="新宋体" w:eastAsia="新宋体"/>
                <w:sz w:val="22"/>
                <w:szCs w:val="22"/>
                <w:highlight w:val="none"/>
              </w:rPr>
            </w:pPr>
          </w:p>
        </w:tc>
        <w:tc>
          <w:tcPr>
            <w:tcW w:w="679" w:type="pct"/>
            <w:noWrap w:val="0"/>
            <w:vAlign w:val="center"/>
          </w:tcPr>
          <w:p>
            <w:pPr>
              <w:jc w:val="center"/>
              <w:rPr>
                <w:rFonts w:hint="eastAsia" w:ascii="新宋体" w:hAnsi="新宋体" w:eastAsia="新宋体"/>
                <w:sz w:val="22"/>
                <w:szCs w:val="22"/>
                <w:highlight w:val="none"/>
              </w:rPr>
            </w:pPr>
          </w:p>
        </w:tc>
        <w:tc>
          <w:tcPr>
            <w:tcW w:w="569" w:type="pct"/>
            <w:noWrap w:val="0"/>
            <w:vAlign w:val="center"/>
          </w:tcPr>
          <w:p>
            <w:pPr>
              <w:jc w:val="center"/>
              <w:rPr>
                <w:rFonts w:hint="eastAsia" w:ascii="新宋体" w:hAnsi="新宋体" w:eastAsia="新宋体"/>
                <w:sz w:val="22"/>
                <w:szCs w:val="22"/>
                <w:highlight w:val="none"/>
              </w:rPr>
            </w:pPr>
          </w:p>
        </w:tc>
        <w:tc>
          <w:tcPr>
            <w:tcW w:w="621" w:type="pct"/>
            <w:noWrap w:val="0"/>
            <w:vAlign w:val="center"/>
          </w:tcPr>
          <w:p>
            <w:pPr>
              <w:jc w:val="center"/>
              <w:rPr>
                <w:rFonts w:hint="eastAsia" w:ascii="新宋体" w:hAnsi="新宋体" w:eastAsia="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noWrap w:val="0"/>
            <w:vAlign w:val="center"/>
          </w:tcPr>
          <w:p>
            <w:pPr>
              <w:jc w:val="center"/>
              <w:rPr>
                <w:rFonts w:hint="eastAsia" w:ascii="新宋体" w:hAnsi="新宋体" w:eastAsia="新宋体"/>
                <w:sz w:val="22"/>
                <w:szCs w:val="22"/>
                <w:highlight w:val="none"/>
              </w:rPr>
            </w:pPr>
          </w:p>
        </w:tc>
        <w:tc>
          <w:tcPr>
            <w:tcW w:w="756" w:type="pct"/>
            <w:noWrap w:val="0"/>
            <w:vAlign w:val="center"/>
          </w:tcPr>
          <w:p>
            <w:pPr>
              <w:jc w:val="center"/>
              <w:rPr>
                <w:rFonts w:hint="eastAsia" w:ascii="新宋体" w:hAnsi="新宋体" w:eastAsia="新宋体"/>
                <w:sz w:val="22"/>
                <w:szCs w:val="22"/>
                <w:highlight w:val="none"/>
              </w:rPr>
            </w:pPr>
          </w:p>
        </w:tc>
        <w:tc>
          <w:tcPr>
            <w:tcW w:w="679" w:type="pct"/>
            <w:noWrap w:val="0"/>
            <w:vAlign w:val="center"/>
          </w:tcPr>
          <w:p>
            <w:pPr>
              <w:jc w:val="center"/>
              <w:rPr>
                <w:rFonts w:hint="eastAsia" w:ascii="新宋体" w:hAnsi="新宋体" w:eastAsia="新宋体"/>
                <w:sz w:val="22"/>
                <w:szCs w:val="22"/>
                <w:highlight w:val="none"/>
              </w:rPr>
            </w:pPr>
          </w:p>
        </w:tc>
        <w:tc>
          <w:tcPr>
            <w:tcW w:w="663" w:type="pct"/>
            <w:noWrap w:val="0"/>
            <w:vAlign w:val="center"/>
          </w:tcPr>
          <w:p>
            <w:pPr>
              <w:jc w:val="center"/>
              <w:rPr>
                <w:rFonts w:hint="eastAsia" w:ascii="新宋体" w:hAnsi="新宋体" w:eastAsia="新宋体"/>
                <w:sz w:val="22"/>
                <w:szCs w:val="22"/>
                <w:highlight w:val="none"/>
              </w:rPr>
            </w:pPr>
          </w:p>
        </w:tc>
        <w:tc>
          <w:tcPr>
            <w:tcW w:w="672" w:type="pct"/>
            <w:noWrap w:val="0"/>
            <w:vAlign w:val="center"/>
          </w:tcPr>
          <w:p>
            <w:pPr>
              <w:jc w:val="center"/>
              <w:rPr>
                <w:rFonts w:hint="eastAsia" w:ascii="新宋体" w:hAnsi="新宋体" w:eastAsia="新宋体"/>
                <w:sz w:val="22"/>
                <w:szCs w:val="22"/>
                <w:highlight w:val="none"/>
              </w:rPr>
            </w:pPr>
          </w:p>
        </w:tc>
        <w:tc>
          <w:tcPr>
            <w:tcW w:w="679" w:type="pct"/>
            <w:noWrap w:val="0"/>
            <w:vAlign w:val="center"/>
          </w:tcPr>
          <w:p>
            <w:pPr>
              <w:jc w:val="center"/>
              <w:rPr>
                <w:rFonts w:hint="eastAsia" w:ascii="新宋体" w:hAnsi="新宋体" w:eastAsia="新宋体"/>
                <w:sz w:val="22"/>
                <w:szCs w:val="22"/>
                <w:highlight w:val="none"/>
              </w:rPr>
            </w:pPr>
          </w:p>
        </w:tc>
        <w:tc>
          <w:tcPr>
            <w:tcW w:w="569" w:type="pct"/>
            <w:noWrap w:val="0"/>
            <w:vAlign w:val="center"/>
          </w:tcPr>
          <w:p>
            <w:pPr>
              <w:jc w:val="center"/>
              <w:rPr>
                <w:rFonts w:hint="eastAsia" w:ascii="新宋体" w:hAnsi="新宋体" w:eastAsia="新宋体"/>
                <w:sz w:val="22"/>
                <w:szCs w:val="22"/>
                <w:highlight w:val="none"/>
              </w:rPr>
            </w:pPr>
          </w:p>
        </w:tc>
        <w:tc>
          <w:tcPr>
            <w:tcW w:w="621" w:type="pct"/>
            <w:noWrap w:val="0"/>
            <w:vAlign w:val="center"/>
          </w:tcPr>
          <w:p>
            <w:pPr>
              <w:jc w:val="center"/>
              <w:rPr>
                <w:rFonts w:hint="eastAsia" w:ascii="新宋体" w:hAnsi="新宋体" w:eastAsia="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noWrap w:val="0"/>
            <w:vAlign w:val="center"/>
          </w:tcPr>
          <w:p>
            <w:pPr>
              <w:jc w:val="center"/>
              <w:rPr>
                <w:rFonts w:hint="eastAsia" w:ascii="新宋体" w:hAnsi="新宋体" w:eastAsia="新宋体"/>
                <w:sz w:val="22"/>
                <w:szCs w:val="22"/>
                <w:highlight w:val="none"/>
              </w:rPr>
            </w:pPr>
          </w:p>
        </w:tc>
        <w:tc>
          <w:tcPr>
            <w:tcW w:w="756" w:type="pct"/>
            <w:noWrap w:val="0"/>
            <w:vAlign w:val="center"/>
          </w:tcPr>
          <w:p>
            <w:pPr>
              <w:jc w:val="center"/>
              <w:rPr>
                <w:rFonts w:hint="eastAsia" w:ascii="新宋体" w:hAnsi="新宋体" w:eastAsia="新宋体"/>
                <w:sz w:val="22"/>
                <w:szCs w:val="22"/>
                <w:highlight w:val="none"/>
              </w:rPr>
            </w:pPr>
          </w:p>
        </w:tc>
        <w:tc>
          <w:tcPr>
            <w:tcW w:w="679" w:type="pct"/>
            <w:noWrap w:val="0"/>
            <w:vAlign w:val="center"/>
          </w:tcPr>
          <w:p>
            <w:pPr>
              <w:jc w:val="center"/>
              <w:rPr>
                <w:rFonts w:hint="eastAsia" w:ascii="新宋体" w:hAnsi="新宋体" w:eastAsia="新宋体"/>
                <w:sz w:val="22"/>
                <w:szCs w:val="22"/>
                <w:highlight w:val="none"/>
              </w:rPr>
            </w:pPr>
          </w:p>
        </w:tc>
        <w:tc>
          <w:tcPr>
            <w:tcW w:w="663" w:type="pct"/>
            <w:noWrap w:val="0"/>
            <w:vAlign w:val="center"/>
          </w:tcPr>
          <w:p>
            <w:pPr>
              <w:jc w:val="center"/>
              <w:rPr>
                <w:rFonts w:hint="eastAsia" w:ascii="新宋体" w:hAnsi="新宋体" w:eastAsia="新宋体"/>
                <w:sz w:val="22"/>
                <w:szCs w:val="22"/>
                <w:highlight w:val="none"/>
              </w:rPr>
            </w:pPr>
          </w:p>
        </w:tc>
        <w:tc>
          <w:tcPr>
            <w:tcW w:w="672" w:type="pct"/>
            <w:noWrap w:val="0"/>
            <w:vAlign w:val="center"/>
          </w:tcPr>
          <w:p>
            <w:pPr>
              <w:jc w:val="center"/>
              <w:rPr>
                <w:rFonts w:hint="eastAsia" w:ascii="新宋体" w:hAnsi="新宋体" w:eastAsia="新宋体"/>
                <w:sz w:val="22"/>
                <w:szCs w:val="22"/>
                <w:highlight w:val="none"/>
              </w:rPr>
            </w:pPr>
          </w:p>
        </w:tc>
        <w:tc>
          <w:tcPr>
            <w:tcW w:w="679" w:type="pct"/>
            <w:noWrap w:val="0"/>
            <w:vAlign w:val="center"/>
          </w:tcPr>
          <w:p>
            <w:pPr>
              <w:jc w:val="center"/>
              <w:rPr>
                <w:rFonts w:hint="eastAsia" w:ascii="新宋体" w:hAnsi="新宋体" w:eastAsia="新宋体"/>
                <w:sz w:val="22"/>
                <w:szCs w:val="22"/>
                <w:highlight w:val="none"/>
              </w:rPr>
            </w:pPr>
          </w:p>
        </w:tc>
        <w:tc>
          <w:tcPr>
            <w:tcW w:w="569" w:type="pct"/>
            <w:noWrap w:val="0"/>
            <w:vAlign w:val="center"/>
          </w:tcPr>
          <w:p>
            <w:pPr>
              <w:jc w:val="center"/>
              <w:rPr>
                <w:rFonts w:hint="eastAsia" w:ascii="新宋体" w:hAnsi="新宋体" w:eastAsia="新宋体"/>
                <w:sz w:val="22"/>
                <w:szCs w:val="22"/>
                <w:highlight w:val="none"/>
              </w:rPr>
            </w:pPr>
          </w:p>
        </w:tc>
        <w:tc>
          <w:tcPr>
            <w:tcW w:w="621" w:type="pct"/>
            <w:noWrap w:val="0"/>
            <w:vAlign w:val="center"/>
          </w:tcPr>
          <w:p>
            <w:pPr>
              <w:jc w:val="center"/>
              <w:rPr>
                <w:rFonts w:hint="eastAsia" w:ascii="新宋体" w:hAnsi="新宋体" w:eastAsia="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noWrap w:val="0"/>
            <w:vAlign w:val="center"/>
          </w:tcPr>
          <w:p>
            <w:pPr>
              <w:jc w:val="center"/>
              <w:rPr>
                <w:rFonts w:hint="eastAsia" w:ascii="新宋体" w:hAnsi="新宋体" w:eastAsia="新宋体"/>
                <w:sz w:val="22"/>
                <w:szCs w:val="22"/>
                <w:highlight w:val="none"/>
              </w:rPr>
            </w:pPr>
          </w:p>
        </w:tc>
        <w:tc>
          <w:tcPr>
            <w:tcW w:w="756" w:type="pct"/>
            <w:noWrap w:val="0"/>
            <w:vAlign w:val="center"/>
          </w:tcPr>
          <w:p>
            <w:pPr>
              <w:jc w:val="center"/>
              <w:rPr>
                <w:rFonts w:hint="eastAsia" w:ascii="新宋体" w:hAnsi="新宋体" w:eastAsia="新宋体"/>
                <w:sz w:val="22"/>
                <w:szCs w:val="22"/>
                <w:highlight w:val="none"/>
              </w:rPr>
            </w:pPr>
          </w:p>
        </w:tc>
        <w:tc>
          <w:tcPr>
            <w:tcW w:w="679" w:type="pct"/>
            <w:noWrap w:val="0"/>
            <w:vAlign w:val="center"/>
          </w:tcPr>
          <w:p>
            <w:pPr>
              <w:jc w:val="center"/>
              <w:rPr>
                <w:rFonts w:hint="eastAsia" w:ascii="新宋体" w:hAnsi="新宋体" w:eastAsia="新宋体"/>
                <w:sz w:val="22"/>
                <w:szCs w:val="22"/>
                <w:highlight w:val="none"/>
              </w:rPr>
            </w:pPr>
          </w:p>
        </w:tc>
        <w:tc>
          <w:tcPr>
            <w:tcW w:w="663" w:type="pct"/>
            <w:noWrap w:val="0"/>
            <w:vAlign w:val="center"/>
          </w:tcPr>
          <w:p>
            <w:pPr>
              <w:jc w:val="center"/>
              <w:rPr>
                <w:rFonts w:hint="eastAsia" w:ascii="新宋体" w:hAnsi="新宋体" w:eastAsia="新宋体"/>
                <w:sz w:val="22"/>
                <w:szCs w:val="22"/>
                <w:highlight w:val="none"/>
              </w:rPr>
            </w:pPr>
          </w:p>
        </w:tc>
        <w:tc>
          <w:tcPr>
            <w:tcW w:w="672" w:type="pct"/>
            <w:noWrap w:val="0"/>
            <w:vAlign w:val="center"/>
          </w:tcPr>
          <w:p>
            <w:pPr>
              <w:jc w:val="center"/>
              <w:rPr>
                <w:rFonts w:hint="eastAsia" w:ascii="新宋体" w:hAnsi="新宋体" w:eastAsia="新宋体"/>
                <w:sz w:val="22"/>
                <w:szCs w:val="22"/>
                <w:highlight w:val="none"/>
              </w:rPr>
            </w:pPr>
          </w:p>
        </w:tc>
        <w:tc>
          <w:tcPr>
            <w:tcW w:w="679" w:type="pct"/>
            <w:noWrap w:val="0"/>
            <w:vAlign w:val="center"/>
          </w:tcPr>
          <w:p>
            <w:pPr>
              <w:jc w:val="center"/>
              <w:rPr>
                <w:rFonts w:hint="eastAsia" w:ascii="新宋体" w:hAnsi="新宋体" w:eastAsia="新宋体"/>
                <w:sz w:val="22"/>
                <w:szCs w:val="22"/>
                <w:highlight w:val="none"/>
              </w:rPr>
            </w:pPr>
          </w:p>
        </w:tc>
        <w:tc>
          <w:tcPr>
            <w:tcW w:w="569" w:type="pct"/>
            <w:noWrap w:val="0"/>
            <w:vAlign w:val="center"/>
          </w:tcPr>
          <w:p>
            <w:pPr>
              <w:jc w:val="center"/>
              <w:rPr>
                <w:rFonts w:hint="eastAsia" w:ascii="新宋体" w:hAnsi="新宋体" w:eastAsia="新宋体"/>
                <w:sz w:val="22"/>
                <w:szCs w:val="22"/>
                <w:highlight w:val="none"/>
              </w:rPr>
            </w:pPr>
          </w:p>
        </w:tc>
        <w:tc>
          <w:tcPr>
            <w:tcW w:w="621" w:type="pct"/>
            <w:noWrap w:val="0"/>
            <w:vAlign w:val="center"/>
          </w:tcPr>
          <w:p>
            <w:pPr>
              <w:jc w:val="center"/>
              <w:rPr>
                <w:rFonts w:hint="eastAsia" w:ascii="新宋体" w:hAnsi="新宋体" w:eastAsia="新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359" w:type="pct"/>
            <w:noWrap w:val="0"/>
            <w:vAlign w:val="center"/>
          </w:tcPr>
          <w:p>
            <w:pPr>
              <w:jc w:val="center"/>
              <w:rPr>
                <w:rFonts w:hint="eastAsia" w:ascii="新宋体" w:hAnsi="新宋体" w:eastAsia="新宋体"/>
                <w:sz w:val="22"/>
                <w:szCs w:val="22"/>
                <w:highlight w:val="none"/>
              </w:rPr>
            </w:pPr>
          </w:p>
        </w:tc>
        <w:tc>
          <w:tcPr>
            <w:tcW w:w="756" w:type="pct"/>
            <w:noWrap w:val="0"/>
            <w:vAlign w:val="center"/>
          </w:tcPr>
          <w:p>
            <w:pPr>
              <w:jc w:val="center"/>
              <w:rPr>
                <w:rFonts w:hint="eastAsia" w:ascii="新宋体" w:hAnsi="新宋体" w:eastAsia="新宋体"/>
                <w:sz w:val="22"/>
                <w:szCs w:val="22"/>
                <w:highlight w:val="none"/>
              </w:rPr>
            </w:pPr>
          </w:p>
        </w:tc>
        <w:tc>
          <w:tcPr>
            <w:tcW w:w="679" w:type="pct"/>
            <w:noWrap w:val="0"/>
            <w:vAlign w:val="center"/>
          </w:tcPr>
          <w:p>
            <w:pPr>
              <w:jc w:val="center"/>
              <w:rPr>
                <w:rFonts w:hint="eastAsia" w:ascii="新宋体" w:hAnsi="新宋体" w:eastAsia="新宋体"/>
                <w:sz w:val="22"/>
                <w:szCs w:val="22"/>
                <w:highlight w:val="none"/>
              </w:rPr>
            </w:pPr>
          </w:p>
        </w:tc>
        <w:tc>
          <w:tcPr>
            <w:tcW w:w="663" w:type="pct"/>
            <w:noWrap w:val="0"/>
            <w:vAlign w:val="center"/>
          </w:tcPr>
          <w:p>
            <w:pPr>
              <w:jc w:val="center"/>
              <w:rPr>
                <w:rFonts w:hint="eastAsia" w:ascii="新宋体" w:hAnsi="新宋体" w:eastAsia="新宋体"/>
                <w:sz w:val="22"/>
                <w:szCs w:val="22"/>
                <w:highlight w:val="none"/>
              </w:rPr>
            </w:pPr>
          </w:p>
        </w:tc>
        <w:tc>
          <w:tcPr>
            <w:tcW w:w="672" w:type="pct"/>
            <w:noWrap w:val="0"/>
            <w:vAlign w:val="center"/>
          </w:tcPr>
          <w:p>
            <w:pPr>
              <w:jc w:val="center"/>
              <w:rPr>
                <w:rFonts w:hint="eastAsia" w:ascii="新宋体" w:hAnsi="新宋体" w:eastAsia="新宋体"/>
                <w:sz w:val="22"/>
                <w:szCs w:val="22"/>
                <w:highlight w:val="none"/>
              </w:rPr>
            </w:pPr>
          </w:p>
        </w:tc>
        <w:tc>
          <w:tcPr>
            <w:tcW w:w="679" w:type="pct"/>
            <w:noWrap w:val="0"/>
            <w:vAlign w:val="center"/>
          </w:tcPr>
          <w:p>
            <w:pPr>
              <w:jc w:val="center"/>
              <w:rPr>
                <w:rFonts w:hint="eastAsia" w:ascii="新宋体" w:hAnsi="新宋体" w:eastAsia="新宋体"/>
                <w:sz w:val="22"/>
                <w:szCs w:val="22"/>
                <w:highlight w:val="none"/>
              </w:rPr>
            </w:pPr>
          </w:p>
        </w:tc>
        <w:tc>
          <w:tcPr>
            <w:tcW w:w="569" w:type="pct"/>
            <w:noWrap w:val="0"/>
            <w:vAlign w:val="center"/>
          </w:tcPr>
          <w:p>
            <w:pPr>
              <w:jc w:val="center"/>
              <w:rPr>
                <w:rFonts w:hint="eastAsia" w:ascii="新宋体" w:hAnsi="新宋体" w:eastAsia="新宋体"/>
                <w:sz w:val="22"/>
                <w:szCs w:val="22"/>
                <w:highlight w:val="none"/>
              </w:rPr>
            </w:pPr>
          </w:p>
        </w:tc>
        <w:tc>
          <w:tcPr>
            <w:tcW w:w="621" w:type="pct"/>
            <w:noWrap w:val="0"/>
            <w:vAlign w:val="center"/>
          </w:tcPr>
          <w:p>
            <w:pPr>
              <w:jc w:val="center"/>
              <w:rPr>
                <w:rFonts w:hint="eastAsia" w:ascii="新宋体" w:hAnsi="新宋体" w:eastAsia="新宋体"/>
                <w:sz w:val="22"/>
                <w:szCs w:val="22"/>
                <w:highlight w:val="none"/>
              </w:rPr>
            </w:pPr>
          </w:p>
        </w:tc>
      </w:tr>
    </w:tbl>
    <w:p>
      <w:pPr>
        <w:spacing w:line="400" w:lineRule="exact"/>
        <w:rPr>
          <w:rFonts w:hint="eastAsia" w:ascii="宋体" w:hAnsi="宋体" w:eastAsia="宋体" w:cs="Arial"/>
          <w:color w:val="000000"/>
          <w:kern w:val="2"/>
          <w:sz w:val="24"/>
          <w:szCs w:val="22"/>
          <w:highlight w:val="none"/>
          <w:lang w:val="en-US" w:eastAsia="zh-CN" w:bidi="ar-SA"/>
        </w:rPr>
      </w:pPr>
      <w:r>
        <w:rPr>
          <w:rFonts w:hint="eastAsia" w:ascii="宋体" w:hAnsi="宋体" w:eastAsia="宋体" w:cs="Arial"/>
          <w:color w:val="000000"/>
          <w:kern w:val="2"/>
          <w:sz w:val="24"/>
          <w:szCs w:val="22"/>
          <w:highlight w:val="none"/>
          <w:lang w:val="en-US" w:eastAsia="zh-CN" w:bidi="ar-SA"/>
        </w:rPr>
        <w:t>附注：1.本表要求如实填写，后附设备购置</w:t>
      </w:r>
      <w:r>
        <w:rPr>
          <w:rFonts w:hint="eastAsia" w:ascii="宋体" w:hAnsi="宋体" w:cs="Arial"/>
          <w:color w:val="000000"/>
          <w:kern w:val="2"/>
          <w:sz w:val="24"/>
          <w:szCs w:val="22"/>
          <w:highlight w:val="none"/>
          <w:lang w:val="en-US" w:eastAsia="zh-CN" w:bidi="ar-SA"/>
        </w:rPr>
        <w:t>（租赁）</w:t>
      </w:r>
      <w:r>
        <w:rPr>
          <w:rFonts w:hint="eastAsia" w:ascii="宋体" w:hAnsi="宋体" w:eastAsia="宋体" w:cs="Arial"/>
          <w:color w:val="000000"/>
          <w:kern w:val="2"/>
          <w:sz w:val="24"/>
          <w:szCs w:val="22"/>
          <w:highlight w:val="none"/>
          <w:lang w:val="en-US" w:eastAsia="zh-CN" w:bidi="ar-SA"/>
        </w:rPr>
        <w:t>合同或发票复印件及设备清晰照片</w:t>
      </w:r>
      <w:r>
        <w:rPr>
          <w:rFonts w:hint="eastAsia" w:ascii="宋体" w:hAnsi="宋体" w:cs="Arial"/>
          <w:color w:val="000000"/>
          <w:kern w:val="2"/>
          <w:sz w:val="24"/>
          <w:szCs w:val="22"/>
          <w:highlight w:val="none"/>
          <w:lang w:val="en-US" w:eastAsia="zh-CN" w:bidi="ar-SA"/>
        </w:rPr>
        <w:t>扫描件</w:t>
      </w:r>
      <w:r>
        <w:rPr>
          <w:rFonts w:hint="eastAsia" w:ascii="宋体" w:hAnsi="宋体" w:eastAsia="宋体" w:cs="Arial"/>
          <w:color w:val="000000"/>
          <w:kern w:val="2"/>
          <w:sz w:val="24"/>
          <w:szCs w:val="22"/>
          <w:highlight w:val="none"/>
          <w:lang w:val="en-US" w:eastAsia="zh-CN" w:bidi="ar-SA"/>
        </w:rPr>
        <w:t>；</w:t>
      </w:r>
    </w:p>
    <w:p>
      <w:pPr>
        <w:spacing w:line="400" w:lineRule="exact"/>
        <w:ind w:firstLine="720" w:firstLineChars="300"/>
        <w:rPr>
          <w:rFonts w:hint="eastAsia" w:ascii="宋体" w:hAnsi="宋体" w:eastAsia="宋体" w:cs="Arial"/>
          <w:color w:val="000000"/>
          <w:kern w:val="2"/>
          <w:sz w:val="24"/>
          <w:szCs w:val="22"/>
          <w:highlight w:val="none"/>
          <w:lang w:val="en-US" w:eastAsia="zh-CN" w:bidi="ar-SA"/>
        </w:rPr>
      </w:pPr>
      <w:r>
        <w:rPr>
          <w:rFonts w:hint="eastAsia" w:ascii="宋体" w:hAnsi="宋体" w:eastAsia="宋体" w:cs="Arial"/>
          <w:color w:val="000000"/>
          <w:kern w:val="2"/>
          <w:sz w:val="24"/>
          <w:szCs w:val="22"/>
          <w:highlight w:val="none"/>
          <w:lang w:val="en-US" w:eastAsia="zh-CN" w:bidi="ar-SA"/>
        </w:rPr>
        <w:t>2.此表仅提供了表格的形式，供应商可按此表格复制或增项。</w:t>
      </w:r>
    </w:p>
    <w:p>
      <w:pPr>
        <w:pStyle w:val="52"/>
        <w:adjustRightInd w:val="0"/>
        <w:snapToGrid w:val="0"/>
        <w:spacing w:before="120" w:after="120" w:line="500" w:lineRule="exact"/>
        <w:rPr>
          <w:rFonts w:ascii="宋体" w:cs="宋体"/>
          <w:sz w:val="24"/>
          <w:szCs w:val="24"/>
          <w:highlight w:val="none"/>
          <w:u w:val="single"/>
        </w:rPr>
      </w:pPr>
      <w:r>
        <w:rPr>
          <w:rFonts w:hint="eastAsia" w:ascii="宋体" w:hAnsi="宋体" w:cs="宋体"/>
          <w:sz w:val="24"/>
          <w:szCs w:val="24"/>
          <w:highlight w:val="none"/>
        </w:rPr>
        <w:t>供应商名称（签章）：</w:t>
      </w:r>
    </w:p>
    <w:p>
      <w:pPr>
        <w:pStyle w:val="52"/>
        <w:adjustRightInd w:val="0"/>
        <w:snapToGrid w:val="0"/>
        <w:spacing w:before="120" w:after="120" w:line="500" w:lineRule="exact"/>
        <w:rPr>
          <w:rFonts w:ascii="宋体" w:cs="宋体"/>
          <w:sz w:val="24"/>
          <w:szCs w:val="24"/>
          <w:highlight w:val="none"/>
        </w:rPr>
      </w:pPr>
      <w:r>
        <w:rPr>
          <w:rFonts w:hint="eastAsia" w:ascii="宋体" w:hAnsi="宋体" w:cs="宋体"/>
          <w:sz w:val="24"/>
          <w:szCs w:val="24"/>
          <w:highlight w:val="none"/>
        </w:rPr>
        <w:t>法定代表人或委托代理人（签字或签章）：</w:t>
      </w:r>
    </w:p>
    <w:p>
      <w:pPr>
        <w:pStyle w:val="14"/>
        <w:snapToGrid w:val="0"/>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日期：年月日</w:t>
      </w:r>
    </w:p>
    <w:p>
      <w:pPr>
        <w:snapToGrid w:val="0"/>
        <w:spacing w:before="120" w:beforeLines="50" w:line="400" w:lineRule="exact"/>
        <w:outlineLvl w:val="2"/>
        <w:rPr>
          <w:rFonts w:ascii="宋体" w:hAnsi="宋体"/>
          <w:color w:val="000000"/>
          <w:sz w:val="24"/>
          <w:highlight w:val="none"/>
        </w:rPr>
      </w:pPr>
      <w:r>
        <w:rPr>
          <w:rFonts w:hint="eastAsia" w:ascii="宋体" w:hAnsi="宋体"/>
          <w:color w:val="000000"/>
          <w:sz w:val="24"/>
          <w:highlight w:val="none"/>
        </w:rPr>
        <w:t>附件</w:t>
      </w:r>
      <w:r>
        <w:rPr>
          <w:rFonts w:ascii="宋体" w:hAnsi="宋体"/>
          <w:color w:val="000000"/>
          <w:sz w:val="24"/>
          <w:highlight w:val="none"/>
        </w:rPr>
        <w:t>1</w:t>
      </w:r>
      <w:r>
        <w:rPr>
          <w:rFonts w:hint="eastAsia" w:ascii="宋体" w:hAnsi="宋体"/>
          <w:color w:val="000000"/>
          <w:sz w:val="24"/>
          <w:highlight w:val="none"/>
          <w:lang w:val="en-US" w:eastAsia="zh-CN"/>
        </w:rPr>
        <w:t>2</w:t>
      </w:r>
      <w:r>
        <w:rPr>
          <w:rFonts w:hint="eastAsia" w:ascii="宋体" w:hAnsi="宋体"/>
          <w:color w:val="000000"/>
          <w:sz w:val="24"/>
          <w:highlight w:val="none"/>
        </w:rPr>
        <w:t>：企业业绩</w:t>
      </w:r>
    </w:p>
    <w:p>
      <w:pPr>
        <w:snapToGrid w:val="0"/>
        <w:spacing w:before="120" w:beforeLines="50" w:line="400" w:lineRule="exact"/>
        <w:outlineLvl w:val="2"/>
        <w:rPr>
          <w:rFonts w:ascii="宋体"/>
          <w:b/>
          <w:color w:val="000000"/>
          <w:sz w:val="24"/>
          <w:highlight w:val="none"/>
        </w:rPr>
      </w:pPr>
    </w:p>
    <w:p>
      <w:pPr>
        <w:widowControl/>
        <w:jc w:val="center"/>
        <w:rPr>
          <w:rFonts w:ascii="宋体"/>
          <w:b/>
          <w:color w:val="000000"/>
          <w:sz w:val="24"/>
          <w:highlight w:val="none"/>
        </w:rPr>
      </w:pPr>
      <w:r>
        <w:rPr>
          <w:rFonts w:hint="eastAsia" w:ascii="宋体" w:hAnsi="宋体"/>
          <w:b/>
          <w:color w:val="000000"/>
          <w:sz w:val="24"/>
          <w:highlight w:val="none"/>
        </w:rPr>
        <w:t>供应商类似项目业绩汇总表</w:t>
      </w:r>
      <w:r>
        <w:rPr>
          <w:rFonts w:ascii="宋体" w:hAnsi="宋体"/>
          <w:b/>
          <w:color w:val="000000"/>
          <w:sz w:val="24"/>
          <w:highlight w:val="none"/>
        </w:rPr>
        <w:t>-1</w:t>
      </w:r>
    </w:p>
    <w:p>
      <w:pPr>
        <w:pStyle w:val="52"/>
        <w:adjustRightInd w:val="0"/>
        <w:snapToGrid w:val="0"/>
        <w:spacing w:before="120" w:after="120" w:line="500" w:lineRule="exact"/>
        <w:rPr>
          <w:rFonts w:hint="eastAsia" w:ascii="宋体" w:eastAsia="宋体" w:cs="宋体"/>
          <w:sz w:val="24"/>
          <w:szCs w:val="24"/>
          <w:highlight w:val="none"/>
          <w:lang w:eastAsia="zh-CN"/>
        </w:rPr>
      </w:pPr>
      <w:r>
        <w:rPr>
          <w:rFonts w:hint="eastAsia" w:ascii="宋体" w:hAnsi="宋体" w:cs="宋体"/>
          <w:sz w:val="24"/>
          <w:szCs w:val="24"/>
          <w:highlight w:val="none"/>
          <w:lang w:eastAsia="zh-CN"/>
        </w:rPr>
        <w:t>项目编号：</w:t>
      </w:r>
    </w:p>
    <w:p>
      <w:pPr>
        <w:pStyle w:val="29"/>
        <w:snapToGrid w:val="0"/>
        <w:spacing w:line="400" w:lineRule="exact"/>
        <w:ind w:left="0" w:firstLine="0" w:firstLineChars="0"/>
        <w:rPr>
          <w:rFonts w:ascii="宋体"/>
          <w:color w:val="000000"/>
          <w:sz w:val="24"/>
          <w:highlight w:val="none"/>
        </w:rPr>
      </w:pPr>
      <w:r>
        <w:rPr>
          <w:rFonts w:hint="eastAsia" w:ascii="宋体" w:hAnsi="宋体" w:cs="宋体"/>
          <w:sz w:val="24"/>
          <w:szCs w:val="24"/>
          <w:highlight w:val="none"/>
        </w:rPr>
        <w:t>项目名称：</w:t>
      </w:r>
    </w:p>
    <w:tbl>
      <w:tblPr>
        <w:tblStyle w:val="35"/>
        <w:tblW w:w="83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3"/>
        <w:gridCol w:w="1972"/>
        <w:gridCol w:w="1268"/>
        <w:gridCol w:w="704"/>
        <w:gridCol w:w="845"/>
        <w:gridCol w:w="846"/>
        <w:gridCol w:w="1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1493" w:type="dxa"/>
            <w:vMerge w:val="restart"/>
            <w:tcBorders>
              <w:top w:val="single" w:color="auto" w:sz="4" w:space="0"/>
              <w:bottom w:val="single" w:color="auto" w:sz="4" w:space="0"/>
              <w:right w:val="single" w:color="auto" w:sz="4" w:space="0"/>
            </w:tcBorders>
            <w:vAlign w:val="center"/>
          </w:tcPr>
          <w:p>
            <w:pPr>
              <w:snapToGrid w:val="0"/>
              <w:spacing w:line="400" w:lineRule="exact"/>
              <w:jc w:val="center"/>
              <w:rPr>
                <w:rFonts w:ascii="宋体"/>
                <w:color w:val="000000"/>
                <w:sz w:val="24"/>
                <w:szCs w:val="24"/>
                <w:highlight w:val="none"/>
              </w:rPr>
            </w:pPr>
            <w:r>
              <w:rPr>
                <w:rFonts w:hint="eastAsia" w:ascii="宋体" w:hAnsi="宋体"/>
                <w:color w:val="000000"/>
                <w:sz w:val="24"/>
                <w:szCs w:val="24"/>
                <w:highlight w:val="none"/>
              </w:rPr>
              <w:t>采购单位</w:t>
            </w:r>
          </w:p>
          <w:p>
            <w:pPr>
              <w:snapToGrid w:val="0"/>
              <w:spacing w:line="400" w:lineRule="exact"/>
              <w:jc w:val="center"/>
              <w:rPr>
                <w:rFonts w:ascii="宋体"/>
                <w:color w:val="000000"/>
                <w:sz w:val="24"/>
                <w:szCs w:val="24"/>
                <w:highlight w:val="none"/>
              </w:rPr>
            </w:pPr>
            <w:r>
              <w:rPr>
                <w:rFonts w:hint="eastAsia" w:ascii="宋体" w:hAnsi="宋体"/>
                <w:color w:val="000000"/>
                <w:sz w:val="24"/>
                <w:szCs w:val="24"/>
                <w:highlight w:val="none"/>
              </w:rPr>
              <w:t>名称</w:t>
            </w:r>
          </w:p>
        </w:tc>
        <w:tc>
          <w:tcPr>
            <w:tcW w:w="197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olor w:val="000000"/>
                <w:sz w:val="24"/>
                <w:szCs w:val="24"/>
                <w:highlight w:val="none"/>
              </w:rPr>
            </w:pPr>
            <w:r>
              <w:rPr>
                <w:rFonts w:hint="eastAsia" w:ascii="宋体" w:hAnsi="宋体"/>
                <w:color w:val="000000"/>
                <w:sz w:val="24"/>
                <w:szCs w:val="24"/>
                <w:highlight w:val="none"/>
              </w:rPr>
              <w:t>项目名称</w:t>
            </w:r>
          </w:p>
        </w:tc>
        <w:tc>
          <w:tcPr>
            <w:tcW w:w="126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olor w:val="000000"/>
                <w:sz w:val="24"/>
                <w:szCs w:val="24"/>
                <w:highlight w:val="none"/>
              </w:rPr>
            </w:pPr>
            <w:r>
              <w:rPr>
                <w:rFonts w:hint="eastAsia" w:ascii="宋体" w:hAnsi="宋体"/>
                <w:color w:val="000000"/>
                <w:sz w:val="24"/>
                <w:szCs w:val="24"/>
                <w:highlight w:val="none"/>
              </w:rPr>
              <w:t>合同</w:t>
            </w:r>
          </w:p>
          <w:p>
            <w:pPr>
              <w:snapToGrid w:val="0"/>
              <w:spacing w:line="400" w:lineRule="exact"/>
              <w:jc w:val="center"/>
              <w:rPr>
                <w:rFonts w:ascii="宋体"/>
                <w:color w:val="000000"/>
                <w:sz w:val="24"/>
                <w:szCs w:val="24"/>
                <w:highlight w:val="none"/>
              </w:rPr>
            </w:pPr>
            <w:r>
              <w:rPr>
                <w:rFonts w:hint="eastAsia" w:ascii="宋体" w:hAnsi="宋体"/>
                <w:color w:val="000000"/>
                <w:sz w:val="24"/>
                <w:szCs w:val="24"/>
                <w:highlight w:val="none"/>
              </w:rPr>
              <w:t>金额</w:t>
            </w:r>
          </w:p>
          <w:p>
            <w:pPr>
              <w:snapToGrid w:val="0"/>
              <w:spacing w:line="400" w:lineRule="exact"/>
              <w:jc w:val="center"/>
              <w:rPr>
                <w:rFonts w:ascii="宋体"/>
                <w:color w:val="000000"/>
                <w:sz w:val="24"/>
                <w:szCs w:val="24"/>
                <w:highlight w:val="none"/>
              </w:rPr>
            </w:pPr>
            <w:r>
              <w:rPr>
                <w:rFonts w:hint="eastAsia" w:ascii="宋体" w:hAnsi="宋体"/>
                <w:color w:val="000000"/>
                <w:sz w:val="24"/>
                <w:szCs w:val="24"/>
                <w:highlight w:val="none"/>
              </w:rPr>
              <w:t>（万元）</w:t>
            </w:r>
          </w:p>
        </w:tc>
        <w:tc>
          <w:tcPr>
            <w:tcW w:w="239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olor w:val="000000"/>
                <w:sz w:val="24"/>
                <w:szCs w:val="24"/>
                <w:highlight w:val="none"/>
              </w:rPr>
            </w:pPr>
            <w:r>
              <w:rPr>
                <w:rFonts w:hint="eastAsia" w:ascii="宋体" w:hAnsi="宋体"/>
                <w:color w:val="000000"/>
                <w:sz w:val="24"/>
                <w:szCs w:val="24"/>
                <w:highlight w:val="none"/>
              </w:rPr>
              <w:t>附件页码</w:t>
            </w:r>
          </w:p>
        </w:tc>
        <w:tc>
          <w:tcPr>
            <w:tcW w:w="1268" w:type="dxa"/>
            <w:vMerge w:val="restart"/>
            <w:tcBorders>
              <w:top w:val="single" w:color="auto" w:sz="4" w:space="0"/>
              <w:left w:val="single" w:color="auto" w:sz="4" w:space="0"/>
              <w:bottom w:val="single" w:color="auto" w:sz="4" w:space="0"/>
            </w:tcBorders>
            <w:vAlign w:val="center"/>
          </w:tcPr>
          <w:p>
            <w:pPr>
              <w:snapToGrid w:val="0"/>
              <w:spacing w:line="400" w:lineRule="exact"/>
              <w:jc w:val="center"/>
              <w:rPr>
                <w:rFonts w:ascii="宋体"/>
                <w:color w:val="000000"/>
                <w:sz w:val="24"/>
                <w:szCs w:val="24"/>
                <w:highlight w:val="none"/>
              </w:rPr>
            </w:pPr>
            <w:r>
              <w:rPr>
                <w:rFonts w:hint="eastAsia" w:ascii="宋体" w:hAnsi="宋体"/>
                <w:color w:val="000000"/>
                <w:sz w:val="24"/>
                <w:szCs w:val="24"/>
                <w:highlight w:val="none"/>
              </w:rPr>
              <w:t>采购单位联系人及</w:t>
            </w:r>
          </w:p>
          <w:p>
            <w:pPr>
              <w:snapToGrid w:val="0"/>
              <w:spacing w:line="400" w:lineRule="exact"/>
              <w:jc w:val="center"/>
              <w:rPr>
                <w:rFonts w:ascii="宋体"/>
                <w:color w:val="000000"/>
                <w:sz w:val="24"/>
                <w:szCs w:val="24"/>
                <w:highlight w:val="none"/>
              </w:rPr>
            </w:pPr>
            <w:r>
              <w:rPr>
                <w:rFonts w:hint="eastAsia" w:ascii="宋体" w:hAnsi="宋体"/>
                <w:color w:val="000000"/>
                <w:sz w:val="24"/>
                <w:szCs w:val="24"/>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7" w:hRule="atLeast"/>
        </w:trPr>
        <w:tc>
          <w:tcPr>
            <w:tcW w:w="1493" w:type="dxa"/>
            <w:vMerge w:val="continue"/>
            <w:tcBorders>
              <w:top w:val="single" w:color="auto" w:sz="4" w:space="0"/>
              <w:bottom w:val="single" w:color="auto" w:sz="4" w:space="0"/>
              <w:right w:val="single" w:color="auto" w:sz="4" w:space="0"/>
            </w:tcBorders>
            <w:vAlign w:val="center"/>
          </w:tcPr>
          <w:p>
            <w:pPr>
              <w:widowControl/>
              <w:spacing w:line="400" w:lineRule="exact"/>
              <w:jc w:val="left"/>
              <w:rPr>
                <w:rFonts w:ascii="宋体"/>
                <w:color w:val="000000"/>
                <w:sz w:val="24"/>
                <w:szCs w:val="24"/>
                <w:highlight w:val="none"/>
              </w:rPr>
            </w:pPr>
          </w:p>
        </w:tc>
        <w:tc>
          <w:tcPr>
            <w:tcW w:w="19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olor w:val="000000"/>
                <w:sz w:val="24"/>
                <w:szCs w:val="24"/>
                <w:highlight w:val="none"/>
              </w:rPr>
            </w:pPr>
          </w:p>
        </w:tc>
        <w:tc>
          <w:tcPr>
            <w:tcW w:w="12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color w:val="000000"/>
                <w:sz w:val="24"/>
                <w:szCs w:val="24"/>
                <w:highlight w:val="none"/>
              </w:rPr>
            </w:pPr>
          </w:p>
        </w:tc>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olor w:val="000000"/>
                <w:sz w:val="24"/>
                <w:szCs w:val="24"/>
                <w:highlight w:val="none"/>
              </w:rPr>
            </w:pPr>
            <w:r>
              <w:rPr>
                <w:rFonts w:hint="eastAsia" w:ascii="宋体" w:hAnsi="宋体"/>
                <w:color w:val="000000"/>
                <w:sz w:val="24"/>
                <w:szCs w:val="24"/>
                <w:highlight w:val="none"/>
              </w:rPr>
              <w:t>合同</w:t>
            </w:r>
          </w:p>
        </w:tc>
        <w:tc>
          <w:tcPr>
            <w:tcW w:w="8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olor w:val="000000"/>
                <w:sz w:val="24"/>
                <w:szCs w:val="24"/>
                <w:highlight w:val="none"/>
              </w:rPr>
            </w:pPr>
            <w:r>
              <w:rPr>
                <w:rFonts w:hint="eastAsia" w:ascii="宋体" w:hAnsi="宋体"/>
                <w:color w:val="000000"/>
                <w:sz w:val="24"/>
                <w:szCs w:val="24"/>
                <w:highlight w:val="none"/>
              </w:rPr>
              <w:t>验收报告</w:t>
            </w:r>
          </w:p>
        </w:tc>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color w:val="000000"/>
                <w:sz w:val="24"/>
                <w:szCs w:val="24"/>
                <w:highlight w:val="none"/>
              </w:rPr>
            </w:pPr>
            <w:r>
              <w:rPr>
                <w:rFonts w:hint="eastAsia" w:ascii="宋体" w:hAnsi="宋体"/>
                <w:color w:val="000000"/>
                <w:sz w:val="24"/>
                <w:szCs w:val="24"/>
                <w:highlight w:val="none"/>
              </w:rPr>
              <w:t>用户评价</w:t>
            </w:r>
          </w:p>
        </w:tc>
        <w:tc>
          <w:tcPr>
            <w:tcW w:w="1268" w:type="dxa"/>
            <w:vMerge w:val="continue"/>
            <w:tcBorders>
              <w:top w:val="single" w:color="auto" w:sz="4" w:space="0"/>
              <w:left w:val="single" w:color="auto" w:sz="4" w:space="0"/>
              <w:bottom w:val="single" w:color="auto" w:sz="4" w:space="0"/>
            </w:tcBorders>
            <w:vAlign w:val="center"/>
          </w:tcPr>
          <w:p>
            <w:pPr>
              <w:widowControl/>
              <w:spacing w:line="400" w:lineRule="exact"/>
              <w:jc w:val="left"/>
              <w:rPr>
                <w:rFonts w:asci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493" w:type="dxa"/>
            <w:tcBorders>
              <w:top w:val="single" w:color="auto" w:sz="4" w:space="0"/>
              <w:bottom w:val="single" w:color="auto" w:sz="4" w:space="0"/>
              <w:right w:val="single" w:color="auto" w:sz="4" w:space="0"/>
            </w:tcBorders>
          </w:tcPr>
          <w:p>
            <w:pPr>
              <w:snapToGrid w:val="0"/>
              <w:spacing w:line="400" w:lineRule="exact"/>
              <w:jc w:val="left"/>
              <w:rPr>
                <w:rFonts w:ascii="宋体"/>
                <w:color w:val="000000"/>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color w:val="000000"/>
                <w:sz w:val="24"/>
                <w:szCs w:val="24"/>
                <w:highlight w:val="none"/>
              </w:rPr>
            </w:pPr>
          </w:p>
        </w:tc>
        <w:tc>
          <w:tcPr>
            <w:tcW w:w="1268"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color w:val="000000"/>
                <w:sz w:val="24"/>
                <w:szCs w:val="24"/>
                <w:highlight w:val="none"/>
              </w:rPr>
            </w:pPr>
          </w:p>
        </w:tc>
        <w:tc>
          <w:tcPr>
            <w:tcW w:w="704"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color w:val="000000"/>
                <w:sz w:val="24"/>
                <w:szCs w:val="24"/>
                <w:highlight w:val="none"/>
              </w:rPr>
            </w:pPr>
          </w:p>
        </w:tc>
        <w:tc>
          <w:tcPr>
            <w:tcW w:w="845"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color w:val="00000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宋体"/>
                <w:color w:val="000000"/>
                <w:sz w:val="24"/>
                <w:szCs w:val="24"/>
                <w:highlight w:val="none"/>
              </w:rPr>
            </w:pPr>
          </w:p>
        </w:tc>
        <w:tc>
          <w:tcPr>
            <w:tcW w:w="1268" w:type="dxa"/>
            <w:tcBorders>
              <w:top w:val="single" w:color="auto" w:sz="4" w:space="0"/>
              <w:left w:val="single" w:color="auto" w:sz="4" w:space="0"/>
              <w:bottom w:val="single" w:color="auto" w:sz="4" w:space="0"/>
            </w:tcBorders>
          </w:tcPr>
          <w:p>
            <w:pPr>
              <w:snapToGrid w:val="0"/>
              <w:spacing w:line="400" w:lineRule="exact"/>
              <w:jc w:val="left"/>
              <w:rPr>
                <w:rFonts w:asci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493" w:type="dxa"/>
            <w:tcBorders>
              <w:top w:val="single" w:color="auto" w:sz="4" w:space="0"/>
              <w:bottom w:val="single" w:color="auto" w:sz="4" w:space="0"/>
              <w:right w:val="single" w:color="auto" w:sz="4" w:space="0"/>
            </w:tcBorders>
          </w:tcPr>
          <w:p>
            <w:pPr>
              <w:snapToGrid w:val="0"/>
              <w:spacing w:before="50" w:after="120" w:afterLines="50" w:line="400" w:lineRule="exact"/>
              <w:jc w:val="left"/>
              <w:rPr>
                <w:rFonts w:ascii="宋体"/>
                <w:color w:val="000000"/>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color w:val="000000"/>
                <w:sz w:val="24"/>
                <w:szCs w:val="24"/>
                <w:highlight w:val="none"/>
              </w:rPr>
            </w:pPr>
          </w:p>
        </w:tc>
        <w:tc>
          <w:tcPr>
            <w:tcW w:w="12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color w:val="000000"/>
                <w:sz w:val="24"/>
                <w:szCs w:val="24"/>
                <w:highlight w:val="none"/>
              </w:rPr>
            </w:pPr>
          </w:p>
        </w:tc>
        <w:tc>
          <w:tcPr>
            <w:tcW w:w="70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color w:val="000000"/>
                <w:sz w:val="24"/>
                <w:szCs w:val="24"/>
                <w:highlight w:val="none"/>
              </w:rPr>
            </w:pPr>
          </w:p>
        </w:tc>
        <w:tc>
          <w:tcPr>
            <w:tcW w:w="8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color w:val="00000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color w:val="000000"/>
                <w:sz w:val="24"/>
                <w:szCs w:val="24"/>
                <w:highlight w:val="none"/>
              </w:rPr>
            </w:pPr>
          </w:p>
        </w:tc>
        <w:tc>
          <w:tcPr>
            <w:tcW w:w="1268" w:type="dxa"/>
            <w:tcBorders>
              <w:top w:val="single" w:color="auto" w:sz="4" w:space="0"/>
              <w:left w:val="single" w:color="auto" w:sz="4" w:space="0"/>
              <w:bottom w:val="single" w:color="auto" w:sz="4" w:space="0"/>
            </w:tcBorders>
          </w:tcPr>
          <w:p>
            <w:pPr>
              <w:snapToGrid w:val="0"/>
              <w:spacing w:before="50" w:after="120" w:afterLines="50" w:line="400" w:lineRule="exact"/>
              <w:jc w:val="left"/>
              <w:rPr>
                <w:rFonts w:asci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93" w:type="dxa"/>
            <w:tcBorders>
              <w:top w:val="single" w:color="auto" w:sz="4" w:space="0"/>
              <w:bottom w:val="single" w:color="auto" w:sz="4" w:space="0"/>
              <w:right w:val="single" w:color="auto" w:sz="4" w:space="0"/>
            </w:tcBorders>
          </w:tcPr>
          <w:p>
            <w:pPr>
              <w:snapToGrid w:val="0"/>
              <w:spacing w:before="50" w:after="120" w:afterLines="50" w:line="400" w:lineRule="exact"/>
              <w:jc w:val="left"/>
              <w:rPr>
                <w:rFonts w:ascii="宋体"/>
                <w:color w:val="000000"/>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color w:val="000000"/>
                <w:sz w:val="24"/>
                <w:szCs w:val="24"/>
                <w:highlight w:val="none"/>
              </w:rPr>
            </w:pPr>
          </w:p>
        </w:tc>
        <w:tc>
          <w:tcPr>
            <w:tcW w:w="12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color w:val="000000"/>
                <w:sz w:val="24"/>
                <w:szCs w:val="24"/>
                <w:highlight w:val="none"/>
              </w:rPr>
            </w:pPr>
          </w:p>
        </w:tc>
        <w:tc>
          <w:tcPr>
            <w:tcW w:w="70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color w:val="000000"/>
                <w:sz w:val="24"/>
                <w:szCs w:val="24"/>
                <w:highlight w:val="none"/>
              </w:rPr>
            </w:pPr>
          </w:p>
        </w:tc>
        <w:tc>
          <w:tcPr>
            <w:tcW w:w="8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color w:val="00000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color w:val="000000"/>
                <w:sz w:val="24"/>
                <w:szCs w:val="24"/>
                <w:highlight w:val="none"/>
              </w:rPr>
            </w:pPr>
          </w:p>
        </w:tc>
        <w:tc>
          <w:tcPr>
            <w:tcW w:w="1268" w:type="dxa"/>
            <w:tcBorders>
              <w:top w:val="single" w:color="auto" w:sz="4" w:space="0"/>
              <w:left w:val="single" w:color="auto" w:sz="4" w:space="0"/>
              <w:bottom w:val="single" w:color="auto" w:sz="4" w:space="0"/>
            </w:tcBorders>
          </w:tcPr>
          <w:p>
            <w:pPr>
              <w:snapToGrid w:val="0"/>
              <w:spacing w:before="50" w:after="120" w:afterLines="50" w:line="400" w:lineRule="exact"/>
              <w:jc w:val="left"/>
              <w:rPr>
                <w:rFonts w:asci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493" w:type="dxa"/>
            <w:tcBorders>
              <w:top w:val="single" w:color="auto" w:sz="4" w:space="0"/>
              <w:bottom w:val="single" w:color="auto" w:sz="4" w:space="0"/>
              <w:right w:val="single" w:color="auto" w:sz="4" w:space="0"/>
            </w:tcBorders>
          </w:tcPr>
          <w:p>
            <w:pPr>
              <w:snapToGrid w:val="0"/>
              <w:spacing w:before="50" w:after="120" w:afterLines="50" w:line="400" w:lineRule="exact"/>
              <w:jc w:val="left"/>
              <w:rPr>
                <w:rFonts w:ascii="宋体"/>
                <w:color w:val="000000"/>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color w:val="000000"/>
                <w:sz w:val="24"/>
                <w:szCs w:val="24"/>
                <w:highlight w:val="none"/>
              </w:rPr>
            </w:pPr>
          </w:p>
        </w:tc>
        <w:tc>
          <w:tcPr>
            <w:tcW w:w="12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color w:val="000000"/>
                <w:sz w:val="24"/>
                <w:szCs w:val="24"/>
                <w:highlight w:val="none"/>
              </w:rPr>
            </w:pPr>
          </w:p>
        </w:tc>
        <w:tc>
          <w:tcPr>
            <w:tcW w:w="70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color w:val="000000"/>
                <w:sz w:val="24"/>
                <w:szCs w:val="24"/>
                <w:highlight w:val="none"/>
              </w:rPr>
            </w:pPr>
          </w:p>
        </w:tc>
        <w:tc>
          <w:tcPr>
            <w:tcW w:w="8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color w:val="00000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color w:val="000000"/>
                <w:sz w:val="24"/>
                <w:szCs w:val="24"/>
                <w:highlight w:val="none"/>
              </w:rPr>
            </w:pPr>
          </w:p>
        </w:tc>
        <w:tc>
          <w:tcPr>
            <w:tcW w:w="1268" w:type="dxa"/>
            <w:tcBorders>
              <w:top w:val="single" w:color="auto" w:sz="4" w:space="0"/>
              <w:left w:val="single" w:color="auto" w:sz="4" w:space="0"/>
              <w:bottom w:val="single" w:color="auto" w:sz="4" w:space="0"/>
            </w:tcBorders>
          </w:tcPr>
          <w:p>
            <w:pPr>
              <w:snapToGrid w:val="0"/>
              <w:spacing w:before="50" w:after="120" w:afterLines="50" w:line="400" w:lineRule="exact"/>
              <w:jc w:val="left"/>
              <w:rPr>
                <w:rFonts w:asci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493" w:type="dxa"/>
            <w:tcBorders>
              <w:top w:val="single" w:color="auto" w:sz="4" w:space="0"/>
              <w:bottom w:val="single" w:color="auto" w:sz="4" w:space="0"/>
              <w:right w:val="single" w:color="auto" w:sz="4" w:space="0"/>
            </w:tcBorders>
          </w:tcPr>
          <w:p>
            <w:pPr>
              <w:snapToGrid w:val="0"/>
              <w:spacing w:before="50" w:after="120" w:afterLines="50" w:line="400" w:lineRule="exact"/>
              <w:jc w:val="left"/>
              <w:rPr>
                <w:rFonts w:ascii="宋体"/>
                <w:color w:val="000000"/>
                <w:sz w:val="24"/>
                <w:szCs w:val="24"/>
                <w:highlight w:val="none"/>
              </w:rPr>
            </w:pPr>
          </w:p>
        </w:tc>
        <w:tc>
          <w:tcPr>
            <w:tcW w:w="197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color w:val="000000"/>
                <w:sz w:val="24"/>
                <w:szCs w:val="24"/>
                <w:highlight w:val="none"/>
              </w:rPr>
            </w:pPr>
          </w:p>
        </w:tc>
        <w:tc>
          <w:tcPr>
            <w:tcW w:w="126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color w:val="000000"/>
                <w:sz w:val="24"/>
                <w:szCs w:val="24"/>
                <w:highlight w:val="none"/>
              </w:rPr>
            </w:pPr>
          </w:p>
        </w:tc>
        <w:tc>
          <w:tcPr>
            <w:tcW w:w="70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color w:val="000000"/>
                <w:sz w:val="24"/>
                <w:szCs w:val="24"/>
                <w:highlight w:val="none"/>
              </w:rPr>
            </w:pPr>
          </w:p>
        </w:tc>
        <w:tc>
          <w:tcPr>
            <w:tcW w:w="8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color w:val="00000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color w:val="000000"/>
                <w:sz w:val="24"/>
                <w:szCs w:val="24"/>
                <w:highlight w:val="none"/>
              </w:rPr>
            </w:pPr>
          </w:p>
        </w:tc>
        <w:tc>
          <w:tcPr>
            <w:tcW w:w="1268" w:type="dxa"/>
            <w:tcBorders>
              <w:top w:val="single" w:color="auto" w:sz="4" w:space="0"/>
              <w:left w:val="single" w:color="auto" w:sz="4" w:space="0"/>
              <w:bottom w:val="single" w:color="auto" w:sz="4" w:space="0"/>
            </w:tcBorders>
          </w:tcPr>
          <w:p>
            <w:pPr>
              <w:snapToGrid w:val="0"/>
              <w:spacing w:before="50" w:after="120" w:afterLines="50" w:line="400" w:lineRule="exact"/>
              <w:jc w:val="left"/>
              <w:rPr>
                <w:rFonts w:ascii="宋体"/>
                <w:color w:val="000000"/>
                <w:sz w:val="24"/>
                <w:szCs w:val="24"/>
                <w:highlight w:val="none"/>
              </w:rPr>
            </w:pPr>
          </w:p>
        </w:tc>
      </w:tr>
    </w:tbl>
    <w:p>
      <w:pPr>
        <w:pStyle w:val="52"/>
        <w:adjustRightInd w:val="0"/>
        <w:snapToGrid w:val="0"/>
        <w:spacing w:before="120" w:after="120" w:line="500" w:lineRule="exact"/>
        <w:rPr>
          <w:rFonts w:hint="eastAsia" w:ascii="宋体" w:hAnsi="宋体"/>
          <w:color w:val="000000"/>
          <w:sz w:val="24"/>
          <w:highlight w:val="none"/>
        </w:rPr>
      </w:pPr>
      <w:r>
        <w:rPr>
          <w:rFonts w:hint="eastAsia" w:ascii="宋体" w:hAnsi="宋体"/>
          <w:color w:val="000000"/>
          <w:sz w:val="24"/>
          <w:highlight w:val="none"/>
        </w:rPr>
        <w:t>备注：供应商同类项目实施情况一览表格式：（供应商同类项目合同</w:t>
      </w:r>
      <w:r>
        <w:rPr>
          <w:rFonts w:hint="eastAsia" w:ascii="宋体" w:hAnsi="宋体"/>
          <w:color w:val="000000"/>
          <w:sz w:val="24"/>
          <w:highlight w:val="none"/>
          <w:lang w:eastAsia="zh-CN"/>
        </w:rPr>
        <w:t>和</w:t>
      </w:r>
      <w:r>
        <w:rPr>
          <w:rFonts w:hint="eastAsia" w:ascii="宋体" w:hAnsi="宋体" w:eastAsia="宋体" w:cs="宋体"/>
          <w:i w:val="0"/>
          <w:iCs w:val="0"/>
          <w:color w:val="000000"/>
          <w:kern w:val="0"/>
          <w:sz w:val="24"/>
          <w:szCs w:val="24"/>
          <w:u w:val="none"/>
          <w:lang w:val="en-US" w:eastAsia="zh-CN" w:bidi="ar"/>
        </w:rPr>
        <w:t>验收报告</w:t>
      </w:r>
      <w:r>
        <w:rPr>
          <w:rFonts w:hint="eastAsia" w:ascii="宋体" w:hAnsi="宋体"/>
          <w:color w:val="000000"/>
          <w:sz w:val="24"/>
          <w:highlight w:val="none"/>
        </w:rPr>
        <w:t>清晰扫描件</w:t>
      </w:r>
      <w:r>
        <w:rPr>
          <w:rFonts w:hint="eastAsia" w:ascii="宋体" w:hAnsi="宋体"/>
          <w:color w:val="000000"/>
          <w:sz w:val="24"/>
          <w:highlight w:val="none"/>
          <w:lang w:eastAsia="zh-CN"/>
        </w:rPr>
        <w:t>，</w:t>
      </w:r>
      <w:r>
        <w:rPr>
          <w:rFonts w:hint="eastAsia" w:ascii="宋体" w:hAnsi="宋体"/>
          <w:color w:val="000000"/>
          <w:sz w:val="24"/>
          <w:highlight w:val="none"/>
        </w:rPr>
        <w:t>格式自拟</w:t>
      </w:r>
      <w:r>
        <w:rPr>
          <w:rFonts w:hint="eastAsia" w:ascii="宋体" w:hAnsi="宋体"/>
          <w:color w:val="000000"/>
          <w:sz w:val="24"/>
          <w:highlight w:val="none"/>
          <w:lang w:eastAsia="zh-CN"/>
        </w:rPr>
        <w:t>。</w:t>
      </w:r>
      <w:r>
        <w:rPr>
          <w:rFonts w:hint="eastAsia" w:ascii="宋体" w:hAnsi="宋体"/>
          <w:color w:val="000000"/>
          <w:sz w:val="24"/>
          <w:highlight w:val="none"/>
        </w:rPr>
        <w:t>）</w:t>
      </w:r>
    </w:p>
    <w:p>
      <w:pPr>
        <w:pStyle w:val="52"/>
        <w:adjustRightInd w:val="0"/>
        <w:snapToGrid w:val="0"/>
        <w:spacing w:before="120" w:after="120" w:line="500" w:lineRule="exact"/>
        <w:rPr>
          <w:rFonts w:ascii="宋体" w:cs="宋体"/>
          <w:sz w:val="24"/>
          <w:szCs w:val="24"/>
          <w:highlight w:val="none"/>
          <w:u w:val="single"/>
        </w:rPr>
      </w:pPr>
      <w:r>
        <w:rPr>
          <w:rFonts w:hint="eastAsia" w:ascii="宋体" w:hAnsi="宋体" w:cs="宋体"/>
          <w:sz w:val="24"/>
          <w:szCs w:val="24"/>
          <w:highlight w:val="none"/>
        </w:rPr>
        <w:t>供应商名称（签章）：</w:t>
      </w:r>
    </w:p>
    <w:p>
      <w:pPr>
        <w:pStyle w:val="52"/>
        <w:adjustRightInd w:val="0"/>
        <w:snapToGrid w:val="0"/>
        <w:spacing w:before="120" w:after="120" w:line="500" w:lineRule="exact"/>
        <w:rPr>
          <w:rFonts w:ascii="宋体" w:cs="宋体"/>
          <w:sz w:val="24"/>
          <w:szCs w:val="24"/>
          <w:highlight w:val="none"/>
        </w:rPr>
      </w:pPr>
      <w:r>
        <w:rPr>
          <w:rFonts w:hint="eastAsia" w:ascii="宋体" w:hAnsi="宋体" w:cs="宋体"/>
          <w:sz w:val="24"/>
          <w:szCs w:val="24"/>
          <w:highlight w:val="none"/>
        </w:rPr>
        <w:t>法定代表人或委托代理人（签字或签章）：</w:t>
      </w:r>
    </w:p>
    <w:p>
      <w:pPr>
        <w:pStyle w:val="14"/>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日期：年月日</w:t>
      </w:r>
    </w:p>
    <w:p/>
    <w:p>
      <w:pPr>
        <w:pStyle w:val="29"/>
        <w:snapToGrid w:val="0"/>
        <w:spacing w:line="400" w:lineRule="exact"/>
        <w:ind w:left="0" w:firstLine="0" w:firstLineChars="0"/>
        <w:rPr>
          <w:rFonts w:ascii="宋体"/>
          <w:color w:val="000000"/>
          <w:sz w:val="24"/>
          <w:highlight w:val="none"/>
        </w:rPr>
      </w:pPr>
    </w:p>
    <w:p>
      <w:pPr>
        <w:snapToGrid w:val="0"/>
        <w:spacing w:before="50" w:line="400" w:lineRule="exact"/>
        <w:rPr>
          <w:rFonts w:ascii="宋体"/>
          <w:color w:val="000000"/>
          <w:sz w:val="24"/>
          <w:highlight w:val="none"/>
        </w:rPr>
      </w:pPr>
    </w:p>
    <w:p>
      <w:pPr>
        <w:pStyle w:val="52"/>
        <w:adjustRightInd w:val="0"/>
        <w:snapToGrid w:val="0"/>
        <w:spacing w:before="120" w:after="120" w:line="500" w:lineRule="exact"/>
        <w:rPr>
          <w:rFonts w:ascii="宋体" w:cs="宋体"/>
          <w:sz w:val="24"/>
          <w:szCs w:val="24"/>
          <w:highlight w:val="none"/>
        </w:rPr>
      </w:pPr>
    </w:p>
    <w:p>
      <w:pPr>
        <w:pStyle w:val="52"/>
        <w:adjustRightInd w:val="0"/>
        <w:snapToGrid w:val="0"/>
        <w:spacing w:before="120" w:after="120" w:line="500" w:lineRule="exact"/>
        <w:rPr>
          <w:rFonts w:ascii="宋体" w:cs="宋体"/>
          <w:sz w:val="24"/>
          <w:szCs w:val="24"/>
          <w:highlight w:val="none"/>
        </w:rPr>
      </w:pPr>
    </w:p>
    <w:p>
      <w:pPr>
        <w:pStyle w:val="57"/>
        <w:tabs>
          <w:tab w:val="left" w:pos="1365"/>
        </w:tabs>
        <w:spacing w:line="360" w:lineRule="auto"/>
        <w:jc w:val="center"/>
        <w:rPr>
          <w:rFonts w:ascii="宋体"/>
          <w:b/>
          <w:color w:val="000000"/>
          <w:sz w:val="24"/>
          <w:highlight w:val="none"/>
        </w:rPr>
      </w:pPr>
    </w:p>
    <w:p>
      <w:pPr>
        <w:snapToGrid w:val="0"/>
        <w:spacing w:before="120" w:beforeLines="50" w:line="400" w:lineRule="exact"/>
        <w:outlineLvl w:val="2"/>
        <w:rPr>
          <w:rFonts w:ascii="宋体" w:hAnsi="宋体"/>
          <w:color w:val="000000"/>
          <w:sz w:val="24"/>
          <w:highlight w:val="none"/>
        </w:rPr>
      </w:pPr>
      <w:r>
        <w:rPr>
          <w:rFonts w:ascii="宋体"/>
          <w:b/>
          <w:color w:val="000000"/>
          <w:sz w:val="24"/>
          <w:highlight w:val="none"/>
        </w:rPr>
        <w:br w:type="page"/>
      </w:r>
      <w:r>
        <w:rPr>
          <w:rFonts w:hint="eastAsia" w:ascii="宋体" w:hAnsi="宋体"/>
          <w:color w:val="000000"/>
          <w:sz w:val="24"/>
          <w:highlight w:val="none"/>
        </w:rPr>
        <w:t>附件</w:t>
      </w:r>
      <w:r>
        <w:rPr>
          <w:rFonts w:ascii="宋体" w:hAnsi="宋体"/>
          <w:color w:val="000000"/>
          <w:sz w:val="24"/>
          <w:highlight w:val="none"/>
        </w:rPr>
        <w:t>1</w:t>
      </w:r>
      <w:r>
        <w:rPr>
          <w:rFonts w:hint="eastAsia" w:ascii="宋体" w:hAnsi="宋体"/>
          <w:color w:val="000000"/>
          <w:sz w:val="24"/>
          <w:highlight w:val="none"/>
          <w:lang w:val="en-US" w:eastAsia="zh-CN"/>
        </w:rPr>
        <w:t>3</w:t>
      </w:r>
      <w:r>
        <w:rPr>
          <w:rFonts w:hint="eastAsia" w:ascii="宋体" w:hAnsi="宋体"/>
          <w:color w:val="000000"/>
          <w:sz w:val="24"/>
          <w:highlight w:val="none"/>
        </w:rPr>
        <w:t>：</w:t>
      </w:r>
    </w:p>
    <w:p>
      <w:pPr>
        <w:pStyle w:val="57"/>
        <w:tabs>
          <w:tab w:val="left" w:pos="1365"/>
        </w:tabs>
        <w:spacing w:line="360" w:lineRule="auto"/>
        <w:jc w:val="center"/>
        <w:rPr>
          <w:rFonts w:hint="default" w:ascii="宋体" w:eastAsia="宋体"/>
          <w:b/>
          <w:color w:val="000000"/>
          <w:sz w:val="24"/>
          <w:highlight w:val="none"/>
          <w:lang w:val="en-US" w:eastAsia="zh-CN"/>
        </w:rPr>
      </w:pPr>
      <w:r>
        <w:rPr>
          <w:rFonts w:hint="eastAsia" w:ascii="宋体" w:hAnsi="宋体"/>
          <w:b/>
          <w:color w:val="000000"/>
          <w:sz w:val="24"/>
          <w:highlight w:val="none"/>
        </w:rPr>
        <w:t>供应商类似项目业绩表</w:t>
      </w:r>
      <w:r>
        <w:rPr>
          <w:rFonts w:hint="eastAsia" w:ascii="宋体" w:hAnsi="宋体"/>
          <w:b/>
          <w:color w:val="000000"/>
          <w:sz w:val="24"/>
          <w:highlight w:val="none"/>
          <w:lang w:val="en-US" w:eastAsia="zh-CN"/>
        </w:rPr>
        <w:t>-2</w:t>
      </w:r>
    </w:p>
    <w:p>
      <w:pPr>
        <w:pStyle w:val="52"/>
        <w:adjustRightInd w:val="0"/>
        <w:snapToGrid w:val="0"/>
        <w:spacing w:before="120" w:after="120" w:line="500" w:lineRule="exact"/>
        <w:rPr>
          <w:rFonts w:hint="eastAsia" w:ascii="宋体" w:eastAsia="宋体" w:cs="宋体"/>
          <w:sz w:val="24"/>
          <w:szCs w:val="24"/>
          <w:highlight w:val="none"/>
          <w:lang w:eastAsia="zh-CN"/>
        </w:rPr>
      </w:pPr>
      <w:r>
        <w:rPr>
          <w:rFonts w:hint="eastAsia" w:ascii="宋体" w:hAnsi="宋体" w:cs="宋体"/>
          <w:sz w:val="24"/>
          <w:szCs w:val="24"/>
          <w:highlight w:val="none"/>
          <w:lang w:eastAsia="zh-CN"/>
        </w:rPr>
        <w:t>项目编号：</w:t>
      </w:r>
    </w:p>
    <w:p>
      <w:pPr>
        <w:pStyle w:val="52"/>
        <w:adjustRightInd w:val="0"/>
        <w:snapToGrid w:val="0"/>
        <w:spacing w:before="120" w:after="120" w:line="500" w:lineRule="exact"/>
        <w:rPr>
          <w:rFonts w:ascii="宋体" w:cs="宋体"/>
          <w:sz w:val="24"/>
          <w:szCs w:val="24"/>
          <w:highlight w:val="none"/>
          <w:u w:val="single"/>
        </w:rPr>
      </w:pPr>
      <w:r>
        <w:rPr>
          <w:rFonts w:hint="eastAsia" w:ascii="宋体" w:hAnsi="宋体" w:cs="宋体"/>
          <w:sz w:val="24"/>
          <w:szCs w:val="24"/>
          <w:highlight w:val="none"/>
        </w:rPr>
        <w:t>项目名称：</w:t>
      </w:r>
    </w:p>
    <w:tbl>
      <w:tblPr>
        <w:tblStyle w:val="35"/>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pPr>
              <w:pStyle w:val="52"/>
              <w:spacing w:before="120" w:after="120"/>
              <w:jc w:val="center"/>
              <w:rPr>
                <w:rFonts w:ascii="宋体" w:cs="宋体"/>
                <w:sz w:val="24"/>
                <w:szCs w:val="24"/>
                <w:highlight w:val="none"/>
              </w:rPr>
            </w:pPr>
            <w:r>
              <w:rPr>
                <w:rFonts w:hint="eastAsia" w:ascii="宋体" w:hAnsi="宋体" w:cs="宋体"/>
                <w:sz w:val="24"/>
                <w:szCs w:val="24"/>
                <w:highlight w:val="none"/>
              </w:rPr>
              <w:t>项目名称</w:t>
            </w:r>
          </w:p>
        </w:tc>
        <w:tc>
          <w:tcPr>
            <w:tcW w:w="6863" w:type="dxa"/>
          </w:tcPr>
          <w:p>
            <w:pPr>
              <w:pStyle w:val="52"/>
              <w:spacing w:before="120" w:after="120"/>
              <w:jc w:val="center"/>
              <w:rPr>
                <w:rFonts w:asci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pPr>
              <w:pStyle w:val="52"/>
              <w:spacing w:before="120" w:after="120"/>
              <w:jc w:val="center"/>
              <w:rPr>
                <w:rFonts w:ascii="宋体" w:cs="宋体"/>
                <w:sz w:val="24"/>
                <w:szCs w:val="24"/>
                <w:highlight w:val="none"/>
              </w:rPr>
            </w:pPr>
            <w:r>
              <w:rPr>
                <w:rFonts w:hint="eastAsia" w:ascii="宋体" w:hAnsi="宋体" w:cs="宋体"/>
                <w:sz w:val="24"/>
                <w:szCs w:val="24"/>
                <w:highlight w:val="none"/>
              </w:rPr>
              <w:t>项目单位名称</w:t>
            </w:r>
          </w:p>
        </w:tc>
        <w:tc>
          <w:tcPr>
            <w:tcW w:w="6863" w:type="dxa"/>
          </w:tcPr>
          <w:p>
            <w:pPr>
              <w:pStyle w:val="52"/>
              <w:spacing w:before="120" w:after="120"/>
              <w:jc w:val="center"/>
              <w:rPr>
                <w:rFonts w:asci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pPr>
              <w:pStyle w:val="52"/>
              <w:spacing w:before="120" w:after="120"/>
              <w:jc w:val="center"/>
              <w:rPr>
                <w:rFonts w:ascii="宋体" w:cs="宋体"/>
                <w:sz w:val="24"/>
                <w:szCs w:val="24"/>
                <w:highlight w:val="none"/>
              </w:rPr>
            </w:pPr>
            <w:r>
              <w:rPr>
                <w:rFonts w:hint="eastAsia" w:ascii="宋体" w:hAnsi="宋体" w:cs="宋体"/>
                <w:sz w:val="24"/>
                <w:szCs w:val="24"/>
                <w:highlight w:val="none"/>
              </w:rPr>
              <w:t>项目单位联系人姓名及联系方式</w:t>
            </w:r>
          </w:p>
        </w:tc>
        <w:tc>
          <w:tcPr>
            <w:tcW w:w="6863" w:type="dxa"/>
          </w:tcPr>
          <w:p>
            <w:pPr>
              <w:pStyle w:val="52"/>
              <w:spacing w:before="120" w:after="120"/>
              <w:jc w:val="center"/>
              <w:rPr>
                <w:rFonts w:asci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pPr>
              <w:pStyle w:val="52"/>
              <w:spacing w:before="120" w:after="120"/>
              <w:jc w:val="center"/>
              <w:rPr>
                <w:rFonts w:ascii="宋体" w:cs="宋体"/>
                <w:sz w:val="24"/>
                <w:szCs w:val="24"/>
                <w:highlight w:val="none"/>
              </w:rPr>
            </w:pPr>
            <w:r>
              <w:rPr>
                <w:rFonts w:hint="eastAsia" w:ascii="宋体" w:hAnsi="宋体" w:cs="宋体"/>
                <w:sz w:val="24"/>
                <w:szCs w:val="24"/>
                <w:highlight w:val="none"/>
              </w:rPr>
              <w:t>合同金额</w:t>
            </w:r>
          </w:p>
        </w:tc>
        <w:tc>
          <w:tcPr>
            <w:tcW w:w="6863" w:type="dxa"/>
          </w:tcPr>
          <w:p>
            <w:pPr>
              <w:pStyle w:val="52"/>
              <w:spacing w:before="120" w:after="120"/>
              <w:jc w:val="center"/>
              <w:rPr>
                <w:rFonts w:asci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pPr>
              <w:pStyle w:val="52"/>
              <w:spacing w:before="120" w:after="120"/>
              <w:jc w:val="center"/>
              <w:rPr>
                <w:rFonts w:ascii="宋体" w:cs="宋体"/>
                <w:sz w:val="24"/>
                <w:szCs w:val="24"/>
                <w:highlight w:val="none"/>
              </w:rPr>
            </w:pPr>
            <w:r>
              <w:rPr>
                <w:rFonts w:hint="eastAsia" w:ascii="宋体" w:hAnsi="宋体" w:cs="宋体"/>
                <w:sz w:val="24"/>
                <w:szCs w:val="24"/>
                <w:highlight w:val="none"/>
              </w:rPr>
              <w:t>项目负责人</w:t>
            </w:r>
          </w:p>
          <w:p>
            <w:pPr>
              <w:pStyle w:val="52"/>
              <w:spacing w:before="120" w:after="120"/>
              <w:jc w:val="center"/>
              <w:rPr>
                <w:rFonts w:ascii="宋体" w:cs="宋体"/>
                <w:sz w:val="24"/>
                <w:szCs w:val="24"/>
                <w:highlight w:val="none"/>
              </w:rPr>
            </w:pPr>
            <w:r>
              <w:rPr>
                <w:rFonts w:hint="eastAsia" w:ascii="宋体" w:hAnsi="宋体" w:cs="宋体"/>
                <w:sz w:val="24"/>
                <w:szCs w:val="24"/>
                <w:highlight w:val="none"/>
              </w:rPr>
              <w:t>姓名</w:t>
            </w:r>
          </w:p>
        </w:tc>
        <w:tc>
          <w:tcPr>
            <w:tcW w:w="6863" w:type="dxa"/>
          </w:tcPr>
          <w:p>
            <w:pPr>
              <w:pStyle w:val="52"/>
              <w:spacing w:before="120" w:after="120"/>
              <w:jc w:val="center"/>
              <w:rPr>
                <w:rFonts w:asci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pPr>
              <w:pStyle w:val="52"/>
              <w:spacing w:before="120" w:after="120"/>
              <w:jc w:val="center"/>
              <w:rPr>
                <w:rFonts w:ascii="宋体" w:cs="宋体"/>
                <w:sz w:val="24"/>
                <w:szCs w:val="24"/>
                <w:highlight w:val="none"/>
              </w:rPr>
            </w:pPr>
            <w:r>
              <w:rPr>
                <w:rFonts w:hint="eastAsia" w:ascii="宋体" w:hAnsi="宋体" w:cs="宋体"/>
                <w:sz w:val="24"/>
                <w:szCs w:val="24"/>
                <w:highlight w:val="none"/>
              </w:rPr>
              <w:t>项目实施时间</w:t>
            </w:r>
          </w:p>
        </w:tc>
        <w:tc>
          <w:tcPr>
            <w:tcW w:w="6863" w:type="dxa"/>
          </w:tcPr>
          <w:p>
            <w:pPr>
              <w:pStyle w:val="52"/>
              <w:spacing w:before="120" w:after="120"/>
              <w:jc w:val="center"/>
              <w:rPr>
                <w:rFonts w:asci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pPr>
              <w:pStyle w:val="52"/>
              <w:spacing w:before="120" w:after="120"/>
              <w:jc w:val="center"/>
              <w:rPr>
                <w:rFonts w:ascii="宋体" w:cs="宋体"/>
                <w:sz w:val="24"/>
                <w:szCs w:val="24"/>
                <w:highlight w:val="none"/>
              </w:rPr>
            </w:pPr>
            <w:r>
              <w:rPr>
                <w:rFonts w:hint="eastAsia" w:ascii="宋体" w:hAnsi="宋体" w:cs="宋体"/>
                <w:sz w:val="24"/>
                <w:szCs w:val="24"/>
                <w:highlight w:val="none"/>
              </w:rPr>
              <w:t>项目内容说明</w:t>
            </w:r>
          </w:p>
        </w:tc>
        <w:tc>
          <w:tcPr>
            <w:tcW w:w="6863" w:type="dxa"/>
          </w:tcPr>
          <w:p>
            <w:pPr>
              <w:pStyle w:val="52"/>
              <w:spacing w:before="120" w:after="120"/>
              <w:jc w:val="center"/>
              <w:rPr>
                <w:rFonts w:ascii="宋体" w:cs="宋体"/>
                <w:sz w:val="24"/>
                <w:szCs w:val="24"/>
                <w:highlight w:val="none"/>
              </w:rPr>
            </w:pPr>
          </w:p>
        </w:tc>
      </w:tr>
    </w:tbl>
    <w:p>
      <w:pPr>
        <w:pStyle w:val="52"/>
        <w:autoSpaceDE w:val="0"/>
        <w:autoSpaceDN w:val="0"/>
        <w:spacing w:before="120" w:after="120" w:line="360" w:lineRule="auto"/>
        <w:rPr>
          <w:rFonts w:ascii="宋体" w:cs="宋体"/>
          <w:sz w:val="24"/>
          <w:szCs w:val="24"/>
          <w:highlight w:val="none"/>
        </w:rPr>
      </w:pPr>
      <w:r>
        <w:rPr>
          <w:rFonts w:hint="eastAsia" w:ascii="宋体" w:hAnsi="宋体" w:cs="宋体"/>
          <w:sz w:val="24"/>
          <w:szCs w:val="24"/>
          <w:highlight w:val="none"/>
        </w:rPr>
        <w:t>说明：</w:t>
      </w:r>
      <w:r>
        <w:rPr>
          <w:rFonts w:ascii="宋体" w:hAnsi="宋体" w:cs="宋体"/>
          <w:sz w:val="24"/>
          <w:szCs w:val="24"/>
          <w:highlight w:val="none"/>
        </w:rPr>
        <w:t>1</w:t>
      </w:r>
      <w:r>
        <w:rPr>
          <w:rFonts w:hint="eastAsia" w:ascii="宋体" w:hAnsi="宋体" w:cs="宋体"/>
          <w:sz w:val="24"/>
          <w:szCs w:val="24"/>
          <w:highlight w:val="none"/>
        </w:rPr>
        <w:t>．每个合同须单独附表，并附上相关证明材料，否则专家在评审时将不予采信；</w:t>
      </w:r>
    </w:p>
    <w:p>
      <w:pPr>
        <w:pStyle w:val="52"/>
        <w:spacing w:before="120" w:after="120" w:line="360" w:lineRule="auto"/>
        <w:ind w:firstLine="720" w:firstLineChars="300"/>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．项目内容请详细说明所承担的具体工作内容。</w:t>
      </w:r>
    </w:p>
    <w:p>
      <w:pPr>
        <w:pStyle w:val="52"/>
        <w:adjustRightInd w:val="0"/>
        <w:snapToGrid w:val="0"/>
        <w:spacing w:before="120" w:after="120" w:line="500" w:lineRule="exact"/>
        <w:rPr>
          <w:rFonts w:ascii="宋体" w:cs="宋体"/>
          <w:sz w:val="24"/>
          <w:szCs w:val="24"/>
          <w:highlight w:val="none"/>
        </w:rPr>
      </w:pPr>
    </w:p>
    <w:p>
      <w:pPr>
        <w:pStyle w:val="52"/>
        <w:adjustRightInd w:val="0"/>
        <w:snapToGrid w:val="0"/>
        <w:spacing w:before="120" w:after="120" w:line="500" w:lineRule="exact"/>
        <w:rPr>
          <w:rFonts w:ascii="宋体" w:cs="宋体"/>
          <w:sz w:val="24"/>
          <w:szCs w:val="24"/>
          <w:highlight w:val="none"/>
          <w:u w:val="single"/>
        </w:rPr>
      </w:pPr>
      <w:r>
        <w:rPr>
          <w:rFonts w:hint="eastAsia" w:ascii="宋体" w:hAnsi="宋体" w:cs="宋体"/>
          <w:sz w:val="24"/>
          <w:szCs w:val="24"/>
          <w:highlight w:val="none"/>
        </w:rPr>
        <w:t>供应商名称（签章）：</w:t>
      </w:r>
    </w:p>
    <w:p>
      <w:pPr>
        <w:pStyle w:val="52"/>
        <w:adjustRightInd w:val="0"/>
        <w:snapToGrid w:val="0"/>
        <w:spacing w:before="120" w:after="120" w:line="500" w:lineRule="exact"/>
        <w:rPr>
          <w:rFonts w:ascii="宋体" w:cs="宋体"/>
          <w:sz w:val="24"/>
          <w:szCs w:val="24"/>
          <w:highlight w:val="none"/>
        </w:rPr>
      </w:pPr>
      <w:r>
        <w:rPr>
          <w:rFonts w:hint="eastAsia" w:ascii="宋体" w:hAnsi="宋体" w:cs="宋体"/>
          <w:sz w:val="24"/>
          <w:szCs w:val="24"/>
          <w:highlight w:val="none"/>
        </w:rPr>
        <w:t>法定代表人或委托代理人（签字或签章）：</w:t>
      </w:r>
    </w:p>
    <w:p>
      <w:pPr>
        <w:pStyle w:val="52"/>
        <w:spacing w:before="120" w:after="120" w:line="500" w:lineRule="exact"/>
        <w:rPr>
          <w:rFonts w:ascii="宋体" w:cs="宋体"/>
          <w:sz w:val="24"/>
          <w:szCs w:val="24"/>
          <w:highlight w:val="none"/>
        </w:rPr>
      </w:pPr>
      <w:r>
        <w:rPr>
          <w:rFonts w:hint="eastAsia" w:ascii="宋体" w:hAnsi="宋体" w:cs="宋体"/>
          <w:sz w:val="24"/>
          <w:szCs w:val="24"/>
          <w:highlight w:val="none"/>
        </w:rPr>
        <w:t>日期：年月日</w:t>
      </w:r>
    </w:p>
    <w:p>
      <w:pPr>
        <w:pStyle w:val="52"/>
        <w:spacing w:before="120" w:after="120" w:line="500" w:lineRule="exact"/>
        <w:rPr>
          <w:rFonts w:ascii="宋体" w:cs="宋体"/>
          <w:sz w:val="24"/>
          <w:szCs w:val="24"/>
          <w:highlight w:val="none"/>
        </w:rPr>
      </w:pPr>
    </w:p>
    <w:p>
      <w:pPr>
        <w:autoSpaceDE w:val="0"/>
        <w:autoSpaceDN w:val="0"/>
        <w:spacing w:before="295" w:after="295"/>
        <w:rPr>
          <w:rFonts w:hint="eastAsia" w:ascii="宋体" w:hAnsi="宋体"/>
          <w:color w:val="000000"/>
          <w:sz w:val="24"/>
          <w:highlight w:val="none"/>
          <w:lang w:val="zh-CN"/>
        </w:rPr>
        <w:sectPr>
          <w:pgSz w:w="11906" w:h="16838"/>
          <w:pgMar w:top="1440" w:right="1559" w:bottom="1440" w:left="1797" w:header="851" w:footer="992" w:gutter="0"/>
          <w:pgBorders>
            <w:top w:val="none" w:sz="0" w:space="0"/>
            <w:left w:val="none" w:sz="0" w:space="0"/>
            <w:bottom w:val="none" w:sz="0" w:space="0"/>
            <w:right w:val="none" w:sz="0" w:space="0"/>
          </w:pgBorders>
          <w:cols w:equalWidth="0" w:num="1">
            <w:col w:w="8551"/>
          </w:cols>
          <w:docGrid w:linePitch="312" w:charSpace="0"/>
        </w:sectPr>
      </w:pPr>
    </w:p>
    <w:p>
      <w:pPr>
        <w:autoSpaceDE w:val="0"/>
        <w:autoSpaceDN w:val="0"/>
        <w:spacing w:before="295" w:after="295"/>
        <w:rPr>
          <w:rFonts w:ascii="宋体" w:hAnsi="宋体"/>
          <w:color w:val="000000"/>
          <w:sz w:val="24"/>
          <w:highlight w:val="none"/>
          <w:lang w:val="zh-CN"/>
        </w:rPr>
      </w:pPr>
      <w:r>
        <w:rPr>
          <w:rFonts w:hint="eastAsia" w:ascii="宋体" w:hAnsi="宋体"/>
          <w:color w:val="000000"/>
          <w:sz w:val="24"/>
          <w:highlight w:val="none"/>
          <w:lang w:val="zh-CN"/>
        </w:rPr>
        <w:t>附件1</w:t>
      </w:r>
      <w:r>
        <w:rPr>
          <w:rFonts w:hint="eastAsia" w:ascii="宋体" w:hAnsi="宋体"/>
          <w:color w:val="000000"/>
          <w:sz w:val="24"/>
          <w:highlight w:val="none"/>
          <w:lang w:val="en-US" w:eastAsia="zh-CN"/>
        </w:rPr>
        <w:t>4</w:t>
      </w:r>
      <w:r>
        <w:rPr>
          <w:rFonts w:hint="eastAsia" w:ascii="宋体" w:hAnsi="宋体"/>
          <w:color w:val="000000"/>
          <w:sz w:val="24"/>
          <w:highlight w:val="none"/>
          <w:lang w:val="zh-CN"/>
        </w:rPr>
        <w:t>：</w:t>
      </w:r>
    </w:p>
    <w:p>
      <w:pPr>
        <w:snapToGrid w:val="0"/>
        <w:spacing w:before="120" w:beforeLines="50" w:after="50"/>
        <w:jc w:val="center"/>
        <w:rPr>
          <w:b/>
          <w:color w:val="000000"/>
          <w:kern w:val="0"/>
          <w:sz w:val="24"/>
          <w:highlight w:val="none"/>
        </w:rPr>
      </w:pPr>
      <w:r>
        <w:rPr>
          <w:rFonts w:hint="eastAsia"/>
          <w:b/>
          <w:color w:val="000000"/>
          <w:kern w:val="0"/>
          <w:sz w:val="24"/>
          <w:highlight w:val="none"/>
        </w:rPr>
        <w:t>磋商</w:t>
      </w:r>
      <w:r>
        <w:rPr>
          <w:b/>
          <w:color w:val="000000"/>
          <w:kern w:val="0"/>
          <w:sz w:val="24"/>
          <w:highlight w:val="none"/>
        </w:rPr>
        <w:t>函</w:t>
      </w:r>
    </w:p>
    <w:p>
      <w:pPr>
        <w:autoSpaceDE w:val="0"/>
        <w:autoSpaceDN w:val="0"/>
        <w:spacing w:before="120" w:after="50"/>
        <w:jc w:val="center"/>
        <w:rPr>
          <w:rFonts w:ascii="宋体" w:hAnsi="宋体"/>
          <w:b/>
          <w:color w:val="auto"/>
          <w:sz w:val="28"/>
          <w:szCs w:val="28"/>
          <w:highlight w:val="none"/>
        </w:rPr>
      </w:pPr>
    </w:p>
    <w:p>
      <w:pPr>
        <w:autoSpaceDE w:val="0"/>
        <w:autoSpaceDN w:val="0"/>
        <w:spacing w:line="360" w:lineRule="auto"/>
        <w:rPr>
          <w:rFonts w:ascii="宋体" w:hAnsi="宋体"/>
          <w:color w:val="auto"/>
          <w:sz w:val="24"/>
          <w:highlight w:val="none"/>
          <w:lang w:val="zh-CN"/>
        </w:rPr>
      </w:pPr>
      <w:r>
        <w:rPr>
          <w:rFonts w:ascii="宋体" w:hAnsi="宋体"/>
          <w:color w:val="auto"/>
          <w:sz w:val="24"/>
          <w:highlight w:val="none"/>
          <w:lang w:val="zh-CN"/>
        </w:rPr>
        <w:t>致：_</w:t>
      </w:r>
      <w:r>
        <w:rPr>
          <w:rFonts w:ascii="宋体" w:hAnsi="宋体"/>
          <w:color w:val="auto"/>
          <w:sz w:val="24"/>
          <w:highlight w:val="none"/>
          <w:u w:val="single"/>
          <w:lang w:val="zh-CN"/>
        </w:rPr>
        <w:t>长兴县政府采购中心</w:t>
      </w:r>
      <w:r>
        <w:rPr>
          <w:rFonts w:ascii="宋体" w:hAnsi="宋体"/>
          <w:color w:val="auto"/>
          <w:sz w:val="24"/>
          <w:highlight w:val="none"/>
          <w:lang w:val="zh-CN"/>
        </w:rPr>
        <w:t>：</w:t>
      </w:r>
    </w:p>
    <w:p>
      <w:pPr>
        <w:autoSpaceDE w:val="0"/>
        <w:autoSpaceDN w:val="0"/>
        <w:spacing w:before="120" w:after="120" w:line="420" w:lineRule="exact"/>
        <w:rPr>
          <w:rFonts w:ascii="宋体" w:hAnsi="宋体"/>
          <w:color w:val="000000"/>
          <w:sz w:val="24"/>
          <w:highlight w:val="none"/>
          <w:lang w:val="zh-CN"/>
        </w:rPr>
      </w:pPr>
      <w:r>
        <w:rPr>
          <w:rFonts w:ascii="宋体" w:hAnsi="宋体"/>
          <w:color w:val="auto"/>
          <w:sz w:val="24"/>
          <w:highlight w:val="none"/>
          <w:lang w:val="zh-CN"/>
        </w:rPr>
        <w:t>根据贵方为</w:t>
      </w:r>
      <w:r>
        <w:rPr>
          <w:rFonts w:hint="eastAsia" w:hAnsi="宋体"/>
          <w:color w:val="auto"/>
          <w:sz w:val="24"/>
          <w:highlight w:val="none"/>
          <w:u w:val="single"/>
          <w:lang w:eastAsia="zh-CN"/>
        </w:rPr>
        <w:t>长兴县退役军人事务局军干服务配套电梯工程项目</w:t>
      </w:r>
      <w:r>
        <w:rPr>
          <w:rFonts w:ascii="宋体" w:hAnsi="宋体"/>
          <w:color w:val="000000"/>
          <w:sz w:val="24"/>
          <w:highlight w:val="none"/>
          <w:lang w:val="zh-CN"/>
        </w:rPr>
        <w:t>的</w:t>
      </w:r>
      <w:r>
        <w:rPr>
          <w:rFonts w:hint="eastAsia" w:ascii="宋体" w:hAnsi="宋体"/>
          <w:color w:val="000000"/>
          <w:sz w:val="24"/>
          <w:highlight w:val="none"/>
          <w:lang w:val="zh-CN"/>
        </w:rPr>
        <w:t>磋商邀请</w:t>
      </w:r>
      <w:r>
        <w:rPr>
          <w:rFonts w:ascii="宋体" w:hAnsi="宋体"/>
          <w:color w:val="000000"/>
          <w:sz w:val="24"/>
          <w:highlight w:val="none"/>
          <w:lang w:val="zh-CN"/>
        </w:rPr>
        <w:t>公告（</w:t>
      </w:r>
      <w:r>
        <w:rPr>
          <w:rFonts w:hint="eastAsia" w:ascii="宋体" w:hAnsi="宋体"/>
          <w:color w:val="000000"/>
          <w:sz w:val="24"/>
          <w:highlight w:val="none"/>
          <w:lang w:val="zh-CN"/>
        </w:rPr>
        <w:t>项目编号：</w:t>
      </w:r>
      <w:r>
        <w:rPr>
          <w:rFonts w:hint="eastAsia" w:ascii="宋体" w:hAnsi="宋体"/>
          <w:b/>
          <w:color w:val="000000"/>
          <w:sz w:val="24"/>
          <w:highlight w:val="none"/>
          <w:lang w:val="zh-CN"/>
        </w:rPr>
        <w:t>CXCG202207001</w:t>
      </w:r>
      <w:r>
        <w:rPr>
          <w:rFonts w:ascii="宋体" w:hAnsi="宋体"/>
          <w:color w:val="000000"/>
          <w:sz w:val="24"/>
          <w:highlight w:val="none"/>
          <w:lang w:val="zh-CN"/>
        </w:rPr>
        <w:t>），签字代表_______________（全名）经正式授权并代表供应商</w:t>
      </w:r>
      <w:r>
        <w:rPr>
          <w:rFonts w:hint="eastAsia" w:ascii="宋体" w:hAnsi="宋体"/>
          <w:color w:val="000000"/>
          <w:sz w:val="24"/>
          <w:highlight w:val="none"/>
          <w:u w:val="single"/>
          <w:lang w:val="en-US" w:eastAsia="zh-CN"/>
        </w:rPr>
        <w:t xml:space="preserve">                 </w:t>
      </w:r>
      <w:r>
        <w:rPr>
          <w:rFonts w:ascii="宋体" w:hAnsi="宋体"/>
          <w:color w:val="000000"/>
          <w:sz w:val="24"/>
          <w:highlight w:val="none"/>
          <w:lang w:val="zh-CN"/>
        </w:rPr>
        <w:t>（供应商名称）提交资信/商务技术文件、</w:t>
      </w:r>
      <w:r>
        <w:rPr>
          <w:rFonts w:hint="eastAsia" w:ascii="宋体" w:hAnsi="宋体"/>
          <w:color w:val="000000"/>
          <w:sz w:val="24"/>
          <w:highlight w:val="none"/>
          <w:lang w:val="zh-CN"/>
        </w:rPr>
        <w:t>磋商</w:t>
      </w:r>
      <w:r>
        <w:rPr>
          <w:rFonts w:ascii="宋体" w:hAnsi="宋体"/>
          <w:color w:val="000000"/>
          <w:sz w:val="24"/>
          <w:highlight w:val="none"/>
          <w:lang w:val="zh-CN"/>
        </w:rPr>
        <w:t>报价文件</w:t>
      </w:r>
      <w:r>
        <w:rPr>
          <w:rFonts w:hint="eastAsia" w:ascii="宋体" w:hAnsi="宋体"/>
          <w:color w:val="000000"/>
          <w:sz w:val="24"/>
          <w:highlight w:val="none"/>
          <w:lang w:val="zh-CN"/>
        </w:rPr>
        <w:t>的</w:t>
      </w:r>
      <w:r>
        <w:rPr>
          <w:rFonts w:hint="eastAsia" w:ascii="宋体"/>
          <w:color w:val="000000"/>
          <w:sz w:val="24"/>
          <w:highlight w:val="none"/>
        </w:rPr>
        <w:t>电子磋商响应文件以及备份磋商响应文件各</w:t>
      </w:r>
      <w:r>
        <w:rPr>
          <w:rFonts w:ascii="宋体" w:hAnsi="宋体"/>
          <w:color w:val="000000"/>
          <w:sz w:val="24"/>
          <w:highlight w:val="none"/>
          <w:lang w:val="zh-CN"/>
        </w:rPr>
        <w:t>一份。</w:t>
      </w:r>
    </w:p>
    <w:p>
      <w:pPr>
        <w:autoSpaceDE w:val="0"/>
        <w:autoSpaceDN w:val="0"/>
        <w:spacing w:line="360" w:lineRule="auto"/>
        <w:ind w:firstLine="480"/>
        <w:rPr>
          <w:rFonts w:ascii="宋体" w:hAnsi="宋体"/>
          <w:color w:val="000000"/>
          <w:sz w:val="24"/>
          <w:highlight w:val="none"/>
          <w:lang w:val="zh-CN"/>
        </w:rPr>
      </w:pPr>
      <w:r>
        <w:rPr>
          <w:rFonts w:ascii="宋体" w:hAnsi="宋体"/>
          <w:color w:val="000000"/>
          <w:sz w:val="24"/>
          <w:highlight w:val="none"/>
          <w:lang w:val="zh-CN"/>
        </w:rPr>
        <w:t>据此函，签字代表宣布同意如下：</w:t>
      </w:r>
    </w:p>
    <w:p>
      <w:pPr>
        <w:autoSpaceDE w:val="0"/>
        <w:autoSpaceDN w:val="0"/>
        <w:spacing w:line="360" w:lineRule="auto"/>
        <w:ind w:firstLine="480"/>
        <w:rPr>
          <w:rFonts w:ascii="宋体" w:hAnsi="宋体"/>
          <w:color w:val="000000"/>
          <w:sz w:val="24"/>
          <w:highlight w:val="none"/>
          <w:lang w:val="zh-CN"/>
        </w:rPr>
      </w:pPr>
      <w:r>
        <w:rPr>
          <w:rFonts w:ascii="宋体" w:hAnsi="宋体"/>
          <w:color w:val="000000"/>
          <w:sz w:val="24"/>
          <w:highlight w:val="none"/>
          <w:lang w:val="zh-CN"/>
        </w:rPr>
        <w:t>1.供应商已详细审查全部“磋商文件”，包括修改文件（如有的话）以及全部参考资料和有关附件，已经了解我方对于磋商文件、采购过程、采购结果有依法进行询问、质疑、投诉的权利及相关渠道和要求。</w:t>
      </w:r>
    </w:p>
    <w:p>
      <w:pPr>
        <w:autoSpaceDE w:val="0"/>
        <w:autoSpaceDN w:val="0"/>
        <w:spacing w:line="360" w:lineRule="auto"/>
        <w:ind w:firstLine="480"/>
        <w:rPr>
          <w:rFonts w:ascii="宋体" w:hAnsi="宋体"/>
          <w:color w:val="000000"/>
          <w:sz w:val="24"/>
          <w:highlight w:val="none"/>
          <w:lang w:val="zh-CN"/>
        </w:rPr>
      </w:pPr>
      <w:r>
        <w:rPr>
          <w:rFonts w:ascii="宋体" w:hAnsi="宋体"/>
          <w:color w:val="000000"/>
          <w:sz w:val="24"/>
          <w:highlight w:val="none"/>
          <w:lang w:val="zh-CN"/>
        </w:rPr>
        <w:t>2.供应商在磋商之前已经与贵方进行了充分的沟通，完全理解并接受磋商文件的各项规定和要求，对磋商文件的合理性、合法性不再有异议。</w:t>
      </w:r>
    </w:p>
    <w:p>
      <w:pPr>
        <w:autoSpaceDE w:val="0"/>
        <w:autoSpaceDN w:val="0"/>
        <w:spacing w:line="360" w:lineRule="auto"/>
        <w:ind w:firstLine="480"/>
        <w:rPr>
          <w:rFonts w:ascii="宋体" w:hAnsi="宋体"/>
          <w:color w:val="000000"/>
          <w:sz w:val="24"/>
          <w:highlight w:val="none"/>
          <w:lang w:val="zh-CN"/>
        </w:rPr>
      </w:pPr>
      <w:r>
        <w:rPr>
          <w:rFonts w:ascii="宋体" w:hAnsi="宋体"/>
          <w:color w:val="000000"/>
          <w:sz w:val="24"/>
          <w:highlight w:val="none"/>
          <w:lang w:val="zh-CN"/>
        </w:rPr>
        <w:t>3.本磋商有效期</w:t>
      </w:r>
      <w:r>
        <w:rPr>
          <w:rFonts w:hint="eastAsia" w:ascii="宋体" w:hAnsi="宋体"/>
          <w:color w:val="000000"/>
          <w:sz w:val="24"/>
          <w:highlight w:val="none"/>
          <w:lang w:val="zh-CN"/>
        </w:rPr>
        <w:t>自</w:t>
      </w:r>
      <w:r>
        <w:rPr>
          <w:rFonts w:hint="eastAsia" w:ascii="宋体" w:hAnsi="宋体"/>
          <w:color w:val="000000"/>
          <w:kern w:val="0"/>
          <w:sz w:val="24"/>
          <w:highlight w:val="none"/>
        </w:rPr>
        <w:t>响应文件递交截止时间起</w:t>
      </w:r>
      <w:r>
        <w:rPr>
          <w:rFonts w:hint="eastAsia" w:ascii="宋体" w:hAnsi="宋体"/>
          <w:color w:val="000000"/>
          <w:spacing w:val="5"/>
          <w:kern w:val="0"/>
          <w:sz w:val="24"/>
          <w:highlight w:val="none"/>
        </w:rPr>
        <w:t>60个日历天</w:t>
      </w:r>
      <w:r>
        <w:rPr>
          <w:rFonts w:ascii="宋体" w:hAnsi="宋体"/>
          <w:color w:val="000000"/>
          <w:sz w:val="24"/>
          <w:highlight w:val="none"/>
          <w:lang w:val="zh-CN"/>
        </w:rPr>
        <w:t>。</w:t>
      </w:r>
    </w:p>
    <w:p>
      <w:pPr>
        <w:autoSpaceDE w:val="0"/>
        <w:autoSpaceDN w:val="0"/>
        <w:spacing w:line="360" w:lineRule="auto"/>
        <w:ind w:firstLine="480"/>
        <w:rPr>
          <w:rFonts w:ascii="宋体" w:hAnsi="宋体"/>
          <w:color w:val="000000"/>
          <w:sz w:val="24"/>
          <w:highlight w:val="none"/>
          <w:lang w:val="zh-CN"/>
        </w:rPr>
      </w:pPr>
      <w:r>
        <w:rPr>
          <w:rFonts w:ascii="宋体" w:hAnsi="宋体"/>
          <w:color w:val="000000"/>
          <w:sz w:val="24"/>
          <w:highlight w:val="none"/>
          <w:lang w:val="zh-CN"/>
        </w:rPr>
        <w:t>4.如成交，本磋商响应文件至本项目合同履行完毕止均保持有效，本供应商将按“磋商文件”及政府采购法律、法规的规定履行合同责任和义务。</w:t>
      </w:r>
    </w:p>
    <w:p>
      <w:pPr>
        <w:autoSpaceDE w:val="0"/>
        <w:autoSpaceDN w:val="0"/>
        <w:spacing w:line="360" w:lineRule="auto"/>
        <w:ind w:firstLine="480"/>
        <w:rPr>
          <w:rFonts w:ascii="宋体" w:hAnsi="宋体"/>
          <w:color w:val="000000"/>
          <w:sz w:val="24"/>
          <w:highlight w:val="none"/>
          <w:lang w:val="zh-CN"/>
        </w:rPr>
      </w:pPr>
      <w:r>
        <w:rPr>
          <w:rFonts w:ascii="宋体" w:hAnsi="宋体"/>
          <w:color w:val="000000"/>
          <w:sz w:val="24"/>
          <w:highlight w:val="none"/>
          <w:lang w:val="zh-CN"/>
        </w:rPr>
        <w:t>5.供应商同意按照贵方要求提供与磋商有关的一切数据或资料。</w:t>
      </w:r>
    </w:p>
    <w:p>
      <w:pPr>
        <w:autoSpaceDE w:val="0"/>
        <w:autoSpaceDN w:val="0"/>
        <w:spacing w:line="360" w:lineRule="auto"/>
        <w:ind w:firstLine="480"/>
        <w:rPr>
          <w:rFonts w:ascii="宋体" w:hAnsi="宋体"/>
          <w:color w:val="000000"/>
          <w:sz w:val="24"/>
          <w:highlight w:val="none"/>
          <w:lang w:val="zh-CN"/>
        </w:rPr>
      </w:pPr>
      <w:r>
        <w:rPr>
          <w:rFonts w:ascii="宋体" w:hAnsi="宋体"/>
          <w:color w:val="000000"/>
          <w:sz w:val="24"/>
          <w:highlight w:val="none"/>
          <w:lang w:val="zh-CN"/>
        </w:rPr>
        <w:t>6.与本磋商有关的一切正式往来信函请寄：</w:t>
      </w:r>
    </w:p>
    <w:p>
      <w:pPr>
        <w:autoSpaceDE w:val="0"/>
        <w:autoSpaceDN w:val="0"/>
        <w:spacing w:line="360" w:lineRule="auto"/>
        <w:rPr>
          <w:rFonts w:ascii="宋体" w:hAnsi="宋体"/>
          <w:color w:val="000000"/>
          <w:sz w:val="24"/>
          <w:highlight w:val="none"/>
          <w:lang w:val="zh-CN"/>
        </w:rPr>
      </w:pPr>
    </w:p>
    <w:p>
      <w:pPr>
        <w:autoSpaceDE w:val="0"/>
        <w:autoSpaceDN w:val="0"/>
        <w:spacing w:line="360" w:lineRule="auto"/>
        <w:rPr>
          <w:rFonts w:ascii="宋体" w:hAnsi="宋体"/>
          <w:color w:val="000000"/>
          <w:sz w:val="24"/>
          <w:highlight w:val="none"/>
          <w:lang w:val="zh-CN"/>
        </w:rPr>
      </w:pPr>
      <w:r>
        <w:rPr>
          <w:rFonts w:ascii="宋体" w:hAnsi="宋体"/>
          <w:color w:val="000000"/>
          <w:sz w:val="24"/>
          <w:highlight w:val="none"/>
          <w:lang w:val="zh-CN"/>
        </w:rPr>
        <w:t>地址：_______________</w:t>
      </w:r>
    </w:p>
    <w:p>
      <w:pPr>
        <w:autoSpaceDE w:val="0"/>
        <w:autoSpaceDN w:val="0"/>
        <w:spacing w:line="360" w:lineRule="auto"/>
        <w:rPr>
          <w:rFonts w:ascii="宋体" w:hAnsi="宋体"/>
          <w:color w:val="000000"/>
          <w:sz w:val="24"/>
          <w:highlight w:val="none"/>
          <w:lang w:val="zh-CN"/>
        </w:rPr>
      </w:pPr>
      <w:r>
        <w:rPr>
          <w:rFonts w:ascii="宋体" w:hAnsi="宋体"/>
          <w:color w:val="000000"/>
          <w:sz w:val="24"/>
          <w:highlight w:val="none"/>
          <w:lang w:val="zh-CN"/>
        </w:rPr>
        <w:t>邮编：__________   电话：______________</w:t>
      </w:r>
    </w:p>
    <w:p>
      <w:pPr>
        <w:autoSpaceDE w:val="0"/>
        <w:autoSpaceDN w:val="0"/>
        <w:spacing w:line="360" w:lineRule="auto"/>
        <w:rPr>
          <w:rFonts w:ascii="宋体" w:hAnsi="宋体"/>
          <w:color w:val="000000"/>
          <w:sz w:val="24"/>
          <w:highlight w:val="none"/>
          <w:lang w:val="zh-CN"/>
        </w:rPr>
      </w:pPr>
      <w:r>
        <w:rPr>
          <w:rFonts w:ascii="宋体" w:hAnsi="宋体"/>
          <w:color w:val="000000"/>
          <w:sz w:val="24"/>
          <w:highlight w:val="none"/>
          <w:lang w:val="zh-CN"/>
        </w:rPr>
        <w:t>传真：______________</w:t>
      </w:r>
    </w:p>
    <w:p>
      <w:pPr>
        <w:autoSpaceDE w:val="0"/>
        <w:autoSpaceDN w:val="0"/>
        <w:spacing w:line="360" w:lineRule="auto"/>
        <w:rPr>
          <w:rFonts w:ascii="宋体" w:hAnsi="宋体"/>
          <w:color w:val="000000"/>
          <w:sz w:val="24"/>
          <w:highlight w:val="none"/>
          <w:lang w:val="zh-CN"/>
        </w:rPr>
      </w:pPr>
      <w:r>
        <w:rPr>
          <w:rFonts w:ascii="宋体" w:hAnsi="宋体"/>
          <w:color w:val="000000"/>
          <w:sz w:val="24"/>
          <w:highlight w:val="none"/>
          <w:lang w:val="zh-CN"/>
        </w:rPr>
        <w:t>供应商代表姓名 ___________  职务：_____________</w:t>
      </w:r>
    </w:p>
    <w:p>
      <w:pPr>
        <w:autoSpaceDE w:val="0"/>
        <w:autoSpaceDN w:val="0"/>
        <w:spacing w:line="360" w:lineRule="auto"/>
        <w:rPr>
          <w:rFonts w:ascii="宋体" w:hAnsi="宋体"/>
          <w:color w:val="000000"/>
          <w:sz w:val="24"/>
          <w:highlight w:val="none"/>
          <w:lang w:val="zh-CN"/>
        </w:rPr>
      </w:pPr>
      <w:r>
        <w:rPr>
          <w:rFonts w:ascii="宋体" w:hAnsi="宋体"/>
          <w:color w:val="000000"/>
          <w:sz w:val="24"/>
          <w:highlight w:val="none"/>
          <w:lang w:val="zh-CN"/>
        </w:rPr>
        <w:t>供应商名称(公章):_______________</w:t>
      </w:r>
    </w:p>
    <w:p>
      <w:pPr>
        <w:autoSpaceDE w:val="0"/>
        <w:autoSpaceDN w:val="0"/>
        <w:spacing w:line="360" w:lineRule="auto"/>
        <w:rPr>
          <w:rFonts w:ascii="宋体" w:hAnsi="宋体"/>
          <w:color w:val="000000"/>
          <w:sz w:val="24"/>
          <w:highlight w:val="none"/>
          <w:lang w:val="zh-CN"/>
        </w:rPr>
      </w:pPr>
      <w:r>
        <w:rPr>
          <w:rFonts w:ascii="宋体" w:hAnsi="宋体"/>
          <w:color w:val="000000"/>
          <w:sz w:val="24"/>
          <w:highlight w:val="none"/>
          <w:lang w:val="zh-CN"/>
        </w:rPr>
        <w:t xml:space="preserve">授权代表签字:_______________                     </w:t>
      </w:r>
    </w:p>
    <w:p>
      <w:pPr>
        <w:autoSpaceDE w:val="0"/>
        <w:autoSpaceDN w:val="0"/>
        <w:spacing w:line="360" w:lineRule="auto"/>
        <w:rPr>
          <w:rFonts w:ascii="宋体" w:hAnsi="宋体"/>
          <w:color w:val="000000"/>
          <w:sz w:val="24"/>
          <w:highlight w:val="none"/>
          <w:lang w:val="zh-CN"/>
        </w:rPr>
      </w:pPr>
      <w:r>
        <w:rPr>
          <w:rFonts w:ascii="宋体" w:hAnsi="宋体"/>
          <w:color w:val="000000"/>
          <w:sz w:val="24"/>
          <w:highlight w:val="none"/>
          <w:lang w:val="zh-CN"/>
        </w:rPr>
        <w:t>日        期:_______________</w:t>
      </w:r>
    </w:p>
    <w:p>
      <w:pPr>
        <w:autoSpaceDE w:val="0"/>
        <w:autoSpaceDN w:val="0"/>
        <w:spacing w:before="295" w:after="295"/>
        <w:rPr>
          <w:rFonts w:hint="eastAsia" w:ascii="宋体" w:hAnsi="宋体"/>
          <w:color w:val="000000"/>
          <w:sz w:val="24"/>
          <w:highlight w:val="none"/>
          <w:lang w:val="zh-CN"/>
        </w:rPr>
      </w:pPr>
    </w:p>
    <w:p>
      <w:pPr>
        <w:autoSpaceDE w:val="0"/>
        <w:autoSpaceDN w:val="0"/>
        <w:spacing w:before="295" w:after="295"/>
        <w:rPr>
          <w:rFonts w:ascii="宋体" w:hAnsi="宋体"/>
          <w:b/>
          <w:color w:val="000000"/>
          <w:sz w:val="24"/>
          <w:highlight w:val="none"/>
          <w:lang w:val="zh-CN"/>
        </w:rPr>
      </w:pPr>
      <w:r>
        <w:rPr>
          <w:rFonts w:hint="eastAsia" w:ascii="宋体" w:hAnsi="宋体"/>
          <w:color w:val="000000"/>
          <w:sz w:val="24"/>
          <w:highlight w:val="none"/>
          <w:lang w:val="zh-CN"/>
        </w:rPr>
        <w:t>附件1</w:t>
      </w:r>
      <w:r>
        <w:rPr>
          <w:rFonts w:hint="eastAsia" w:ascii="宋体" w:hAnsi="宋体"/>
          <w:color w:val="000000"/>
          <w:sz w:val="24"/>
          <w:highlight w:val="none"/>
          <w:lang w:val="en-US" w:eastAsia="zh-CN"/>
        </w:rPr>
        <w:t>5</w:t>
      </w:r>
      <w:r>
        <w:rPr>
          <w:rFonts w:hint="eastAsia" w:ascii="宋体" w:hAnsi="宋体"/>
          <w:color w:val="000000"/>
          <w:sz w:val="24"/>
          <w:highlight w:val="none"/>
          <w:lang w:val="zh-CN"/>
        </w:rPr>
        <w:t>：</w:t>
      </w:r>
    </w:p>
    <w:p>
      <w:pPr>
        <w:snapToGrid w:val="0"/>
        <w:spacing w:before="120" w:beforeLines="50" w:after="50"/>
        <w:jc w:val="center"/>
        <w:rPr>
          <w:b/>
          <w:color w:val="000000"/>
          <w:kern w:val="0"/>
          <w:sz w:val="24"/>
          <w:highlight w:val="none"/>
        </w:rPr>
      </w:pPr>
      <w:r>
        <w:rPr>
          <w:b/>
          <w:color w:val="000000"/>
          <w:kern w:val="0"/>
          <w:sz w:val="24"/>
          <w:highlight w:val="none"/>
        </w:rPr>
        <w:t>磋商报价明细表</w:t>
      </w:r>
    </w:p>
    <w:p>
      <w:pPr>
        <w:tabs>
          <w:tab w:val="left" w:pos="1418"/>
        </w:tabs>
        <w:autoSpaceDE w:val="0"/>
        <w:autoSpaceDN w:val="0"/>
        <w:spacing w:before="50" w:after="50"/>
        <w:rPr>
          <w:rFonts w:ascii="宋体" w:hAnsi="宋体"/>
          <w:color w:val="000000"/>
          <w:sz w:val="24"/>
          <w:highlight w:val="none"/>
          <w:lang w:val="zh-CN"/>
        </w:rPr>
      </w:pPr>
      <w:r>
        <w:rPr>
          <w:rFonts w:ascii="宋体" w:hAnsi="宋体"/>
          <w:color w:val="000000"/>
          <w:sz w:val="24"/>
          <w:highlight w:val="none"/>
          <w:lang w:val="zh-CN"/>
        </w:rPr>
        <w:t>金额单位：人民币（元）</w:t>
      </w:r>
    </w:p>
    <w:tbl>
      <w:tblPr>
        <w:tblStyle w:val="35"/>
        <w:tblW w:w="9000" w:type="dxa"/>
        <w:tblInd w:w="-360" w:type="dxa"/>
        <w:tblLayout w:type="fixed"/>
        <w:tblCellMar>
          <w:top w:w="0" w:type="dxa"/>
          <w:left w:w="10" w:type="dxa"/>
          <w:bottom w:w="0" w:type="dxa"/>
          <w:right w:w="10" w:type="dxa"/>
        </w:tblCellMar>
      </w:tblPr>
      <w:tblGrid>
        <w:gridCol w:w="540"/>
        <w:gridCol w:w="1620"/>
        <w:gridCol w:w="1080"/>
        <w:gridCol w:w="1440"/>
        <w:gridCol w:w="8"/>
        <w:gridCol w:w="1612"/>
        <w:gridCol w:w="1260"/>
        <w:gridCol w:w="1440"/>
      </w:tblGrid>
      <w:tr>
        <w:tblPrEx>
          <w:tblCellMar>
            <w:top w:w="0" w:type="dxa"/>
            <w:left w:w="10" w:type="dxa"/>
            <w:bottom w:w="0" w:type="dxa"/>
            <w:right w:w="10" w:type="dxa"/>
          </w:tblCellMar>
        </w:tblPrEx>
        <w:tc>
          <w:tcPr>
            <w:tcW w:w="540"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rFonts w:ascii="宋体" w:hAnsi="宋体"/>
                <w:color w:val="000000"/>
                <w:sz w:val="24"/>
                <w:szCs w:val="24"/>
                <w:highlight w:val="none"/>
                <w:lang w:val="zh-CN"/>
              </w:rPr>
            </w:pPr>
            <w:r>
              <w:rPr>
                <w:rFonts w:ascii="宋体" w:hAnsi="宋体"/>
                <w:color w:val="000000"/>
                <w:sz w:val="24"/>
                <w:szCs w:val="24"/>
                <w:highlight w:val="none"/>
                <w:lang w:val="zh-CN"/>
              </w:rPr>
              <w:t>序号</w:t>
            </w:r>
          </w:p>
        </w:tc>
        <w:tc>
          <w:tcPr>
            <w:tcW w:w="1620"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rFonts w:ascii="宋体" w:hAnsi="宋体"/>
                <w:color w:val="000000"/>
                <w:sz w:val="24"/>
                <w:szCs w:val="24"/>
                <w:highlight w:val="none"/>
                <w:lang w:val="zh-CN"/>
              </w:rPr>
            </w:pPr>
            <w:r>
              <w:rPr>
                <w:rFonts w:hint="eastAsia" w:ascii="宋体" w:hAnsi="宋体"/>
                <w:color w:val="000000"/>
                <w:sz w:val="24"/>
                <w:szCs w:val="24"/>
                <w:highlight w:val="none"/>
                <w:lang w:val="zh-CN"/>
              </w:rPr>
              <w:t>产品</w:t>
            </w:r>
            <w:r>
              <w:rPr>
                <w:rFonts w:ascii="宋体" w:hAnsi="宋体"/>
                <w:color w:val="000000"/>
                <w:sz w:val="24"/>
                <w:szCs w:val="24"/>
                <w:highlight w:val="none"/>
                <w:lang w:val="zh-CN"/>
              </w:rPr>
              <w:t>名称</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rFonts w:ascii="宋体" w:hAnsi="宋体"/>
                <w:color w:val="000000"/>
                <w:kern w:val="0"/>
                <w:sz w:val="24"/>
                <w:szCs w:val="24"/>
                <w:highlight w:val="none"/>
                <w:lang w:val="zh-CN"/>
              </w:rPr>
            </w:pPr>
            <w:r>
              <w:rPr>
                <w:rFonts w:ascii="宋体" w:hAnsi="宋体"/>
                <w:color w:val="000000"/>
                <w:kern w:val="0"/>
                <w:sz w:val="24"/>
                <w:szCs w:val="24"/>
                <w:highlight w:val="none"/>
                <w:lang w:val="zh-CN"/>
              </w:rPr>
              <w:t>品牌</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rFonts w:ascii="宋体" w:hAnsi="宋体"/>
                <w:color w:val="000000"/>
                <w:sz w:val="24"/>
                <w:szCs w:val="24"/>
                <w:highlight w:val="none"/>
                <w:lang w:val="zh-CN"/>
              </w:rPr>
            </w:pPr>
            <w:r>
              <w:rPr>
                <w:rFonts w:ascii="宋体" w:hAnsi="宋体"/>
                <w:color w:val="000000"/>
                <w:sz w:val="24"/>
                <w:szCs w:val="24"/>
                <w:highlight w:val="none"/>
                <w:lang w:val="zh-CN"/>
              </w:rPr>
              <w:t>规格型号</w:t>
            </w:r>
          </w:p>
        </w:tc>
        <w:tc>
          <w:tcPr>
            <w:tcW w:w="1620" w:type="dxa"/>
            <w:gridSpan w:val="2"/>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rFonts w:ascii="宋体" w:hAnsi="宋体"/>
                <w:color w:val="000000"/>
                <w:sz w:val="24"/>
                <w:szCs w:val="24"/>
                <w:highlight w:val="none"/>
                <w:lang w:val="zh-CN"/>
              </w:rPr>
            </w:pPr>
            <w:r>
              <w:rPr>
                <w:rFonts w:ascii="宋体" w:hAnsi="宋体"/>
                <w:color w:val="000000"/>
                <w:sz w:val="24"/>
                <w:szCs w:val="24"/>
                <w:highlight w:val="none"/>
                <w:lang w:val="zh-CN"/>
              </w:rPr>
              <w:t>单位及数量</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rFonts w:ascii="宋体" w:hAnsi="宋体"/>
                <w:color w:val="000000"/>
                <w:sz w:val="24"/>
                <w:szCs w:val="24"/>
                <w:highlight w:val="none"/>
                <w:lang w:val="zh-CN"/>
              </w:rPr>
            </w:pPr>
            <w:r>
              <w:rPr>
                <w:rFonts w:ascii="宋体" w:hAnsi="宋体"/>
                <w:color w:val="000000"/>
                <w:sz w:val="24"/>
                <w:szCs w:val="24"/>
                <w:highlight w:val="none"/>
                <w:lang w:val="zh-CN"/>
              </w:rPr>
              <w:t>单价</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rFonts w:ascii="宋体" w:hAnsi="宋体"/>
                <w:color w:val="000000"/>
                <w:sz w:val="24"/>
                <w:szCs w:val="24"/>
                <w:highlight w:val="none"/>
                <w:lang w:val="zh-CN"/>
              </w:rPr>
            </w:pPr>
            <w:r>
              <w:rPr>
                <w:rFonts w:ascii="宋体" w:hAnsi="宋体"/>
                <w:color w:val="000000"/>
                <w:sz w:val="24"/>
                <w:szCs w:val="24"/>
                <w:highlight w:val="none"/>
                <w:lang w:val="zh-CN"/>
              </w:rPr>
              <w:t>金额</w:t>
            </w:r>
          </w:p>
        </w:tc>
      </w:tr>
      <w:tr>
        <w:tblPrEx>
          <w:tblCellMar>
            <w:top w:w="0" w:type="dxa"/>
            <w:left w:w="10" w:type="dxa"/>
            <w:bottom w:w="0" w:type="dxa"/>
            <w:right w:w="10" w:type="dxa"/>
          </w:tblCellMar>
        </w:tblPrEx>
        <w:tc>
          <w:tcPr>
            <w:tcW w:w="54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1620" w:type="dxa"/>
            <w:gridSpan w:val="2"/>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r>
      <w:tr>
        <w:tblPrEx>
          <w:tblCellMar>
            <w:top w:w="0" w:type="dxa"/>
            <w:left w:w="10" w:type="dxa"/>
            <w:bottom w:w="0" w:type="dxa"/>
            <w:right w:w="10" w:type="dxa"/>
          </w:tblCellMar>
        </w:tblPrEx>
        <w:tc>
          <w:tcPr>
            <w:tcW w:w="54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1620" w:type="dxa"/>
            <w:gridSpan w:val="2"/>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r>
      <w:tr>
        <w:tblPrEx>
          <w:tblCellMar>
            <w:top w:w="0" w:type="dxa"/>
            <w:left w:w="10" w:type="dxa"/>
            <w:bottom w:w="0" w:type="dxa"/>
            <w:right w:w="10" w:type="dxa"/>
          </w:tblCellMar>
        </w:tblPrEx>
        <w:tc>
          <w:tcPr>
            <w:tcW w:w="54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1620" w:type="dxa"/>
            <w:gridSpan w:val="2"/>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r>
      <w:tr>
        <w:tblPrEx>
          <w:tblCellMar>
            <w:top w:w="0" w:type="dxa"/>
            <w:left w:w="10" w:type="dxa"/>
            <w:bottom w:w="0" w:type="dxa"/>
            <w:right w:w="10" w:type="dxa"/>
          </w:tblCellMar>
        </w:tblPrEx>
        <w:tc>
          <w:tcPr>
            <w:tcW w:w="54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1620" w:type="dxa"/>
            <w:gridSpan w:val="2"/>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r>
      <w:tr>
        <w:tblPrEx>
          <w:tblCellMar>
            <w:top w:w="0" w:type="dxa"/>
            <w:left w:w="10" w:type="dxa"/>
            <w:bottom w:w="0" w:type="dxa"/>
            <w:right w:w="10" w:type="dxa"/>
          </w:tblCellMar>
        </w:tblPrEx>
        <w:tc>
          <w:tcPr>
            <w:tcW w:w="54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1620" w:type="dxa"/>
            <w:gridSpan w:val="2"/>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r>
      <w:tr>
        <w:tblPrEx>
          <w:tblCellMar>
            <w:top w:w="0" w:type="dxa"/>
            <w:left w:w="10" w:type="dxa"/>
            <w:bottom w:w="0" w:type="dxa"/>
            <w:right w:w="10" w:type="dxa"/>
          </w:tblCellMar>
        </w:tblPrEx>
        <w:tc>
          <w:tcPr>
            <w:tcW w:w="54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1620" w:type="dxa"/>
            <w:gridSpan w:val="2"/>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r>
      <w:tr>
        <w:tblPrEx>
          <w:tblCellMar>
            <w:top w:w="0" w:type="dxa"/>
            <w:left w:w="10" w:type="dxa"/>
            <w:bottom w:w="0" w:type="dxa"/>
            <w:right w:w="10" w:type="dxa"/>
          </w:tblCellMar>
        </w:tblPrEx>
        <w:tc>
          <w:tcPr>
            <w:tcW w:w="54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1620" w:type="dxa"/>
            <w:gridSpan w:val="2"/>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r>
      <w:tr>
        <w:tblPrEx>
          <w:tblCellMar>
            <w:top w:w="0" w:type="dxa"/>
            <w:left w:w="10" w:type="dxa"/>
            <w:bottom w:w="0" w:type="dxa"/>
            <w:right w:w="10" w:type="dxa"/>
          </w:tblCellMar>
        </w:tblPrEx>
        <w:trPr>
          <w:trHeight w:val="369" w:hRule="atLeast"/>
        </w:trPr>
        <w:tc>
          <w:tcPr>
            <w:tcW w:w="54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1620" w:type="dxa"/>
            <w:gridSpan w:val="2"/>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r>
      <w:tr>
        <w:tblPrEx>
          <w:tblCellMar>
            <w:top w:w="0" w:type="dxa"/>
            <w:left w:w="10" w:type="dxa"/>
            <w:bottom w:w="0" w:type="dxa"/>
            <w:right w:w="10" w:type="dxa"/>
          </w:tblCellMar>
        </w:tblPrEx>
        <w:trPr>
          <w:trHeight w:val="351" w:hRule="atLeast"/>
        </w:trPr>
        <w:tc>
          <w:tcPr>
            <w:tcW w:w="54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lang w:val="zh-CN"/>
              </w:rPr>
            </w:pPr>
            <w:r>
              <w:rPr>
                <w:rFonts w:ascii="宋体" w:hAnsi="宋体"/>
                <w:color w:val="000000"/>
                <w:sz w:val="24"/>
                <w:szCs w:val="24"/>
                <w:highlight w:val="none"/>
                <w:lang w:val="zh-CN"/>
              </w:rPr>
              <w:t>……</w:t>
            </w:r>
          </w:p>
        </w:tc>
        <w:tc>
          <w:tcPr>
            <w:tcW w:w="108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lang w:val="zh-CN"/>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lang w:val="zh-CN"/>
              </w:rPr>
            </w:pPr>
          </w:p>
        </w:tc>
        <w:tc>
          <w:tcPr>
            <w:tcW w:w="1620" w:type="dxa"/>
            <w:gridSpan w:val="2"/>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lang w:val="zh-CN"/>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lang w:val="zh-CN"/>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lang w:val="zh-CN"/>
              </w:rPr>
            </w:pPr>
          </w:p>
        </w:tc>
      </w:tr>
      <w:tr>
        <w:tblPrEx>
          <w:tblCellMar>
            <w:top w:w="0" w:type="dxa"/>
            <w:left w:w="10" w:type="dxa"/>
            <w:bottom w:w="0" w:type="dxa"/>
            <w:right w:w="10" w:type="dxa"/>
          </w:tblCellMar>
        </w:tblPrEx>
        <w:trPr>
          <w:trHeight w:val="475" w:hRule="atLeast"/>
        </w:trPr>
        <w:tc>
          <w:tcPr>
            <w:tcW w:w="54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lang w:val="zh-CN"/>
              </w:rPr>
            </w:pPr>
            <w:r>
              <w:rPr>
                <w:rFonts w:ascii="宋体" w:hAnsi="宋体"/>
                <w:color w:val="000000"/>
                <w:sz w:val="24"/>
                <w:szCs w:val="24"/>
                <w:highlight w:val="none"/>
                <w:lang w:val="zh-CN"/>
              </w:rPr>
              <w:t>专用耗材</w:t>
            </w:r>
          </w:p>
        </w:tc>
        <w:tc>
          <w:tcPr>
            <w:tcW w:w="108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lang w:val="zh-CN"/>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lang w:val="zh-CN"/>
              </w:rPr>
            </w:pPr>
          </w:p>
        </w:tc>
        <w:tc>
          <w:tcPr>
            <w:tcW w:w="1620" w:type="dxa"/>
            <w:gridSpan w:val="2"/>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lang w:val="zh-CN"/>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lang w:val="zh-CN"/>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lang w:val="zh-CN"/>
              </w:rPr>
            </w:pPr>
          </w:p>
        </w:tc>
      </w:tr>
      <w:tr>
        <w:tblPrEx>
          <w:tblCellMar>
            <w:top w:w="0" w:type="dxa"/>
            <w:left w:w="10" w:type="dxa"/>
            <w:bottom w:w="0" w:type="dxa"/>
            <w:right w:w="10" w:type="dxa"/>
          </w:tblCellMar>
        </w:tblPrEx>
        <w:tc>
          <w:tcPr>
            <w:tcW w:w="9000" w:type="dxa"/>
            <w:gridSpan w:val="8"/>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lang w:val="zh-CN"/>
              </w:rPr>
            </w:pPr>
            <w:r>
              <w:rPr>
                <w:rFonts w:ascii="宋体" w:hAnsi="宋体"/>
                <w:color w:val="000000"/>
                <w:sz w:val="24"/>
                <w:szCs w:val="24"/>
                <w:highlight w:val="none"/>
                <w:lang w:val="zh-CN"/>
              </w:rPr>
              <w:t>磋商费用及利润</w:t>
            </w:r>
          </w:p>
        </w:tc>
      </w:tr>
      <w:tr>
        <w:tblPrEx>
          <w:tblCellMar>
            <w:top w:w="0" w:type="dxa"/>
            <w:left w:w="10" w:type="dxa"/>
            <w:bottom w:w="0" w:type="dxa"/>
            <w:right w:w="10" w:type="dxa"/>
          </w:tblCellMar>
        </w:tblPrEx>
        <w:tc>
          <w:tcPr>
            <w:tcW w:w="54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4140" w:type="dxa"/>
            <w:gridSpan w:val="3"/>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rPr>
                <w:rFonts w:ascii="宋体" w:hAnsi="宋体"/>
                <w:color w:val="000000"/>
                <w:sz w:val="24"/>
                <w:szCs w:val="24"/>
                <w:highlight w:val="none"/>
                <w:lang w:val="zh-CN"/>
              </w:rPr>
            </w:pPr>
            <w:r>
              <w:rPr>
                <w:rFonts w:ascii="宋体" w:hAnsi="宋体"/>
                <w:color w:val="000000"/>
                <w:sz w:val="24"/>
                <w:szCs w:val="24"/>
                <w:highlight w:val="none"/>
                <w:lang w:val="zh-CN"/>
              </w:rPr>
              <w:t>运输费、安装调试费</w:t>
            </w:r>
          </w:p>
        </w:tc>
        <w:tc>
          <w:tcPr>
            <w:tcW w:w="1620" w:type="dxa"/>
            <w:gridSpan w:val="2"/>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lang w:val="zh-CN"/>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lang w:val="zh-CN"/>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lang w:val="zh-CN"/>
              </w:rPr>
            </w:pPr>
          </w:p>
        </w:tc>
      </w:tr>
      <w:tr>
        <w:tblPrEx>
          <w:tblCellMar>
            <w:top w:w="0" w:type="dxa"/>
            <w:left w:w="10" w:type="dxa"/>
            <w:bottom w:w="0" w:type="dxa"/>
            <w:right w:w="10" w:type="dxa"/>
          </w:tblCellMar>
        </w:tblPrEx>
        <w:trPr>
          <w:trHeight w:val="452" w:hRule="atLeast"/>
        </w:trPr>
        <w:tc>
          <w:tcPr>
            <w:tcW w:w="54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4140" w:type="dxa"/>
            <w:gridSpan w:val="3"/>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rPr>
                <w:rFonts w:ascii="宋体" w:hAnsi="宋体"/>
                <w:color w:val="000000"/>
                <w:sz w:val="24"/>
                <w:szCs w:val="24"/>
                <w:highlight w:val="none"/>
                <w:lang w:val="zh-CN"/>
              </w:rPr>
            </w:pPr>
            <w:r>
              <w:rPr>
                <w:rFonts w:ascii="宋体" w:hAnsi="宋体"/>
                <w:color w:val="000000"/>
                <w:sz w:val="24"/>
                <w:szCs w:val="24"/>
                <w:highlight w:val="none"/>
                <w:lang w:val="zh-CN"/>
              </w:rPr>
              <w:t>其他：</w:t>
            </w:r>
          </w:p>
        </w:tc>
        <w:tc>
          <w:tcPr>
            <w:tcW w:w="1620" w:type="dxa"/>
            <w:gridSpan w:val="2"/>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lang w:val="zh-CN"/>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lang w:val="zh-CN"/>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lang w:val="zh-CN"/>
              </w:rPr>
            </w:pPr>
          </w:p>
        </w:tc>
      </w:tr>
      <w:tr>
        <w:tblPrEx>
          <w:tblCellMar>
            <w:top w:w="0" w:type="dxa"/>
            <w:left w:w="10" w:type="dxa"/>
            <w:bottom w:w="0" w:type="dxa"/>
            <w:right w:w="10" w:type="dxa"/>
          </w:tblCellMar>
        </w:tblPrEx>
        <w:tc>
          <w:tcPr>
            <w:tcW w:w="54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4148" w:type="dxa"/>
            <w:gridSpan w:val="4"/>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rPr>
                <w:rFonts w:ascii="宋体" w:hAnsi="宋体"/>
                <w:color w:val="000000"/>
                <w:sz w:val="24"/>
                <w:szCs w:val="24"/>
                <w:highlight w:val="none"/>
                <w:lang w:val="zh-CN"/>
              </w:rPr>
            </w:pPr>
            <w:r>
              <w:rPr>
                <w:rFonts w:ascii="宋体" w:hAnsi="宋体"/>
                <w:color w:val="000000"/>
                <w:sz w:val="24"/>
                <w:szCs w:val="24"/>
                <w:highlight w:val="none"/>
                <w:lang w:val="zh-CN"/>
              </w:rPr>
              <w:t>税费及附加</w:t>
            </w:r>
          </w:p>
        </w:tc>
        <w:tc>
          <w:tcPr>
            <w:tcW w:w="2872" w:type="dxa"/>
            <w:gridSpan w:val="2"/>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ind w:left="8"/>
              <w:rPr>
                <w:rFonts w:ascii="宋体" w:hAnsi="宋体"/>
                <w:color w:val="000000"/>
                <w:sz w:val="24"/>
                <w:szCs w:val="24"/>
                <w:highlight w:val="none"/>
                <w:lang w:val="zh-CN"/>
              </w:rPr>
            </w:pPr>
            <w:r>
              <w:rPr>
                <w:rFonts w:ascii="宋体" w:hAnsi="宋体"/>
                <w:color w:val="000000"/>
                <w:sz w:val="24"/>
                <w:szCs w:val="24"/>
                <w:highlight w:val="none"/>
                <w:lang w:val="zh-CN"/>
              </w:rPr>
              <w:t xml:space="preserve">税费率: </w:t>
            </w:r>
            <w:r>
              <w:rPr>
                <w:rFonts w:ascii="宋体" w:hAnsi="宋体"/>
                <w:color w:val="000000"/>
                <w:sz w:val="24"/>
                <w:szCs w:val="24"/>
                <w:highlight w:val="none"/>
                <w:u w:val="single"/>
                <w:lang w:val="zh-CN"/>
              </w:rPr>
              <w:t xml:space="preserve">       </w:t>
            </w:r>
            <w:r>
              <w:rPr>
                <w:rFonts w:ascii="宋体" w:hAnsi="宋体"/>
                <w:color w:val="000000"/>
                <w:sz w:val="24"/>
                <w:szCs w:val="24"/>
                <w:highlight w:val="none"/>
                <w:lang w:val="zh-CN"/>
              </w:rPr>
              <w:t>%</w:t>
            </w:r>
          </w:p>
        </w:tc>
        <w:tc>
          <w:tcPr>
            <w:tcW w:w="144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lang w:val="zh-CN"/>
              </w:rPr>
            </w:pPr>
          </w:p>
        </w:tc>
      </w:tr>
      <w:tr>
        <w:tblPrEx>
          <w:tblCellMar>
            <w:top w:w="0" w:type="dxa"/>
            <w:left w:w="10" w:type="dxa"/>
            <w:bottom w:w="0" w:type="dxa"/>
            <w:right w:w="10" w:type="dxa"/>
          </w:tblCellMar>
        </w:tblPrEx>
        <w:tc>
          <w:tcPr>
            <w:tcW w:w="54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rPr>
            </w:pPr>
          </w:p>
        </w:tc>
        <w:tc>
          <w:tcPr>
            <w:tcW w:w="4148" w:type="dxa"/>
            <w:gridSpan w:val="4"/>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rPr>
                <w:rFonts w:ascii="宋体" w:hAnsi="宋体"/>
                <w:color w:val="000000"/>
                <w:sz w:val="24"/>
                <w:szCs w:val="24"/>
                <w:highlight w:val="none"/>
                <w:lang w:val="zh-CN"/>
              </w:rPr>
            </w:pPr>
            <w:r>
              <w:rPr>
                <w:rFonts w:ascii="宋体" w:hAnsi="宋体"/>
                <w:color w:val="000000"/>
                <w:sz w:val="24"/>
                <w:szCs w:val="24"/>
                <w:highlight w:val="none"/>
                <w:lang w:val="zh-CN"/>
              </w:rPr>
              <w:t>项目毛利</w:t>
            </w:r>
          </w:p>
        </w:tc>
        <w:tc>
          <w:tcPr>
            <w:tcW w:w="2872" w:type="dxa"/>
            <w:gridSpan w:val="2"/>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ind w:left="8"/>
              <w:rPr>
                <w:rFonts w:ascii="宋体" w:hAnsi="宋体"/>
                <w:color w:val="000000"/>
                <w:sz w:val="24"/>
                <w:szCs w:val="24"/>
                <w:highlight w:val="none"/>
                <w:lang w:val="zh-CN"/>
              </w:rPr>
            </w:pPr>
            <w:r>
              <w:rPr>
                <w:rFonts w:ascii="宋体" w:hAnsi="宋体"/>
                <w:color w:val="000000"/>
                <w:sz w:val="24"/>
                <w:szCs w:val="24"/>
                <w:highlight w:val="none"/>
                <w:lang w:val="zh-CN"/>
              </w:rPr>
              <w:t>毛利率：</w:t>
            </w:r>
            <w:r>
              <w:rPr>
                <w:rFonts w:ascii="宋体" w:hAnsi="宋体"/>
                <w:color w:val="000000"/>
                <w:sz w:val="24"/>
                <w:szCs w:val="24"/>
                <w:highlight w:val="none"/>
                <w:u w:val="single"/>
                <w:lang w:val="zh-CN"/>
              </w:rPr>
              <w:t xml:space="preserve">       </w:t>
            </w:r>
            <w:r>
              <w:rPr>
                <w:rFonts w:ascii="宋体" w:hAnsi="宋体"/>
                <w:color w:val="000000"/>
                <w:sz w:val="24"/>
                <w:szCs w:val="24"/>
                <w:highlight w:val="none"/>
                <w:lang w:val="zh-CN"/>
              </w:rPr>
              <w:t>%</w:t>
            </w:r>
          </w:p>
        </w:tc>
        <w:tc>
          <w:tcPr>
            <w:tcW w:w="144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lang w:val="zh-CN"/>
              </w:rPr>
            </w:pPr>
          </w:p>
        </w:tc>
      </w:tr>
      <w:tr>
        <w:tblPrEx>
          <w:tblCellMar>
            <w:top w:w="0" w:type="dxa"/>
            <w:left w:w="10" w:type="dxa"/>
            <w:bottom w:w="0" w:type="dxa"/>
            <w:right w:w="10" w:type="dxa"/>
          </w:tblCellMar>
        </w:tblPrEx>
        <w:tc>
          <w:tcPr>
            <w:tcW w:w="7560" w:type="dxa"/>
            <w:gridSpan w:val="7"/>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lang w:val="zh-CN"/>
              </w:rPr>
            </w:pPr>
            <w:r>
              <w:rPr>
                <w:rFonts w:ascii="宋体" w:hAnsi="宋体"/>
                <w:color w:val="000000"/>
                <w:sz w:val="24"/>
                <w:szCs w:val="24"/>
                <w:highlight w:val="none"/>
                <w:lang w:val="zh-CN"/>
              </w:rPr>
              <w:t>总</w:t>
            </w:r>
            <w:r>
              <w:rPr>
                <w:rFonts w:hint="eastAsia" w:ascii="宋体" w:hAnsi="宋体"/>
                <w:color w:val="000000"/>
                <w:sz w:val="24"/>
                <w:szCs w:val="24"/>
                <w:highlight w:val="none"/>
                <w:lang w:val="zh-CN"/>
              </w:rPr>
              <w:t xml:space="preserve">  报</w:t>
            </w:r>
            <w:r>
              <w:rPr>
                <w:rFonts w:ascii="宋体" w:hAnsi="宋体"/>
                <w:color w:val="000000"/>
                <w:sz w:val="24"/>
                <w:szCs w:val="24"/>
                <w:highlight w:val="none"/>
                <w:lang w:val="zh-CN"/>
              </w:rPr>
              <w:t xml:space="preserve">  价</w:t>
            </w:r>
          </w:p>
        </w:tc>
        <w:tc>
          <w:tcPr>
            <w:tcW w:w="1440" w:type="dxa"/>
            <w:tcBorders>
              <w:top w:val="single" w:color="auto" w:sz="6" w:space="0"/>
              <w:left w:val="single" w:color="auto" w:sz="6" w:space="0"/>
              <w:bottom w:val="single" w:color="auto" w:sz="6" w:space="0"/>
              <w:right w:val="single" w:color="auto" w:sz="6" w:space="0"/>
            </w:tcBorders>
            <w:noWrap w:val="0"/>
            <w:vAlign w:val="top"/>
          </w:tcPr>
          <w:p>
            <w:pPr>
              <w:tabs>
                <w:tab w:val="left" w:pos="1418"/>
              </w:tabs>
              <w:autoSpaceDE w:val="0"/>
              <w:autoSpaceDN w:val="0"/>
              <w:spacing w:before="50" w:after="50"/>
              <w:jc w:val="center"/>
              <w:rPr>
                <w:rFonts w:ascii="宋体" w:hAnsi="宋体"/>
                <w:color w:val="000000"/>
                <w:sz w:val="24"/>
                <w:szCs w:val="24"/>
                <w:highlight w:val="none"/>
                <w:lang w:val="zh-CN"/>
              </w:rPr>
            </w:pPr>
          </w:p>
        </w:tc>
      </w:tr>
    </w:tbl>
    <w:p>
      <w:pPr>
        <w:tabs>
          <w:tab w:val="left" w:pos="1418"/>
        </w:tabs>
        <w:autoSpaceDE w:val="0"/>
        <w:autoSpaceDN w:val="0"/>
        <w:spacing w:before="50" w:after="50"/>
        <w:rPr>
          <w:rFonts w:ascii="宋体" w:hAnsi="宋体"/>
          <w:color w:val="000000"/>
          <w:sz w:val="24"/>
          <w:highlight w:val="none"/>
          <w:lang w:val="zh-CN"/>
        </w:rPr>
      </w:pPr>
      <w:r>
        <w:rPr>
          <w:rFonts w:hint="eastAsia" w:ascii="宋体" w:hAnsi="宋体"/>
          <w:color w:val="000000"/>
          <w:sz w:val="24"/>
          <w:highlight w:val="none"/>
          <w:lang w:val="zh-CN"/>
        </w:rPr>
        <w:t>备注：1、若我方成交，承诺最终成交报价与本次总报价所折合的优惠率即为综合优惠率，成交后的所有设备清单单价优惠率与综合优惠率一致。</w:t>
      </w:r>
    </w:p>
    <w:p>
      <w:pPr>
        <w:tabs>
          <w:tab w:val="left" w:pos="1418"/>
        </w:tabs>
        <w:autoSpaceDE w:val="0"/>
        <w:autoSpaceDN w:val="0"/>
        <w:spacing w:before="50" w:after="50"/>
        <w:ind w:firstLine="720" w:firstLineChars="300"/>
        <w:rPr>
          <w:rFonts w:ascii="宋体" w:hAnsi="宋体"/>
          <w:color w:val="000000"/>
          <w:sz w:val="24"/>
          <w:highlight w:val="none"/>
          <w:lang w:val="zh-CN"/>
        </w:rPr>
      </w:pPr>
      <w:r>
        <w:rPr>
          <w:rFonts w:hint="eastAsia" w:ascii="宋体" w:hAnsi="宋体"/>
          <w:color w:val="000000"/>
          <w:sz w:val="24"/>
          <w:highlight w:val="none"/>
          <w:lang w:val="zh-CN"/>
        </w:rPr>
        <w:t>2、</w:t>
      </w:r>
      <w:r>
        <w:rPr>
          <w:rFonts w:ascii="宋体" w:hAnsi="宋体"/>
          <w:color w:val="000000"/>
          <w:sz w:val="24"/>
          <w:highlight w:val="none"/>
          <w:lang w:val="zh-CN"/>
        </w:rPr>
        <w:t>以上“</w:t>
      </w:r>
      <w:r>
        <w:rPr>
          <w:rFonts w:hint="eastAsia" w:ascii="宋体" w:hAnsi="宋体"/>
          <w:color w:val="000000"/>
          <w:sz w:val="24"/>
          <w:highlight w:val="none"/>
        </w:rPr>
        <w:t>磋商</w:t>
      </w:r>
      <w:r>
        <w:rPr>
          <w:rFonts w:ascii="宋体" w:hAnsi="宋体"/>
          <w:color w:val="000000"/>
          <w:sz w:val="24"/>
          <w:highlight w:val="none"/>
          <w:lang w:val="zh-CN"/>
        </w:rPr>
        <w:t>报价明细表”中的</w:t>
      </w:r>
      <w:r>
        <w:rPr>
          <w:rFonts w:hint="eastAsia" w:ascii="宋体" w:hAnsi="宋体"/>
          <w:color w:val="000000"/>
          <w:sz w:val="24"/>
          <w:highlight w:val="none"/>
          <w:lang w:val="zh-CN" w:eastAsia="zh-CN"/>
        </w:rPr>
        <w:t>总</w:t>
      </w:r>
      <w:r>
        <w:rPr>
          <w:rFonts w:ascii="宋体" w:hAnsi="宋体"/>
          <w:color w:val="000000"/>
          <w:sz w:val="24"/>
          <w:highlight w:val="none"/>
          <w:lang w:val="zh-CN"/>
        </w:rPr>
        <w:t>报价应与 “</w:t>
      </w:r>
      <w:r>
        <w:rPr>
          <w:rFonts w:hint="eastAsia" w:ascii="宋体" w:hAnsi="宋体"/>
          <w:color w:val="000000"/>
          <w:sz w:val="24"/>
          <w:highlight w:val="none"/>
          <w:lang w:val="zh-CN"/>
        </w:rPr>
        <w:t>磋商报价一览表（首次报价）</w:t>
      </w:r>
      <w:r>
        <w:rPr>
          <w:rFonts w:ascii="宋体" w:hAnsi="宋体"/>
          <w:color w:val="000000"/>
          <w:sz w:val="24"/>
          <w:highlight w:val="none"/>
          <w:lang w:val="zh-CN"/>
        </w:rPr>
        <w:t>”</w:t>
      </w:r>
      <w:r>
        <w:rPr>
          <w:rFonts w:hint="eastAsia" w:ascii="宋体" w:hAnsi="宋体"/>
          <w:color w:val="000000"/>
          <w:sz w:val="24"/>
          <w:highlight w:val="none"/>
          <w:lang w:val="zh-CN"/>
        </w:rPr>
        <w:t>的磋商总报价</w:t>
      </w:r>
      <w:r>
        <w:rPr>
          <w:rFonts w:ascii="宋体" w:hAnsi="宋体"/>
          <w:color w:val="000000"/>
          <w:sz w:val="24"/>
          <w:highlight w:val="none"/>
          <w:lang w:val="zh-CN"/>
        </w:rPr>
        <w:t>一致。</w:t>
      </w:r>
    </w:p>
    <w:p>
      <w:pPr>
        <w:tabs>
          <w:tab w:val="left" w:pos="1418"/>
        </w:tabs>
        <w:autoSpaceDE w:val="0"/>
        <w:autoSpaceDN w:val="0"/>
        <w:spacing w:before="50" w:after="50"/>
        <w:ind w:firstLine="720" w:firstLineChars="300"/>
        <w:rPr>
          <w:rFonts w:ascii="宋体" w:hAnsi="宋体"/>
          <w:color w:val="000000"/>
          <w:sz w:val="24"/>
          <w:highlight w:val="none"/>
          <w:lang w:val="zh-CN"/>
        </w:rPr>
      </w:pPr>
    </w:p>
    <w:p>
      <w:pPr>
        <w:autoSpaceDE w:val="0"/>
        <w:autoSpaceDN w:val="0"/>
        <w:spacing w:before="50" w:after="50"/>
        <w:rPr>
          <w:rFonts w:ascii="宋体" w:hAnsi="宋体"/>
          <w:color w:val="000000"/>
          <w:sz w:val="24"/>
          <w:highlight w:val="none"/>
          <w:lang w:val="zh-CN"/>
        </w:rPr>
      </w:pPr>
    </w:p>
    <w:p>
      <w:pPr>
        <w:pStyle w:val="52"/>
        <w:adjustRightInd w:val="0"/>
        <w:snapToGrid w:val="0"/>
        <w:spacing w:line="500" w:lineRule="exact"/>
        <w:rPr>
          <w:rFonts w:ascii="宋体" w:hAnsi="宋体" w:cs="宋体"/>
          <w:sz w:val="24"/>
          <w:szCs w:val="24"/>
          <w:highlight w:val="none"/>
          <w:u w:val="single"/>
        </w:rPr>
      </w:pPr>
      <w:r>
        <w:rPr>
          <w:rFonts w:hint="eastAsia" w:ascii="宋体" w:hAnsi="宋体" w:cs="宋体"/>
          <w:sz w:val="24"/>
          <w:szCs w:val="24"/>
          <w:highlight w:val="none"/>
        </w:rPr>
        <w:t>供应商名称（签章）：</w:t>
      </w:r>
    </w:p>
    <w:p>
      <w:pPr>
        <w:pStyle w:val="52"/>
        <w:adjustRightInd w:val="0"/>
        <w:snapToGrid w:val="0"/>
        <w:spacing w:line="500" w:lineRule="exact"/>
        <w:rPr>
          <w:rFonts w:ascii="宋体" w:hAnsi="宋体" w:cs="宋体"/>
          <w:sz w:val="24"/>
          <w:szCs w:val="24"/>
          <w:highlight w:val="none"/>
        </w:rPr>
      </w:pPr>
      <w:r>
        <w:rPr>
          <w:rFonts w:hint="eastAsia" w:ascii="宋体" w:hAnsi="宋体" w:cs="宋体"/>
          <w:sz w:val="24"/>
          <w:szCs w:val="24"/>
          <w:highlight w:val="none"/>
        </w:rPr>
        <w:t>法定代表人或委托代理人（签字或签章）：</w:t>
      </w:r>
    </w:p>
    <w:p>
      <w:pPr>
        <w:autoSpaceDE w:val="0"/>
        <w:autoSpaceDN w:val="0"/>
        <w:spacing w:before="50" w:after="50"/>
        <w:rPr>
          <w:rFonts w:hint="eastAsia" w:ascii="宋体" w:hAnsi="宋体" w:eastAsia="宋体" w:cs="宋体"/>
          <w:color w:val="000000"/>
          <w:sz w:val="24"/>
          <w:szCs w:val="24"/>
          <w:highlight w:val="none"/>
          <w:lang w:val="zh-CN"/>
        </w:rPr>
      </w:pPr>
      <w:r>
        <w:rPr>
          <w:rFonts w:hint="eastAsia" w:ascii="宋体" w:hAnsi="宋体" w:cs="宋体"/>
          <w:sz w:val="24"/>
          <w:highlight w:val="none"/>
        </w:rPr>
        <w:t>日期：年 月 日</w:t>
      </w:r>
      <w:r>
        <w:rPr>
          <w:rFonts w:ascii="宋体" w:hAnsi="宋体"/>
          <w:color w:val="000000"/>
          <w:sz w:val="24"/>
          <w:highlight w:val="none"/>
          <w:lang w:val="zh-CN"/>
        </w:rPr>
        <w:br w:type="page"/>
      </w:r>
      <w:r>
        <w:rPr>
          <w:rFonts w:hint="eastAsia" w:ascii="宋体" w:hAnsi="宋体"/>
          <w:color w:val="000000"/>
          <w:sz w:val="24"/>
          <w:highlight w:val="none"/>
          <w:lang w:val="zh-CN"/>
        </w:rPr>
        <w:t>附件</w:t>
      </w:r>
      <w:r>
        <w:rPr>
          <w:rFonts w:hint="eastAsia" w:ascii="宋体" w:hAnsi="宋体"/>
          <w:color w:val="000000"/>
          <w:sz w:val="24"/>
          <w:highlight w:val="none"/>
          <w:lang w:val="en-US" w:eastAsia="zh-CN"/>
        </w:rPr>
        <w:t>16</w:t>
      </w:r>
      <w:r>
        <w:rPr>
          <w:rFonts w:hint="eastAsia" w:ascii="宋体" w:hAnsi="宋体"/>
          <w:color w:val="000000"/>
          <w:sz w:val="24"/>
          <w:highlight w:val="none"/>
          <w:lang w:val="zh-CN"/>
        </w:rPr>
        <w:t>：</w:t>
      </w:r>
    </w:p>
    <w:p>
      <w:pPr>
        <w:jc w:val="center"/>
        <w:outlineLvl w:val="0"/>
        <w:rPr>
          <w:rFonts w:hint="eastAsia" w:ascii="宋体" w:hAnsi="宋体" w:eastAsia="宋体" w:cs="宋体"/>
          <w:b/>
          <w:color w:val="000000"/>
          <w:sz w:val="24"/>
          <w:szCs w:val="24"/>
          <w:highlight w:val="none"/>
          <w:lang w:val="zh-CN"/>
        </w:rPr>
      </w:pPr>
      <w:r>
        <w:rPr>
          <w:rFonts w:hint="eastAsia" w:ascii="宋体" w:hAnsi="宋体" w:eastAsia="宋体" w:cs="宋体"/>
          <w:b/>
          <w:color w:val="000000"/>
          <w:sz w:val="24"/>
          <w:szCs w:val="24"/>
          <w:highlight w:val="none"/>
          <w:lang w:val="zh-CN"/>
        </w:rPr>
        <w:t>磋商报价一览表（首次报价）</w:t>
      </w:r>
    </w:p>
    <w:p>
      <w:pPr>
        <w:pStyle w:val="52"/>
        <w:adjustRightInd w:val="0"/>
        <w:snapToGrid w:val="0"/>
        <w:spacing w:before="120" w:after="120" w:line="500" w:lineRule="exact"/>
        <w:ind w:firstLine="240" w:firstLineChars="100"/>
        <w:rPr>
          <w:rFonts w:hint="eastAsia" w:ascii="宋体" w:eastAsia="宋体" w:cs="宋体"/>
          <w:sz w:val="24"/>
          <w:szCs w:val="24"/>
          <w:highlight w:val="none"/>
          <w:lang w:eastAsia="zh-CN"/>
        </w:rPr>
      </w:pPr>
      <w:r>
        <w:rPr>
          <w:rFonts w:hint="eastAsia" w:ascii="宋体" w:hAnsi="宋体" w:cs="宋体"/>
          <w:sz w:val="24"/>
          <w:szCs w:val="24"/>
          <w:highlight w:val="none"/>
          <w:lang w:eastAsia="zh-CN"/>
        </w:rPr>
        <w:t>项目编号：</w:t>
      </w:r>
    </w:p>
    <w:p>
      <w:pPr>
        <w:snapToGrid w:val="0"/>
        <w:spacing w:before="120" w:beforeLines="50" w:after="50" w:line="400" w:lineRule="exact"/>
        <w:ind w:firstLine="240" w:firstLineChars="100"/>
        <w:rPr>
          <w:rFonts w:ascii="宋体" w:hAnsi="宋体"/>
          <w:color w:val="000000"/>
          <w:sz w:val="24"/>
          <w:highlight w:val="none"/>
        </w:rPr>
      </w:pPr>
      <w:r>
        <w:rPr>
          <w:rFonts w:hint="eastAsia" w:ascii="宋体" w:hAnsi="宋体" w:cs="宋体"/>
          <w:sz w:val="24"/>
          <w:szCs w:val="24"/>
          <w:highlight w:val="none"/>
        </w:rPr>
        <w:t>项目名称：</w:t>
      </w:r>
    </w:p>
    <w:tbl>
      <w:tblPr>
        <w:tblStyle w:val="35"/>
        <w:tblW w:w="783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5"/>
        <w:gridCol w:w="2266"/>
        <w:gridCol w:w="48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highlight w:val="none"/>
              </w:rPr>
            </w:pPr>
            <w:r>
              <w:rPr>
                <w:rFonts w:ascii="宋体" w:hAnsi="宋体"/>
                <w:b/>
                <w:szCs w:val="21"/>
                <w:highlight w:val="none"/>
              </w:rPr>
              <w:t>序号</w:t>
            </w:r>
          </w:p>
        </w:tc>
        <w:tc>
          <w:tcPr>
            <w:tcW w:w="226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Cs w:val="21"/>
                <w:highlight w:val="none"/>
              </w:rPr>
            </w:pPr>
            <w:r>
              <w:rPr>
                <w:rFonts w:ascii="宋体" w:hAnsi="宋体"/>
                <w:b/>
                <w:szCs w:val="21"/>
                <w:highlight w:val="none"/>
              </w:rPr>
              <w:t>项目名称</w:t>
            </w:r>
          </w:p>
        </w:tc>
        <w:tc>
          <w:tcPr>
            <w:tcW w:w="48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highlight w:val="none"/>
              </w:rPr>
            </w:pPr>
            <w:r>
              <w:rPr>
                <w:rFonts w:hint="eastAsia" w:ascii="宋体" w:hAnsi="宋体" w:eastAsia="宋体" w:cs="宋体"/>
                <w:b/>
                <w:bCs/>
                <w:color w:val="000000"/>
                <w:sz w:val="24"/>
                <w:szCs w:val="24"/>
                <w:highlight w:val="none"/>
                <w:lang w:val="zh-CN"/>
              </w:rPr>
              <w:t>磋商总报价人民币（元）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9" w:hRule="atLeast"/>
          <w:jc w:val="center"/>
        </w:trPr>
        <w:tc>
          <w:tcPr>
            <w:tcW w:w="765" w:type="dxa"/>
            <w:vMerge w:val="restart"/>
            <w:tcBorders>
              <w:top w:val="single" w:color="auto" w:sz="4" w:space="0"/>
              <w:left w:val="single" w:color="auto" w:sz="4" w:space="0"/>
              <w:right w:val="single" w:color="auto" w:sz="4" w:space="0"/>
            </w:tcBorders>
            <w:vAlign w:val="center"/>
          </w:tcPr>
          <w:p>
            <w:pPr>
              <w:snapToGrid w:val="0"/>
              <w:spacing w:before="50" w:after="50"/>
              <w:jc w:val="center"/>
              <w:rPr>
                <w:rFonts w:ascii="宋体" w:hAnsi="宋体"/>
                <w:szCs w:val="21"/>
                <w:highlight w:val="none"/>
              </w:rPr>
            </w:pPr>
            <w:r>
              <w:rPr>
                <w:rFonts w:ascii="宋体" w:hAnsi="宋体"/>
                <w:szCs w:val="21"/>
                <w:highlight w:val="none"/>
              </w:rPr>
              <w:t>1</w:t>
            </w:r>
          </w:p>
        </w:tc>
        <w:tc>
          <w:tcPr>
            <w:tcW w:w="2266" w:type="dxa"/>
            <w:vMerge w:val="restart"/>
            <w:tcBorders>
              <w:top w:val="single" w:color="auto" w:sz="4" w:space="0"/>
              <w:left w:val="single" w:color="auto" w:sz="4" w:space="0"/>
              <w:right w:val="single" w:color="auto" w:sz="4" w:space="0"/>
            </w:tcBorders>
            <w:vAlign w:val="center"/>
          </w:tcPr>
          <w:p>
            <w:pPr>
              <w:pStyle w:val="32"/>
              <w:keepNext w:val="0"/>
              <w:keepLines w:val="0"/>
              <w:widowControl/>
              <w:suppressLineNumbers w:val="0"/>
              <w:spacing w:before="75" w:beforeAutospacing="0" w:after="75" w:afterAutospacing="0" w:line="300" w:lineRule="atLeast"/>
              <w:ind w:right="0"/>
              <w:rPr>
                <w:color w:val="auto"/>
              </w:rPr>
            </w:pPr>
            <w:r>
              <w:rPr>
                <w:rFonts w:hint="eastAsia" w:ascii="宋体" w:hAnsi="宋体" w:eastAsia="宋体" w:cs="宋体"/>
                <w:bCs/>
                <w:color w:val="000000"/>
                <w:kern w:val="0"/>
                <w:sz w:val="24"/>
                <w:szCs w:val="24"/>
                <w:highlight w:val="none"/>
                <w:lang w:val="en-US" w:eastAsia="zh-CN" w:bidi="ar"/>
              </w:rPr>
              <w:t>长兴县退役军人事务局军干服务配套电梯工程项目 </w:t>
            </w:r>
          </w:p>
          <w:p>
            <w:pPr>
              <w:snapToGrid w:val="0"/>
              <w:spacing w:before="50" w:after="50"/>
              <w:rPr>
                <w:rFonts w:ascii="宋体" w:hAnsi="宋体"/>
                <w:b/>
                <w:bCs/>
                <w:szCs w:val="21"/>
                <w:highlight w:val="none"/>
              </w:rPr>
            </w:pPr>
          </w:p>
        </w:tc>
        <w:tc>
          <w:tcPr>
            <w:tcW w:w="4805"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Cs w:val="21"/>
                <w:highlight w:val="none"/>
              </w:rPr>
            </w:pPr>
            <w:r>
              <w:rPr>
                <w:rFonts w:hint="eastAsia" w:ascii="宋体" w:hAnsi="宋体" w:cs="宋体"/>
                <w:bCs/>
                <w:color w:val="000000"/>
                <w:kern w:val="0"/>
                <w:sz w:val="24"/>
                <w:szCs w:val="24"/>
                <w:highlight w:val="none"/>
                <w:lang w:bidi="ar"/>
              </w:rPr>
              <w:t>小写：￥</w:t>
            </w:r>
            <w:r>
              <w:rPr>
                <w:rFonts w:hint="eastAsia" w:ascii="宋体" w:hAnsi="宋体" w:cs="宋体"/>
                <w:bCs/>
                <w:color w:val="000000"/>
                <w:kern w:val="0"/>
                <w:sz w:val="24"/>
                <w:szCs w:val="24"/>
                <w:highlight w:val="none"/>
                <w:u w:val="single"/>
                <w:lang w:bidi="ar"/>
              </w:rPr>
              <w:t xml:space="preserve">        </w:t>
            </w:r>
            <w:r>
              <w:rPr>
                <w:rFonts w:hint="eastAsia" w:ascii="宋体" w:hAnsi="宋体" w:cs="宋体"/>
                <w:bCs/>
                <w:color w:val="000000"/>
                <w:kern w:val="0"/>
                <w:sz w:val="24"/>
                <w:szCs w:val="24"/>
                <w:highlight w:val="none"/>
                <w:lang w:bidi="ar"/>
              </w:rPr>
              <w:t>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7" w:hRule="atLeast"/>
          <w:jc w:val="center"/>
        </w:trPr>
        <w:tc>
          <w:tcPr>
            <w:tcW w:w="765" w:type="dxa"/>
            <w:vMerge w:val="continue"/>
            <w:tcBorders>
              <w:left w:val="single" w:color="auto" w:sz="4" w:space="0"/>
              <w:bottom w:val="single" w:color="auto" w:sz="4" w:space="0"/>
              <w:right w:val="single" w:color="auto" w:sz="4" w:space="0"/>
            </w:tcBorders>
            <w:vAlign w:val="center"/>
          </w:tcPr>
          <w:p>
            <w:pPr>
              <w:snapToGrid w:val="0"/>
              <w:spacing w:before="50" w:after="50"/>
              <w:jc w:val="center"/>
              <w:rPr>
                <w:rFonts w:ascii="宋体" w:hAnsi="宋体"/>
                <w:szCs w:val="21"/>
                <w:highlight w:val="none"/>
              </w:rPr>
            </w:pPr>
          </w:p>
        </w:tc>
        <w:tc>
          <w:tcPr>
            <w:tcW w:w="2266" w:type="dxa"/>
            <w:vMerge w:val="continue"/>
            <w:tcBorders>
              <w:left w:val="single" w:color="auto" w:sz="4" w:space="0"/>
              <w:bottom w:val="single" w:color="auto" w:sz="4" w:space="0"/>
              <w:right w:val="single" w:color="auto" w:sz="4" w:space="0"/>
            </w:tcBorders>
            <w:vAlign w:val="center"/>
          </w:tcPr>
          <w:p>
            <w:pPr>
              <w:snapToGrid w:val="0"/>
              <w:spacing w:before="50" w:after="50"/>
              <w:rPr>
                <w:rFonts w:ascii="宋体" w:hAnsi="宋体"/>
                <w:szCs w:val="21"/>
                <w:highlight w:val="none"/>
              </w:rPr>
            </w:pPr>
          </w:p>
        </w:tc>
        <w:tc>
          <w:tcPr>
            <w:tcW w:w="4805"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Cs w:val="21"/>
                <w:highlight w:val="none"/>
              </w:rPr>
            </w:pPr>
            <w:r>
              <w:rPr>
                <w:rFonts w:hint="eastAsia" w:ascii="宋体" w:hAnsi="宋体" w:cs="宋体"/>
                <w:bCs/>
                <w:color w:val="000000"/>
                <w:kern w:val="0"/>
                <w:sz w:val="24"/>
                <w:szCs w:val="24"/>
                <w:highlight w:val="none"/>
                <w:lang w:bidi="ar"/>
              </w:rPr>
              <w:t>大写：人民币　　万　　仟　　佰　　元整</w:t>
            </w:r>
          </w:p>
        </w:tc>
      </w:tr>
    </w:tbl>
    <w:p>
      <w:pPr>
        <w:pStyle w:val="2"/>
        <w:rPr>
          <w:rFonts w:hint="eastAsia"/>
          <w:highlight w:val="none"/>
          <w:lang w:val="zh-CN"/>
        </w:rPr>
      </w:pPr>
    </w:p>
    <w:p>
      <w:pPr>
        <w:spacing w:line="360" w:lineRule="auto"/>
        <w:rPr>
          <w:rFonts w:hint="eastAsia" w:ascii="宋体" w:hAnsi="宋体" w:eastAsia="宋体" w:cs="宋体"/>
          <w:b/>
          <w:color w:val="000000"/>
          <w:sz w:val="24"/>
          <w:szCs w:val="24"/>
          <w:highlight w:val="none"/>
          <w:lang w:val="zh-CN"/>
        </w:rPr>
      </w:pPr>
      <w:r>
        <w:rPr>
          <w:rFonts w:hint="eastAsia" w:ascii="宋体" w:hAnsi="宋体" w:eastAsia="宋体" w:cs="宋体"/>
          <w:color w:val="000000"/>
          <w:sz w:val="24"/>
          <w:szCs w:val="24"/>
          <w:highlight w:val="none"/>
          <w:lang w:val="zh-CN"/>
        </w:rPr>
        <w:t>注：</w:t>
      </w:r>
      <w:r>
        <w:rPr>
          <w:rFonts w:hint="eastAsia" w:ascii="宋体" w:hAnsi="宋体" w:eastAsia="宋体" w:cs="宋体"/>
          <w:b/>
          <w:color w:val="000000"/>
          <w:sz w:val="24"/>
          <w:szCs w:val="24"/>
          <w:highlight w:val="none"/>
          <w:lang w:val="zh-CN"/>
        </w:rPr>
        <w:t>1、磋商过程中的《磋商报价一览表》由集中采购机构另行提供。</w:t>
      </w:r>
    </w:p>
    <w:p>
      <w:pPr>
        <w:autoSpaceDE w:val="0"/>
        <w:autoSpaceDN w:val="0"/>
        <w:spacing w:line="360" w:lineRule="auto"/>
        <w:ind w:firstLine="480" w:firstLineChars="200"/>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2、报价一经涂改，应在涂改处加盖单位公章或者由法定代表人或授权委托人签字或盖章，否则其磋商作无效处理。</w:t>
      </w:r>
    </w:p>
    <w:p>
      <w:pPr>
        <w:autoSpaceDE w:val="0"/>
        <w:autoSpaceDN w:val="0"/>
        <w:spacing w:before="50" w:after="50" w:line="360" w:lineRule="auto"/>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    3、凡需用专用耗材的专用设备类采购项目，应按磋商文件规定的耗材量或按耗材的常规试用量提供报价。</w:t>
      </w:r>
    </w:p>
    <w:p>
      <w:pPr>
        <w:autoSpaceDE w:val="0"/>
        <w:autoSpaceDN w:val="0"/>
        <w:spacing w:before="50" w:after="50" w:line="360" w:lineRule="auto"/>
        <w:ind w:firstLine="480" w:firstLineChars="200"/>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4、磋商费用包括项目实施所需的</w:t>
      </w:r>
      <w:r>
        <w:rPr>
          <w:rFonts w:hint="eastAsia" w:ascii="宋体" w:hAnsi="宋体" w:eastAsia="宋体" w:cs="宋体"/>
          <w:color w:val="000000"/>
          <w:kern w:val="2"/>
          <w:sz w:val="24"/>
          <w:szCs w:val="24"/>
          <w:highlight w:val="none"/>
          <w:lang w:val="zh-CN" w:eastAsia="zh-CN" w:bidi="ar"/>
        </w:rPr>
        <w:t>工程费、</w:t>
      </w:r>
      <w:r>
        <w:rPr>
          <w:rFonts w:hint="eastAsia" w:ascii="宋体" w:hAnsi="宋体" w:eastAsia="宋体" w:cs="宋体"/>
          <w:color w:val="000000"/>
          <w:sz w:val="24"/>
          <w:szCs w:val="24"/>
          <w:highlight w:val="none"/>
          <w:lang w:val="zh-CN"/>
        </w:rPr>
        <w:t>人工费、服务费、运输费、安装调试费、税费及其他一切费用。</w:t>
      </w:r>
    </w:p>
    <w:p>
      <w:pPr>
        <w:autoSpaceDE w:val="0"/>
        <w:autoSpaceDN w:val="0"/>
        <w:spacing w:before="50" w:after="50" w:line="360" w:lineRule="auto"/>
        <w:ind w:firstLine="480" w:firstLineChars="200"/>
        <w:jc w:val="lef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5、</w:t>
      </w:r>
      <w:r>
        <w:rPr>
          <w:rFonts w:hint="eastAsia" w:ascii="宋体" w:hAnsi="宋体" w:cs="宋体"/>
          <w:color w:val="000000"/>
          <w:sz w:val="24"/>
          <w:szCs w:val="24"/>
          <w:highlight w:val="none"/>
          <w:lang w:val="zh-CN"/>
        </w:rPr>
        <w:t>以上 “磋商报价一览表（首次报价）”的磋商总报价应与“磋商报价明细表”中的</w:t>
      </w:r>
      <w:r>
        <w:rPr>
          <w:rFonts w:hint="eastAsia" w:ascii="宋体" w:hAnsi="宋体" w:cs="宋体"/>
          <w:color w:val="000000"/>
          <w:sz w:val="24"/>
          <w:szCs w:val="24"/>
          <w:highlight w:val="none"/>
          <w:lang w:val="zh-CN" w:eastAsia="zh-CN"/>
        </w:rPr>
        <w:t>总</w:t>
      </w:r>
      <w:r>
        <w:rPr>
          <w:rFonts w:hint="eastAsia" w:ascii="宋体" w:hAnsi="宋体" w:cs="宋体"/>
          <w:color w:val="000000"/>
          <w:sz w:val="24"/>
          <w:szCs w:val="24"/>
          <w:highlight w:val="none"/>
          <w:lang w:val="zh-CN"/>
        </w:rPr>
        <w:t>报价一致。</w:t>
      </w:r>
    </w:p>
    <w:p>
      <w:pPr>
        <w:autoSpaceDE w:val="0"/>
        <w:autoSpaceDN w:val="0"/>
        <w:spacing w:before="50" w:after="50"/>
        <w:ind w:right="-817"/>
        <w:rPr>
          <w:rFonts w:hint="eastAsia" w:ascii="宋体" w:hAnsi="宋体" w:eastAsia="宋体" w:cs="宋体"/>
          <w:color w:val="000000"/>
          <w:sz w:val="24"/>
          <w:szCs w:val="24"/>
          <w:highlight w:val="none"/>
          <w:lang w:val="zh-CN"/>
        </w:rPr>
      </w:pPr>
    </w:p>
    <w:p>
      <w:pPr>
        <w:autoSpaceDE w:val="0"/>
        <w:autoSpaceDN w:val="0"/>
        <w:spacing w:before="50" w:after="50"/>
        <w:ind w:right="-817"/>
        <w:rPr>
          <w:rFonts w:hint="eastAsia" w:ascii="宋体" w:hAnsi="宋体" w:eastAsia="宋体" w:cs="宋体"/>
          <w:color w:val="000000"/>
          <w:sz w:val="24"/>
          <w:szCs w:val="24"/>
          <w:highlight w:val="none"/>
          <w:lang w:val="zh-CN"/>
        </w:rPr>
      </w:pPr>
    </w:p>
    <w:p>
      <w:pPr>
        <w:autoSpaceDE w:val="0"/>
        <w:autoSpaceDN w:val="0"/>
        <w:spacing w:before="50" w:after="50" w:line="360" w:lineRule="auto"/>
        <w:ind w:right="-817" w:firstLine="240" w:firstLineChars="1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法定代表人或授权代表（签字或盖章）：                    </w:t>
      </w:r>
    </w:p>
    <w:p>
      <w:pPr>
        <w:autoSpaceDE w:val="0"/>
        <w:autoSpaceDN w:val="0"/>
        <w:spacing w:before="50" w:after="50" w:line="360" w:lineRule="auto"/>
        <w:ind w:right="-817" w:firstLine="240" w:firstLineChars="100"/>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 xml:space="preserve">供应商名称（盖章）：                              </w:t>
      </w:r>
    </w:p>
    <w:p>
      <w:pPr>
        <w:autoSpaceDE w:val="0"/>
        <w:autoSpaceDN w:val="0"/>
        <w:spacing w:before="50" w:after="50" w:line="360" w:lineRule="auto"/>
        <w:ind w:left="105" w:leftChars="50" w:right="-817"/>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rPr>
        <w:t xml:space="preserve"> 日期：    年   月 </w:t>
      </w:r>
      <w:r>
        <w:rPr>
          <w:rFonts w:hint="eastAsia" w:ascii="宋体" w:hAnsi="宋体" w:eastAsia="宋体" w:cs="宋体"/>
          <w:color w:val="000000"/>
          <w:sz w:val="24"/>
          <w:szCs w:val="24"/>
          <w:highlight w:val="none"/>
          <w:lang w:val="en-US" w:eastAsia="zh-CN"/>
        </w:rPr>
        <w:t xml:space="preserve"> 日 </w:t>
      </w:r>
    </w:p>
    <w:p>
      <w:pPr>
        <w:pStyle w:val="5"/>
        <w:rPr>
          <w:rFonts w:hint="eastAsia" w:ascii="宋体" w:hAnsi="宋体" w:eastAsia="宋体" w:cs="宋体"/>
          <w:color w:val="000000"/>
          <w:sz w:val="24"/>
          <w:szCs w:val="24"/>
          <w:highlight w:val="none"/>
          <w:lang w:val="en-US" w:eastAsia="zh-CN"/>
        </w:rPr>
      </w:pPr>
    </w:p>
    <w:p>
      <w:pPr>
        <w:pStyle w:val="30"/>
        <w:rPr>
          <w:rFonts w:hint="eastAsia" w:ascii="宋体" w:hAnsi="宋体" w:eastAsia="宋体" w:cs="宋体"/>
          <w:color w:val="000000"/>
          <w:sz w:val="24"/>
          <w:szCs w:val="24"/>
          <w:highlight w:val="none"/>
          <w:lang w:val="en-US" w:eastAsia="zh-CN"/>
        </w:rPr>
      </w:pPr>
    </w:p>
    <w:p>
      <w:pPr>
        <w:rPr>
          <w:rFonts w:hint="eastAsia" w:ascii="宋体" w:hAnsi="宋体" w:eastAsia="宋体" w:cs="宋体"/>
          <w:color w:val="000000"/>
          <w:sz w:val="24"/>
          <w:szCs w:val="24"/>
          <w:highlight w:val="none"/>
          <w:lang w:val="en-US" w:eastAsia="zh-CN"/>
        </w:rPr>
      </w:pPr>
    </w:p>
    <w:p>
      <w:pPr>
        <w:pStyle w:val="4"/>
        <w:rPr>
          <w:rFonts w:hint="eastAsia" w:ascii="宋体" w:hAnsi="宋体" w:eastAsia="宋体" w:cs="宋体"/>
          <w:color w:val="000000"/>
          <w:sz w:val="24"/>
          <w:szCs w:val="24"/>
          <w:highlight w:val="none"/>
          <w:lang w:val="en-US" w:eastAsia="zh-CN"/>
        </w:rPr>
      </w:pPr>
    </w:p>
    <w:p>
      <w:pPr>
        <w:pStyle w:val="5"/>
        <w:rPr>
          <w:rFonts w:hint="eastAsia" w:ascii="宋体" w:hAnsi="宋体" w:eastAsia="宋体" w:cs="宋体"/>
          <w:color w:val="000000"/>
          <w:sz w:val="24"/>
          <w:szCs w:val="24"/>
          <w:highlight w:val="none"/>
          <w:lang w:val="en-US" w:eastAsia="zh-CN"/>
        </w:rPr>
      </w:pPr>
    </w:p>
    <w:p>
      <w:pPr>
        <w:rPr>
          <w:rFonts w:hint="eastAsia"/>
          <w:lang w:val="en-US" w:eastAsia="zh-CN"/>
        </w:rPr>
      </w:pPr>
    </w:p>
    <w:p>
      <w:pPr>
        <w:pStyle w:val="4"/>
        <w:rPr>
          <w:rFonts w:hint="eastAsia"/>
          <w:lang w:val="en-US" w:eastAsia="zh-CN"/>
        </w:rPr>
      </w:pPr>
    </w:p>
    <w:p>
      <w:pPr>
        <w:pStyle w:val="5"/>
        <w:ind w:left="0" w:leftChars="0" w:firstLine="0" w:firstLineChars="0"/>
        <w:rPr>
          <w:rFonts w:hint="eastAsia" w:ascii="宋体" w:hAnsi="宋体" w:eastAsia="宋体" w:cs="宋体"/>
          <w:color w:val="000000"/>
          <w:sz w:val="24"/>
          <w:szCs w:val="24"/>
          <w:highlight w:val="none"/>
          <w:lang w:val="en-US" w:eastAsia="zh-CN"/>
        </w:rPr>
      </w:pPr>
    </w:p>
    <w:p>
      <w:pPr>
        <w:pStyle w:val="5"/>
        <w:ind w:left="0" w:leftChars="0" w:firstLine="0" w:firstLineChars="0"/>
        <w:rPr>
          <w:rFonts w:hint="default" w:ascii="宋体" w:hAnsi="宋体" w:eastAsia="宋体" w:cs="Arial"/>
          <w:color w:val="000000"/>
          <w:kern w:val="2"/>
          <w:sz w:val="24"/>
          <w:szCs w:val="22"/>
          <w:highlight w:val="none"/>
          <w:lang w:val="en-US" w:eastAsia="zh-CN" w:bidi="ar-SA"/>
        </w:rPr>
      </w:pPr>
      <w:r>
        <w:rPr>
          <w:rFonts w:hint="eastAsia" w:ascii="宋体" w:hAnsi="宋体" w:eastAsia="宋体" w:cs="Arial"/>
          <w:color w:val="000000"/>
          <w:kern w:val="2"/>
          <w:sz w:val="24"/>
          <w:szCs w:val="22"/>
          <w:highlight w:val="none"/>
          <w:lang w:val="zh-CN" w:eastAsia="zh-CN" w:bidi="ar-SA"/>
        </w:rPr>
        <w:t>附件</w:t>
      </w:r>
      <w:r>
        <w:rPr>
          <w:rFonts w:hint="eastAsia" w:ascii="宋体" w:hAnsi="宋体" w:eastAsia="宋体" w:cs="Arial"/>
          <w:color w:val="000000"/>
          <w:kern w:val="2"/>
          <w:sz w:val="24"/>
          <w:szCs w:val="22"/>
          <w:highlight w:val="none"/>
          <w:lang w:val="en-US" w:eastAsia="zh-CN" w:bidi="ar-SA"/>
        </w:rPr>
        <w:t>1</w:t>
      </w:r>
      <w:r>
        <w:rPr>
          <w:rFonts w:hint="eastAsia" w:ascii="宋体" w:hAnsi="宋体" w:cs="Arial"/>
          <w:color w:val="000000"/>
          <w:kern w:val="2"/>
          <w:sz w:val="24"/>
          <w:szCs w:val="22"/>
          <w:highlight w:val="none"/>
          <w:lang w:val="en-US" w:eastAsia="zh-CN" w:bidi="ar-SA"/>
        </w:rPr>
        <w:t>7</w:t>
      </w:r>
      <w:r>
        <w:rPr>
          <w:rFonts w:hint="eastAsia" w:ascii="宋体" w:hAnsi="宋体" w:eastAsia="宋体" w:cs="Arial"/>
          <w:color w:val="000000"/>
          <w:kern w:val="2"/>
          <w:sz w:val="24"/>
          <w:szCs w:val="22"/>
          <w:highlight w:val="none"/>
          <w:lang w:val="en-US" w:eastAsia="zh-CN" w:bidi="ar-SA"/>
        </w:rPr>
        <w:t>：</w:t>
      </w:r>
    </w:p>
    <w:p>
      <w:pPr>
        <w:snapToGrid w:val="0"/>
        <w:spacing w:before="120" w:beforeLines="50" w:after="50"/>
        <w:jc w:val="center"/>
        <w:rPr>
          <w:b/>
          <w:color w:val="000000"/>
          <w:kern w:val="0"/>
          <w:sz w:val="24"/>
          <w:highlight w:val="none"/>
        </w:rPr>
      </w:pPr>
      <w:r>
        <w:rPr>
          <w:rFonts w:hint="eastAsia"/>
          <w:b/>
          <w:color w:val="000000"/>
          <w:kern w:val="0"/>
          <w:sz w:val="24"/>
          <w:highlight w:val="none"/>
        </w:rPr>
        <w:t>磋商响应承诺书</w:t>
      </w:r>
    </w:p>
    <w:p>
      <w:pPr>
        <w:autoSpaceDE w:val="0"/>
        <w:autoSpaceDN w:val="0"/>
        <w:adjustRightInd w:val="0"/>
        <w:spacing w:line="360" w:lineRule="auto"/>
        <w:jc w:val="left"/>
        <w:rPr>
          <w:rFonts w:ascii="宋体" w:hAnsi="宋体"/>
          <w:color w:val="auto"/>
          <w:kern w:val="0"/>
          <w:sz w:val="24"/>
          <w:highlight w:val="none"/>
        </w:rPr>
      </w:pPr>
      <w:r>
        <w:rPr>
          <w:rFonts w:hint="eastAsia" w:ascii="宋体" w:hAnsi="宋体"/>
          <w:color w:val="auto"/>
          <w:sz w:val="24"/>
          <w:highlight w:val="none"/>
        </w:rPr>
        <w:t>长兴县政府采购中心</w:t>
      </w:r>
      <w:r>
        <w:rPr>
          <w:rFonts w:hint="eastAsia" w:ascii="宋体" w:hAnsi="宋体"/>
          <w:color w:val="auto"/>
          <w:kern w:val="0"/>
          <w:sz w:val="24"/>
          <w:highlight w:val="none"/>
        </w:rPr>
        <w:t>：</w:t>
      </w:r>
    </w:p>
    <w:p>
      <w:pPr>
        <w:autoSpaceDE w:val="0"/>
        <w:autoSpaceDN w:val="0"/>
        <w:adjustRightInd w:val="0"/>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贵单位编号磋商文件</w:t>
      </w:r>
      <w:r>
        <w:rPr>
          <w:rFonts w:ascii="宋体" w:hAnsi="宋体"/>
          <w:color w:val="auto"/>
          <w:kern w:val="0"/>
          <w:sz w:val="24"/>
          <w:highlight w:val="none"/>
        </w:rPr>
        <w:t>(</w:t>
      </w:r>
      <w:r>
        <w:rPr>
          <w:rFonts w:hint="eastAsia" w:ascii="宋体" w:hAnsi="宋体"/>
          <w:color w:val="auto"/>
          <w:kern w:val="0"/>
          <w:sz w:val="24"/>
          <w:highlight w:val="none"/>
        </w:rPr>
        <w:t>包括补充文件</w:t>
      </w:r>
      <w:r>
        <w:rPr>
          <w:rFonts w:ascii="宋体" w:hAnsi="宋体"/>
          <w:color w:val="auto"/>
          <w:kern w:val="0"/>
          <w:sz w:val="24"/>
          <w:highlight w:val="none"/>
        </w:rPr>
        <w:t>)</w:t>
      </w:r>
      <w:r>
        <w:rPr>
          <w:rFonts w:hint="eastAsia" w:ascii="宋体" w:hAnsi="宋体"/>
          <w:color w:val="auto"/>
          <w:kern w:val="0"/>
          <w:sz w:val="24"/>
          <w:highlight w:val="none"/>
        </w:rPr>
        <w:t>收悉，我们经详细审阅和研究，现决定参加磋商。</w:t>
      </w:r>
    </w:p>
    <w:p>
      <w:pPr>
        <w:autoSpaceDE w:val="0"/>
        <w:autoSpaceDN w:val="0"/>
        <w:adjustRightInd w:val="0"/>
        <w:spacing w:line="360" w:lineRule="auto"/>
        <w:ind w:firstLine="480" w:firstLineChars="200"/>
        <w:jc w:val="left"/>
        <w:rPr>
          <w:rFonts w:ascii="宋体" w:hAnsi="宋体"/>
          <w:color w:val="auto"/>
          <w:kern w:val="0"/>
          <w:sz w:val="24"/>
          <w:highlight w:val="none"/>
        </w:rPr>
      </w:pPr>
      <w:r>
        <w:rPr>
          <w:rFonts w:hint="eastAsia" w:ascii="宋体" w:cs="宋体"/>
          <w:color w:val="auto"/>
          <w:kern w:val="0"/>
          <w:sz w:val="24"/>
          <w:szCs w:val="24"/>
          <w:highlight w:val="none"/>
        </w:rPr>
        <w:t>1、除我公司在“技术参数响应偏离表”和“商务条款偏离表”中明确</w:t>
      </w:r>
      <w:r>
        <w:rPr>
          <w:rFonts w:hint="eastAsia" w:ascii="宋体" w:cs="宋体"/>
          <w:color w:val="auto"/>
          <w:sz w:val="24"/>
          <w:szCs w:val="24"/>
          <w:highlight w:val="none"/>
        </w:rPr>
        <w:t>提出的</w:t>
      </w:r>
      <w:r>
        <w:rPr>
          <w:rFonts w:hint="eastAsia" w:ascii="宋体" w:cs="宋体"/>
          <w:color w:val="auto"/>
          <w:kern w:val="0"/>
          <w:sz w:val="24"/>
          <w:szCs w:val="24"/>
          <w:highlight w:val="none"/>
        </w:rPr>
        <w:t>异议或偏离外，决定无保留地接受磋商文件所有条款。</w:t>
      </w:r>
      <w:r>
        <w:rPr>
          <w:rFonts w:hint="eastAsia" w:ascii="宋体" w:hAnsi="宋体"/>
          <w:color w:val="auto"/>
          <w:kern w:val="0"/>
          <w:sz w:val="24"/>
          <w:highlight w:val="none"/>
        </w:rPr>
        <w:t>愿按人民币</w:t>
      </w:r>
      <w:r>
        <w:rPr>
          <w:rFonts w:ascii="宋体" w:hAnsi="宋体"/>
          <w:color w:val="auto"/>
          <w:kern w:val="0"/>
          <w:sz w:val="24"/>
          <w:highlight w:val="none"/>
        </w:rPr>
        <w:t>(</w:t>
      </w:r>
      <w:r>
        <w:rPr>
          <w:rFonts w:hint="eastAsia" w:ascii="宋体" w:hAnsi="宋体"/>
          <w:color w:val="auto"/>
          <w:kern w:val="0"/>
          <w:sz w:val="24"/>
          <w:highlight w:val="none"/>
        </w:rPr>
        <w:t>大写</w:t>
      </w:r>
      <w:r>
        <w:rPr>
          <w:rFonts w:ascii="宋体" w:hAnsi="宋体"/>
          <w:color w:val="auto"/>
          <w:kern w:val="0"/>
          <w:sz w:val="24"/>
          <w:highlight w:val="none"/>
        </w:rPr>
        <w:t>)</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元</w:t>
      </w:r>
      <w:r>
        <w:rPr>
          <w:rFonts w:ascii="宋体" w:hAnsi="宋体"/>
          <w:color w:val="auto"/>
          <w:kern w:val="0"/>
          <w:sz w:val="24"/>
          <w:highlight w:val="none"/>
        </w:rPr>
        <w:t>)</w:t>
      </w:r>
      <w:r>
        <w:rPr>
          <w:rFonts w:hint="eastAsia" w:ascii="宋体" w:hAnsi="宋体"/>
          <w:color w:val="auto"/>
          <w:kern w:val="0"/>
          <w:sz w:val="24"/>
          <w:highlight w:val="none"/>
        </w:rPr>
        <w:t>对</w:t>
      </w:r>
      <w:r>
        <w:rPr>
          <w:rFonts w:hint="eastAsia" w:ascii="宋体" w:hAnsi="宋体"/>
          <w:color w:val="auto"/>
          <w:kern w:val="0"/>
          <w:sz w:val="24"/>
          <w:highlight w:val="none"/>
          <w:u w:val="single"/>
          <w:lang w:eastAsia="zh-CN"/>
        </w:rPr>
        <w:t>长兴县退役军人事务局军干服务配套电梯工程项目</w:t>
      </w:r>
      <w:r>
        <w:rPr>
          <w:rFonts w:hint="eastAsia" w:ascii="宋体" w:hAnsi="宋体"/>
          <w:color w:val="auto"/>
          <w:spacing w:val="5"/>
          <w:kern w:val="0"/>
          <w:sz w:val="24"/>
          <w:highlight w:val="none"/>
        </w:rPr>
        <w:t>的</w:t>
      </w:r>
      <w:r>
        <w:rPr>
          <w:rFonts w:hint="eastAsia" w:ascii="宋体" w:hAnsi="宋体"/>
          <w:color w:val="auto"/>
          <w:kern w:val="0"/>
          <w:sz w:val="24"/>
          <w:highlight w:val="none"/>
        </w:rPr>
        <w:t>报价作为本次磋商的初次报价</w:t>
      </w:r>
      <w:r>
        <w:rPr>
          <w:rFonts w:ascii="宋体" w:hAnsi="宋体"/>
          <w:color w:val="auto"/>
          <w:kern w:val="0"/>
          <w:sz w:val="24"/>
          <w:highlight w:val="none"/>
        </w:rPr>
        <w:t>(</w:t>
      </w:r>
      <w:r>
        <w:rPr>
          <w:rFonts w:hint="eastAsia" w:ascii="宋体" w:hAnsi="宋体"/>
          <w:color w:val="auto"/>
          <w:kern w:val="0"/>
          <w:sz w:val="24"/>
          <w:highlight w:val="none"/>
        </w:rPr>
        <w:t>含税价</w:t>
      </w:r>
      <w:r>
        <w:rPr>
          <w:rFonts w:ascii="宋体" w:hAnsi="宋体"/>
          <w:color w:val="auto"/>
          <w:kern w:val="0"/>
          <w:sz w:val="24"/>
          <w:highlight w:val="none"/>
        </w:rPr>
        <w:t>)</w:t>
      </w:r>
      <w:r>
        <w:rPr>
          <w:rFonts w:hint="eastAsia" w:ascii="宋体" w:hAnsi="宋体"/>
          <w:color w:val="auto"/>
          <w:kern w:val="0"/>
          <w:sz w:val="24"/>
          <w:highlight w:val="none"/>
        </w:rPr>
        <w:t>。</w:t>
      </w:r>
    </w:p>
    <w:p>
      <w:pPr>
        <w:autoSpaceDE w:val="0"/>
        <w:autoSpaceDN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2、根据磋商文件的规定，我单位如有幸成交并被授予合同，愿承担 “合同主要条款”中规定履行的责任和义务。</w:t>
      </w:r>
    </w:p>
    <w:p>
      <w:pPr>
        <w:autoSpaceDE w:val="0"/>
        <w:autoSpaceDN w:val="0"/>
        <w:spacing w:line="360" w:lineRule="auto"/>
        <w:ind w:firstLine="480" w:firstLineChars="200"/>
        <w:rPr>
          <w:rFonts w:ascii="宋体" w:hAnsi="宋体"/>
          <w:color w:val="000000"/>
          <w:sz w:val="24"/>
          <w:highlight w:val="none"/>
          <w:lang w:val="zh-CN"/>
        </w:rPr>
      </w:pPr>
      <w:r>
        <w:rPr>
          <w:rFonts w:hint="eastAsia" w:ascii="宋体" w:hAnsi="宋体"/>
          <w:color w:val="000000"/>
          <w:sz w:val="24"/>
          <w:highlight w:val="none"/>
          <w:lang w:val="zh-CN"/>
        </w:rPr>
        <w:t>3、我单位保证所服务内容符合国家强制性规范和标准并达到磋商文件规定的要求。</w:t>
      </w:r>
    </w:p>
    <w:p>
      <w:pPr>
        <w:autoSpaceDE w:val="0"/>
        <w:autoSpaceDN w:val="0"/>
        <w:adjustRightInd w:val="0"/>
        <w:spacing w:line="360" w:lineRule="auto"/>
        <w:ind w:firstLine="480" w:firstLineChars="200"/>
        <w:jc w:val="left"/>
        <w:rPr>
          <w:rFonts w:ascii="宋体" w:hAnsi="宋体"/>
          <w:color w:val="000000"/>
          <w:kern w:val="0"/>
          <w:sz w:val="24"/>
          <w:highlight w:val="none"/>
        </w:rPr>
      </w:pPr>
      <w:r>
        <w:rPr>
          <w:rFonts w:hint="eastAsia" w:ascii="宋体" w:hAnsi="宋体"/>
          <w:color w:val="000000"/>
          <w:kern w:val="0"/>
          <w:sz w:val="24"/>
          <w:highlight w:val="none"/>
        </w:rPr>
        <w:t>4、本公司保证</w:t>
      </w:r>
      <w:r>
        <w:rPr>
          <w:rFonts w:hint="eastAsia" w:ascii="宋体" w:hAnsi="宋体"/>
          <w:color w:val="000000"/>
          <w:sz w:val="24"/>
          <w:highlight w:val="none"/>
        </w:rPr>
        <w:t>磋商响应文件的所有内容是真实和准确的，</w:t>
      </w:r>
      <w:r>
        <w:rPr>
          <w:rFonts w:hint="eastAsia" w:ascii="宋体" w:hAnsi="宋体"/>
          <w:b/>
          <w:bCs/>
          <w:color w:val="000000"/>
          <w:sz w:val="24"/>
          <w:highlight w:val="none"/>
        </w:rPr>
        <w:t>如磋商小组推荐我公司为成交候选供应商后经</w:t>
      </w:r>
      <w:r>
        <w:rPr>
          <w:rFonts w:hint="eastAsia" w:ascii="宋体" w:hAnsi="宋体"/>
          <w:b/>
          <w:bCs/>
          <w:color w:val="000000"/>
          <w:kern w:val="0"/>
          <w:sz w:val="24"/>
          <w:highlight w:val="none"/>
        </w:rPr>
        <w:t>采购人确认与实际不符的，贵中心可以取消</w:t>
      </w:r>
      <w:r>
        <w:rPr>
          <w:rFonts w:hint="eastAsia" w:ascii="宋体" w:hAnsi="宋体"/>
          <w:b/>
          <w:bCs/>
          <w:color w:val="000000"/>
          <w:sz w:val="24"/>
          <w:highlight w:val="none"/>
        </w:rPr>
        <w:t>我公司的成交候选供应商资格</w:t>
      </w:r>
      <w:r>
        <w:rPr>
          <w:rFonts w:hint="eastAsia" w:ascii="宋体" w:hAnsi="宋体"/>
          <w:color w:val="000000"/>
          <w:kern w:val="0"/>
          <w:sz w:val="24"/>
          <w:highlight w:val="none"/>
        </w:rPr>
        <w:t>。</w:t>
      </w:r>
    </w:p>
    <w:p>
      <w:pPr>
        <w:autoSpaceDE w:val="0"/>
        <w:autoSpaceDN w:val="0"/>
        <w:adjustRightInd w:val="0"/>
        <w:spacing w:line="360" w:lineRule="auto"/>
        <w:ind w:firstLine="480" w:firstLineChars="200"/>
        <w:jc w:val="left"/>
        <w:rPr>
          <w:rFonts w:ascii="宋体" w:hAnsi="宋体"/>
          <w:color w:val="000000"/>
          <w:kern w:val="0"/>
          <w:sz w:val="24"/>
          <w:highlight w:val="none"/>
        </w:rPr>
      </w:pPr>
      <w:r>
        <w:rPr>
          <w:rFonts w:hint="eastAsia" w:ascii="宋体" w:hAnsi="宋体"/>
          <w:color w:val="000000"/>
          <w:kern w:val="0"/>
          <w:sz w:val="24"/>
          <w:highlight w:val="none"/>
        </w:rPr>
        <w:t>5、一旦我公司成交，保证按成交通知书规定时间与采购人签订合同，按磋商文件和合同约定的服务时间要求准时完成全部服务。否则贵单位可以没收履约保证金。</w:t>
      </w:r>
      <w:r>
        <w:rPr>
          <w:rFonts w:hint="eastAsia" w:ascii="宋体" w:hAnsi="宋体"/>
          <w:color w:val="000000"/>
          <w:sz w:val="24"/>
          <w:highlight w:val="none"/>
        </w:rPr>
        <w:t>磋商有效期为</w:t>
      </w:r>
      <w:r>
        <w:rPr>
          <w:rFonts w:hint="eastAsia" w:ascii="宋体" w:hAnsi="宋体"/>
          <w:color w:val="000000"/>
          <w:kern w:val="0"/>
          <w:sz w:val="24"/>
          <w:highlight w:val="none"/>
        </w:rPr>
        <w:t>磋商响应文件递交截止时间起</w:t>
      </w:r>
      <w:r>
        <w:rPr>
          <w:rFonts w:hint="eastAsia" w:ascii="宋体" w:hAnsi="宋体"/>
          <w:color w:val="000000"/>
          <w:spacing w:val="5"/>
          <w:kern w:val="0"/>
          <w:sz w:val="24"/>
          <w:highlight w:val="none"/>
        </w:rPr>
        <w:t>60个日历天</w:t>
      </w:r>
      <w:r>
        <w:rPr>
          <w:rFonts w:hint="eastAsia" w:ascii="宋体" w:hAnsi="宋体"/>
          <w:color w:val="000000"/>
          <w:sz w:val="24"/>
          <w:highlight w:val="none"/>
        </w:rPr>
        <w:t>。</w:t>
      </w:r>
    </w:p>
    <w:p>
      <w:pPr>
        <w:autoSpaceDE w:val="0"/>
        <w:autoSpaceDN w:val="0"/>
        <w:adjustRightInd w:val="0"/>
        <w:spacing w:line="360" w:lineRule="auto"/>
        <w:ind w:firstLine="480" w:firstLineChars="200"/>
        <w:jc w:val="left"/>
        <w:rPr>
          <w:rFonts w:ascii="宋体" w:hAnsi="宋体"/>
          <w:color w:val="000000"/>
          <w:kern w:val="0"/>
          <w:sz w:val="24"/>
          <w:highlight w:val="none"/>
        </w:rPr>
      </w:pPr>
      <w:r>
        <w:rPr>
          <w:rFonts w:hint="eastAsia" w:ascii="宋体" w:hAnsi="宋体"/>
          <w:color w:val="000000"/>
          <w:kern w:val="0"/>
          <w:sz w:val="24"/>
          <w:highlight w:val="none"/>
        </w:rPr>
        <w:t>6、我公司对磋商响应文件所有内容的真实性负全部责任，由此产生的一切后果由本公司承担。</w:t>
      </w:r>
    </w:p>
    <w:p>
      <w:pPr>
        <w:autoSpaceDE w:val="0"/>
        <w:autoSpaceDN w:val="0"/>
        <w:adjustRightInd w:val="0"/>
        <w:ind w:firstLine="2400" w:firstLineChars="1000"/>
        <w:jc w:val="left"/>
        <w:rPr>
          <w:rFonts w:ascii="宋体" w:hAnsi="宋体"/>
          <w:color w:val="000000"/>
          <w:kern w:val="0"/>
          <w:sz w:val="24"/>
          <w:highlight w:val="none"/>
        </w:rPr>
      </w:pPr>
    </w:p>
    <w:p>
      <w:pPr>
        <w:pStyle w:val="52"/>
        <w:adjustRightInd w:val="0"/>
        <w:snapToGrid w:val="0"/>
        <w:spacing w:line="500" w:lineRule="exact"/>
        <w:rPr>
          <w:rFonts w:ascii="宋体" w:hAnsi="宋体" w:cs="宋体"/>
          <w:sz w:val="24"/>
          <w:szCs w:val="24"/>
          <w:highlight w:val="none"/>
          <w:u w:val="single"/>
        </w:rPr>
      </w:pPr>
      <w:r>
        <w:rPr>
          <w:rFonts w:hint="eastAsia" w:ascii="宋体" w:hAnsi="宋体" w:cs="宋体"/>
          <w:sz w:val="24"/>
          <w:szCs w:val="24"/>
          <w:highlight w:val="none"/>
        </w:rPr>
        <w:t>供应商名称（签章）：</w:t>
      </w:r>
    </w:p>
    <w:p>
      <w:pPr>
        <w:pStyle w:val="52"/>
        <w:adjustRightInd w:val="0"/>
        <w:snapToGrid w:val="0"/>
        <w:spacing w:line="500" w:lineRule="exact"/>
        <w:rPr>
          <w:rFonts w:ascii="宋体" w:hAnsi="宋体" w:cs="宋体"/>
          <w:sz w:val="24"/>
          <w:szCs w:val="24"/>
          <w:highlight w:val="none"/>
        </w:rPr>
      </w:pPr>
      <w:r>
        <w:rPr>
          <w:rFonts w:hint="eastAsia" w:ascii="宋体" w:hAnsi="宋体" w:cs="宋体"/>
          <w:sz w:val="24"/>
          <w:szCs w:val="24"/>
          <w:highlight w:val="none"/>
        </w:rPr>
        <w:t>法定代表人或委托代理人（签字或签章）：</w:t>
      </w:r>
    </w:p>
    <w:p>
      <w:pPr>
        <w:pStyle w:val="52"/>
        <w:adjustRightInd w:val="0"/>
        <w:snapToGrid w:val="0"/>
        <w:spacing w:line="500" w:lineRule="exact"/>
        <w:rPr>
          <w:rFonts w:hint="eastAsia" w:ascii="宋体" w:hAnsi="宋体" w:cs="宋体"/>
          <w:sz w:val="24"/>
          <w:szCs w:val="24"/>
          <w:highlight w:val="none"/>
          <w:lang w:val="zh-CN"/>
        </w:rPr>
      </w:pPr>
      <w:r>
        <w:rPr>
          <w:rFonts w:hint="eastAsia" w:ascii="宋体" w:hAnsi="宋体" w:cs="宋体"/>
          <w:sz w:val="24"/>
          <w:szCs w:val="24"/>
          <w:highlight w:val="none"/>
        </w:rPr>
        <w:t>日期：年 月 日</w:t>
      </w:r>
    </w:p>
    <w:p>
      <w:pPr>
        <w:autoSpaceDE w:val="0"/>
        <w:autoSpaceDN w:val="0"/>
        <w:spacing w:before="50" w:after="50"/>
        <w:ind w:left="105" w:leftChars="50" w:right="-817" w:firstLine="2400" w:firstLineChars="1000"/>
        <w:rPr>
          <w:rFonts w:ascii="宋体" w:hAnsi="宋体"/>
          <w:color w:val="000000"/>
          <w:sz w:val="24"/>
          <w:highlight w:val="none"/>
          <w:lang w:val="zh-CN"/>
        </w:rPr>
      </w:pPr>
    </w:p>
    <w:p>
      <w:pPr>
        <w:pStyle w:val="5"/>
        <w:rPr>
          <w:rFonts w:ascii="宋体" w:hAnsi="宋体"/>
          <w:color w:val="000000"/>
          <w:sz w:val="24"/>
          <w:highlight w:val="none"/>
          <w:lang w:val="zh-CN"/>
        </w:rPr>
      </w:pPr>
    </w:p>
    <w:p>
      <w:pPr>
        <w:rPr>
          <w:rFonts w:ascii="宋体" w:hAnsi="宋体"/>
          <w:color w:val="000000"/>
          <w:sz w:val="24"/>
          <w:highlight w:val="none"/>
          <w:lang w:val="zh-CN"/>
        </w:rPr>
      </w:pPr>
    </w:p>
    <w:p>
      <w:pPr>
        <w:pStyle w:val="5"/>
        <w:rPr>
          <w:rFonts w:ascii="宋体" w:hAnsi="宋体"/>
          <w:color w:val="000000"/>
          <w:sz w:val="24"/>
          <w:highlight w:val="none"/>
          <w:lang w:val="zh-CN"/>
        </w:rPr>
      </w:pPr>
    </w:p>
    <w:p>
      <w:pPr>
        <w:pStyle w:val="30"/>
        <w:rPr>
          <w:rFonts w:ascii="宋体" w:hAnsi="宋体"/>
          <w:color w:val="000000"/>
          <w:sz w:val="24"/>
          <w:highlight w:val="none"/>
          <w:lang w:val="zh-CN"/>
        </w:rPr>
      </w:pPr>
    </w:p>
    <w:p>
      <w:pPr>
        <w:rPr>
          <w:rFonts w:ascii="宋体" w:hAnsi="宋体"/>
          <w:color w:val="000000"/>
          <w:sz w:val="24"/>
          <w:highlight w:val="none"/>
          <w:lang w:val="zh-CN"/>
        </w:rPr>
      </w:pPr>
    </w:p>
    <w:p>
      <w:pPr>
        <w:rPr>
          <w:rFonts w:ascii="宋体" w:hAnsi="宋体"/>
          <w:color w:val="000000"/>
          <w:sz w:val="24"/>
          <w:highlight w:val="none"/>
          <w:lang w:val="zh-CN"/>
        </w:rPr>
      </w:pPr>
    </w:p>
    <w:p>
      <w:pPr>
        <w:autoSpaceDE w:val="0"/>
        <w:autoSpaceDN w:val="0"/>
        <w:spacing w:before="50" w:after="50"/>
        <w:jc w:val="left"/>
        <w:rPr>
          <w:rFonts w:hint="eastAsia" w:ascii="宋体" w:hAnsi="宋体" w:cs="宋体"/>
          <w:sz w:val="24"/>
          <w:szCs w:val="24"/>
          <w:highlight w:val="none"/>
        </w:rPr>
      </w:pPr>
      <w:r>
        <w:rPr>
          <w:rFonts w:hint="eastAsia" w:ascii="宋体" w:hAnsi="宋体"/>
          <w:color w:val="000000"/>
          <w:sz w:val="24"/>
          <w:highlight w:val="none"/>
          <w:lang w:val="zh-CN"/>
        </w:rPr>
        <w:t>附件</w:t>
      </w:r>
      <w:r>
        <w:rPr>
          <w:rFonts w:hint="eastAsia" w:ascii="宋体" w:hAnsi="宋体"/>
          <w:color w:val="000000"/>
          <w:sz w:val="24"/>
          <w:highlight w:val="none"/>
        </w:rPr>
        <w:t>1</w:t>
      </w:r>
      <w:r>
        <w:rPr>
          <w:rFonts w:hint="eastAsia" w:ascii="宋体" w:hAnsi="宋体"/>
          <w:color w:val="000000"/>
          <w:sz w:val="24"/>
          <w:highlight w:val="none"/>
          <w:lang w:val="en-US" w:eastAsia="zh-CN"/>
        </w:rPr>
        <w:t>8</w:t>
      </w:r>
      <w:r>
        <w:rPr>
          <w:rFonts w:ascii="宋体" w:hAnsi="宋体"/>
          <w:color w:val="000000"/>
          <w:sz w:val="24"/>
          <w:highlight w:val="none"/>
        </w:rPr>
        <w:t>：</w:t>
      </w:r>
      <w:r>
        <w:rPr>
          <w:rFonts w:hint="eastAsia" w:ascii="宋体" w:hAnsi="宋体" w:cs="宋体"/>
          <w:sz w:val="24"/>
          <w:szCs w:val="24"/>
          <w:highlight w:val="none"/>
        </w:rPr>
        <w:t xml:space="preserve"> </w:t>
      </w:r>
    </w:p>
    <w:p>
      <w:pPr>
        <w:pStyle w:val="2"/>
        <w:rPr>
          <w:highlight w:val="none"/>
        </w:rPr>
      </w:pPr>
    </w:p>
    <w:p>
      <w:pPr>
        <w:pStyle w:val="52"/>
        <w:adjustRightInd w:val="0"/>
        <w:snapToGrid w:val="0"/>
        <w:spacing w:line="500" w:lineRule="exact"/>
        <w:jc w:val="center"/>
        <w:rPr>
          <w:rFonts w:ascii="宋体" w:hAnsi="宋体" w:cs="宋体"/>
          <w:b/>
          <w:sz w:val="24"/>
          <w:szCs w:val="24"/>
          <w:highlight w:val="none"/>
        </w:rPr>
      </w:pPr>
      <w:r>
        <w:rPr>
          <w:rFonts w:hint="eastAsia" w:ascii="宋体" w:hAnsi="宋体" w:cs="宋体"/>
          <w:b/>
          <w:sz w:val="24"/>
          <w:szCs w:val="24"/>
          <w:highlight w:val="none"/>
        </w:rPr>
        <w:t>中小企业声明函</w:t>
      </w:r>
    </w:p>
    <w:p>
      <w:pPr>
        <w:pStyle w:val="52"/>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pStyle w:val="52"/>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 （</w:t>
      </w:r>
      <w:r>
        <w:rPr>
          <w:rFonts w:hint="eastAsia" w:ascii="宋体" w:hAnsi="宋体" w:cs="宋体"/>
          <w:sz w:val="24"/>
          <w:szCs w:val="24"/>
          <w:highlight w:val="none"/>
          <w:u w:val="single"/>
        </w:rPr>
        <w:t>标的名称</w:t>
      </w:r>
      <w:r>
        <w:rPr>
          <w:rFonts w:hint="eastAsia" w:ascii="宋体" w:hAnsi="宋体" w:cs="宋体"/>
          <w:sz w:val="24"/>
          <w:szCs w:val="24"/>
          <w:highlight w:val="none"/>
        </w:rPr>
        <w:t>） ，属于</w:t>
      </w:r>
      <w:r>
        <w:rPr>
          <w:rFonts w:hint="eastAsia" w:ascii="宋体" w:hAnsi="宋体" w:cs="宋体"/>
          <w:sz w:val="24"/>
          <w:szCs w:val="24"/>
          <w:highlight w:val="none"/>
          <w:u w:val="single"/>
        </w:rPr>
        <w:t>（采购文件中明确的所属行业）</w:t>
      </w:r>
      <w:r>
        <w:rPr>
          <w:rFonts w:hint="eastAsia" w:ascii="宋体" w:hAnsi="宋体" w:cs="宋体"/>
          <w:sz w:val="24"/>
          <w:szCs w:val="24"/>
          <w:highlight w:val="none"/>
        </w:rPr>
        <w:t>；制造商为</w:t>
      </w:r>
      <w:r>
        <w:rPr>
          <w:rFonts w:hint="eastAsia" w:ascii="宋体" w:hAnsi="宋体" w:cs="宋体"/>
          <w:sz w:val="24"/>
          <w:szCs w:val="24"/>
          <w:highlight w:val="none"/>
          <w:u w:val="single"/>
        </w:rPr>
        <w:t>（企业名称）</w:t>
      </w:r>
      <w:r>
        <w:rPr>
          <w:rFonts w:hint="eastAsia" w:ascii="宋体" w:hAnsi="宋体" w:cs="宋体"/>
          <w:sz w:val="24"/>
          <w:szCs w:val="24"/>
          <w:highlight w:val="none"/>
        </w:rPr>
        <w:t>，从业人员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万元1，属于（</w:t>
      </w:r>
      <w:r>
        <w:rPr>
          <w:rFonts w:hint="eastAsia" w:ascii="宋体" w:hAnsi="宋体" w:cs="宋体"/>
          <w:sz w:val="24"/>
          <w:szCs w:val="24"/>
          <w:highlight w:val="none"/>
          <w:u w:val="single"/>
        </w:rPr>
        <w:t>中型企业、小型企业、微型企业</w:t>
      </w:r>
      <w:r>
        <w:rPr>
          <w:rFonts w:hint="eastAsia" w:ascii="宋体" w:hAnsi="宋体" w:cs="宋体"/>
          <w:sz w:val="24"/>
          <w:szCs w:val="24"/>
          <w:highlight w:val="none"/>
        </w:rPr>
        <w:t>）；</w:t>
      </w:r>
    </w:p>
    <w:p>
      <w:pPr>
        <w:pStyle w:val="52"/>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 （</w:t>
      </w:r>
      <w:r>
        <w:rPr>
          <w:rFonts w:hint="eastAsia" w:ascii="宋体" w:hAnsi="宋体" w:cs="宋体"/>
          <w:sz w:val="24"/>
          <w:szCs w:val="24"/>
          <w:highlight w:val="none"/>
          <w:u w:val="single"/>
        </w:rPr>
        <w:t>标的名称</w:t>
      </w:r>
      <w:r>
        <w:rPr>
          <w:rFonts w:hint="eastAsia" w:ascii="宋体" w:hAnsi="宋体" w:cs="宋体"/>
          <w:sz w:val="24"/>
          <w:szCs w:val="24"/>
          <w:highlight w:val="none"/>
        </w:rPr>
        <w:t>） ，属于</w:t>
      </w:r>
      <w:r>
        <w:rPr>
          <w:rFonts w:hint="eastAsia" w:ascii="宋体" w:hAnsi="宋体" w:cs="宋体"/>
          <w:sz w:val="24"/>
          <w:szCs w:val="24"/>
          <w:highlight w:val="none"/>
          <w:u w:val="single"/>
        </w:rPr>
        <w:t>（采购文件中明确的所属行业）</w:t>
      </w:r>
      <w:r>
        <w:rPr>
          <w:rFonts w:hint="eastAsia" w:ascii="宋体" w:hAnsi="宋体" w:cs="宋体"/>
          <w:sz w:val="24"/>
          <w:szCs w:val="24"/>
          <w:highlight w:val="none"/>
        </w:rPr>
        <w:t>；制造商为</w:t>
      </w:r>
      <w:r>
        <w:rPr>
          <w:rFonts w:hint="eastAsia" w:ascii="宋体" w:hAnsi="宋体" w:cs="宋体"/>
          <w:sz w:val="24"/>
          <w:szCs w:val="24"/>
          <w:highlight w:val="none"/>
          <w:u w:val="single"/>
        </w:rPr>
        <w:t>（企业名称）</w:t>
      </w:r>
      <w:r>
        <w:rPr>
          <w:rFonts w:hint="eastAsia" w:ascii="宋体" w:hAnsi="宋体" w:cs="宋体"/>
          <w:sz w:val="24"/>
          <w:szCs w:val="24"/>
          <w:highlight w:val="none"/>
        </w:rPr>
        <w:t>，从业人员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万元1，属于（</w:t>
      </w:r>
      <w:r>
        <w:rPr>
          <w:rFonts w:hint="eastAsia" w:ascii="宋体" w:hAnsi="宋体" w:cs="宋体"/>
          <w:sz w:val="24"/>
          <w:szCs w:val="24"/>
          <w:highlight w:val="none"/>
          <w:u w:val="single"/>
        </w:rPr>
        <w:t>中型企业、小型企业、微型企业</w:t>
      </w:r>
      <w:r>
        <w:rPr>
          <w:rFonts w:hint="eastAsia" w:ascii="宋体" w:hAnsi="宋体" w:cs="宋体"/>
          <w:sz w:val="24"/>
          <w:szCs w:val="24"/>
          <w:highlight w:val="none"/>
        </w:rPr>
        <w:t>）；</w:t>
      </w:r>
    </w:p>
    <w:p>
      <w:pPr>
        <w:pStyle w:val="52"/>
        <w:adjustRightInd w:val="0"/>
        <w:snapToGrid w:val="0"/>
        <w:spacing w:line="360" w:lineRule="auto"/>
        <w:ind w:firstLine="480" w:firstLineChars="200"/>
        <w:rPr>
          <w:rFonts w:ascii="宋体" w:hAnsi="宋体" w:cs="宋体"/>
          <w:sz w:val="24"/>
          <w:szCs w:val="24"/>
          <w:highlight w:val="none"/>
        </w:rPr>
      </w:pPr>
      <w:r>
        <w:rPr>
          <w:rFonts w:ascii="宋体" w:hAnsi="宋体" w:cs="宋体"/>
          <w:sz w:val="24"/>
          <w:szCs w:val="24"/>
          <w:highlight w:val="none"/>
        </w:rPr>
        <w:t xml:space="preserve"> …… </w:t>
      </w:r>
    </w:p>
    <w:p>
      <w:pPr>
        <w:pStyle w:val="52"/>
        <w:adjustRightInd w:val="0"/>
        <w:snapToGrid w:val="0"/>
        <w:spacing w:line="340" w:lineRule="exact"/>
        <w:ind w:firstLine="480" w:firstLineChars="200"/>
        <w:rPr>
          <w:rFonts w:ascii="宋体" w:hAnsi="宋体" w:cs="宋体"/>
          <w:sz w:val="24"/>
          <w:szCs w:val="24"/>
          <w:highlight w:val="none"/>
        </w:rPr>
      </w:pPr>
      <w:r>
        <w:rPr>
          <w:rFonts w:ascii="宋体" w:hAnsi="宋体" w:cs="宋体"/>
          <w:sz w:val="24"/>
          <w:szCs w:val="24"/>
          <w:highlight w:val="none"/>
        </w:rPr>
        <w:t xml:space="preserve">以上企业，不属于大企业的分支机构，不存在控股股东为大企业的情形，也不存在与大企业的负责人为同一人的情形。 </w:t>
      </w:r>
    </w:p>
    <w:p>
      <w:pPr>
        <w:pStyle w:val="52"/>
        <w:adjustRightInd w:val="0"/>
        <w:snapToGrid w:val="0"/>
        <w:spacing w:line="340" w:lineRule="exact"/>
        <w:ind w:firstLine="480" w:firstLineChars="200"/>
        <w:rPr>
          <w:rFonts w:ascii="宋体" w:hAnsi="宋体" w:cs="宋体"/>
          <w:sz w:val="24"/>
          <w:szCs w:val="24"/>
          <w:highlight w:val="none"/>
        </w:rPr>
      </w:pPr>
      <w:r>
        <w:rPr>
          <w:rFonts w:ascii="宋体" w:hAnsi="宋体" w:cs="宋体"/>
          <w:sz w:val="24"/>
          <w:szCs w:val="24"/>
          <w:highlight w:val="none"/>
        </w:rPr>
        <w:t xml:space="preserve">本企业对上述声明内容的真实性负责。如有虚假，将依法承担相应责任。 </w:t>
      </w:r>
    </w:p>
    <w:p>
      <w:pPr>
        <w:pStyle w:val="52"/>
        <w:adjustRightInd w:val="0"/>
        <w:snapToGrid w:val="0"/>
        <w:spacing w:before="120" w:after="120" w:line="500" w:lineRule="exact"/>
        <w:rPr>
          <w:rFonts w:hint="eastAsia" w:ascii="宋体" w:hAnsi="宋体" w:cs="宋体"/>
          <w:sz w:val="24"/>
          <w:szCs w:val="24"/>
          <w:highlight w:val="none"/>
        </w:rPr>
      </w:pPr>
    </w:p>
    <w:p>
      <w:pPr>
        <w:pStyle w:val="52"/>
        <w:adjustRightInd w:val="0"/>
        <w:snapToGrid w:val="0"/>
        <w:spacing w:before="120" w:after="120" w:line="500" w:lineRule="exact"/>
        <w:rPr>
          <w:rFonts w:ascii="宋体" w:cs="宋体"/>
          <w:sz w:val="24"/>
          <w:szCs w:val="24"/>
          <w:highlight w:val="none"/>
          <w:u w:val="single"/>
        </w:rPr>
      </w:pPr>
      <w:r>
        <w:rPr>
          <w:rFonts w:hint="eastAsia" w:ascii="宋体" w:hAnsi="宋体" w:cs="宋体"/>
          <w:sz w:val="24"/>
          <w:highlight w:val="none"/>
          <w:lang w:val="zh-CN"/>
        </w:rPr>
        <w:t>供应商</w:t>
      </w:r>
      <w:r>
        <w:rPr>
          <w:rFonts w:hint="eastAsia" w:ascii="宋体" w:hAnsi="宋体" w:cs="宋体"/>
          <w:sz w:val="24"/>
          <w:szCs w:val="24"/>
          <w:highlight w:val="none"/>
        </w:rPr>
        <w:t>名称（签章）：</w:t>
      </w:r>
    </w:p>
    <w:p>
      <w:pPr>
        <w:pStyle w:val="52"/>
        <w:adjustRightInd w:val="0"/>
        <w:snapToGrid w:val="0"/>
        <w:spacing w:before="120" w:after="120" w:line="500" w:lineRule="exact"/>
        <w:rPr>
          <w:rFonts w:ascii="宋体" w:cs="宋体"/>
          <w:sz w:val="24"/>
          <w:szCs w:val="24"/>
          <w:highlight w:val="none"/>
        </w:rPr>
      </w:pPr>
      <w:r>
        <w:rPr>
          <w:rFonts w:hint="eastAsia" w:ascii="宋体" w:hAnsi="宋体" w:cs="宋体"/>
          <w:sz w:val="24"/>
          <w:szCs w:val="24"/>
          <w:highlight w:val="none"/>
        </w:rPr>
        <w:t>法定代表人或委托代理人（签字或签章）：</w:t>
      </w:r>
    </w:p>
    <w:p>
      <w:pPr>
        <w:pStyle w:val="52"/>
        <w:spacing w:before="120" w:after="120" w:line="500" w:lineRule="exact"/>
        <w:rPr>
          <w:rFonts w:ascii="宋体" w:hAnsi="宋体" w:cs="宋体"/>
          <w:sz w:val="24"/>
          <w:szCs w:val="24"/>
          <w:highlight w:val="none"/>
        </w:rPr>
      </w:pPr>
      <w:r>
        <w:rPr>
          <w:rFonts w:hint="eastAsia" w:ascii="宋体" w:hAnsi="宋体" w:cs="宋体"/>
          <w:sz w:val="24"/>
          <w:szCs w:val="24"/>
          <w:highlight w:val="none"/>
        </w:rPr>
        <w:t>日期：  年  月  日</w:t>
      </w:r>
    </w:p>
    <w:p>
      <w:pPr>
        <w:pStyle w:val="52"/>
        <w:adjustRightInd w:val="0"/>
        <w:snapToGrid w:val="0"/>
        <w:spacing w:line="340" w:lineRule="exact"/>
        <w:rPr>
          <w:rFonts w:ascii="宋体" w:hAnsi="宋体" w:cs="宋体"/>
          <w:sz w:val="24"/>
          <w:szCs w:val="24"/>
          <w:highlight w:val="none"/>
        </w:rPr>
      </w:pPr>
    </w:p>
    <w:p>
      <w:pPr>
        <w:pStyle w:val="52"/>
        <w:adjustRightInd w:val="0"/>
        <w:snapToGrid w:val="0"/>
        <w:spacing w:line="340" w:lineRule="exact"/>
        <w:rPr>
          <w:rFonts w:ascii="宋体" w:hAnsi="宋体" w:cs="宋体"/>
          <w:sz w:val="24"/>
          <w:szCs w:val="24"/>
          <w:highlight w:val="none"/>
        </w:rPr>
      </w:pPr>
    </w:p>
    <w:p>
      <w:pPr>
        <w:pStyle w:val="52"/>
        <w:adjustRightInd w:val="0"/>
        <w:snapToGrid w:val="0"/>
        <w:spacing w:line="360" w:lineRule="exact"/>
        <w:rPr>
          <w:rFonts w:ascii="宋体" w:hAnsi="宋体" w:cs="宋体"/>
          <w:sz w:val="24"/>
          <w:szCs w:val="24"/>
          <w:highlight w:val="none"/>
        </w:rPr>
      </w:pPr>
      <w:r>
        <w:rPr>
          <w:rFonts w:hint="eastAsia" w:ascii="宋体" w:hAnsi="宋体" w:cs="宋体"/>
          <w:sz w:val="24"/>
          <w:szCs w:val="24"/>
          <w:highlight w:val="none"/>
        </w:rPr>
        <w:t>备注说明：</w:t>
      </w:r>
    </w:p>
    <w:p>
      <w:pPr>
        <w:pStyle w:val="52"/>
        <w:adjustRightInd w:val="0"/>
        <w:snapToGrid w:val="0"/>
        <w:spacing w:line="340" w:lineRule="exact"/>
        <w:ind w:firstLine="480" w:firstLineChars="200"/>
        <w:rPr>
          <w:rFonts w:ascii="宋体" w:hAnsi="宋体" w:cs="宋体"/>
          <w:sz w:val="24"/>
          <w:szCs w:val="24"/>
          <w:highlight w:val="none"/>
        </w:rPr>
      </w:pPr>
      <w:r>
        <w:rPr>
          <w:rFonts w:hint="eastAsia" w:ascii="宋体" w:hAnsi="宋体" w:cs="宋体"/>
          <w:sz w:val="24"/>
          <w:szCs w:val="24"/>
          <w:highlight w:val="none"/>
        </w:rPr>
        <w:t>1.从业人员、营业收入、资产总额填报上一年度数据，无上一年度数据的新成立企业可不填报。</w:t>
      </w:r>
    </w:p>
    <w:p>
      <w:pPr>
        <w:pStyle w:val="52"/>
        <w:adjustRightInd w:val="0"/>
        <w:snapToGrid w:val="0"/>
        <w:spacing w:line="360" w:lineRule="exact"/>
        <w:ind w:firstLine="480" w:firstLineChars="200"/>
        <w:rPr>
          <w:rFonts w:hint="eastAsia" w:ascii="宋体" w:hAnsi="宋体"/>
          <w:color w:val="000000"/>
          <w:sz w:val="24"/>
          <w:highlight w:val="none"/>
          <w:lang w:val="zh-CN"/>
        </w:rPr>
      </w:pPr>
      <w:r>
        <w:rPr>
          <w:rFonts w:hint="eastAsia" w:ascii="宋体" w:hAnsi="宋体"/>
          <w:color w:val="000000"/>
          <w:sz w:val="24"/>
          <w:highlight w:val="none"/>
          <w:lang w:val="zh-CN"/>
        </w:rPr>
        <w:t>2.《中小企业声明函》中，供应商本身和产品制造商须同时具备。如磋商人提供非本企业制造的货物，须分别提供各制造商“国家企业信用信息公示系统——中小企业名录”（http://xwqy.gsxt.gov.cn/）页面查询结果。</w:t>
      </w:r>
    </w:p>
    <w:p>
      <w:pPr>
        <w:pStyle w:val="52"/>
        <w:adjustRightInd w:val="0"/>
        <w:snapToGrid w:val="0"/>
        <w:spacing w:line="360" w:lineRule="exact"/>
        <w:ind w:firstLine="480" w:firstLineChars="200"/>
        <w:rPr>
          <w:rFonts w:hint="eastAsia" w:ascii="宋体" w:hAnsi="宋体"/>
          <w:color w:val="000000"/>
          <w:sz w:val="24"/>
          <w:highlight w:val="none"/>
          <w:lang w:val="zh-CN"/>
        </w:rPr>
      </w:pPr>
    </w:p>
    <w:p>
      <w:pPr>
        <w:pStyle w:val="52"/>
        <w:adjustRightInd w:val="0"/>
        <w:snapToGrid w:val="0"/>
        <w:spacing w:line="360" w:lineRule="exact"/>
        <w:rPr>
          <w:rFonts w:hint="eastAsia" w:ascii="宋体" w:hAnsi="宋体"/>
          <w:color w:val="000000"/>
          <w:sz w:val="24"/>
          <w:highlight w:val="none"/>
          <w:lang w:val="zh-CN"/>
        </w:rPr>
      </w:pPr>
    </w:p>
    <w:p>
      <w:pPr>
        <w:widowControl/>
        <w:jc w:val="left"/>
        <w:rPr>
          <w:rFonts w:ascii="宋体" w:hAnsi="宋体" w:cs="宋体"/>
          <w:b/>
          <w:color w:val="000000"/>
          <w:sz w:val="24"/>
          <w:highlight w:val="none"/>
        </w:rPr>
      </w:pPr>
    </w:p>
    <w:p>
      <w:pPr>
        <w:widowControl/>
        <w:jc w:val="left"/>
        <w:rPr>
          <w:rFonts w:ascii="宋体" w:hAnsi="宋体" w:cs="宋体"/>
          <w:b w:val="0"/>
          <w:bCs/>
          <w:color w:val="000000"/>
          <w:sz w:val="24"/>
          <w:highlight w:val="none"/>
        </w:rPr>
      </w:pPr>
      <w:r>
        <w:rPr>
          <w:rFonts w:hint="eastAsia" w:ascii="宋体" w:hAnsi="宋体" w:cs="宋体"/>
          <w:b w:val="0"/>
          <w:bCs/>
          <w:color w:val="000000"/>
          <w:sz w:val="24"/>
          <w:highlight w:val="none"/>
        </w:rPr>
        <w:t>附件</w:t>
      </w:r>
      <w:r>
        <w:rPr>
          <w:rFonts w:hint="eastAsia" w:ascii="宋体" w:hAnsi="宋体" w:cs="宋体"/>
          <w:b w:val="0"/>
          <w:bCs/>
          <w:color w:val="000000"/>
          <w:sz w:val="24"/>
          <w:highlight w:val="none"/>
          <w:lang w:val="en-US" w:eastAsia="zh-CN"/>
        </w:rPr>
        <w:t>19</w:t>
      </w:r>
      <w:r>
        <w:rPr>
          <w:rFonts w:hint="eastAsia" w:ascii="宋体" w:hAnsi="宋体" w:cs="宋体"/>
          <w:b w:val="0"/>
          <w:bCs/>
          <w:color w:val="000000"/>
          <w:sz w:val="24"/>
          <w:highlight w:val="none"/>
        </w:rPr>
        <w:t>：</w:t>
      </w:r>
    </w:p>
    <w:p>
      <w:pPr>
        <w:widowControl/>
        <w:jc w:val="center"/>
        <w:rPr>
          <w:rFonts w:ascii="宋体" w:hAnsi="宋体" w:cs="宋体"/>
          <w:b/>
          <w:color w:val="000000"/>
          <w:sz w:val="24"/>
          <w:highlight w:val="none"/>
        </w:rPr>
      </w:pPr>
    </w:p>
    <w:p>
      <w:pPr>
        <w:widowControl/>
        <w:jc w:val="center"/>
        <w:rPr>
          <w:rFonts w:ascii="宋体" w:hAnsi="宋体" w:cs="宋体"/>
          <w:b/>
          <w:color w:val="000000"/>
          <w:sz w:val="24"/>
          <w:highlight w:val="none"/>
        </w:rPr>
      </w:pPr>
      <w:r>
        <w:rPr>
          <w:rFonts w:hint="eastAsia" w:ascii="宋体" w:hAnsi="宋体" w:cs="宋体"/>
          <w:b/>
          <w:color w:val="000000"/>
          <w:sz w:val="24"/>
          <w:highlight w:val="none"/>
        </w:rPr>
        <w:t>残疾人福利性单位声明函</w:t>
      </w:r>
    </w:p>
    <w:p>
      <w:pPr>
        <w:pStyle w:val="2"/>
        <w:ind w:firstLine="344"/>
        <w:rPr>
          <w:highlight w:val="none"/>
        </w:rPr>
      </w:pPr>
    </w:p>
    <w:p>
      <w:pPr>
        <w:pStyle w:val="52"/>
        <w:adjustRightInd w:val="0"/>
        <w:snapToGrid w:val="0"/>
        <w:spacing w:line="400" w:lineRule="exact"/>
        <w:rPr>
          <w:rFonts w:ascii="宋体" w:hAnsi="宋体" w:cs="宋体"/>
          <w:sz w:val="24"/>
          <w:szCs w:val="24"/>
          <w:highlight w:val="none"/>
        </w:rPr>
      </w:pPr>
      <w:r>
        <w:rPr>
          <w:rFonts w:hint="eastAsia" w:ascii="宋体" w:hAnsi="宋体" w:cs="宋体"/>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2"/>
        <w:adjustRightInd w:val="0"/>
        <w:snapToGrid w:val="0"/>
        <w:spacing w:line="400" w:lineRule="exact"/>
        <w:rPr>
          <w:rFonts w:ascii="宋体" w:hAnsi="宋体" w:cs="宋体"/>
          <w:sz w:val="24"/>
          <w:szCs w:val="24"/>
          <w:highlight w:val="none"/>
        </w:rPr>
      </w:pPr>
      <w:r>
        <w:rPr>
          <w:rFonts w:hint="eastAsia" w:ascii="宋体" w:hAnsi="宋体" w:cs="宋体"/>
          <w:sz w:val="24"/>
          <w:szCs w:val="24"/>
          <w:highlight w:val="none"/>
        </w:rPr>
        <w:t>本单位对上述声明的真实性负责。如有虚假，将依法承担相应责任。</w:t>
      </w:r>
    </w:p>
    <w:p>
      <w:pPr>
        <w:pStyle w:val="52"/>
        <w:adjustRightInd w:val="0"/>
        <w:snapToGrid w:val="0"/>
        <w:spacing w:before="120" w:after="120" w:line="500" w:lineRule="exact"/>
        <w:rPr>
          <w:rFonts w:ascii="宋体" w:hAnsi="宋体" w:cs="宋体"/>
          <w:sz w:val="24"/>
          <w:szCs w:val="24"/>
          <w:highlight w:val="none"/>
        </w:rPr>
      </w:pPr>
      <w:r>
        <w:rPr>
          <w:rFonts w:hint="eastAsia" w:ascii="宋体" w:hAnsi="宋体" w:cs="宋体"/>
          <w:sz w:val="24"/>
          <w:szCs w:val="24"/>
          <w:highlight w:val="none"/>
        </w:rPr>
        <w:t xml:space="preserve">                                          </w:t>
      </w:r>
    </w:p>
    <w:p>
      <w:pPr>
        <w:pStyle w:val="52"/>
        <w:adjustRightInd w:val="0"/>
        <w:snapToGrid w:val="0"/>
        <w:spacing w:before="120" w:after="120" w:line="500" w:lineRule="exact"/>
        <w:rPr>
          <w:rFonts w:ascii="宋体" w:cs="宋体"/>
          <w:sz w:val="24"/>
          <w:szCs w:val="24"/>
          <w:highlight w:val="none"/>
          <w:u w:val="single"/>
        </w:rPr>
      </w:pPr>
      <w:r>
        <w:rPr>
          <w:rFonts w:hint="eastAsia" w:ascii="宋体" w:hAnsi="宋体" w:cs="宋体"/>
          <w:sz w:val="24"/>
          <w:highlight w:val="none"/>
          <w:lang w:val="zh-CN"/>
        </w:rPr>
        <w:t>供应商</w:t>
      </w:r>
      <w:r>
        <w:rPr>
          <w:rFonts w:hint="eastAsia" w:ascii="宋体" w:hAnsi="宋体" w:cs="宋体"/>
          <w:sz w:val="24"/>
          <w:szCs w:val="24"/>
          <w:highlight w:val="none"/>
        </w:rPr>
        <w:t>名称（签章）：</w:t>
      </w:r>
    </w:p>
    <w:p>
      <w:pPr>
        <w:pStyle w:val="52"/>
        <w:adjustRightInd w:val="0"/>
        <w:snapToGrid w:val="0"/>
        <w:spacing w:before="120" w:after="120" w:line="500" w:lineRule="exact"/>
        <w:rPr>
          <w:rFonts w:ascii="宋体" w:cs="宋体"/>
          <w:sz w:val="24"/>
          <w:szCs w:val="24"/>
          <w:highlight w:val="none"/>
        </w:rPr>
      </w:pPr>
      <w:r>
        <w:rPr>
          <w:rFonts w:hint="eastAsia" w:ascii="宋体" w:hAnsi="宋体" w:cs="宋体"/>
          <w:sz w:val="24"/>
          <w:szCs w:val="24"/>
          <w:highlight w:val="none"/>
        </w:rPr>
        <w:t>法定代表人或委托代理人（签字或签章）：</w:t>
      </w:r>
    </w:p>
    <w:p>
      <w:pPr>
        <w:pStyle w:val="52"/>
        <w:spacing w:before="120" w:after="120" w:line="500" w:lineRule="exact"/>
        <w:rPr>
          <w:rFonts w:ascii="宋体" w:cs="宋体"/>
          <w:sz w:val="24"/>
          <w:szCs w:val="24"/>
          <w:highlight w:val="none"/>
        </w:rPr>
      </w:pPr>
      <w:r>
        <w:rPr>
          <w:rFonts w:hint="eastAsia" w:ascii="宋体" w:hAnsi="宋体" w:cs="宋体"/>
          <w:sz w:val="24"/>
          <w:szCs w:val="24"/>
          <w:highlight w:val="none"/>
        </w:rPr>
        <w:t>日期：  年  月  日</w:t>
      </w:r>
    </w:p>
    <w:p>
      <w:pPr>
        <w:pStyle w:val="5"/>
        <w:ind w:firstLine="280"/>
        <w:rPr>
          <w:highlight w:val="none"/>
          <w:lang w:val="zh-CN"/>
        </w:rPr>
      </w:pPr>
    </w:p>
    <w:p>
      <w:pPr>
        <w:pStyle w:val="5"/>
        <w:ind w:firstLine="280"/>
        <w:rPr>
          <w:highlight w:val="none"/>
          <w:lang w:val="zh-CN"/>
        </w:rPr>
      </w:pPr>
    </w:p>
    <w:p>
      <w:pPr>
        <w:pStyle w:val="5"/>
        <w:ind w:firstLine="280"/>
        <w:rPr>
          <w:highlight w:val="none"/>
          <w:lang w:val="zh-CN"/>
        </w:rPr>
      </w:pPr>
    </w:p>
    <w:p>
      <w:pPr>
        <w:pStyle w:val="5"/>
        <w:ind w:firstLine="280"/>
        <w:rPr>
          <w:highlight w:val="none"/>
          <w:lang w:val="zh-CN"/>
        </w:rPr>
      </w:pPr>
    </w:p>
    <w:p>
      <w:pPr>
        <w:pStyle w:val="5"/>
        <w:ind w:firstLine="280"/>
        <w:rPr>
          <w:highlight w:val="none"/>
          <w:lang w:val="zh-CN"/>
        </w:rPr>
      </w:pPr>
    </w:p>
    <w:p>
      <w:pPr>
        <w:spacing w:line="440" w:lineRule="exact"/>
        <w:rPr>
          <w:rFonts w:ascii="宋体" w:hAnsi="宋体" w:cs="宋体"/>
          <w:b/>
          <w:bCs/>
          <w:sz w:val="24"/>
          <w:szCs w:val="24"/>
          <w:highlight w:val="none"/>
        </w:rPr>
      </w:pPr>
    </w:p>
    <w:sectPr>
      <w:pgSz w:w="11906" w:h="16838"/>
      <w:pgMar w:top="1440" w:right="1559" w:bottom="1440" w:left="1797" w:header="851" w:footer="992" w:gutter="0"/>
      <w:pgBorders>
        <w:top w:val="none" w:sz="0" w:space="0"/>
        <w:left w:val="none" w:sz="0" w:space="0"/>
        <w:bottom w:val="none" w:sz="0" w:space="0"/>
        <w:right w:val="none" w:sz="0" w:space="0"/>
      </w:pgBorders>
      <w:cols w:equalWidth="0" w:num="1">
        <w:col w:w="8551"/>
      </w:cols>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经典中宋简">
    <w:altName w:val="宋体"/>
    <w:panose1 w:val="00000000000000000000"/>
    <w:charset w:val="01"/>
    <w:family w:val="auto"/>
    <w:pitch w:val="default"/>
    <w:sig w:usb0="00000000" w:usb1="00000000" w:usb2="00000000" w:usb3="00000000" w:csb0="00040001" w:csb1="00000000"/>
  </w:font>
  <w:font w:name="Technical">
    <w:altName w:val="Courier New"/>
    <w:panose1 w:val="00000000000000000000"/>
    <w:charset w:val="00"/>
    <w:family w:val="script"/>
    <w:pitch w:val="default"/>
    <w:sig w:usb0="00000000" w:usb1="00000000" w:usb2="00000000" w:usb3="00000000" w:csb0="00000001" w:csb1="00000000"/>
  </w:font>
  <w:font w:name="Tunga">
    <w:panose1 w:val="020B0502040204020203"/>
    <w:charset w:val="00"/>
    <w:family w:val="swiss"/>
    <w:pitch w:val="default"/>
    <w:sig w:usb0="00400003"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8255" b="3810"/>
              <wp:wrapNone/>
              <wp:docPr id="9" name="文本框 1"/>
              <wp:cNvGraphicFramePr/>
              <a:graphic xmlns:a="http://schemas.openxmlformats.org/drawingml/2006/main">
                <a:graphicData uri="http://schemas.microsoft.com/office/word/2010/wordprocessingShape">
                  <wps:wsp>
                    <wps:cNvSpPr/>
                    <wps:spPr>
                      <a:xfrm>
                        <a:off x="0" y="0"/>
                        <a:ext cx="116205" cy="139700"/>
                      </a:xfrm>
                      <a:prstGeom prst="rect">
                        <a:avLst/>
                      </a:prstGeom>
                      <a:noFill/>
                      <a:ln w="9525" cap="flat" cmpd="sng">
                        <a:noFill/>
                        <a:prstDash val="solid"/>
                        <a:miter/>
                      </a:ln>
                    </wps:spPr>
                    <wps:txbx>
                      <w:txbxContent>
                        <w:p>
                          <w:pPr>
                            <w:pStyle w:val="26"/>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F0Op/RAAAAAwEAAA8AAAAAAAAAAQAgAAAAIgAAAGRycy9kb3ducmV2&#10;LnhtbFBLAQIUABQAAAAIAIdO4kAbeVPhAwIAAPQDAAAOAAAAAAAAAAEAIAAAACABAABkcnMvZTJv&#10;RG9jLnhtbFBLBQYAAAAABgAGAFkBAACVBQAAAAA=&#10;">
              <v:fill on="f" focussize="0,0"/>
              <v:stroke on="f" joinstyle="miter"/>
              <v:imagedata o:title=""/>
              <o:lock v:ext="edit" aspectratio="f"/>
              <v:textbox inset="0mm,0mm,0mm,0mm" style="mso-fit-shape-to-text:t;">
                <w:txbxContent>
                  <w:p>
                    <w:pPr>
                      <w:pStyle w:val="26"/>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ascii="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8255" b="3810"/>
              <wp:wrapNone/>
              <wp:docPr id="4" name="文本框 4"/>
              <wp:cNvGraphicFramePr/>
              <a:graphic xmlns:a="http://schemas.openxmlformats.org/drawingml/2006/main">
                <a:graphicData uri="http://schemas.microsoft.com/office/word/2010/wordprocessingShape">
                  <wps:wsp>
                    <wps:cNvSpPr/>
                    <wps:spPr>
                      <a:xfrm>
                        <a:off x="0" y="0"/>
                        <a:ext cx="116205" cy="139700"/>
                      </a:xfrm>
                      <a:prstGeom prst="rect">
                        <a:avLst/>
                      </a:prstGeom>
                      <a:noFill/>
                      <a:ln w="9525" cap="flat" cmpd="sng">
                        <a:noFill/>
                        <a:prstDash val="solid"/>
                        <a:miter/>
                      </a:ln>
                    </wps:spPr>
                    <wps:txbx>
                      <w:txbxContent>
                        <w:p>
                          <w:pPr>
                            <w:pStyle w:val="26"/>
                          </w:pPr>
                          <w:r>
                            <w:fldChar w:fldCharType="begin"/>
                          </w:r>
                          <w:r>
                            <w:instrText xml:space="preserve"> PAGE  \* MERGEFORMAT </w:instrText>
                          </w:r>
                          <w:r>
                            <w:fldChar w:fldCharType="separate"/>
                          </w:r>
                          <w:r>
                            <w:t>74</w:t>
                          </w:r>
                          <w:r>
                            <w:fldChar w:fldCharType="end"/>
                          </w:r>
                        </w:p>
                      </w:txbxContent>
                    </wps:txbx>
                    <wps:bodyPr vert="horz" wrap="none" lIns="0" tIns="0" rIns="0" bIns="0" anchor="t" anchorCtr="0" upright="1">
                      <a:spAutoFit/>
                    </wps:bodyPr>
                  </wps:wsp>
                </a:graphicData>
              </a:graphic>
            </wp:anchor>
          </w:drawing>
        </mc:Choice>
        <mc:Fallback>
          <w:pict>
            <v:rect id="文本框 4" o:spid="_x0000_s1026" o:spt="1"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dDqf0QAAAAMBAAAPAAAAAAAAAAEAIAAAACIAAABkcnMvZG93bnJl&#10;di54bWxQSwECFAAUAAAACACHTuJA2/QkpwQCAAD0AwAADgAAAAAAAAABACAAAAAgAQAAZHJzL2Uy&#10;b0RvYy54bWxQSwUGAAAAAAYABgBZAQAAlgUAAAAA&#10;">
              <v:fill on="f" focussize="0,0"/>
              <v:stroke on="f" joinstyle="miter"/>
              <v:imagedata o:title=""/>
              <o:lock v:ext="edit" aspectratio="f"/>
              <v:textbox inset="0mm,0mm,0mm,0mm" style="mso-fit-shape-to-text:t;">
                <w:txbxContent>
                  <w:p>
                    <w:pPr>
                      <w:pStyle w:val="26"/>
                    </w:pPr>
                    <w:r>
                      <w:fldChar w:fldCharType="begin"/>
                    </w:r>
                    <w:r>
                      <w:instrText xml:space="preserve"> PAGE  \* MERGEFORMAT </w:instrText>
                    </w:r>
                    <w:r>
                      <w:fldChar w:fldCharType="separate"/>
                    </w:r>
                    <w:r>
                      <w:t>74</w:t>
                    </w:r>
                    <w:r>
                      <w:fldChar w:fldCharType="end"/>
                    </w:r>
                  </w:p>
                </w:txbxContent>
              </v:textbox>
            </v:rect>
          </w:pict>
        </mc:Fallback>
      </mc:AlternateContent>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A95496"/>
    <w:multiLevelType w:val="singleLevel"/>
    <w:tmpl w:val="C9A95496"/>
    <w:lvl w:ilvl="0" w:tentative="0">
      <w:start w:val="3"/>
      <w:numFmt w:val="chineseCounting"/>
      <w:suff w:val="space"/>
      <w:lvlText w:val="第%1章"/>
      <w:lvlJc w:val="left"/>
      <w:rPr>
        <w:rFonts w:hint="eastAsia"/>
      </w:rPr>
    </w:lvl>
  </w:abstractNum>
  <w:abstractNum w:abstractNumId="1">
    <w:nsid w:val="00000002"/>
    <w:multiLevelType w:val="multilevel"/>
    <w:tmpl w:val="00000002"/>
    <w:lvl w:ilvl="0" w:tentative="0">
      <w:start w:val="1"/>
      <w:numFmt w:val="decimal"/>
      <w:lvlText w:val="%1."/>
      <w:lvlJc w:val="left"/>
      <w:pPr>
        <w:tabs>
          <w:tab w:val="left" w:pos="0"/>
        </w:tabs>
        <w:ind w:left="420" w:hanging="420"/>
      </w:pPr>
      <w:rPr>
        <w:rFonts w:hint="eastAsia"/>
        <w:sz w:val="21"/>
        <w:szCs w:val="24"/>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00000015"/>
    <w:multiLevelType w:val="multilevel"/>
    <w:tmpl w:val="00000015"/>
    <w:lvl w:ilvl="0" w:tentative="0">
      <w:start w:val="1"/>
      <w:numFmt w:val="decimal"/>
      <w:lvlText w:val="%1."/>
      <w:lvlJc w:val="left"/>
      <w:pPr>
        <w:tabs>
          <w:tab w:val="left" w:pos="0"/>
        </w:tabs>
        <w:ind w:left="840" w:hanging="420"/>
      </w:pPr>
      <w:rPr>
        <w:rFonts w:hint="eastAsia"/>
        <w:sz w:val="21"/>
        <w:szCs w:val="24"/>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00000018"/>
    <w:multiLevelType w:val="singleLevel"/>
    <w:tmpl w:val="00000018"/>
    <w:lvl w:ilvl="0" w:tentative="0">
      <w:start w:val="7"/>
      <w:numFmt w:val="decimal"/>
      <w:suff w:val="nothing"/>
      <w:lvlText w:val="%1、"/>
      <w:lvlJc w:val="left"/>
      <w:pPr>
        <w:tabs>
          <w:tab w:val="left" w:pos="0"/>
        </w:tabs>
        <w:ind w:left="0" w:firstLine="0"/>
      </w:pPr>
    </w:lvl>
  </w:abstractNum>
  <w:abstractNum w:abstractNumId="4">
    <w:nsid w:val="00000024"/>
    <w:multiLevelType w:val="multilevel"/>
    <w:tmpl w:val="00000024"/>
    <w:lvl w:ilvl="0" w:tentative="0">
      <w:start w:val="1"/>
      <w:numFmt w:val="decimal"/>
      <w:lvlText w:val="%1."/>
      <w:lvlJc w:val="left"/>
      <w:pPr>
        <w:tabs>
          <w:tab w:val="left" w:pos="0"/>
        </w:tabs>
        <w:ind w:left="1253" w:hanging="420"/>
      </w:pPr>
      <w:rPr>
        <w:rFonts w:hint="eastAsia"/>
        <w:sz w:val="21"/>
        <w:szCs w:val="24"/>
      </w:rPr>
    </w:lvl>
    <w:lvl w:ilvl="1" w:tentative="0">
      <w:start w:val="1"/>
      <w:numFmt w:val="lowerLetter"/>
      <w:lvlText w:val="%2)"/>
      <w:lvlJc w:val="left"/>
      <w:pPr>
        <w:tabs>
          <w:tab w:val="left" w:pos="0"/>
        </w:tabs>
        <w:ind w:left="1253" w:hanging="420"/>
      </w:pPr>
    </w:lvl>
    <w:lvl w:ilvl="2" w:tentative="0">
      <w:start w:val="1"/>
      <w:numFmt w:val="lowerRoman"/>
      <w:lvlText w:val="%3."/>
      <w:lvlJc w:val="right"/>
      <w:pPr>
        <w:tabs>
          <w:tab w:val="left" w:pos="0"/>
        </w:tabs>
        <w:ind w:left="1673" w:hanging="420"/>
      </w:pPr>
    </w:lvl>
    <w:lvl w:ilvl="3" w:tentative="0">
      <w:start w:val="1"/>
      <w:numFmt w:val="decimal"/>
      <w:lvlText w:val="%4."/>
      <w:lvlJc w:val="left"/>
      <w:pPr>
        <w:tabs>
          <w:tab w:val="left" w:pos="0"/>
        </w:tabs>
        <w:ind w:left="2093" w:hanging="420"/>
      </w:pPr>
    </w:lvl>
    <w:lvl w:ilvl="4" w:tentative="0">
      <w:start w:val="1"/>
      <w:numFmt w:val="lowerLetter"/>
      <w:lvlText w:val="%5)"/>
      <w:lvlJc w:val="left"/>
      <w:pPr>
        <w:tabs>
          <w:tab w:val="left" w:pos="0"/>
        </w:tabs>
        <w:ind w:left="2513" w:hanging="420"/>
      </w:pPr>
    </w:lvl>
    <w:lvl w:ilvl="5" w:tentative="0">
      <w:start w:val="1"/>
      <w:numFmt w:val="lowerRoman"/>
      <w:lvlText w:val="%6."/>
      <w:lvlJc w:val="right"/>
      <w:pPr>
        <w:tabs>
          <w:tab w:val="left" w:pos="0"/>
        </w:tabs>
        <w:ind w:left="2933" w:hanging="420"/>
      </w:pPr>
    </w:lvl>
    <w:lvl w:ilvl="6" w:tentative="0">
      <w:start w:val="1"/>
      <w:numFmt w:val="decimal"/>
      <w:lvlText w:val="%7."/>
      <w:lvlJc w:val="left"/>
      <w:pPr>
        <w:tabs>
          <w:tab w:val="left" w:pos="0"/>
        </w:tabs>
        <w:ind w:left="3353" w:hanging="420"/>
      </w:pPr>
    </w:lvl>
    <w:lvl w:ilvl="7" w:tentative="0">
      <w:start w:val="1"/>
      <w:numFmt w:val="lowerLetter"/>
      <w:lvlText w:val="%8)"/>
      <w:lvlJc w:val="left"/>
      <w:pPr>
        <w:tabs>
          <w:tab w:val="left" w:pos="0"/>
        </w:tabs>
        <w:ind w:left="3773" w:hanging="420"/>
      </w:pPr>
    </w:lvl>
    <w:lvl w:ilvl="8" w:tentative="0">
      <w:start w:val="1"/>
      <w:numFmt w:val="lowerRoman"/>
      <w:lvlText w:val="%9."/>
      <w:lvlJc w:val="right"/>
      <w:pPr>
        <w:tabs>
          <w:tab w:val="left" w:pos="0"/>
        </w:tabs>
        <w:ind w:left="4193" w:hanging="420"/>
      </w:pPr>
    </w:lvl>
  </w:abstractNum>
  <w:abstractNum w:abstractNumId="5">
    <w:nsid w:val="00000025"/>
    <w:multiLevelType w:val="multilevel"/>
    <w:tmpl w:val="00000025"/>
    <w:lvl w:ilvl="0" w:tentative="0">
      <w:start w:val="1"/>
      <w:numFmt w:val="decimal"/>
      <w:lvlText w:val="%1."/>
      <w:lvlJc w:val="left"/>
      <w:pPr>
        <w:tabs>
          <w:tab w:val="left" w:pos="0"/>
        </w:tabs>
        <w:ind w:left="840" w:hanging="420"/>
      </w:pPr>
      <w:rPr>
        <w:rFonts w:hint="eastAsia"/>
        <w:sz w:val="21"/>
        <w:szCs w:val="24"/>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6">
    <w:nsid w:val="0000002B"/>
    <w:multiLevelType w:val="multilevel"/>
    <w:tmpl w:val="0000002B"/>
    <w:lvl w:ilvl="0" w:tentative="0">
      <w:start w:val="1"/>
      <w:numFmt w:val="decimal"/>
      <w:lvlText w:val="%1."/>
      <w:lvlJc w:val="left"/>
      <w:pPr>
        <w:tabs>
          <w:tab w:val="left" w:pos="0"/>
        </w:tabs>
        <w:ind w:left="1260" w:hanging="420"/>
      </w:pPr>
      <w:rPr>
        <w:rFonts w:hint="eastAsia"/>
        <w:sz w:val="21"/>
        <w:szCs w:val="24"/>
      </w:rPr>
    </w:lvl>
    <w:lvl w:ilvl="1" w:tentative="0">
      <w:start w:val="1"/>
      <w:numFmt w:val="decimal"/>
      <w:lvlText w:val="%2."/>
      <w:lvlJc w:val="left"/>
      <w:pPr>
        <w:tabs>
          <w:tab w:val="left" w:pos="0"/>
        </w:tabs>
        <w:ind w:left="1260" w:hanging="420"/>
      </w:pPr>
      <w:rPr>
        <w:rFonts w:hint="eastAsia"/>
        <w:sz w:val="21"/>
        <w:szCs w:val="24"/>
      </w:rPr>
    </w:lvl>
    <w:lvl w:ilvl="2" w:tentative="0">
      <w:start w:val="1"/>
      <w:numFmt w:val="decimal"/>
      <w:lvlText w:val="（%3）"/>
      <w:lvlJc w:val="left"/>
      <w:pPr>
        <w:tabs>
          <w:tab w:val="left" w:pos="0"/>
        </w:tabs>
        <w:ind w:left="1680" w:hanging="420"/>
      </w:pPr>
      <w:rPr>
        <w:rFonts w:hint="eastAsia"/>
        <w:sz w:val="21"/>
        <w:szCs w:val="24"/>
      </w:r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7">
    <w:nsid w:val="0000002C"/>
    <w:multiLevelType w:val="multilevel"/>
    <w:tmpl w:val="0000002C"/>
    <w:lvl w:ilvl="0" w:tentative="0">
      <w:start w:val="1"/>
      <w:numFmt w:val="decimal"/>
      <w:lvlText w:val="%1."/>
      <w:lvlJc w:val="left"/>
      <w:pPr>
        <w:tabs>
          <w:tab w:val="left" w:pos="0"/>
        </w:tabs>
        <w:ind w:left="1253" w:hanging="420"/>
      </w:pPr>
      <w:rPr>
        <w:rFonts w:hint="eastAsia"/>
        <w:sz w:val="21"/>
        <w:szCs w:val="24"/>
      </w:rPr>
    </w:lvl>
    <w:lvl w:ilvl="1" w:tentative="0">
      <w:start w:val="1"/>
      <w:numFmt w:val="decimal"/>
      <w:lvlText w:val="%2."/>
      <w:lvlJc w:val="left"/>
      <w:pPr>
        <w:tabs>
          <w:tab w:val="left" w:pos="0"/>
        </w:tabs>
        <w:ind w:left="1253" w:hanging="420"/>
      </w:pPr>
      <w:rPr>
        <w:rFonts w:hint="eastAsia"/>
        <w:sz w:val="21"/>
        <w:szCs w:val="24"/>
      </w:rPr>
    </w:lvl>
    <w:lvl w:ilvl="2" w:tentative="0">
      <w:start w:val="1"/>
      <w:numFmt w:val="lowerRoman"/>
      <w:lvlText w:val="%3."/>
      <w:lvlJc w:val="right"/>
      <w:pPr>
        <w:tabs>
          <w:tab w:val="left" w:pos="0"/>
        </w:tabs>
        <w:ind w:left="1673" w:hanging="420"/>
      </w:pPr>
    </w:lvl>
    <w:lvl w:ilvl="3" w:tentative="0">
      <w:start w:val="1"/>
      <w:numFmt w:val="decimal"/>
      <w:lvlText w:val="%4."/>
      <w:lvlJc w:val="left"/>
      <w:pPr>
        <w:tabs>
          <w:tab w:val="left" w:pos="0"/>
        </w:tabs>
        <w:ind w:left="2093" w:hanging="420"/>
      </w:pPr>
    </w:lvl>
    <w:lvl w:ilvl="4" w:tentative="0">
      <w:start w:val="1"/>
      <w:numFmt w:val="lowerLetter"/>
      <w:lvlText w:val="%5)"/>
      <w:lvlJc w:val="left"/>
      <w:pPr>
        <w:tabs>
          <w:tab w:val="left" w:pos="0"/>
        </w:tabs>
        <w:ind w:left="2513" w:hanging="420"/>
      </w:pPr>
    </w:lvl>
    <w:lvl w:ilvl="5" w:tentative="0">
      <w:start w:val="1"/>
      <w:numFmt w:val="lowerRoman"/>
      <w:lvlText w:val="%6."/>
      <w:lvlJc w:val="right"/>
      <w:pPr>
        <w:tabs>
          <w:tab w:val="left" w:pos="0"/>
        </w:tabs>
        <w:ind w:left="2933" w:hanging="420"/>
      </w:pPr>
    </w:lvl>
    <w:lvl w:ilvl="6" w:tentative="0">
      <w:start w:val="1"/>
      <w:numFmt w:val="decimal"/>
      <w:lvlText w:val="%7."/>
      <w:lvlJc w:val="left"/>
      <w:pPr>
        <w:tabs>
          <w:tab w:val="left" w:pos="0"/>
        </w:tabs>
        <w:ind w:left="3353" w:hanging="420"/>
      </w:pPr>
    </w:lvl>
    <w:lvl w:ilvl="7" w:tentative="0">
      <w:start w:val="1"/>
      <w:numFmt w:val="lowerLetter"/>
      <w:lvlText w:val="%8)"/>
      <w:lvlJc w:val="left"/>
      <w:pPr>
        <w:tabs>
          <w:tab w:val="left" w:pos="0"/>
        </w:tabs>
        <w:ind w:left="3773" w:hanging="420"/>
      </w:pPr>
    </w:lvl>
    <w:lvl w:ilvl="8" w:tentative="0">
      <w:start w:val="1"/>
      <w:numFmt w:val="lowerRoman"/>
      <w:lvlText w:val="%9."/>
      <w:lvlJc w:val="right"/>
      <w:pPr>
        <w:tabs>
          <w:tab w:val="left" w:pos="0"/>
        </w:tabs>
        <w:ind w:left="4193" w:hanging="420"/>
      </w:pPr>
    </w:lvl>
  </w:abstractNum>
  <w:abstractNum w:abstractNumId="8">
    <w:nsid w:val="0000002F"/>
    <w:multiLevelType w:val="multilevel"/>
    <w:tmpl w:val="0000002F"/>
    <w:lvl w:ilvl="0" w:tentative="0">
      <w:start w:val="1"/>
      <w:numFmt w:val="decimal"/>
      <w:lvlText w:val="%1."/>
      <w:lvlJc w:val="left"/>
      <w:pPr>
        <w:tabs>
          <w:tab w:val="left" w:pos="0"/>
        </w:tabs>
        <w:ind w:left="420" w:hanging="420"/>
      </w:pPr>
      <w:rPr>
        <w:rFonts w:hint="eastAsia"/>
        <w:sz w:val="21"/>
        <w:szCs w:val="24"/>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9">
    <w:nsid w:val="00000033"/>
    <w:multiLevelType w:val="multilevel"/>
    <w:tmpl w:val="00000033"/>
    <w:lvl w:ilvl="0" w:tentative="0">
      <w:start w:val="1"/>
      <w:numFmt w:val="decimal"/>
      <w:lvlText w:val="%1."/>
      <w:lvlJc w:val="left"/>
      <w:pPr>
        <w:tabs>
          <w:tab w:val="left" w:pos="0"/>
        </w:tabs>
        <w:ind w:left="420" w:hanging="420"/>
      </w:pPr>
      <w:rPr>
        <w:rFonts w:hint="eastAsia"/>
        <w:sz w:val="21"/>
        <w:szCs w:val="24"/>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0">
    <w:nsid w:val="00000037"/>
    <w:multiLevelType w:val="multilevel"/>
    <w:tmpl w:val="00000037"/>
    <w:lvl w:ilvl="0" w:tentative="0">
      <w:start w:val="1"/>
      <w:numFmt w:val="decimal"/>
      <w:lvlText w:val="%1."/>
      <w:lvlJc w:val="left"/>
      <w:pPr>
        <w:tabs>
          <w:tab w:val="left" w:pos="0"/>
        </w:tabs>
        <w:ind w:left="1202" w:hanging="420"/>
      </w:pPr>
      <w:rPr>
        <w:rFonts w:hint="eastAsia"/>
        <w:sz w:val="21"/>
        <w:szCs w:val="24"/>
      </w:rPr>
    </w:lvl>
    <w:lvl w:ilvl="1" w:tentative="0">
      <w:start w:val="1"/>
      <w:numFmt w:val="lowerLetter"/>
      <w:lvlText w:val="%2)"/>
      <w:lvlJc w:val="left"/>
      <w:pPr>
        <w:tabs>
          <w:tab w:val="left" w:pos="0"/>
        </w:tabs>
        <w:ind w:left="1202" w:hanging="420"/>
      </w:pPr>
    </w:lvl>
    <w:lvl w:ilvl="2" w:tentative="0">
      <w:start w:val="1"/>
      <w:numFmt w:val="lowerRoman"/>
      <w:lvlText w:val="%3."/>
      <w:lvlJc w:val="right"/>
      <w:pPr>
        <w:tabs>
          <w:tab w:val="left" w:pos="0"/>
        </w:tabs>
        <w:ind w:left="1622" w:hanging="420"/>
      </w:pPr>
    </w:lvl>
    <w:lvl w:ilvl="3" w:tentative="0">
      <w:start w:val="1"/>
      <w:numFmt w:val="decimal"/>
      <w:lvlText w:val="%4."/>
      <w:lvlJc w:val="left"/>
      <w:pPr>
        <w:tabs>
          <w:tab w:val="left" w:pos="0"/>
        </w:tabs>
        <w:ind w:left="2042" w:hanging="420"/>
      </w:pPr>
    </w:lvl>
    <w:lvl w:ilvl="4" w:tentative="0">
      <w:start w:val="1"/>
      <w:numFmt w:val="lowerLetter"/>
      <w:lvlText w:val="%5)"/>
      <w:lvlJc w:val="left"/>
      <w:pPr>
        <w:tabs>
          <w:tab w:val="left" w:pos="0"/>
        </w:tabs>
        <w:ind w:left="2462" w:hanging="420"/>
      </w:pPr>
    </w:lvl>
    <w:lvl w:ilvl="5" w:tentative="0">
      <w:start w:val="1"/>
      <w:numFmt w:val="lowerRoman"/>
      <w:lvlText w:val="%6."/>
      <w:lvlJc w:val="right"/>
      <w:pPr>
        <w:tabs>
          <w:tab w:val="left" w:pos="0"/>
        </w:tabs>
        <w:ind w:left="2882" w:hanging="420"/>
      </w:pPr>
    </w:lvl>
    <w:lvl w:ilvl="6" w:tentative="0">
      <w:start w:val="1"/>
      <w:numFmt w:val="decimal"/>
      <w:lvlText w:val="%7."/>
      <w:lvlJc w:val="left"/>
      <w:pPr>
        <w:tabs>
          <w:tab w:val="left" w:pos="0"/>
        </w:tabs>
        <w:ind w:left="3302" w:hanging="420"/>
      </w:pPr>
    </w:lvl>
    <w:lvl w:ilvl="7" w:tentative="0">
      <w:start w:val="1"/>
      <w:numFmt w:val="lowerLetter"/>
      <w:lvlText w:val="%8)"/>
      <w:lvlJc w:val="left"/>
      <w:pPr>
        <w:tabs>
          <w:tab w:val="left" w:pos="0"/>
        </w:tabs>
        <w:ind w:left="3722" w:hanging="420"/>
      </w:pPr>
    </w:lvl>
    <w:lvl w:ilvl="8" w:tentative="0">
      <w:start w:val="1"/>
      <w:numFmt w:val="lowerRoman"/>
      <w:lvlText w:val="%9."/>
      <w:lvlJc w:val="right"/>
      <w:pPr>
        <w:tabs>
          <w:tab w:val="left" w:pos="0"/>
        </w:tabs>
        <w:ind w:left="4142" w:hanging="420"/>
      </w:pPr>
    </w:lvl>
  </w:abstractNum>
  <w:abstractNum w:abstractNumId="11">
    <w:nsid w:val="3049153C"/>
    <w:multiLevelType w:val="multilevel"/>
    <w:tmpl w:val="3049153C"/>
    <w:lvl w:ilvl="0" w:tentative="0">
      <w:start w:val="1"/>
      <w:numFmt w:val="decimal"/>
      <w:lvlText w:val="（%1）"/>
      <w:lvlJc w:val="left"/>
      <w:pPr>
        <w:tabs>
          <w:tab w:val="left" w:pos="0"/>
        </w:tabs>
        <w:ind w:left="1140" w:hanging="720"/>
      </w:pPr>
      <w:rPr>
        <w:rFonts w:hint="default"/>
      </w:rPr>
    </w:lvl>
    <w:lvl w:ilvl="1" w:tentative="0">
      <w:start w:val="1"/>
      <w:numFmt w:val="lowerLetter"/>
      <w:lvlText w:val="%2)"/>
      <w:lvlJc w:val="left"/>
      <w:pPr>
        <w:tabs>
          <w:tab w:val="left" w:pos="0"/>
        </w:tabs>
        <w:ind w:left="1260" w:hanging="420"/>
      </w:p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94"/>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493D36F3"/>
    <w:multiLevelType w:val="singleLevel"/>
    <w:tmpl w:val="493D36F3"/>
    <w:lvl w:ilvl="0" w:tentative="0">
      <w:start w:val="1"/>
      <w:numFmt w:val="chineseCounting"/>
      <w:suff w:val="nothing"/>
      <w:lvlText w:val="%1、"/>
      <w:lvlJc w:val="left"/>
      <w:rPr>
        <w:rFonts w:hint="eastAsia"/>
      </w:rPr>
    </w:lvl>
  </w:abstractNum>
  <w:abstractNum w:abstractNumId="14">
    <w:nsid w:val="59885D11"/>
    <w:multiLevelType w:val="singleLevel"/>
    <w:tmpl w:val="59885D11"/>
    <w:lvl w:ilvl="0" w:tentative="0">
      <w:start w:val="1"/>
      <w:numFmt w:val="decimal"/>
      <w:pStyle w:val="13"/>
      <w:lvlText w:val="%1."/>
      <w:lvlJc w:val="left"/>
      <w:pPr>
        <w:tabs>
          <w:tab w:val="left" w:pos="0"/>
        </w:tabs>
        <w:ind w:left="360" w:hanging="360"/>
      </w:pPr>
    </w:lvl>
  </w:abstractNum>
  <w:abstractNum w:abstractNumId="15">
    <w:nsid w:val="675A358A"/>
    <w:multiLevelType w:val="multilevel"/>
    <w:tmpl w:val="675A358A"/>
    <w:lvl w:ilvl="0" w:tentative="0">
      <w:start w:val="1"/>
      <w:numFmt w:val="decimal"/>
      <w:lvlText w:val="%1)"/>
      <w:lvlJc w:val="left"/>
      <w:pPr>
        <w:tabs>
          <w:tab w:val="left" w:pos="0"/>
        </w:tabs>
        <w:ind w:left="987" w:hanging="420"/>
      </w:pPr>
    </w:lvl>
    <w:lvl w:ilvl="1" w:tentative="0">
      <w:start w:val="1"/>
      <w:numFmt w:val="lowerLetter"/>
      <w:lvlText w:val="%2)"/>
      <w:lvlJc w:val="left"/>
      <w:pPr>
        <w:tabs>
          <w:tab w:val="left" w:pos="0"/>
        </w:tabs>
        <w:ind w:left="1407" w:hanging="420"/>
      </w:pPr>
    </w:lvl>
    <w:lvl w:ilvl="2" w:tentative="0">
      <w:start w:val="1"/>
      <w:numFmt w:val="lowerRoman"/>
      <w:lvlText w:val="%3."/>
      <w:lvlJc w:val="right"/>
      <w:pPr>
        <w:tabs>
          <w:tab w:val="left" w:pos="0"/>
        </w:tabs>
        <w:ind w:left="1827" w:hanging="420"/>
      </w:pPr>
    </w:lvl>
    <w:lvl w:ilvl="3" w:tentative="0">
      <w:start w:val="1"/>
      <w:numFmt w:val="decimal"/>
      <w:lvlText w:val="%4."/>
      <w:lvlJc w:val="left"/>
      <w:pPr>
        <w:tabs>
          <w:tab w:val="left" w:pos="0"/>
        </w:tabs>
        <w:ind w:left="2247" w:hanging="420"/>
      </w:pPr>
    </w:lvl>
    <w:lvl w:ilvl="4" w:tentative="0">
      <w:start w:val="1"/>
      <w:numFmt w:val="lowerLetter"/>
      <w:lvlText w:val="%5)"/>
      <w:lvlJc w:val="left"/>
      <w:pPr>
        <w:tabs>
          <w:tab w:val="left" w:pos="0"/>
        </w:tabs>
        <w:ind w:left="2667" w:hanging="420"/>
      </w:pPr>
    </w:lvl>
    <w:lvl w:ilvl="5" w:tentative="0">
      <w:start w:val="1"/>
      <w:numFmt w:val="lowerRoman"/>
      <w:lvlText w:val="%6."/>
      <w:lvlJc w:val="right"/>
      <w:pPr>
        <w:tabs>
          <w:tab w:val="left" w:pos="0"/>
        </w:tabs>
        <w:ind w:left="3087" w:hanging="420"/>
      </w:pPr>
    </w:lvl>
    <w:lvl w:ilvl="6" w:tentative="0">
      <w:start w:val="1"/>
      <w:numFmt w:val="decimal"/>
      <w:lvlText w:val="%7."/>
      <w:lvlJc w:val="left"/>
      <w:pPr>
        <w:tabs>
          <w:tab w:val="left" w:pos="0"/>
        </w:tabs>
        <w:ind w:left="3507" w:hanging="420"/>
      </w:pPr>
    </w:lvl>
    <w:lvl w:ilvl="7" w:tentative="0">
      <w:start w:val="1"/>
      <w:numFmt w:val="lowerLetter"/>
      <w:lvlText w:val="%8)"/>
      <w:lvlJc w:val="left"/>
      <w:pPr>
        <w:tabs>
          <w:tab w:val="left" w:pos="0"/>
        </w:tabs>
        <w:ind w:left="3927" w:hanging="420"/>
      </w:pPr>
    </w:lvl>
    <w:lvl w:ilvl="8" w:tentative="0">
      <w:start w:val="1"/>
      <w:numFmt w:val="lowerRoman"/>
      <w:lvlText w:val="%9."/>
      <w:lvlJc w:val="right"/>
      <w:pPr>
        <w:tabs>
          <w:tab w:val="left" w:pos="0"/>
        </w:tabs>
        <w:ind w:left="4347" w:hanging="420"/>
      </w:pPr>
    </w:lvl>
  </w:abstractNum>
  <w:abstractNum w:abstractNumId="16">
    <w:nsid w:val="6EEF1B5E"/>
    <w:multiLevelType w:val="multilevel"/>
    <w:tmpl w:val="6EEF1B5E"/>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4"/>
  </w:num>
  <w:num w:numId="2">
    <w:abstractNumId w:val="12"/>
  </w:num>
  <w:num w:numId="3">
    <w:abstractNumId w:val="15"/>
  </w:num>
  <w:num w:numId="4">
    <w:abstractNumId w:val="0"/>
  </w:num>
  <w:num w:numId="5">
    <w:abstractNumId w:val="11"/>
  </w:num>
  <w:num w:numId="6">
    <w:abstractNumId w:val="16"/>
  </w:num>
  <w:num w:numId="7">
    <w:abstractNumId w:val="7"/>
  </w:num>
  <w:num w:numId="8">
    <w:abstractNumId w:val="4"/>
  </w:num>
  <w:num w:numId="9">
    <w:abstractNumId w:val="3"/>
  </w:num>
  <w:num w:numId="10">
    <w:abstractNumId w:val="6"/>
  </w:num>
  <w:num w:numId="11">
    <w:abstractNumId w:val="1"/>
  </w:num>
  <w:num w:numId="12">
    <w:abstractNumId w:val="9"/>
  </w:num>
  <w:num w:numId="13">
    <w:abstractNumId w:val="8"/>
  </w:num>
  <w:num w:numId="14">
    <w:abstractNumId w:val="2"/>
  </w:num>
  <w:num w:numId="15">
    <w:abstractNumId w:val="5"/>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trackRevisions w:val="1"/>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MDNmMjIxZGUwNGFkMTNhYzdkNDY4NGMwMmRlNzQifQ=="/>
  </w:docVars>
  <w:rsids>
    <w:rsidRoot w:val="00EA7D55"/>
    <w:rsid w:val="00001A09"/>
    <w:rsid w:val="00007260"/>
    <w:rsid w:val="00016CDB"/>
    <w:rsid w:val="00031CBA"/>
    <w:rsid w:val="00040B6D"/>
    <w:rsid w:val="00041442"/>
    <w:rsid w:val="00042A3B"/>
    <w:rsid w:val="00043234"/>
    <w:rsid w:val="00047CFE"/>
    <w:rsid w:val="00050FEA"/>
    <w:rsid w:val="000632BD"/>
    <w:rsid w:val="00064BBD"/>
    <w:rsid w:val="00066D30"/>
    <w:rsid w:val="000675CA"/>
    <w:rsid w:val="00071494"/>
    <w:rsid w:val="000724FE"/>
    <w:rsid w:val="0007291F"/>
    <w:rsid w:val="0007519D"/>
    <w:rsid w:val="0007754A"/>
    <w:rsid w:val="00083B68"/>
    <w:rsid w:val="000A2475"/>
    <w:rsid w:val="000A254D"/>
    <w:rsid w:val="000B14DC"/>
    <w:rsid w:val="000B2337"/>
    <w:rsid w:val="000B302D"/>
    <w:rsid w:val="000B60CD"/>
    <w:rsid w:val="000C1855"/>
    <w:rsid w:val="000C3441"/>
    <w:rsid w:val="000C60D1"/>
    <w:rsid w:val="000D02DA"/>
    <w:rsid w:val="000D3F6C"/>
    <w:rsid w:val="000D4FE2"/>
    <w:rsid w:val="000E4B54"/>
    <w:rsid w:val="000E7B07"/>
    <w:rsid w:val="000F1109"/>
    <w:rsid w:val="000F6113"/>
    <w:rsid w:val="000F643A"/>
    <w:rsid w:val="00110B5D"/>
    <w:rsid w:val="0011123D"/>
    <w:rsid w:val="00117AE8"/>
    <w:rsid w:val="00123926"/>
    <w:rsid w:val="0012502A"/>
    <w:rsid w:val="001262D8"/>
    <w:rsid w:val="001302D2"/>
    <w:rsid w:val="00140004"/>
    <w:rsid w:val="0014171D"/>
    <w:rsid w:val="0014253C"/>
    <w:rsid w:val="00143226"/>
    <w:rsid w:val="00164345"/>
    <w:rsid w:val="00175A09"/>
    <w:rsid w:val="00197BB6"/>
    <w:rsid w:val="001A1777"/>
    <w:rsid w:val="001A5834"/>
    <w:rsid w:val="001A7638"/>
    <w:rsid w:val="001B5918"/>
    <w:rsid w:val="001B6765"/>
    <w:rsid w:val="001C24CF"/>
    <w:rsid w:val="001D52F9"/>
    <w:rsid w:val="001E0D41"/>
    <w:rsid w:val="001E32FE"/>
    <w:rsid w:val="001E6650"/>
    <w:rsid w:val="001F3B0D"/>
    <w:rsid w:val="001F7C87"/>
    <w:rsid w:val="001F7D54"/>
    <w:rsid w:val="002041E7"/>
    <w:rsid w:val="00213D93"/>
    <w:rsid w:val="00216A19"/>
    <w:rsid w:val="0022679F"/>
    <w:rsid w:val="00226CF4"/>
    <w:rsid w:val="002342D6"/>
    <w:rsid w:val="002352A0"/>
    <w:rsid w:val="0024076C"/>
    <w:rsid w:val="002460CB"/>
    <w:rsid w:val="002622C1"/>
    <w:rsid w:val="00263122"/>
    <w:rsid w:val="00271718"/>
    <w:rsid w:val="002757A8"/>
    <w:rsid w:val="00281A5E"/>
    <w:rsid w:val="00283899"/>
    <w:rsid w:val="00287561"/>
    <w:rsid w:val="00294C4C"/>
    <w:rsid w:val="002955B9"/>
    <w:rsid w:val="002975D4"/>
    <w:rsid w:val="002A284E"/>
    <w:rsid w:val="002A77E4"/>
    <w:rsid w:val="002B64A9"/>
    <w:rsid w:val="002D002F"/>
    <w:rsid w:val="002D0963"/>
    <w:rsid w:val="002D105D"/>
    <w:rsid w:val="002E372C"/>
    <w:rsid w:val="002E4020"/>
    <w:rsid w:val="002E7352"/>
    <w:rsid w:val="002F153D"/>
    <w:rsid w:val="00300115"/>
    <w:rsid w:val="003047BE"/>
    <w:rsid w:val="003102B7"/>
    <w:rsid w:val="00323273"/>
    <w:rsid w:val="00332574"/>
    <w:rsid w:val="00333107"/>
    <w:rsid w:val="00342A65"/>
    <w:rsid w:val="00351530"/>
    <w:rsid w:val="003644B0"/>
    <w:rsid w:val="00365816"/>
    <w:rsid w:val="003A3368"/>
    <w:rsid w:val="003A57C2"/>
    <w:rsid w:val="003B6D58"/>
    <w:rsid w:val="003C0C19"/>
    <w:rsid w:val="003C4BD7"/>
    <w:rsid w:val="003C50EB"/>
    <w:rsid w:val="003D03F4"/>
    <w:rsid w:val="0040551C"/>
    <w:rsid w:val="00406080"/>
    <w:rsid w:val="004135A9"/>
    <w:rsid w:val="00414C8C"/>
    <w:rsid w:val="00415EDC"/>
    <w:rsid w:val="00437969"/>
    <w:rsid w:val="00441A63"/>
    <w:rsid w:val="00441CE3"/>
    <w:rsid w:val="00442535"/>
    <w:rsid w:val="00446B11"/>
    <w:rsid w:val="00460CD1"/>
    <w:rsid w:val="00460FFB"/>
    <w:rsid w:val="00471CF5"/>
    <w:rsid w:val="004736EC"/>
    <w:rsid w:val="00484DFE"/>
    <w:rsid w:val="00491A9F"/>
    <w:rsid w:val="004A3904"/>
    <w:rsid w:val="004A3B01"/>
    <w:rsid w:val="004B0F5C"/>
    <w:rsid w:val="004D372E"/>
    <w:rsid w:val="004D49B3"/>
    <w:rsid w:val="004E3430"/>
    <w:rsid w:val="004E5B09"/>
    <w:rsid w:val="004E6F43"/>
    <w:rsid w:val="004F19AA"/>
    <w:rsid w:val="004F2A90"/>
    <w:rsid w:val="00507E30"/>
    <w:rsid w:val="00515C7E"/>
    <w:rsid w:val="005220EA"/>
    <w:rsid w:val="005239BE"/>
    <w:rsid w:val="00525345"/>
    <w:rsid w:val="00532D6F"/>
    <w:rsid w:val="005418A9"/>
    <w:rsid w:val="00544867"/>
    <w:rsid w:val="00546B6C"/>
    <w:rsid w:val="0055612D"/>
    <w:rsid w:val="0056316D"/>
    <w:rsid w:val="0056348E"/>
    <w:rsid w:val="00563715"/>
    <w:rsid w:val="00564DB3"/>
    <w:rsid w:val="0056680A"/>
    <w:rsid w:val="00567726"/>
    <w:rsid w:val="00572FB4"/>
    <w:rsid w:val="00573444"/>
    <w:rsid w:val="00577E62"/>
    <w:rsid w:val="0058776D"/>
    <w:rsid w:val="005916E0"/>
    <w:rsid w:val="00593933"/>
    <w:rsid w:val="00595F50"/>
    <w:rsid w:val="005A3E94"/>
    <w:rsid w:val="005A4086"/>
    <w:rsid w:val="005A472D"/>
    <w:rsid w:val="005A53D1"/>
    <w:rsid w:val="005A7417"/>
    <w:rsid w:val="005B29B5"/>
    <w:rsid w:val="005B3121"/>
    <w:rsid w:val="005B3E2E"/>
    <w:rsid w:val="005B5BC8"/>
    <w:rsid w:val="005C3BC0"/>
    <w:rsid w:val="005C4FDA"/>
    <w:rsid w:val="005D142C"/>
    <w:rsid w:val="005D1540"/>
    <w:rsid w:val="005D62E9"/>
    <w:rsid w:val="005D6CA4"/>
    <w:rsid w:val="005E2E5D"/>
    <w:rsid w:val="005E472F"/>
    <w:rsid w:val="005E7519"/>
    <w:rsid w:val="005E76BA"/>
    <w:rsid w:val="00607079"/>
    <w:rsid w:val="00611D0D"/>
    <w:rsid w:val="00611E18"/>
    <w:rsid w:val="0061376C"/>
    <w:rsid w:val="0061445D"/>
    <w:rsid w:val="006228FE"/>
    <w:rsid w:val="00623E6E"/>
    <w:rsid w:val="006303AE"/>
    <w:rsid w:val="006475AD"/>
    <w:rsid w:val="00655363"/>
    <w:rsid w:val="006634A6"/>
    <w:rsid w:val="00667C72"/>
    <w:rsid w:val="00675961"/>
    <w:rsid w:val="00676020"/>
    <w:rsid w:val="006763F9"/>
    <w:rsid w:val="0068647F"/>
    <w:rsid w:val="006867FD"/>
    <w:rsid w:val="006A493F"/>
    <w:rsid w:val="006A4E64"/>
    <w:rsid w:val="006A56DA"/>
    <w:rsid w:val="006A613E"/>
    <w:rsid w:val="006B573A"/>
    <w:rsid w:val="006B583E"/>
    <w:rsid w:val="006B7068"/>
    <w:rsid w:val="006B74B5"/>
    <w:rsid w:val="006C101A"/>
    <w:rsid w:val="006C3107"/>
    <w:rsid w:val="006C4268"/>
    <w:rsid w:val="006C5517"/>
    <w:rsid w:val="006C7D1E"/>
    <w:rsid w:val="006D132B"/>
    <w:rsid w:val="006D1875"/>
    <w:rsid w:val="006D2FA4"/>
    <w:rsid w:val="006D44CC"/>
    <w:rsid w:val="006D5EFD"/>
    <w:rsid w:val="006E414C"/>
    <w:rsid w:val="006E430B"/>
    <w:rsid w:val="00705F33"/>
    <w:rsid w:val="0070642C"/>
    <w:rsid w:val="00706877"/>
    <w:rsid w:val="0071452F"/>
    <w:rsid w:val="00716DAB"/>
    <w:rsid w:val="00725C8D"/>
    <w:rsid w:val="0072715B"/>
    <w:rsid w:val="00727D47"/>
    <w:rsid w:val="007312A8"/>
    <w:rsid w:val="0073374B"/>
    <w:rsid w:val="007358D2"/>
    <w:rsid w:val="00736215"/>
    <w:rsid w:val="00746C5F"/>
    <w:rsid w:val="0076570E"/>
    <w:rsid w:val="00765CE6"/>
    <w:rsid w:val="007663A3"/>
    <w:rsid w:val="00774A18"/>
    <w:rsid w:val="00777386"/>
    <w:rsid w:val="00781BF9"/>
    <w:rsid w:val="00784618"/>
    <w:rsid w:val="007960B4"/>
    <w:rsid w:val="007A5853"/>
    <w:rsid w:val="007B2F90"/>
    <w:rsid w:val="007B47E7"/>
    <w:rsid w:val="007D1313"/>
    <w:rsid w:val="007D1A7B"/>
    <w:rsid w:val="007D3C41"/>
    <w:rsid w:val="007D54DD"/>
    <w:rsid w:val="007E1335"/>
    <w:rsid w:val="007E3051"/>
    <w:rsid w:val="007E3165"/>
    <w:rsid w:val="007F015D"/>
    <w:rsid w:val="007F1D43"/>
    <w:rsid w:val="007F70C1"/>
    <w:rsid w:val="007F7102"/>
    <w:rsid w:val="00800D5C"/>
    <w:rsid w:val="008147A4"/>
    <w:rsid w:val="00821C98"/>
    <w:rsid w:val="008305F9"/>
    <w:rsid w:val="00832F4A"/>
    <w:rsid w:val="008358FF"/>
    <w:rsid w:val="00843AB3"/>
    <w:rsid w:val="00846D08"/>
    <w:rsid w:val="008476BF"/>
    <w:rsid w:val="008532D9"/>
    <w:rsid w:val="008606BF"/>
    <w:rsid w:val="0086101A"/>
    <w:rsid w:val="00861CE1"/>
    <w:rsid w:val="0086428C"/>
    <w:rsid w:val="0086671F"/>
    <w:rsid w:val="008672F0"/>
    <w:rsid w:val="00874373"/>
    <w:rsid w:val="0087625F"/>
    <w:rsid w:val="008849BD"/>
    <w:rsid w:val="008865F2"/>
    <w:rsid w:val="00894421"/>
    <w:rsid w:val="00895798"/>
    <w:rsid w:val="008A3B66"/>
    <w:rsid w:val="008B1C6B"/>
    <w:rsid w:val="008B7FAA"/>
    <w:rsid w:val="008C4131"/>
    <w:rsid w:val="008C5CD1"/>
    <w:rsid w:val="008D47FB"/>
    <w:rsid w:val="008D788A"/>
    <w:rsid w:val="008E2B8F"/>
    <w:rsid w:val="008E7E08"/>
    <w:rsid w:val="008F3F9C"/>
    <w:rsid w:val="0090292D"/>
    <w:rsid w:val="009131E1"/>
    <w:rsid w:val="00914EB8"/>
    <w:rsid w:val="0093491D"/>
    <w:rsid w:val="0093530A"/>
    <w:rsid w:val="00941DCD"/>
    <w:rsid w:val="00943EB2"/>
    <w:rsid w:val="00944E18"/>
    <w:rsid w:val="00947A1B"/>
    <w:rsid w:val="0095603D"/>
    <w:rsid w:val="00957C43"/>
    <w:rsid w:val="009607AC"/>
    <w:rsid w:val="009667CE"/>
    <w:rsid w:val="0097081D"/>
    <w:rsid w:val="00971050"/>
    <w:rsid w:val="00973440"/>
    <w:rsid w:val="009807B7"/>
    <w:rsid w:val="00982958"/>
    <w:rsid w:val="009838BE"/>
    <w:rsid w:val="00990CEC"/>
    <w:rsid w:val="00991A17"/>
    <w:rsid w:val="009B456B"/>
    <w:rsid w:val="009B63C3"/>
    <w:rsid w:val="009B63EE"/>
    <w:rsid w:val="009C0780"/>
    <w:rsid w:val="009D01FB"/>
    <w:rsid w:val="009D4A18"/>
    <w:rsid w:val="00A02CC7"/>
    <w:rsid w:val="00A06404"/>
    <w:rsid w:val="00A074BC"/>
    <w:rsid w:val="00A139B0"/>
    <w:rsid w:val="00A2538E"/>
    <w:rsid w:val="00A3411F"/>
    <w:rsid w:val="00A43ACA"/>
    <w:rsid w:val="00A44256"/>
    <w:rsid w:val="00A812AE"/>
    <w:rsid w:val="00A816F9"/>
    <w:rsid w:val="00A81892"/>
    <w:rsid w:val="00A8205D"/>
    <w:rsid w:val="00A93346"/>
    <w:rsid w:val="00A93BFE"/>
    <w:rsid w:val="00A95617"/>
    <w:rsid w:val="00A96C0A"/>
    <w:rsid w:val="00A96DA6"/>
    <w:rsid w:val="00A97102"/>
    <w:rsid w:val="00AB275D"/>
    <w:rsid w:val="00AB330B"/>
    <w:rsid w:val="00AB5A89"/>
    <w:rsid w:val="00AC61AF"/>
    <w:rsid w:val="00AD33AD"/>
    <w:rsid w:val="00AE2234"/>
    <w:rsid w:val="00AE6792"/>
    <w:rsid w:val="00AE6A7F"/>
    <w:rsid w:val="00AF2E8A"/>
    <w:rsid w:val="00AF358C"/>
    <w:rsid w:val="00B268A7"/>
    <w:rsid w:val="00B3396F"/>
    <w:rsid w:val="00B36E21"/>
    <w:rsid w:val="00B42EA6"/>
    <w:rsid w:val="00B46D50"/>
    <w:rsid w:val="00B54C98"/>
    <w:rsid w:val="00B55F4A"/>
    <w:rsid w:val="00B639AA"/>
    <w:rsid w:val="00B67543"/>
    <w:rsid w:val="00B70F55"/>
    <w:rsid w:val="00B72BD6"/>
    <w:rsid w:val="00B7391B"/>
    <w:rsid w:val="00B77563"/>
    <w:rsid w:val="00B85408"/>
    <w:rsid w:val="00B87EB6"/>
    <w:rsid w:val="00B91A25"/>
    <w:rsid w:val="00B92582"/>
    <w:rsid w:val="00B94286"/>
    <w:rsid w:val="00B965A9"/>
    <w:rsid w:val="00BA08B2"/>
    <w:rsid w:val="00BA10CE"/>
    <w:rsid w:val="00BB6179"/>
    <w:rsid w:val="00BB7AE6"/>
    <w:rsid w:val="00BD73D6"/>
    <w:rsid w:val="00BF3A1D"/>
    <w:rsid w:val="00C017C2"/>
    <w:rsid w:val="00C041C7"/>
    <w:rsid w:val="00C04AE4"/>
    <w:rsid w:val="00C12B5D"/>
    <w:rsid w:val="00C142FC"/>
    <w:rsid w:val="00C148A9"/>
    <w:rsid w:val="00C23007"/>
    <w:rsid w:val="00C247C8"/>
    <w:rsid w:val="00C27965"/>
    <w:rsid w:val="00C35257"/>
    <w:rsid w:val="00C403F3"/>
    <w:rsid w:val="00C63D0A"/>
    <w:rsid w:val="00C72610"/>
    <w:rsid w:val="00C72758"/>
    <w:rsid w:val="00C95C9A"/>
    <w:rsid w:val="00C97F56"/>
    <w:rsid w:val="00CA4C9B"/>
    <w:rsid w:val="00CB0180"/>
    <w:rsid w:val="00CB7093"/>
    <w:rsid w:val="00CC08AD"/>
    <w:rsid w:val="00CC2046"/>
    <w:rsid w:val="00CC7E58"/>
    <w:rsid w:val="00CD5719"/>
    <w:rsid w:val="00CD57C9"/>
    <w:rsid w:val="00CE5DA8"/>
    <w:rsid w:val="00CF25BB"/>
    <w:rsid w:val="00CF713D"/>
    <w:rsid w:val="00D03213"/>
    <w:rsid w:val="00D03C7D"/>
    <w:rsid w:val="00D04096"/>
    <w:rsid w:val="00D057C2"/>
    <w:rsid w:val="00D064C7"/>
    <w:rsid w:val="00D1590A"/>
    <w:rsid w:val="00D26217"/>
    <w:rsid w:val="00D30F22"/>
    <w:rsid w:val="00D514FB"/>
    <w:rsid w:val="00D51966"/>
    <w:rsid w:val="00D61FD3"/>
    <w:rsid w:val="00D63772"/>
    <w:rsid w:val="00D64202"/>
    <w:rsid w:val="00D65C58"/>
    <w:rsid w:val="00D72979"/>
    <w:rsid w:val="00D72FE0"/>
    <w:rsid w:val="00D826D2"/>
    <w:rsid w:val="00D84889"/>
    <w:rsid w:val="00DA5A76"/>
    <w:rsid w:val="00DA5C0F"/>
    <w:rsid w:val="00DA6572"/>
    <w:rsid w:val="00DB722B"/>
    <w:rsid w:val="00DC1038"/>
    <w:rsid w:val="00DC3A12"/>
    <w:rsid w:val="00DE03AF"/>
    <w:rsid w:val="00DE0E5C"/>
    <w:rsid w:val="00DE17B7"/>
    <w:rsid w:val="00DE2469"/>
    <w:rsid w:val="00DE5FC8"/>
    <w:rsid w:val="00DE7670"/>
    <w:rsid w:val="00DF1C55"/>
    <w:rsid w:val="00E004C9"/>
    <w:rsid w:val="00E01E35"/>
    <w:rsid w:val="00E03F91"/>
    <w:rsid w:val="00E07740"/>
    <w:rsid w:val="00E079EB"/>
    <w:rsid w:val="00E16F21"/>
    <w:rsid w:val="00E32337"/>
    <w:rsid w:val="00E32802"/>
    <w:rsid w:val="00E36199"/>
    <w:rsid w:val="00E41288"/>
    <w:rsid w:val="00E47C5B"/>
    <w:rsid w:val="00E504A6"/>
    <w:rsid w:val="00E52AE0"/>
    <w:rsid w:val="00E60EFF"/>
    <w:rsid w:val="00E71A24"/>
    <w:rsid w:val="00E7617F"/>
    <w:rsid w:val="00E90317"/>
    <w:rsid w:val="00E91E1E"/>
    <w:rsid w:val="00EA6BDE"/>
    <w:rsid w:val="00EA7D55"/>
    <w:rsid w:val="00EC1E35"/>
    <w:rsid w:val="00EC7CBE"/>
    <w:rsid w:val="00EC7CBF"/>
    <w:rsid w:val="00EE351D"/>
    <w:rsid w:val="00EE35EF"/>
    <w:rsid w:val="00EF4B6B"/>
    <w:rsid w:val="00EF6E3B"/>
    <w:rsid w:val="00F00979"/>
    <w:rsid w:val="00F04A29"/>
    <w:rsid w:val="00F04F57"/>
    <w:rsid w:val="00F05269"/>
    <w:rsid w:val="00F07BF8"/>
    <w:rsid w:val="00F07D44"/>
    <w:rsid w:val="00F12F78"/>
    <w:rsid w:val="00F179C0"/>
    <w:rsid w:val="00F261AC"/>
    <w:rsid w:val="00F3065C"/>
    <w:rsid w:val="00F31387"/>
    <w:rsid w:val="00F3421A"/>
    <w:rsid w:val="00F41E29"/>
    <w:rsid w:val="00F42B05"/>
    <w:rsid w:val="00F46E23"/>
    <w:rsid w:val="00F50C1A"/>
    <w:rsid w:val="00F514C6"/>
    <w:rsid w:val="00F51769"/>
    <w:rsid w:val="00F52915"/>
    <w:rsid w:val="00F53B29"/>
    <w:rsid w:val="00F54991"/>
    <w:rsid w:val="00F55022"/>
    <w:rsid w:val="00F64ECF"/>
    <w:rsid w:val="00F667F1"/>
    <w:rsid w:val="00F706FF"/>
    <w:rsid w:val="00F92BBE"/>
    <w:rsid w:val="00F941E7"/>
    <w:rsid w:val="00F9439E"/>
    <w:rsid w:val="00F96922"/>
    <w:rsid w:val="00FA0F09"/>
    <w:rsid w:val="00FA261B"/>
    <w:rsid w:val="00FA2A13"/>
    <w:rsid w:val="00FA5017"/>
    <w:rsid w:val="00FA71D0"/>
    <w:rsid w:val="00FA7849"/>
    <w:rsid w:val="00FB5985"/>
    <w:rsid w:val="00FB603B"/>
    <w:rsid w:val="00FB6A88"/>
    <w:rsid w:val="00FC0880"/>
    <w:rsid w:val="00FC79B2"/>
    <w:rsid w:val="00FD12D3"/>
    <w:rsid w:val="00FD58DF"/>
    <w:rsid w:val="00FE6B50"/>
    <w:rsid w:val="00FE792A"/>
    <w:rsid w:val="00FF7E28"/>
    <w:rsid w:val="01067D94"/>
    <w:rsid w:val="0127161C"/>
    <w:rsid w:val="01652605"/>
    <w:rsid w:val="01A24DB4"/>
    <w:rsid w:val="01AA552D"/>
    <w:rsid w:val="01E16C01"/>
    <w:rsid w:val="01F36E01"/>
    <w:rsid w:val="0284231A"/>
    <w:rsid w:val="02AD0F4B"/>
    <w:rsid w:val="02B81FC4"/>
    <w:rsid w:val="02E815C4"/>
    <w:rsid w:val="02EA50E9"/>
    <w:rsid w:val="033065C3"/>
    <w:rsid w:val="036B5E9E"/>
    <w:rsid w:val="04141A12"/>
    <w:rsid w:val="04426F10"/>
    <w:rsid w:val="04616988"/>
    <w:rsid w:val="04814D63"/>
    <w:rsid w:val="04834CDF"/>
    <w:rsid w:val="04CE4AB8"/>
    <w:rsid w:val="04DE344A"/>
    <w:rsid w:val="054162A1"/>
    <w:rsid w:val="05426126"/>
    <w:rsid w:val="05657C44"/>
    <w:rsid w:val="058639EC"/>
    <w:rsid w:val="05E42F70"/>
    <w:rsid w:val="06150AB2"/>
    <w:rsid w:val="061E1F54"/>
    <w:rsid w:val="062F7FB7"/>
    <w:rsid w:val="067153BB"/>
    <w:rsid w:val="072D4CE7"/>
    <w:rsid w:val="082F229D"/>
    <w:rsid w:val="085E716A"/>
    <w:rsid w:val="08745777"/>
    <w:rsid w:val="08BD6586"/>
    <w:rsid w:val="08D23CD9"/>
    <w:rsid w:val="097D62A3"/>
    <w:rsid w:val="09B434E5"/>
    <w:rsid w:val="09C11C07"/>
    <w:rsid w:val="09E831F6"/>
    <w:rsid w:val="0A9C0482"/>
    <w:rsid w:val="0B174F49"/>
    <w:rsid w:val="0B3642F2"/>
    <w:rsid w:val="0BA06DED"/>
    <w:rsid w:val="0BC320BB"/>
    <w:rsid w:val="0BC9065C"/>
    <w:rsid w:val="0BD85E41"/>
    <w:rsid w:val="0C145AF7"/>
    <w:rsid w:val="0C1E206C"/>
    <w:rsid w:val="0C5E6557"/>
    <w:rsid w:val="0CBD317E"/>
    <w:rsid w:val="0D0143C3"/>
    <w:rsid w:val="0D0A5FDF"/>
    <w:rsid w:val="0D2B618D"/>
    <w:rsid w:val="0DEE6EC7"/>
    <w:rsid w:val="0E4F14B3"/>
    <w:rsid w:val="0E5D22E7"/>
    <w:rsid w:val="0E736CBA"/>
    <w:rsid w:val="0EBA75E4"/>
    <w:rsid w:val="0EE523F3"/>
    <w:rsid w:val="0F207E69"/>
    <w:rsid w:val="0F664825"/>
    <w:rsid w:val="0F713B43"/>
    <w:rsid w:val="0FAB44ED"/>
    <w:rsid w:val="0FAC441D"/>
    <w:rsid w:val="100C584C"/>
    <w:rsid w:val="101D01EA"/>
    <w:rsid w:val="10442EE1"/>
    <w:rsid w:val="106E1C0C"/>
    <w:rsid w:val="113E54C8"/>
    <w:rsid w:val="11644A98"/>
    <w:rsid w:val="11935EF3"/>
    <w:rsid w:val="11EE2F03"/>
    <w:rsid w:val="12171EBB"/>
    <w:rsid w:val="12231C09"/>
    <w:rsid w:val="12477DEB"/>
    <w:rsid w:val="125A7B91"/>
    <w:rsid w:val="12704F15"/>
    <w:rsid w:val="12810641"/>
    <w:rsid w:val="12D326A2"/>
    <w:rsid w:val="12E4543B"/>
    <w:rsid w:val="130710E3"/>
    <w:rsid w:val="132C4D06"/>
    <w:rsid w:val="135577EE"/>
    <w:rsid w:val="136900F1"/>
    <w:rsid w:val="13B10A95"/>
    <w:rsid w:val="13C05BA8"/>
    <w:rsid w:val="13FB4673"/>
    <w:rsid w:val="14253BED"/>
    <w:rsid w:val="1453124A"/>
    <w:rsid w:val="149C48EE"/>
    <w:rsid w:val="15AE4C08"/>
    <w:rsid w:val="15C86CC0"/>
    <w:rsid w:val="15FC5E6A"/>
    <w:rsid w:val="16095895"/>
    <w:rsid w:val="163B0382"/>
    <w:rsid w:val="16422298"/>
    <w:rsid w:val="16431FFB"/>
    <w:rsid w:val="16537169"/>
    <w:rsid w:val="16B2531A"/>
    <w:rsid w:val="16B72867"/>
    <w:rsid w:val="16B7430D"/>
    <w:rsid w:val="174C0DCA"/>
    <w:rsid w:val="178453ED"/>
    <w:rsid w:val="17935082"/>
    <w:rsid w:val="17D244D2"/>
    <w:rsid w:val="17E92569"/>
    <w:rsid w:val="1859371E"/>
    <w:rsid w:val="189E2167"/>
    <w:rsid w:val="18C2361F"/>
    <w:rsid w:val="18E85BA4"/>
    <w:rsid w:val="190600BC"/>
    <w:rsid w:val="19225A07"/>
    <w:rsid w:val="1954439D"/>
    <w:rsid w:val="19D839DB"/>
    <w:rsid w:val="1A1678A4"/>
    <w:rsid w:val="1A1C6056"/>
    <w:rsid w:val="1A1E49AB"/>
    <w:rsid w:val="1A586C2F"/>
    <w:rsid w:val="1A5B23EE"/>
    <w:rsid w:val="1AB639D2"/>
    <w:rsid w:val="1AD21B6E"/>
    <w:rsid w:val="1B2656AF"/>
    <w:rsid w:val="1BCB334D"/>
    <w:rsid w:val="1C4D6A95"/>
    <w:rsid w:val="1C6451B1"/>
    <w:rsid w:val="1C6F7740"/>
    <w:rsid w:val="1C8E085E"/>
    <w:rsid w:val="1C972A93"/>
    <w:rsid w:val="1CD24D43"/>
    <w:rsid w:val="1CFA422E"/>
    <w:rsid w:val="1D3874F5"/>
    <w:rsid w:val="1D4D6835"/>
    <w:rsid w:val="1D9F059C"/>
    <w:rsid w:val="1DCB6B44"/>
    <w:rsid w:val="1E247D10"/>
    <w:rsid w:val="1E2B7BE7"/>
    <w:rsid w:val="1E483A4E"/>
    <w:rsid w:val="1E58783B"/>
    <w:rsid w:val="1ECA4A7D"/>
    <w:rsid w:val="1ECD4C10"/>
    <w:rsid w:val="1F031DB2"/>
    <w:rsid w:val="1F335739"/>
    <w:rsid w:val="1FC2787D"/>
    <w:rsid w:val="1FEA2BA7"/>
    <w:rsid w:val="1FEA5A5B"/>
    <w:rsid w:val="20D900F5"/>
    <w:rsid w:val="21481273"/>
    <w:rsid w:val="214871BA"/>
    <w:rsid w:val="21C3706C"/>
    <w:rsid w:val="2236702C"/>
    <w:rsid w:val="22852D72"/>
    <w:rsid w:val="22AC07D3"/>
    <w:rsid w:val="232D56C9"/>
    <w:rsid w:val="233468EF"/>
    <w:rsid w:val="234A63AC"/>
    <w:rsid w:val="23AE739C"/>
    <w:rsid w:val="23F2112F"/>
    <w:rsid w:val="24037F8B"/>
    <w:rsid w:val="24EA3E07"/>
    <w:rsid w:val="24F82DC4"/>
    <w:rsid w:val="255E468A"/>
    <w:rsid w:val="25951903"/>
    <w:rsid w:val="2670658E"/>
    <w:rsid w:val="2673768D"/>
    <w:rsid w:val="26EB0D26"/>
    <w:rsid w:val="26FE2049"/>
    <w:rsid w:val="270D3A1E"/>
    <w:rsid w:val="272C0707"/>
    <w:rsid w:val="27933314"/>
    <w:rsid w:val="280B25D0"/>
    <w:rsid w:val="280C4E96"/>
    <w:rsid w:val="28450AFE"/>
    <w:rsid w:val="28696702"/>
    <w:rsid w:val="28C77685"/>
    <w:rsid w:val="294836FB"/>
    <w:rsid w:val="29A837F2"/>
    <w:rsid w:val="29E82192"/>
    <w:rsid w:val="2A1738F0"/>
    <w:rsid w:val="2A2321A1"/>
    <w:rsid w:val="2A8D7269"/>
    <w:rsid w:val="2AD43590"/>
    <w:rsid w:val="2B006F64"/>
    <w:rsid w:val="2B59148D"/>
    <w:rsid w:val="2C0D28D7"/>
    <w:rsid w:val="2C3A672C"/>
    <w:rsid w:val="2C4B154C"/>
    <w:rsid w:val="2C8F1485"/>
    <w:rsid w:val="2CD86C3B"/>
    <w:rsid w:val="2D5707B6"/>
    <w:rsid w:val="2DA954DA"/>
    <w:rsid w:val="2E876B6B"/>
    <w:rsid w:val="2EDC0FD1"/>
    <w:rsid w:val="2EEB44CF"/>
    <w:rsid w:val="2F18091E"/>
    <w:rsid w:val="2F5841ED"/>
    <w:rsid w:val="2F6649D2"/>
    <w:rsid w:val="2F740E9D"/>
    <w:rsid w:val="2FB06681"/>
    <w:rsid w:val="2FB94B9C"/>
    <w:rsid w:val="2FE303C0"/>
    <w:rsid w:val="2FF67070"/>
    <w:rsid w:val="30090B40"/>
    <w:rsid w:val="303E58B6"/>
    <w:rsid w:val="30656A38"/>
    <w:rsid w:val="311D4B10"/>
    <w:rsid w:val="314D19C1"/>
    <w:rsid w:val="31837838"/>
    <w:rsid w:val="3195334D"/>
    <w:rsid w:val="31B26A2A"/>
    <w:rsid w:val="31BE4BD3"/>
    <w:rsid w:val="31CC6890"/>
    <w:rsid w:val="32120CAE"/>
    <w:rsid w:val="32544E18"/>
    <w:rsid w:val="32E83B5C"/>
    <w:rsid w:val="32ED76CE"/>
    <w:rsid w:val="33103626"/>
    <w:rsid w:val="332D7BCF"/>
    <w:rsid w:val="333F17C2"/>
    <w:rsid w:val="33602185"/>
    <w:rsid w:val="33C448F2"/>
    <w:rsid w:val="33EA3E77"/>
    <w:rsid w:val="34080C3D"/>
    <w:rsid w:val="344C1CBD"/>
    <w:rsid w:val="344F0267"/>
    <w:rsid w:val="345F6484"/>
    <w:rsid w:val="346C5C72"/>
    <w:rsid w:val="347A216A"/>
    <w:rsid w:val="34AB240A"/>
    <w:rsid w:val="351915BF"/>
    <w:rsid w:val="352C767B"/>
    <w:rsid w:val="35517FFC"/>
    <w:rsid w:val="357A68D7"/>
    <w:rsid w:val="358B6BB8"/>
    <w:rsid w:val="35BA15D4"/>
    <w:rsid w:val="35D42696"/>
    <w:rsid w:val="35DC3CA1"/>
    <w:rsid w:val="35DC600E"/>
    <w:rsid w:val="35EE486C"/>
    <w:rsid w:val="35F6370E"/>
    <w:rsid w:val="36785717"/>
    <w:rsid w:val="36911244"/>
    <w:rsid w:val="36CE5337"/>
    <w:rsid w:val="36D9445E"/>
    <w:rsid w:val="36F20808"/>
    <w:rsid w:val="372B09DB"/>
    <w:rsid w:val="378C571D"/>
    <w:rsid w:val="379A0F25"/>
    <w:rsid w:val="37CB6569"/>
    <w:rsid w:val="37EC3B53"/>
    <w:rsid w:val="39564661"/>
    <w:rsid w:val="39660474"/>
    <w:rsid w:val="39774290"/>
    <w:rsid w:val="39830F34"/>
    <w:rsid w:val="39A82448"/>
    <w:rsid w:val="39A8475F"/>
    <w:rsid w:val="39C46EC5"/>
    <w:rsid w:val="39FB46AF"/>
    <w:rsid w:val="3A2E54B7"/>
    <w:rsid w:val="3A54444F"/>
    <w:rsid w:val="3ADC72B9"/>
    <w:rsid w:val="3AEE1CD3"/>
    <w:rsid w:val="3B2A655D"/>
    <w:rsid w:val="3B4C1701"/>
    <w:rsid w:val="3B8D0AA4"/>
    <w:rsid w:val="3BC66CAF"/>
    <w:rsid w:val="3BCB4CB3"/>
    <w:rsid w:val="3BCE7873"/>
    <w:rsid w:val="3BF4731C"/>
    <w:rsid w:val="3C336150"/>
    <w:rsid w:val="3C353526"/>
    <w:rsid w:val="3C683963"/>
    <w:rsid w:val="3C922E24"/>
    <w:rsid w:val="3CB745D5"/>
    <w:rsid w:val="3D423E1C"/>
    <w:rsid w:val="3D45775C"/>
    <w:rsid w:val="3D5436CB"/>
    <w:rsid w:val="3D5A4F72"/>
    <w:rsid w:val="3DA617F4"/>
    <w:rsid w:val="3E1801E0"/>
    <w:rsid w:val="3EAD262A"/>
    <w:rsid w:val="3ECC0473"/>
    <w:rsid w:val="3ED85074"/>
    <w:rsid w:val="3EE434CF"/>
    <w:rsid w:val="3EF35641"/>
    <w:rsid w:val="3EF62D1A"/>
    <w:rsid w:val="3F593E13"/>
    <w:rsid w:val="3F645855"/>
    <w:rsid w:val="3FAE03FB"/>
    <w:rsid w:val="3FB6279D"/>
    <w:rsid w:val="3FEE250F"/>
    <w:rsid w:val="3FFD4920"/>
    <w:rsid w:val="4028504B"/>
    <w:rsid w:val="407C39A3"/>
    <w:rsid w:val="40845C1B"/>
    <w:rsid w:val="40E16352"/>
    <w:rsid w:val="410F5590"/>
    <w:rsid w:val="417066EE"/>
    <w:rsid w:val="41A45F8A"/>
    <w:rsid w:val="41C90376"/>
    <w:rsid w:val="41F93484"/>
    <w:rsid w:val="421309EA"/>
    <w:rsid w:val="426F4787"/>
    <w:rsid w:val="42A64BE1"/>
    <w:rsid w:val="42D13714"/>
    <w:rsid w:val="42E2322E"/>
    <w:rsid w:val="42E67FA4"/>
    <w:rsid w:val="42FF4D4B"/>
    <w:rsid w:val="432F3601"/>
    <w:rsid w:val="437308D5"/>
    <w:rsid w:val="43FB0286"/>
    <w:rsid w:val="445D14E5"/>
    <w:rsid w:val="44634215"/>
    <w:rsid w:val="448E37B4"/>
    <w:rsid w:val="44D56E20"/>
    <w:rsid w:val="45233015"/>
    <w:rsid w:val="459A668C"/>
    <w:rsid w:val="459F1805"/>
    <w:rsid w:val="45D84050"/>
    <w:rsid w:val="45FC6F12"/>
    <w:rsid w:val="4617283F"/>
    <w:rsid w:val="462354CA"/>
    <w:rsid w:val="46C65472"/>
    <w:rsid w:val="46D324F5"/>
    <w:rsid w:val="46F7233F"/>
    <w:rsid w:val="47B006A9"/>
    <w:rsid w:val="47C856EC"/>
    <w:rsid w:val="47D73A9A"/>
    <w:rsid w:val="47DB5B06"/>
    <w:rsid w:val="482F520D"/>
    <w:rsid w:val="48351139"/>
    <w:rsid w:val="489857A5"/>
    <w:rsid w:val="48FC3F85"/>
    <w:rsid w:val="490715C7"/>
    <w:rsid w:val="491220B3"/>
    <w:rsid w:val="491E31CE"/>
    <w:rsid w:val="4921579A"/>
    <w:rsid w:val="493D0793"/>
    <w:rsid w:val="493F3CF7"/>
    <w:rsid w:val="4965239B"/>
    <w:rsid w:val="499046B8"/>
    <w:rsid w:val="49D7676F"/>
    <w:rsid w:val="4A217DED"/>
    <w:rsid w:val="4A3131B8"/>
    <w:rsid w:val="4ABD356B"/>
    <w:rsid w:val="4AC32CD4"/>
    <w:rsid w:val="4AE74B8B"/>
    <w:rsid w:val="4B0B04B0"/>
    <w:rsid w:val="4B410ACB"/>
    <w:rsid w:val="4B682EE5"/>
    <w:rsid w:val="4B9D1E21"/>
    <w:rsid w:val="4BB46D99"/>
    <w:rsid w:val="4BB957C6"/>
    <w:rsid w:val="4BD5474B"/>
    <w:rsid w:val="4BED67DE"/>
    <w:rsid w:val="4C2F5E70"/>
    <w:rsid w:val="4C4F7DA9"/>
    <w:rsid w:val="4C800A2A"/>
    <w:rsid w:val="4CB16F80"/>
    <w:rsid w:val="4CE1183C"/>
    <w:rsid w:val="4CFC1AF9"/>
    <w:rsid w:val="4D5B397B"/>
    <w:rsid w:val="4DD13F63"/>
    <w:rsid w:val="4E1418DA"/>
    <w:rsid w:val="4E1C0C4F"/>
    <w:rsid w:val="4E3F3FF0"/>
    <w:rsid w:val="4E47262A"/>
    <w:rsid w:val="4E661770"/>
    <w:rsid w:val="4E817FFE"/>
    <w:rsid w:val="4F0E056F"/>
    <w:rsid w:val="4F604B42"/>
    <w:rsid w:val="4F8E06A6"/>
    <w:rsid w:val="4FB01626"/>
    <w:rsid w:val="4FB14433"/>
    <w:rsid w:val="502E7E89"/>
    <w:rsid w:val="509B2A07"/>
    <w:rsid w:val="50ED4894"/>
    <w:rsid w:val="515F7B60"/>
    <w:rsid w:val="516F72BF"/>
    <w:rsid w:val="517918C1"/>
    <w:rsid w:val="518854DA"/>
    <w:rsid w:val="51BE36FA"/>
    <w:rsid w:val="51E83A95"/>
    <w:rsid w:val="52101EF6"/>
    <w:rsid w:val="52470F6E"/>
    <w:rsid w:val="526F2742"/>
    <w:rsid w:val="52C86E25"/>
    <w:rsid w:val="52EB0BC7"/>
    <w:rsid w:val="530E3233"/>
    <w:rsid w:val="53222F99"/>
    <w:rsid w:val="53837051"/>
    <w:rsid w:val="538C7B23"/>
    <w:rsid w:val="53B82025"/>
    <w:rsid w:val="54607506"/>
    <w:rsid w:val="54843313"/>
    <w:rsid w:val="548A0B37"/>
    <w:rsid w:val="550E69CC"/>
    <w:rsid w:val="5552449D"/>
    <w:rsid w:val="558A3314"/>
    <w:rsid w:val="55E61B8F"/>
    <w:rsid w:val="5670178E"/>
    <w:rsid w:val="56B929E2"/>
    <w:rsid w:val="56E82558"/>
    <w:rsid w:val="56EE36B6"/>
    <w:rsid w:val="56EF28EC"/>
    <w:rsid w:val="579C6AEA"/>
    <w:rsid w:val="57BF4351"/>
    <w:rsid w:val="57C62A1A"/>
    <w:rsid w:val="58052DD4"/>
    <w:rsid w:val="580B4082"/>
    <w:rsid w:val="580E5A83"/>
    <w:rsid w:val="581A61D6"/>
    <w:rsid w:val="5842572D"/>
    <w:rsid w:val="584929C7"/>
    <w:rsid w:val="58545C89"/>
    <w:rsid w:val="58583ADB"/>
    <w:rsid w:val="592E3F18"/>
    <w:rsid w:val="59626DD3"/>
    <w:rsid w:val="597056DA"/>
    <w:rsid w:val="597638E0"/>
    <w:rsid w:val="59C0766A"/>
    <w:rsid w:val="5A012571"/>
    <w:rsid w:val="5A440270"/>
    <w:rsid w:val="5A5011B5"/>
    <w:rsid w:val="5AC533AD"/>
    <w:rsid w:val="5B00455B"/>
    <w:rsid w:val="5B006E34"/>
    <w:rsid w:val="5B6A3B2A"/>
    <w:rsid w:val="5B7B51DE"/>
    <w:rsid w:val="5B7E31DB"/>
    <w:rsid w:val="5B973484"/>
    <w:rsid w:val="5BB37944"/>
    <w:rsid w:val="5BEB128C"/>
    <w:rsid w:val="5BF43955"/>
    <w:rsid w:val="5C3A0B75"/>
    <w:rsid w:val="5C4D38AE"/>
    <w:rsid w:val="5C545A2F"/>
    <w:rsid w:val="5C5B1712"/>
    <w:rsid w:val="5C6D36E9"/>
    <w:rsid w:val="5C9F6584"/>
    <w:rsid w:val="5CA41F6B"/>
    <w:rsid w:val="5CAF4F47"/>
    <w:rsid w:val="5CC11CA2"/>
    <w:rsid w:val="5CC2508E"/>
    <w:rsid w:val="5CF923DF"/>
    <w:rsid w:val="5D0B07E3"/>
    <w:rsid w:val="5D2D4E33"/>
    <w:rsid w:val="5D9522C6"/>
    <w:rsid w:val="5E303B26"/>
    <w:rsid w:val="5E827D6D"/>
    <w:rsid w:val="5EB16DEF"/>
    <w:rsid w:val="5EDE28D6"/>
    <w:rsid w:val="5EE41929"/>
    <w:rsid w:val="5F3F0293"/>
    <w:rsid w:val="5F724B4A"/>
    <w:rsid w:val="5FC1162D"/>
    <w:rsid w:val="5FE10423"/>
    <w:rsid w:val="600D22C3"/>
    <w:rsid w:val="603C3E2C"/>
    <w:rsid w:val="60AF6F50"/>
    <w:rsid w:val="60EA49B0"/>
    <w:rsid w:val="60FF5421"/>
    <w:rsid w:val="612D2F47"/>
    <w:rsid w:val="614546C3"/>
    <w:rsid w:val="61C50769"/>
    <w:rsid w:val="61FE7201"/>
    <w:rsid w:val="620E5BAE"/>
    <w:rsid w:val="621A73C4"/>
    <w:rsid w:val="62A85717"/>
    <w:rsid w:val="62BD6A84"/>
    <w:rsid w:val="633060D2"/>
    <w:rsid w:val="63307109"/>
    <w:rsid w:val="63541BC5"/>
    <w:rsid w:val="635B6D04"/>
    <w:rsid w:val="6368206F"/>
    <w:rsid w:val="636B5B38"/>
    <w:rsid w:val="646977CB"/>
    <w:rsid w:val="647F04C0"/>
    <w:rsid w:val="64CF3EEB"/>
    <w:rsid w:val="651E41F8"/>
    <w:rsid w:val="65A737AF"/>
    <w:rsid w:val="65F76692"/>
    <w:rsid w:val="66052A55"/>
    <w:rsid w:val="663342DD"/>
    <w:rsid w:val="6644522E"/>
    <w:rsid w:val="666920D7"/>
    <w:rsid w:val="66A97007"/>
    <w:rsid w:val="674C75BB"/>
    <w:rsid w:val="676224A5"/>
    <w:rsid w:val="67F3516F"/>
    <w:rsid w:val="68091DC3"/>
    <w:rsid w:val="68372EF1"/>
    <w:rsid w:val="6886151B"/>
    <w:rsid w:val="688945D1"/>
    <w:rsid w:val="69DA5B6E"/>
    <w:rsid w:val="69F36887"/>
    <w:rsid w:val="6A082B05"/>
    <w:rsid w:val="6A2E3A4F"/>
    <w:rsid w:val="6A575CE9"/>
    <w:rsid w:val="6A7C1798"/>
    <w:rsid w:val="6A98305D"/>
    <w:rsid w:val="6B276262"/>
    <w:rsid w:val="6B3267F2"/>
    <w:rsid w:val="6B51044B"/>
    <w:rsid w:val="6BD805B0"/>
    <w:rsid w:val="6BE54738"/>
    <w:rsid w:val="6C012BF2"/>
    <w:rsid w:val="6C136470"/>
    <w:rsid w:val="6C184BC2"/>
    <w:rsid w:val="6C2B202C"/>
    <w:rsid w:val="6C6E48EB"/>
    <w:rsid w:val="6C7251B4"/>
    <w:rsid w:val="6D035033"/>
    <w:rsid w:val="6D767F95"/>
    <w:rsid w:val="6D794932"/>
    <w:rsid w:val="6D884475"/>
    <w:rsid w:val="6E044E90"/>
    <w:rsid w:val="6E056B89"/>
    <w:rsid w:val="6E0C0CE8"/>
    <w:rsid w:val="6E2B20C4"/>
    <w:rsid w:val="6E521426"/>
    <w:rsid w:val="6E6D3B33"/>
    <w:rsid w:val="6EDF610A"/>
    <w:rsid w:val="6F6044B4"/>
    <w:rsid w:val="6F870AE3"/>
    <w:rsid w:val="6F9B586C"/>
    <w:rsid w:val="6FE80F02"/>
    <w:rsid w:val="701E2B74"/>
    <w:rsid w:val="706F478E"/>
    <w:rsid w:val="70837E94"/>
    <w:rsid w:val="70FB3DEB"/>
    <w:rsid w:val="71371BCE"/>
    <w:rsid w:val="715C12A5"/>
    <w:rsid w:val="71682EEB"/>
    <w:rsid w:val="717F7F2E"/>
    <w:rsid w:val="71A9150C"/>
    <w:rsid w:val="71C821C3"/>
    <w:rsid w:val="71DE5DA3"/>
    <w:rsid w:val="72264492"/>
    <w:rsid w:val="726A6955"/>
    <w:rsid w:val="727725CA"/>
    <w:rsid w:val="72EC5706"/>
    <w:rsid w:val="731E5FE2"/>
    <w:rsid w:val="732C0488"/>
    <w:rsid w:val="736A3475"/>
    <w:rsid w:val="737E437E"/>
    <w:rsid w:val="73B5665B"/>
    <w:rsid w:val="74122AB9"/>
    <w:rsid w:val="74156415"/>
    <w:rsid w:val="744A61B1"/>
    <w:rsid w:val="74564493"/>
    <w:rsid w:val="74941A8B"/>
    <w:rsid w:val="74EA044C"/>
    <w:rsid w:val="753D5895"/>
    <w:rsid w:val="756B7BFF"/>
    <w:rsid w:val="757F0D38"/>
    <w:rsid w:val="759D3A89"/>
    <w:rsid w:val="75AB78BF"/>
    <w:rsid w:val="75BA1861"/>
    <w:rsid w:val="7653726D"/>
    <w:rsid w:val="76B11730"/>
    <w:rsid w:val="77033BB9"/>
    <w:rsid w:val="77040D55"/>
    <w:rsid w:val="77184F13"/>
    <w:rsid w:val="774626EC"/>
    <w:rsid w:val="77640E18"/>
    <w:rsid w:val="77CB3554"/>
    <w:rsid w:val="782B48E0"/>
    <w:rsid w:val="78597B92"/>
    <w:rsid w:val="78A5216A"/>
    <w:rsid w:val="78E421BD"/>
    <w:rsid w:val="79183C14"/>
    <w:rsid w:val="795D45F0"/>
    <w:rsid w:val="79612096"/>
    <w:rsid w:val="79722FB8"/>
    <w:rsid w:val="79B25E17"/>
    <w:rsid w:val="79FA4358"/>
    <w:rsid w:val="7A175EC2"/>
    <w:rsid w:val="7A265A34"/>
    <w:rsid w:val="7A52424D"/>
    <w:rsid w:val="7A8E3300"/>
    <w:rsid w:val="7A8F4837"/>
    <w:rsid w:val="7AF34939"/>
    <w:rsid w:val="7AF810EA"/>
    <w:rsid w:val="7B176C53"/>
    <w:rsid w:val="7B1C52AE"/>
    <w:rsid w:val="7B297882"/>
    <w:rsid w:val="7B395B6B"/>
    <w:rsid w:val="7B567A34"/>
    <w:rsid w:val="7B85545E"/>
    <w:rsid w:val="7BC11687"/>
    <w:rsid w:val="7C140C5C"/>
    <w:rsid w:val="7C6D04D4"/>
    <w:rsid w:val="7C8F063D"/>
    <w:rsid w:val="7CA915F3"/>
    <w:rsid w:val="7DD03E91"/>
    <w:rsid w:val="7DE47122"/>
    <w:rsid w:val="7E022395"/>
    <w:rsid w:val="7E597345"/>
    <w:rsid w:val="7E6A2F8C"/>
    <w:rsid w:val="7E817574"/>
    <w:rsid w:val="7F924159"/>
    <w:rsid w:val="7FD31277"/>
    <w:rsid w:val="7FE26D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qFormat="1" w:uiPriority="0" w:name="toc 5"/>
    <w:lsdException w:qFormat="1" w:unhideWhenUsed="0" w:uiPriority="0" w:semiHidden="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6">
    <w:name w:val="heading 1"/>
    <w:basedOn w:val="1"/>
    <w:next w:val="1"/>
    <w:qFormat/>
    <w:uiPriority w:val="0"/>
    <w:pPr>
      <w:keepNext/>
      <w:keepLines/>
      <w:pageBreakBefore/>
      <w:jc w:val="center"/>
      <w:outlineLvl w:val="0"/>
    </w:pPr>
    <w:rPr>
      <w:rFonts w:ascii="宋体"/>
      <w:b/>
      <w:sz w:val="44"/>
      <w:szCs w:val="44"/>
    </w:rPr>
  </w:style>
  <w:style w:type="paragraph" w:styleId="7">
    <w:name w:val="heading 2"/>
    <w:basedOn w:val="1"/>
    <w:next w:val="1"/>
    <w:qFormat/>
    <w:uiPriority w:val="0"/>
    <w:pPr>
      <w:spacing w:before="260" w:after="260" w:line="500" w:lineRule="exact"/>
      <w:contextualSpacing/>
      <w:jc w:val="center"/>
      <w:outlineLvl w:val="1"/>
    </w:pPr>
    <w:rPr>
      <w:rFonts w:ascii="宋体"/>
      <w:b/>
      <w:sz w:val="28"/>
      <w:szCs w:val="28"/>
    </w:rPr>
  </w:style>
  <w:style w:type="paragraph" w:styleId="8">
    <w:name w:val="heading 3"/>
    <w:basedOn w:val="1"/>
    <w:next w:val="9"/>
    <w:qFormat/>
    <w:uiPriority w:val="0"/>
    <w:pPr>
      <w:keepNext/>
      <w:keepLines/>
      <w:outlineLvl w:val="2"/>
    </w:pPr>
    <w:rPr>
      <w:rFonts w:eastAsia="黑体"/>
      <w:bCs/>
      <w:kern w:val="0"/>
      <w:sz w:val="28"/>
      <w:szCs w:val="32"/>
    </w:rPr>
  </w:style>
  <w:style w:type="paragraph" w:styleId="10">
    <w:name w:val="heading 4"/>
    <w:basedOn w:val="1"/>
    <w:next w:val="1"/>
    <w:qFormat/>
    <w:uiPriority w:val="0"/>
    <w:pPr>
      <w:keepNext/>
      <w:keepLines/>
      <w:spacing w:line="372" w:lineRule="auto"/>
      <w:outlineLvl w:val="3"/>
    </w:pPr>
    <w:rPr>
      <w:rFonts w:ascii="Arial" w:hAnsi="Arial" w:eastAsia="黑体"/>
      <w:b/>
      <w:sz w:val="28"/>
    </w:rPr>
  </w:style>
  <w:style w:type="paragraph" w:styleId="11">
    <w:name w:val="heading 5"/>
    <w:basedOn w:val="1"/>
    <w:next w:val="1"/>
    <w:qFormat/>
    <w:uiPriority w:val="0"/>
    <w:pPr>
      <w:keepNext/>
      <w:keepLines/>
      <w:jc w:val="center"/>
      <w:outlineLvl w:val="4"/>
    </w:pPr>
    <w:rPr>
      <w:rFonts w:ascii="宋体"/>
      <w:b/>
      <w:bCs/>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line="200" w:lineRule="exact"/>
      <w:ind w:firstLine="301"/>
    </w:pPr>
    <w:rPr>
      <w:rFonts w:ascii="宋体"/>
      <w:spacing w:val="-4"/>
      <w:sz w:val="18"/>
    </w:rPr>
  </w:style>
  <w:style w:type="paragraph" w:styleId="4">
    <w:name w:val="Body Text"/>
    <w:basedOn w:val="1"/>
    <w:next w:val="5"/>
    <w:qFormat/>
    <w:uiPriority w:val="0"/>
    <w:rPr>
      <w:sz w:val="28"/>
    </w:rPr>
  </w:style>
  <w:style w:type="paragraph" w:styleId="5">
    <w:name w:val="Body Text First Indent"/>
    <w:basedOn w:val="4"/>
    <w:next w:val="1"/>
    <w:unhideWhenUsed/>
    <w:qFormat/>
    <w:uiPriority w:val="99"/>
    <w:pPr>
      <w:ind w:firstLine="420" w:firstLineChars="100"/>
    </w:pPr>
  </w:style>
  <w:style w:type="paragraph" w:styleId="9">
    <w:name w:val="Normal Indent"/>
    <w:basedOn w:val="1"/>
    <w:next w:val="3"/>
    <w:link w:val="85"/>
    <w:qFormat/>
    <w:uiPriority w:val="99"/>
    <w:pPr>
      <w:ind w:firstLine="200" w:firstLineChars="200"/>
    </w:pPr>
  </w:style>
  <w:style w:type="paragraph" w:styleId="12">
    <w:name w:val="index 8"/>
    <w:basedOn w:val="1"/>
    <w:next w:val="1"/>
    <w:qFormat/>
    <w:uiPriority w:val="0"/>
    <w:pPr>
      <w:spacing w:line="276" w:lineRule="auto"/>
      <w:jc w:val="left"/>
    </w:pPr>
    <w:rPr>
      <w:rFonts w:ascii="宋体"/>
      <w:color w:val="FF0000"/>
      <w:szCs w:val="21"/>
    </w:rPr>
  </w:style>
  <w:style w:type="paragraph" w:styleId="13">
    <w:name w:val="List Number"/>
    <w:basedOn w:val="1"/>
    <w:qFormat/>
    <w:uiPriority w:val="0"/>
    <w:pPr>
      <w:numPr>
        <w:ilvl w:val="0"/>
        <w:numId w:val="1"/>
      </w:numPr>
    </w:pPr>
  </w:style>
  <w:style w:type="paragraph" w:styleId="14">
    <w:name w:val="caption"/>
    <w:basedOn w:val="1"/>
    <w:next w:val="1"/>
    <w:qFormat/>
    <w:uiPriority w:val="99"/>
    <w:rPr>
      <w:rFonts w:ascii="Arial" w:hAnsi="Arial" w:eastAsia="黑体"/>
      <w:sz w:val="20"/>
    </w:rPr>
  </w:style>
  <w:style w:type="paragraph" w:styleId="15">
    <w:name w:val="Document Map"/>
    <w:basedOn w:val="1"/>
    <w:qFormat/>
    <w:uiPriority w:val="0"/>
    <w:rPr>
      <w:rFonts w:ascii="宋体"/>
      <w:sz w:val="18"/>
      <w:szCs w:val="18"/>
    </w:rPr>
  </w:style>
  <w:style w:type="paragraph" w:styleId="16">
    <w:name w:val="toa heading"/>
    <w:basedOn w:val="1"/>
    <w:next w:val="1"/>
    <w:unhideWhenUsed/>
    <w:qFormat/>
    <w:uiPriority w:val="99"/>
    <w:pPr>
      <w:adjustRightInd/>
      <w:spacing w:before="120"/>
    </w:pPr>
    <w:rPr>
      <w:rFonts w:ascii="Cambria" w:hAnsi="Cambria" w:cs="Times New Roman"/>
      <w:szCs w:val="22"/>
    </w:rPr>
  </w:style>
  <w:style w:type="paragraph" w:styleId="17">
    <w:name w:val="annotation text"/>
    <w:basedOn w:val="1"/>
    <w:link w:val="83"/>
    <w:qFormat/>
    <w:uiPriority w:val="0"/>
    <w:pPr>
      <w:jc w:val="left"/>
    </w:pPr>
  </w:style>
  <w:style w:type="paragraph" w:styleId="18">
    <w:name w:val="Body Text 3"/>
    <w:basedOn w:val="1"/>
    <w:qFormat/>
    <w:uiPriority w:val="0"/>
    <w:pPr>
      <w:snapToGrid w:val="0"/>
    </w:pPr>
    <w:rPr>
      <w:rFonts w:eastAsia="仿宋_GB2312"/>
      <w:b/>
      <w:sz w:val="24"/>
    </w:rPr>
  </w:style>
  <w:style w:type="paragraph" w:styleId="19">
    <w:name w:val="List 2"/>
    <w:basedOn w:val="1"/>
    <w:qFormat/>
    <w:uiPriority w:val="0"/>
    <w:pPr>
      <w:ind w:left="400" w:leftChars="200" w:hanging="200" w:hangingChars="200"/>
    </w:pPr>
    <w:rPr>
      <w:sz w:val="28"/>
    </w:rPr>
  </w:style>
  <w:style w:type="paragraph" w:styleId="20">
    <w:name w:val="toc 5"/>
    <w:basedOn w:val="1"/>
    <w:next w:val="1"/>
    <w:semiHidden/>
    <w:unhideWhenUsed/>
    <w:qFormat/>
    <w:uiPriority w:val="0"/>
    <w:pPr>
      <w:ind w:left="1680" w:leftChars="800"/>
    </w:pPr>
  </w:style>
  <w:style w:type="paragraph" w:styleId="21">
    <w:name w:val="toc 3"/>
    <w:basedOn w:val="1"/>
    <w:next w:val="1"/>
    <w:qFormat/>
    <w:uiPriority w:val="0"/>
    <w:pPr>
      <w:snapToGrid w:val="0"/>
      <w:ind w:left="200" w:leftChars="200"/>
      <w:jc w:val="left"/>
    </w:pPr>
    <w:rPr>
      <w:kern w:val="0"/>
      <w:sz w:val="28"/>
    </w:rPr>
  </w:style>
  <w:style w:type="paragraph" w:styleId="22">
    <w:name w:val="Plain Text"/>
    <w:basedOn w:val="1"/>
    <w:next w:val="9"/>
    <w:link w:val="87"/>
    <w:qFormat/>
    <w:uiPriority w:val="0"/>
    <w:rPr>
      <w:rFonts w:ascii="宋体"/>
      <w:szCs w:val="21"/>
    </w:rPr>
  </w:style>
  <w:style w:type="paragraph" w:styleId="23">
    <w:name w:val="Date"/>
    <w:basedOn w:val="1"/>
    <w:next w:val="1"/>
    <w:link w:val="88"/>
    <w:qFormat/>
    <w:uiPriority w:val="0"/>
    <w:pPr>
      <w:ind w:left="2500" w:leftChars="2500"/>
    </w:pPr>
    <w:rPr>
      <w:rFonts w:eastAsia="楷体_GB2312"/>
      <w:sz w:val="32"/>
    </w:rPr>
  </w:style>
  <w:style w:type="paragraph" w:styleId="24">
    <w:name w:val="Body Text Indent 2"/>
    <w:basedOn w:val="1"/>
    <w:link w:val="89"/>
    <w:qFormat/>
    <w:uiPriority w:val="0"/>
    <w:pPr>
      <w:snapToGrid w:val="0"/>
      <w:ind w:firstLine="225" w:firstLineChars="225"/>
    </w:pPr>
    <w:rPr>
      <w:rFonts w:ascii="仿宋_GB2312" w:hAnsi="仿宋_GB2312"/>
      <w:b/>
      <w:color w:val="000000"/>
      <w:sz w:val="24"/>
    </w:rPr>
  </w:style>
  <w:style w:type="paragraph" w:styleId="25">
    <w:name w:val="Balloon Text"/>
    <w:basedOn w:val="1"/>
    <w:qFormat/>
    <w:uiPriority w:val="0"/>
    <w:rPr>
      <w:sz w:val="18"/>
      <w:szCs w:val="18"/>
    </w:rPr>
  </w:style>
  <w:style w:type="paragraph" w:styleId="26">
    <w:name w:val="footer"/>
    <w:basedOn w:val="1"/>
    <w:qFormat/>
    <w:uiPriority w:val="0"/>
    <w:pPr>
      <w:tabs>
        <w:tab w:val="center" w:pos="4153"/>
        <w:tab w:val="right" w:pos="8306"/>
      </w:tabs>
      <w:snapToGrid w:val="0"/>
      <w:jc w:val="left"/>
    </w:pPr>
    <w:rPr>
      <w:sz w:val="18"/>
      <w:szCs w:val="18"/>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0"/>
    <w:pPr>
      <w:adjustRightInd w:val="0"/>
      <w:snapToGrid w:val="0"/>
      <w:ind w:left="1" w:leftChars="1"/>
      <w:textAlignment w:val="top"/>
    </w:pPr>
    <w:rPr>
      <w:b/>
      <w:snapToGrid w:val="0"/>
      <w:kern w:val="0"/>
      <w:sz w:val="28"/>
    </w:rPr>
  </w:style>
  <w:style w:type="paragraph" w:styleId="29">
    <w:name w:val="List"/>
    <w:basedOn w:val="1"/>
    <w:qFormat/>
    <w:uiPriority w:val="0"/>
    <w:pPr>
      <w:ind w:left="200" w:hanging="200" w:hangingChars="200"/>
    </w:pPr>
    <w:rPr>
      <w:sz w:val="28"/>
    </w:rPr>
  </w:style>
  <w:style w:type="paragraph" w:styleId="30">
    <w:name w:val="toc 6"/>
    <w:basedOn w:val="1"/>
    <w:next w:val="1"/>
    <w:qFormat/>
    <w:uiPriority w:val="0"/>
    <w:pPr>
      <w:ind w:left="1050"/>
      <w:jc w:val="left"/>
    </w:pPr>
    <w:rPr>
      <w:rFonts w:ascii="Calibri" w:hAnsi="Calibri"/>
      <w:sz w:val="18"/>
      <w:szCs w:val="18"/>
    </w:rPr>
  </w:style>
  <w:style w:type="paragraph" w:styleId="31">
    <w:name w:val="toc 2"/>
    <w:basedOn w:val="1"/>
    <w:next w:val="1"/>
    <w:qFormat/>
    <w:uiPriority w:val="0"/>
    <w:pPr>
      <w:ind w:left="200" w:leftChars="200"/>
    </w:pPr>
    <w:rPr>
      <w:sz w:val="28"/>
    </w:rPr>
  </w:style>
  <w:style w:type="paragraph" w:styleId="32">
    <w:name w:val="Normal (Web)"/>
    <w:basedOn w:val="1"/>
    <w:qFormat/>
    <w:uiPriority w:val="99"/>
    <w:pPr>
      <w:spacing w:beforeAutospacing="1" w:afterAutospacing="1"/>
      <w:jc w:val="left"/>
    </w:pPr>
    <w:rPr>
      <w:rFonts w:cs="Times New Roman" w:asciiTheme="minorHAnsi" w:hAnsiTheme="minorHAnsi" w:eastAsiaTheme="minorEastAsia"/>
      <w:kern w:val="0"/>
      <w:sz w:val="24"/>
      <w:szCs w:val="24"/>
    </w:rPr>
  </w:style>
  <w:style w:type="paragraph" w:styleId="33">
    <w:name w:val="Title"/>
    <w:basedOn w:val="1"/>
    <w:next w:val="1"/>
    <w:qFormat/>
    <w:uiPriority w:val="0"/>
    <w:pPr>
      <w:spacing w:before="240" w:after="60"/>
      <w:jc w:val="center"/>
      <w:outlineLvl w:val="0"/>
    </w:pPr>
    <w:rPr>
      <w:rFonts w:ascii="Arial" w:hAnsi="Arial" w:eastAsia="宋体" w:cs="Times New Roman"/>
      <w:sz w:val="32"/>
      <w:szCs w:val="32"/>
    </w:rPr>
  </w:style>
  <w:style w:type="paragraph" w:styleId="34">
    <w:name w:val="annotation subject"/>
    <w:basedOn w:val="17"/>
    <w:next w:val="17"/>
    <w:link w:val="84"/>
    <w:qFormat/>
    <w:uiPriority w:val="0"/>
    <w:rPr>
      <w:b/>
      <w:bCs/>
    </w:rPr>
  </w:style>
  <w:style w:type="table" w:styleId="36">
    <w:name w:val="Table Grid"/>
    <w:basedOn w:val="35"/>
    <w:qFormat/>
    <w:uiPriority w:val="3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22"/>
    <w:rPr>
      <w:rFonts w:cs="Times New Roman"/>
      <w:b/>
    </w:rPr>
  </w:style>
  <w:style w:type="character" w:styleId="39">
    <w:name w:val="page number"/>
    <w:basedOn w:val="37"/>
    <w:qFormat/>
    <w:uiPriority w:val="0"/>
  </w:style>
  <w:style w:type="character" w:styleId="40">
    <w:name w:val="Hyperlink"/>
    <w:qFormat/>
    <w:uiPriority w:val="0"/>
    <w:rPr>
      <w:color w:val="0000FF"/>
      <w:u w:val="single"/>
    </w:rPr>
  </w:style>
  <w:style w:type="character" w:styleId="41">
    <w:name w:val="annotation reference"/>
    <w:basedOn w:val="37"/>
    <w:qFormat/>
    <w:uiPriority w:val="0"/>
    <w:rPr>
      <w:sz w:val="21"/>
      <w:szCs w:val="21"/>
    </w:rPr>
  </w:style>
  <w:style w:type="paragraph" w:styleId="42">
    <w:name w:val="List Paragraph"/>
    <w:basedOn w:val="1"/>
    <w:link w:val="86"/>
    <w:qFormat/>
    <w:uiPriority w:val="34"/>
    <w:pPr>
      <w:ind w:firstLine="420" w:firstLineChars="200"/>
    </w:pPr>
    <w:rPr>
      <w:rFonts w:ascii="Times New Roman" w:hAnsi="Times New Roman" w:cs="Times New Roman"/>
      <w:szCs w:val="24"/>
    </w:rPr>
  </w:style>
  <w:style w:type="paragraph" w:customStyle="1" w:styleId="43">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4">
    <w:name w:val="_Style 9"/>
    <w:basedOn w:val="1"/>
    <w:qFormat/>
    <w:uiPriority w:val="0"/>
    <w:pPr>
      <w:ind w:firstLine="200" w:firstLineChars="200"/>
    </w:pPr>
  </w:style>
  <w:style w:type="paragraph" w:customStyle="1" w:styleId="45">
    <w:name w:val="正文_0"/>
    <w:qFormat/>
    <w:uiPriority w:val="0"/>
    <w:pPr>
      <w:widowControl w:val="0"/>
      <w:ind w:firstLine="200" w:firstLineChars="200"/>
      <w:jc w:val="both"/>
    </w:pPr>
    <w:rPr>
      <w:rFonts w:ascii="Calibri" w:hAnsi="Calibri" w:eastAsia="宋体" w:cs="Arial"/>
      <w:kern w:val="2"/>
      <w:sz w:val="28"/>
      <w:szCs w:val="28"/>
      <w:lang w:val="en-US" w:eastAsia="zh-CN" w:bidi="ar-SA"/>
    </w:rPr>
  </w:style>
  <w:style w:type="paragraph" w:customStyle="1" w:styleId="46">
    <w:name w:val="标题 2_0"/>
    <w:basedOn w:val="45"/>
    <w:next w:val="47"/>
    <w:qFormat/>
    <w:uiPriority w:val="0"/>
    <w:pPr>
      <w:keepNext/>
      <w:keepLines/>
      <w:spacing w:before="260" w:after="260" w:line="500" w:lineRule="exact"/>
      <w:ind w:firstLine="0" w:firstLineChars="0"/>
      <w:contextualSpacing/>
      <w:jc w:val="left"/>
      <w:outlineLvl w:val="1"/>
    </w:pPr>
    <w:rPr>
      <w:rFonts w:ascii="仿宋_GB2312" w:hAnsi="仿宋_GB2312"/>
      <w:szCs w:val="32"/>
    </w:rPr>
  </w:style>
  <w:style w:type="paragraph" w:customStyle="1" w:styleId="47">
    <w:name w:val="正文缩进_0"/>
    <w:basedOn w:val="45"/>
    <w:qFormat/>
    <w:uiPriority w:val="0"/>
  </w:style>
  <w:style w:type="paragraph" w:customStyle="1" w:styleId="48">
    <w:name w:val="正文_1"/>
    <w:qFormat/>
    <w:uiPriority w:val="0"/>
    <w:pPr>
      <w:widowControl w:val="0"/>
      <w:jc w:val="both"/>
    </w:pPr>
    <w:rPr>
      <w:rFonts w:ascii="Calibri" w:hAnsi="Calibri" w:eastAsia="宋体" w:cs="Arial"/>
      <w:kern w:val="2"/>
      <w:sz w:val="21"/>
      <w:szCs w:val="24"/>
      <w:lang w:val="en-US" w:eastAsia="zh-CN" w:bidi="ar-SA"/>
    </w:rPr>
  </w:style>
  <w:style w:type="paragraph" w:customStyle="1" w:styleId="49">
    <w:name w:val="正文缩进_1"/>
    <w:basedOn w:val="48"/>
    <w:qFormat/>
    <w:uiPriority w:val="0"/>
    <w:pPr>
      <w:ind w:firstLine="200" w:firstLineChars="200"/>
    </w:pPr>
    <w:rPr>
      <w:szCs w:val="22"/>
    </w:rPr>
  </w:style>
  <w:style w:type="paragraph" w:customStyle="1" w:styleId="50">
    <w:name w:val="正文_2"/>
    <w:qFormat/>
    <w:uiPriority w:val="0"/>
    <w:pPr>
      <w:widowControl w:val="0"/>
      <w:jc w:val="both"/>
    </w:pPr>
    <w:rPr>
      <w:rFonts w:ascii="Calibri" w:hAnsi="Calibri" w:eastAsia="宋体" w:cs="Arial"/>
      <w:kern w:val="2"/>
      <w:sz w:val="21"/>
      <w:szCs w:val="22"/>
      <w:lang w:val="en-US" w:eastAsia="zh-CN" w:bidi="ar-SA"/>
    </w:rPr>
  </w:style>
  <w:style w:type="paragraph" w:customStyle="1" w:styleId="51">
    <w:name w:val="纯文本_0"/>
    <w:basedOn w:val="50"/>
    <w:qFormat/>
    <w:uiPriority w:val="0"/>
    <w:rPr>
      <w:rFonts w:ascii="宋体"/>
      <w:szCs w:val="21"/>
    </w:rPr>
  </w:style>
  <w:style w:type="paragraph" w:customStyle="1" w:styleId="52">
    <w:name w:val="正文_0_0"/>
    <w:qFormat/>
    <w:uiPriority w:val="99"/>
    <w:pPr>
      <w:widowControl w:val="0"/>
      <w:jc w:val="both"/>
    </w:pPr>
    <w:rPr>
      <w:rFonts w:ascii="Calibri" w:hAnsi="Calibri" w:eastAsia="宋体" w:cs="Arial"/>
      <w:kern w:val="2"/>
      <w:sz w:val="28"/>
      <w:szCs w:val="22"/>
      <w:lang w:val="en-US" w:eastAsia="zh-CN" w:bidi="ar-SA"/>
    </w:rPr>
  </w:style>
  <w:style w:type="paragraph" w:customStyle="1" w:styleId="53">
    <w:name w:val="标题 3_0"/>
    <w:basedOn w:val="52"/>
    <w:next w:val="52"/>
    <w:qFormat/>
    <w:uiPriority w:val="99"/>
    <w:pPr>
      <w:autoSpaceDE w:val="0"/>
      <w:autoSpaceDN w:val="0"/>
      <w:adjustRightInd w:val="0"/>
      <w:spacing w:line="500" w:lineRule="exact"/>
      <w:jc w:val="center"/>
      <w:outlineLvl w:val="2"/>
    </w:pPr>
    <w:rPr>
      <w:rFonts w:ascii="宋体"/>
      <w:b/>
      <w:szCs w:val="28"/>
    </w:rPr>
  </w:style>
  <w:style w:type="paragraph" w:customStyle="1" w:styleId="54">
    <w:name w:val="标题 4_0"/>
    <w:basedOn w:val="53"/>
    <w:next w:val="52"/>
    <w:qFormat/>
    <w:uiPriority w:val="0"/>
    <w:pPr>
      <w:outlineLvl w:val="3"/>
    </w:pPr>
    <w:rPr>
      <w:rFonts w:ascii="Calibri"/>
    </w:rPr>
  </w:style>
  <w:style w:type="paragraph" w:customStyle="1" w:styleId="55">
    <w:name w:val="标题 2_1"/>
    <w:basedOn w:val="54"/>
    <w:next w:val="56"/>
    <w:qFormat/>
    <w:uiPriority w:val="0"/>
    <w:pPr>
      <w:outlineLvl w:val="1"/>
    </w:pPr>
  </w:style>
  <w:style w:type="paragraph" w:customStyle="1" w:styleId="56">
    <w:name w:val="正文缩进_2"/>
    <w:basedOn w:val="52"/>
    <w:qFormat/>
    <w:uiPriority w:val="0"/>
    <w:pPr>
      <w:ind w:firstLine="200" w:firstLineChars="200"/>
    </w:pPr>
    <w:rPr>
      <w:rFonts w:cs="Times New Roman"/>
    </w:rPr>
  </w:style>
  <w:style w:type="paragraph" w:customStyle="1" w:styleId="57">
    <w:name w:val="正文_1_0"/>
    <w:qFormat/>
    <w:uiPriority w:val="99"/>
    <w:pPr>
      <w:widowControl w:val="0"/>
      <w:jc w:val="both"/>
    </w:pPr>
    <w:rPr>
      <w:rFonts w:ascii="Calibri" w:hAnsi="Calibri" w:eastAsia="宋体" w:cs="Arial"/>
      <w:kern w:val="2"/>
      <w:sz w:val="28"/>
      <w:szCs w:val="22"/>
      <w:lang w:val="en-US" w:eastAsia="zh-CN" w:bidi="ar-SA"/>
    </w:rPr>
  </w:style>
  <w:style w:type="paragraph" w:customStyle="1" w:styleId="58">
    <w:name w:val="标题 3_0_0"/>
    <w:basedOn w:val="57"/>
    <w:next w:val="57"/>
    <w:qFormat/>
    <w:uiPriority w:val="0"/>
    <w:pPr>
      <w:autoSpaceDE w:val="0"/>
      <w:autoSpaceDN w:val="0"/>
      <w:adjustRightInd w:val="0"/>
      <w:spacing w:line="500" w:lineRule="exact"/>
      <w:jc w:val="center"/>
      <w:outlineLvl w:val="2"/>
    </w:pPr>
    <w:rPr>
      <w:rFonts w:ascii="宋体"/>
      <w:b/>
      <w:szCs w:val="28"/>
    </w:rPr>
  </w:style>
  <w:style w:type="paragraph" w:customStyle="1" w:styleId="59">
    <w:name w:val="标题 4_0_0"/>
    <w:basedOn w:val="58"/>
    <w:next w:val="57"/>
    <w:qFormat/>
    <w:uiPriority w:val="0"/>
    <w:pPr>
      <w:spacing w:after="240"/>
      <w:outlineLvl w:val="3"/>
    </w:pPr>
  </w:style>
  <w:style w:type="paragraph" w:customStyle="1" w:styleId="60">
    <w:name w:val="标题 2_0_0"/>
    <w:basedOn w:val="59"/>
    <w:next w:val="61"/>
    <w:qFormat/>
    <w:uiPriority w:val="99"/>
    <w:pPr>
      <w:outlineLvl w:val="1"/>
    </w:pPr>
    <w:rPr>
      <w:rFonts w:ascii="Calibri"/>
    </w:rPr>
  </w:style>
  <w:style w:type="paragraph" w:customStyle="1" w:styleId="61">
    <w:name w:val="正文缩进_0_0"/>
    <w:basedOn w:val="57"/>
    <w:qFormat/>
    <w:uiPriority w:val="99"/>
    <w:pPr>
      <w:ind w:firstLine="200" w:firstLineChars="200"/>
    </w:pPr>
    <w:rPr>
      <w:rFonts w:cs="Times New Roman"/>
    </w:rPr>
  </w:style>
  <w:style w:type="paragraph" w:customStyle="1" w:styleId="62">
    <w:name w:val="默认段落字体 Para Char Char Char Char Char Char Char Char Char1 Char Char Char Char"/>
    <w:basedOn w:val="1"/>
    <w:qFormat/>
    <w:uiPriority w:val="0"/>
    <w:rPr>
      <w:rFonts w:ascii="Tahoma" w:hAnsi="Tahoma"/>
      <w:sz w:val="24"/>
    </w:rPr>
  </w:style>
  <w:style w:type="paragraph" w:customStyle="1" w:styleId="63">
    <w:name w:val="列出段落1"/>
    <w:basedOn w:val="1"/>
    <w:qFormat/>
    <w:uiPriority w:val="0"/>
    <w:pPr>
      <w:ind w:firstLine="200" w:firstLineChars="200"/>
    </w:pPr>
  </w:style>
  <w:style w:type="paragraph" w:customStyle="1" w:styleId="64">
    <w:name w:val="表内文字"/>
    <w:basedOn w:val="1"/>
    <w:qFormat/>
    <w:uiPriority w:val="0"/>
    <w:pPr>
      <w:tabs>
        <w:tab w:val="left" w:pos="1418"/>
      </w:tabs>
      <w:spacing w:line="360" w:lineRule="auto"/>
      <w:jc w:val="center"/>
    </w:pPr>
    <w:rPr>
      <w:rFonts w:ascii="仿宋_GB2312" w:eastAsia="仿宋_GB2312"/>
      <w:spacing w:val="-20"/>
      <w:kern w:val="0"/>
      <w:sz w:val="24"/>
    </w:rPr>
  </w:style>
  <w:style w:type="character" w:customStyle="1" w:styleId="65">
    <w:name w:val="newsitemtext1"/>
    <w:qFormat/>
    <w:uiPriority w:val="0"/>
    <w:rPr>
      <w:color w:val="000000"/>
      <w:sz w:val="21"/>
    </w:rPr>
  </w:style>
  <w:style w:type="paragraph" w:customStyle="1" w:styleId="66">
    <w:name w:val="_Style 1"/>
    <w:basedOn w:val="1"/>
    <w:qFormat/>
    <w:uiPriority w:val="0"/>
    <w:pPr>
      <w:ind w:firstLine="200" w:firstLineChars="200"/>
    </w:pPr>
  </w:style>
  <w:style w:type="character" w:customStyle="1" w:styleId="67">
    <w:name w:val="font21"/>
    <w:qFormat/>
    <w:uiPriority w:val="0"/>
    <w:rPr>
      <w:rFonts w:ascii="宋体" w:eastAsia="宋体"/>
      <w:color w:val="000000"/>
      <w:sz w:val="20"/>
      <w:u w:val="none"/>
    </w:rPr>
  </w:style>
  <w:style w:type="character" w:customStyle="1" w:styleId="68">
    <w:name w:val="font51"/>
    <w:basedOn w:val="37"/>
    <w:qFormat/>
    <w:uiPriority w:val="0"/>
    <w:rPr>
      <w:rFonts w:ascii="Times New Roman" w:hAnsi="Times New Roman"/>
      <w:color w:val="000000"/>
      <w:sz w:val="21"/>
      <w:u w:val="none"/>
    </w:rPr>
  </w:style>
  <w:style w:type="character" w:customStyle="1" w:styleId="69">
    <w:name w:val="font41"/>
    <w:basedOn w:val="37"/>
    <w:qFormat/>
    <w:uiPriority w:val="0"/>
    <w:rPr>
      <w:rFonts w:ascii="宋体" w:eastAsia="宋体"/>
      <w:color w:val="000000"/>
      <w:sz w:val="21"/>
      <w:u w:val="none"/>
    </w:rPr>
  </w:style>
  <w:style w:type="paragraph" w:customStyle="1" w:styleId="70">
    <w:name w:val="列出段落2"/>
    <w:basedOn w:val="1"/>
    <w:qFormat/>
    <w:uiPriority w:val="0"/>
    <w:pPr>
      <w:ind w:firstLine="200" w:firstLineChars="200"/>
    </w:pPr>
  </w:style>
  <w:style w:type="paragraph" w:customStyle="1" w:styleId="71">
    <w:name w:val="表格居中"/>
    <w:qFormat/>
    <w:uiPriority w:val="0"/>
    <w:pPr>
      <w:jc w:val="center"/>
    </w:pPr>
    <w:rPr>
      <w:rFonts w:ascii="宋体" w:hAnsi="Times New Roman" w:eastAsia="宋体" w:cs="Arial"/>
      <w:sz w:val="24"/>
      <w:szCs w:val="24"/>
      <w:lang w:val="en-US" w:eastAsia="zh-CN" w:bidi="ar-SA"/>
    </w:rPr>
  </w:style>
  <w:style w:type="paragraph" w:customStyle="1" w:styleId="72">
    <w:name w:val="表格"/>
    <w:basedOn w:val="1"/>
    <w:qFormat/>
    <w:uiPriority w:val="0"/>
    <w:pPr>
      <w:widowControl/>
      <w:jc w:val="center"/>
    </w:pPr>
    <w:rPr>
      <w:rFonts w:ascii="宋体" w:cs="宋体"/>
      <w:bCs/>
      <w:kern w:val="0"/>
      <w:szCs w:val="24"/>
    </w:rPr>
  </w:style>
  <w:style w:type="paragraph" w:customStyle="1" w:styleId="73">
    <w:name w:val="Plain Text1"/>
    <w:basedOn w:val="1"/>
    <w:qFormat/>
    <w:uiPriority w:val="0"/>
    <w:pPr>
      <w:spacing w:beforeLines="50" w:afterLines="50" w:line="400" w:lineRule="exact"/>
    </w:pPr>
    <w:rPr>
      <w:rFonts w:ascii="宋体"/>
      <w:sz w:val="24"/>
    </w:rPr>
  </w:style>
  <w:style w:type="paragraph" w:customStyle="1" w:styleId="74">
    <w:name w:val="纯文本1"/>
    <w:basedOn w:val="1"/>
    <w:qFormat/>
    <w:uiPriority w:val="0"/>
    <w:pPr>
      <w:spacing w:beforeLines="50" w:afterLines="50" w:line="400" w:lineRule="exact"/>
    </w:pPr>
    <w:rPr>
      <w:rFonts w:ascii="宋体"/>
      <w:sz w:val="24"/>
    </w:rPr>
  </w:style>
  <w:style w:type="character" w:customStyle="1" w:styleId="75">
    <w:name w:val="font11"/>
    <w:basedOn w:val="37"/>
    <w:qFormat/>
    <w:uiPriority w:val="0"/>
    <w:rPr>
      <w:rFonts w:ascii="宋体" w:eastAsia="宋体" w:cs="宋体"/>
      <w:color w:val="000000"/>
      <w:sz w:val="21"/>
      <w:szCs w:val="21"/>
      <w:u w:val="none"/>
    </w:rPr>
  </w:style>
  <w:style w:type="character" w:customStyle="1" w:styleId="76">
    <w:name w:val="font31"/>
    <w:basedOn w:val="37"/>
    <w:qFormat/>
    <w:uiPriority w:val="0"/>
    <w:rPr>
      <w:rFonts w:ascii="Times New Roman" w:hAnsi="Times New Roman" w:cs="Times New Roman"/>
      <w:color w:val="000000"/>
      <w:sz w:val="14"/>
      <w:szCs w:val="14"/>
      <w:u w:val="none"/>
    </w:rPr>
  </w:style>
  <w:style w:type="character" w:customStyle="1" w:styleId="77">
    <w:name w:val="font61"/>
    <w:basedOn w:val="37"/>
    <w:qFormat/>
    <w:uiPriority w:val="0"/>
    <w:rPr>
      <w:rFonts w:ascii="宋体" w:eastAsia="宋体" w:cs="宋体"/>
      <w:color w:val="000000"/>
      <w:sz w:val="21"/>
      <w:szCs w:val="21"/>
      <w:u w:val="none"/>
    </w:rPr>
  </w:style>
  <w:style w:type="character" w:customStyle="1" w:styleId="78">
    <w:name w:val="font81"/>
    <w:basedOn w:val="37"/>
    <w:qFormat/>
    <w:uiPriority w:val="0"/>
    <w:rPr>
      <w:rFonts w:ascii="经典中宋简" w:eastAsia="经典中宋简" w:cs="经典中宋简"/>
      <w:color w:val="000000"/>
      <w:sz w:val="21"/>
      <w:szCs w:val="21"/>
      <w:u w:val="none"/>
    </w:rPr>
  </w:style>
  <w:style w:type="character" w:customStyle="1" w:styleId="79">
    <w:name w:val="正文文本 2 Char"/>
    <w:qFormat/>
    <w:uiPriority w:val="0"/>
    <w:rPr>
      <w:rFonts w:eastAsia="宋体"/>
      <w:kern w:val="2"/>
      <w:sz w:val="21"/>
      <w:szCs w:val="24"/>
      <w:lang w:val="en-US" w:eastAsia="zh-CN" w:bidi="ar-SA"/>
    </w:rPr>
  </w:style>
  <w:style w:type="paragraph" w:customStyle="1" w:styleId="80">
    <w:name w:val="DL"/>
    <w:basedOn w:val="1"/>
    <w:qFormat/>
    <w:uiPriority w:val="0"/>
    <w:pPr>
      <w:spacing w:line="360" w:lineRule="auto"/>
      <w:ind w:firstLine="960" w:firstLineChars="200"/>
    </w:pPr>
    <w:rPr>
      <w:rFonts w:ascii="Times New Roman" w:hAnsi="Times New Roman"/>
    </w:rPr>
  </w:style>
  <w:style w:type="paragraph" w:customStyle="1" w:styleId="81">
    <w:name w:val="Table Paragraph"/>
    <w:basedOn w:val="1"/>
    <w:qFormat/>
    <w:uiPriority w:val="1"/>
    <w:rPr>
      <w:rFonts w:ascii="Times New Roman" w:hAnsi="Times New Roman" w:cs="Times New Roman"/>
      <w:szCs w:val="24"/>
    </w:rPr>
  </w:style>
  <w:style w:type="paragraph" w:customStyle="1" w:styleId="82">
    <w:name w:val="修订1"/>
    <w:hidden/>
    <w:unhideWhenUsed/>
    <w:qFormat/>
    <w:uiPriority w:val="99"/>
    <w:rPr>
      <w:rFonts w:ascii="Calibri" w:hAnsi="Calibri" w:eastAsia="宋体" w:cs="Arial"/>
      <w:kern w:val="2"/>
      <w:sz w:val="21"/>
      <w:szCs w:val="22"/>
      <w:lang w:val="en-US" w:eastAsia="zh-CN" w:bidi="ar-SA"/>
    </w:rPr>
  </w:style>
  <w:style w:type="character" w:customStyle="1" w:styleId="83">
    <w:name w:val="批注文字 Char"/>
    <w:basedOn w:val="37"/>
    <w:link w:val="17"/>
    <w:qFormat/>
    <w:uiPriority w:val="0"/>
    <w:rPr>
      <w:rFonts w:ascii="Calibri" w:hAnsi="Calibri" w:cs="Arial"/>
      <w:kern w:val="2"/>
      <w:sz w:val="21"/>
      <w:szCs w:val="22"/>
    </w:rPr>
  </w:style>
  <w:style w:type="character" w:customStyle="1" w:styleId="84">
    <w:name w:val="批注主题 Char"/>
    <w:basedOn w:val="83"/>
    <w:link w:val="34"/>
    <w:qFormat/>
    <w:uiPriority w:val="0"/>
    <w:rPr>
      <w:rFonts w:ascii="Calibri" w:hAnsi="Calibri" w:cs="Arial"/>
      <w:b/>
      <w:bCs/>
      <w:kern w:val="2"/>
      <w:sz w:val="21"/>
      <w:szCs w:val="22"/>
    </w:rPr>
  </w:style>
  <w:style w:type="character" w:customStyle="1" w:styleId="85">
    <w:name w:val="正文缩进 Char"/>
    <w:link w:val="9"/>
    <w:qFormat/>
    <w:uiPriority w:val="0"/>
    <w:rPr>
      <w:rFonts w:ascii="Calibri" w:hAnsi="Calibri" w:cs="Arial"/>
      <w:kern w:val="2"/>
      <w:sz w:val="21"/>
      <w:szCs w:val="22"/>
    </w:rPr>
  </w:style>
  <w:style w:type="character" w:customStyle="1" w:styleId="86">
    <w:name w:val="列出段落 Char"/>
    <w:link w:val="42"/>
    <w:qFormat/>
    <w:locked/>
    <w:uiPriority w:val="34"/>
    <w:rPr>
      <w:kern w:val="2"/>
      <w:sz w:val="21"/>
      <w:szCs w:val="24"/>
    </w:rPr>
  </w:style>
  <w:style w:type="character" w:customStyle="1" w:styleId="87">
    <w:name w:val="纯文本 Char"/>
    <w:basedOn w:val="37"/>
    <w:link w:val="22"/>
    <w:qFormat/>
    <w:locked/>
    <w:uiPriority w:val="0"/>
    <w:rPr>
      <w:rFonts w:ascii="宋体" w:hAnsi="Calibri" w:eastAsia="宋体" w:cs="Arial"/>
      <w:kern w:val="2"/>
      <w:sz w:val="21"/>
      <w:szCs w:val="21"/>
    </w:rPr>
  </w:style>
  <w:style w:type="character" w:customStyle="1" w:styleId="88">
    <w:name w:val="日期 Char"/>
    <w:basedOn w:val="37"/>
    <w:link w:val="23"/>
    <w:qFormat/>
    <w:locked/>
    <w:uiPriority w:val="0"/>
    <w:rPr>
      <w:rFonts w:ascii="Calibri" w:hAnsi="Calibri" w:eastAsia="楷体_GB2312" w:cs="Arial"/>
      <w:kern w:val="2"/>
      <w:sz w:val="32"/>
      <w:szCs w:val="22"/>
    </w:rPr>
  </w:style>
  <w:style w:type="character" w:customStyle="1" w:styleId="89">
    <w:name w:val="正文文本缩进 2 Char"/>
    <w:basedOn w:val="37"/>
    <w:link w:val="24"/>
    <w:qFormat/>
    <w:locked/>
    <w:uiPriority w:val="99"/>
    <w:rPr>
      <w:rFonts w:ascii="仿宋_GB2312" w:hAnsi="仿宋_GB2312" w:eastAsia="宋体" w:cs="Arial"/>
      <w:b/>
      <w:color w:val="000000"/>
      <w:kern w:val="2"/>
      <w:sz w:val="24"/>
      <w:szCs w:val="22"/>
    </w:rPr>
  </w:style>
  <w:style w:type="character" w:customStyle="1" w:styleId="90">
    <w:name w:val="纯文本 Char1"/>
    <w:qFormat/>
    <w:uiPriority w:val="0"/>
    <w:rPr>
      <w:rFonts w:ascii="宋体" w:hAnsi="Courier New" w:eastAsia="宋体" w:cs="Times New Roman"/>
      <w:kern w:val="0"/>
      <w:szCs w:val="21"/>
    </w:rPr>
  </w:style>
  <w:style w:type="character" w:customStyle="1" w:styleId="91">
    <w:name w:val="明显强调1"/>
    <w:qFormat/>
    <w:uiPriority w:val="0"/>
    <w:rPr>
      <w:b/>
      <w:bCs/>
      <w:i/>
      <w:iCs/>
      <w:color w:val="4F81BD"/>
      <w:sz w:val="22"/>
      <w:szCs w:val="22"/>
    </w:rPr>
  </w:style>
  <w:style w:type="character" w:customStyle="1" w:styleId="92">
    <w:name w:val="NormalCharacter"/>
    <w:qFormat/>
    <w:uiPriority w:val="0"/>
  </w:style>
  <w:style w:type="character" w:customStyle="1" w:styleId="93">
    <w:name w:val="bookmark-item"/>
    <w:qFormat/>
    <w:uiPriority w:val="0"/>
  </w:style>
  <w:style w:type="paragraph" w:customStyle="1" w:styleId="94">
    <w:name w:val="标题 5（有编号）（绿盟科技）"/>
    <w:basedOn w:val="1"/>
    <w:next w:val="1"/>
    <w:qFormat/>
    <w:uiPriority w:val="0"/>
    <w:pPr>
      <w:keepNext/>
      <w:keepLines/>
      <w:numPr>
        <w:ilvl w:val="4"/>
        <w:numId w:val="2"/>
      </w:numPr>
      <w:spacing w:before="280" w:after="156" w:line="377" w:lineRule="auto"/>
      <w:jc w:val="left"/>
      <w:outlineLvl w:val="4"/>
    </w:pPr>
    <w:rPr>
      <w:rFonts w:ascii="Arial" w:hAnsi="Arial" w:eastAsia="黑体" w:cs="Times New Roman"/>
      <w:b/>
      <w:kern w:val="0"/>
      <w:sz w:val="24"/>
      <w:szCs w:val="28"/>
    </w:rPr>
  </w:style>
  <w:style w:type="character" w:customStyle="1" w:styleId="95">
    <w:name w:val="页眉 Char Char"/>
    <w:qFormat/>
    <w:uiPriority w:val="0"/>
    <w:rPr>
      <w:rFonts w:hint="default"/>
      <w:sz w:val="18"/>
    </w:rPr>
  </w:style>
  <w:style w:type="character" w:customStyle="1" w:styleId="96">
    <w:name w:val="font01"/>
    <w:basedOn w:val="37"/>
    <w:qFormat/>
    <w:uiPriority w:val="0"/>
    <w:rPr>
      <w:rFonts w:hint="eastAsia" w:ascii="宋体" w:hAnsi="宋体" w:eastAsia="宋体" w:cs="宋体"/>
      <w:color w:val="FF0000"/>
      <w:sz w:val="20"/>
      <w:szCs w:val="20"/>
      <w:u w:val="none"/>
    </w:rPr>
  </w:style>
  <w:style w:type="character" w:customStyle="1" w:styleId="97">
    <w:name w:val="font71"/>
    <w:basedOn w:val="37"/>
    <w:qFormat/>
    <w:uiPriority w:val="0"/>
    <w:rPr>
      <w:rFonts w:hint="default" w:ascii="Calibri" w:hAnsi="Calibri" w:cs="Calibri"/>
      <w:b/>
      <w:bCs/>
      <w:color w:val="000000"/>
      <w:sz w:val="24"/>
      <w:szCs w:val="24"/>
      <w:u w:val="none"/>
    </w:rPr>
  </w:style>
  <w:style w:type="character" w:customStyle="1" w:styleId="98">
    <w:name w:val="font91"/>
    <w:basedOn w:val="37"/>
    <w:qFormat/>
    <w:uiPriority w:val="0"/>
    <w:rPr>
      <w:rFonts w:hint="eastAsia" w:ascii="宋体" w:hAnsi="宋体" w:eastAsia="宋体" w:cs="宋体"/>
      <w:b/>
      <w:bCs/>
      <w:color w:val="000000"/>
      <w:sz w:val="24"/>
      <w:szCs w:val="24"/>
      <w:u w:val="none"/>
    </w:rPr>
  </w:style>
  <w:style w:type="character" w:customStyle="1" w:styleId="99">
    <w:name w:val="font101"/>
    <w:basedOn w:val="37"/>
    <w:qFormat/>
    <w:uiPriority w:val="0"/>
    <w:rPr>
      <w:rFonts w:hint="default" w:ascii="Calibri" w:hAnsi="Calibri" w:cs="Calibri"/>
      <w:color w:val="000000"/>
      <w:sz w:val="20"/>
      <w:szCs w:val="20"/>
      <w:u w:val="none"/>
    </w:rPr>
  </w:style>
  <w:style w:type="paragraph" w:customStyle="1" w:styleId="100">
    <w:name w:val="c正文"/>
    <w:basedOn w:val="1"/>
    <w:qFormat/>
    <w:uiPriority w:val="0"/>
    <w:pPr>
      <w:adjustRightInd w:val="0"/>
      <w:spacing w:before="120"/>
      <w:ind w:firstLine="567"/>
      <w:textAlignment w:val="baseline"/>
    </w:pPr>
    <w:rPr>
      <w:b/>
      <w:bCs/>
      <w:sz w:val="28"/>
      <w:szCs w:val="20"/>
    </w:rPr>
  </w:style>
  <w:style w:type="paragraph" w:customStyle="1" w:styleId="101">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2">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正文_2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AC3BE7-34BD-429D-BCFE-A538AE8EBDC3}">
  <ds:schemaRefs/>
</ds:datastoreItem>
</file>

<file path=docProps/app.xml><?xml version="1.0" encoding="utf-8"?>
<Properties xmlns="http://schemas.openxmlformats.org/officeDocument/2006/extended-properties" xmlns:vt="http://schemas.openxmlformats.org/officeDocument/2006/docPropsVTypes">
  <Template>Normal</Template>
  <Pages>83</Pages>
  <Words>44444</Words>
  <Characters>47444</Characters>
  <Lines>86</Lines>
  <Paragraphs>111</Paragraphs>
  <TotalTime>15</TotalTime>
  <ScaleCrop>false</ScaleCrop>
  <LinksUpToDate>false</LinksUpToDate>
  <CharactersWithSpaces>49388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2021-06-28T01:29:00Z</dcterms:created>
  <dc:creator>HP</dc:creator>
  <cp:lastModifiedBy>HP</cp:lastModifiedBy>
  <cp:lastPrinted>2022-07-05T01:20:00Z</cp:lastPrinted>
  <dcterms:modified xsi:type="dcterms:W3CDTF">2022-08-17T03:02:29Z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C2B2CBA98DD14DD9B6569B75E70C1ADD</vt:lpwstr>
  </property>
</Properties>
</file>