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jc w:val="center"/>
        <w:rPr>
          <w:rFonts w:ascii="宋体" w:hAnsi="宋体"/>
          <w:b/>
          <w:color w:val="000000"/>
          <w:sz w:val="52"/>
          <w:szCs w:val="52"/>
          <w:highlight w:val="none"/>
        </w:rPr>
      </w:pPr>
    </w:p>
    <w:p>
      <w:pPr>
        <w:spacing w:beforeLines="50"/>
        <w:jc w:val="center"/>
        <w:rPr>
          <w:rFonts w:ascii="宋体" w:hAnsi="宋体"/>
          <w:b/>
          <w:color w:val="000000"/>
          <w:sz w:val="52"/>
          <w:szCs w:val="52"/>
          <w:highlight w:val="none"/>
        </w:rPr>
      </w:pPr>
      <w:r>
        <w:rPr>
          <w:rFonts w:hint="eastAsia" w:ascii="宋体" w:hAnsi="宋体"/>
          <w:b/>
          <w:color w:val="000000"/>
          <w:sz w:val="52"/>
          <w:szCs w:val="52"/>
          <w:highlight w:val="none"/>
        </w:rPr>
        <w:t>德清县政府采购中心关于</w:t>
      </w:r>
    </w:p>
    <w:p>
      <w:pPr>
        <w:spacing w:beforeLines="50"/>
        <w:jc w:val="center"/>
        <w:rPr>
          <w:rFonts w:ascii="宋体" w:hAnsi="宋体"/>
          <w:b/>
          <w:color w:val="000000"/>
          <w:sz w:val="52"/>
          <w:szCs w:val="52"/>
          <w:highlight w:val="none"/>
        </w:rPr>
      </w:pPr>
      <w:r>
        <w:rPr>
          <w:rFonts w:hint="eastAsia" w:ascii="宋体" w:hAnsi="宋体"/>
          <w:b/>
          <w:color w:val="000000"/>
          <w:sz w:val="52"/>
          <w:szCs w:val="52"/>
          <w:highlight w:val="none"/>
        </w:rPr>
        <w:t>德清县市政管理处的2022-2023年度辖区市政设施养护管理服务采购项目</w:t>
      </w:r>
    </w:p>
    <w:p>
      <w:pPr>
        <w:spacing w:beforeLines="50"/>
        <w:jc w:val="center"/>
        <w:rPr>
          <w:rFonts w:ascii="宋体" w:hAnsi="宋体"/>
          <w:b/>
          <w:color w:val="FF0000"/>
          <w:kern w:val="0"/>
          <w:sz w:val="28"/>
          <w:szCs w:val="28"/>
          <w:highlight w:val="none"/>
        </w:rPr>
      </w:pPr>
      <w:r>
        <w:rPr>
          <w:rFonts w:hint="eastAsia" w:ascii="宋体" w:hAnsi="宋体"/>
          <w:b/>
          <w:color w:val="FF0000"/>
          <w:kern w:val="0"/>
          <w:sz w:val="28"/>
          <w:szCs w:val="28"/>
          <w:highlight w:val="none"/>
        </w:rPr>
        <w:t>临[2022]3810、3809、3808号</w:t>
      </w:r>
    </w:p>
    <w:p>
      <w:pPr>
        <w:spacing w:beforeLines="50"/>
        <w:jc w:val="center"/>
        <w:rPr>
          <w:rFonts w:ascii="宋体" w:hAnsi="宋体"/>
          <w:color w:val="000000"/>
          <w:sz w:val="72"/>
          <w:szCs w:val="72"/>
          <w:highlight w:val="none"/>
        </w:rPr>
      </w:pPr>
      <w:r>
        <w:rPr>
          <w:rFonts w:hint="eastAsia" w:ascii="宋体" w:hAnsi="宋体"/>
          <w:color w:val="000000"/>
          <w:sz w:val="72"/>
          <w:szCs w:val="72"/>
          <w:highlight w:val="none"/>
        </w:rPr>
        <w:t>公开招标采购文件</w:t>
      </w:r>
    </w:p>
    <w:p>
      <w:pPr>
        <w:snapToGrid w:val="0"/>
        <w:spacing w:beforeLines="50" w:line="360" w:lineRule="auto"/>
        <w:rPr>
          <w:rFonts w:ascii="宋体" w:hAnsi="宋体"/>
          <w:color w:val="000000"/>
          <w:sz w:val="30"/>
          <w:szCs w:val="72"/>
          <w:highlight w:val="none"/>
        </w:rPr>
      </w:pPr>
    </w:p>
    <w:p>
      <w:pPr>
        <w:snapToGrid w:val="0"/>
        <w:spacing w:beforeLines="50" w:line="360" w:lineRule="auto"/>
        <w:rPr>
          <w:rFonts w:ascii="宋体" w:hAnsi="宋体"/>
          <w:color w:val="000000"/>
          <w:sz w:val="30"/>
          <w:szCs w:val="72"/>
          <w:highlight w:val="none"/>
        </w:rPr>
      </w:pPr>
    </w:p>
    <w:p>
      <w:pPr>
        <w:snapToGrid w:val="0"/>
        <w:spacing w:beforeLines="50" w:afterLines="50" w:line="360" w:lineRule="auto"/>
        <w:rPr>
          <w:rFonts w:ascii="宋体" w:hAnsi="宋体"/>
          <w:b/>
          <w:bCs/>
          <w:color w:val="000000"/>
          <w:sz w:val="30"/>
          <w:szCs w:val="30"/>
          <w:highlight w:val="none"/>
        </w:rPr>
      </w:pPr>
      <w:r>
        <w:rPr>
          <w:rFonts w:ascii="宋体" w:hAnsi="宋体"/>
          <w:b/>
          <w:bCs/>
          <w:color w:val="000000"/>
          <w:sz w:val="30"/>
          <w:szCs w:val="30"/>
          <w:highlight w:val="none"/>
        </w:rPr>
        <w:t>项目编号：</w:t>
      </w:r>
      <w:r>
        <w:rPr>
          <w:rFonts w:hint="eastAsia" w:ascii="宋体" w:hAnsi="宋体"/>
          <w:b/>
          <w:bCs/>
          <w:color w:val="000000"/>
          <w:sz w:val="30"/>
          <w:szCs w:val="30"/>
          <w:highlight w:val="none"/>
        </w:rPr>
        <w:t>DQZFCG-2022-G30</w:t>
      </w:r>
    </w:p>
    <w:p>
      <w:pPr>
        <w:snapToGrid w:val="0"/>
        <w:spacing w:beforeLines="50" w:line="360" w:lineRule="auto"/>
        <w:rPr>
          <w:rFonts w:ascii="宋体" w:hAnsi="宋体"/>
          <w:b/>
          <w:color w:val="000000"/>
          <w:sz w:val="30"/>
          <w:szCs w:val="72"/>
          <w:highlight w:val="none"/>
        </w:rPr>
      </w:pPr>
      <w:r>
        <w:rPr>
          <w:rFonts w:hint="eastAsia" w:ascii="宋体" w:hAnsi="宋体"/>
          <w:b/>
          <w:color w:val="000000"/>
          <w:sz w:val="30"/>
          <w:szCs w:val="72"/>
          <w:highlight w:val="none"/>
        </w:rPr>
        <w:t>项目名称：2022-2023年度辖区市政设施养护管理服务采购项目</w:t>
      </w:r>
    </w:p>
    <w:p>
      <w:pPr>
        <w:snapToGrid w:val="0"/>
        <w:spacing w:beforeLines="50" w:afterLines="50" w:line="360" w:lineRule="auto"/>
        <w:rPr>
          <w:rFonts w:ascii="宋体" w:hAnsi="宋体"/>
          <w:b/>
          <w:bCs/>
          <w:color w:val="000000"/>
          <w:w w:val="95"/>
          <w:sz w:val="28"/>
          <w:szCs w:val="28"/>
          <w:highlight w:val="none"/>
        </w:rPr>
      </w:pPr>
      <w:r>
        <w:rPr>
          <w:rFonts w:ascii="宋体" w:hAnsi="宋体"/>
          <w:b/>
          <w:bCs/>
          <w:color w:val="000000"/>
          <w:w w:val="95"/>
          <w:sz w:val="30"/>
          <w:szCs w:val="30"/>
          <w:highlight w:val="none"/>
        </w:rPr>
        <w:t>采购单位：</w:t>
      </w:r>
      <w:r>
        <w:rPr>
          <w:rFonts w:hint="eastAsia" w:ascii="宋体" w:hAnsi="宋体"/>
          <w:b/>
          <w:bCs/>
          <w:color w:val="000000"/>
          <w:w w:val="95"/>
          <w:sz w:val="30"/>
          <w:szCs w:val="30"/>
          <w:highlight w:val="none"/>
        </w:rPr>
        <w:t>德清县市政管理处</w:t>
      </w:r>
    </w:p>
    <w:p>
      <w:pPr>
        <w:snapToGrid w:val="0"/>
        <w:spacing w:beforeLines="50" w:afterLines="50" w:line="360" w:lineRule="auto"/>
        <w:rPr>
          <w:rFonts w:ascii="宋体" w:hAnsi="宋体"/>
          <w:b/>
          <w:color w:val="000000"/>
          <w:sz w:val="30"/>
          <w:szCs w:val="48"/>
          <w:highlight w:val="none"/>
        </w:rPr>
      </w:pPr>
      <w:r>
        <w:rPr>
          <w:rFonts w:hint="eastAsia" w:ascii="宋体" w:hAnsi="宋体"/>
          <w:b/>
          <w:bCs/>
          <w:color w:val="000000"/>
          <w:w w:val="95"/>
          <w:sz w:val="30"/>
          <w:szCs w:val="30"/>
          <w:highlight w:val="none"/>
        </w:rPr>
        <w:t>集中采购机构</w:t>
      </w:r>
      <w:r>
        <w:rPr>
          <w:rFonts w:ascii="宋体" w:hAnsi="宋体"/>
          <w:b/>
          <w:bCs/>
          <w:color w:val="000000"/>
          <w:w w:val="95"/>
          <w:sz w:val="30"/>
          <w:szCs w:val="30"/>
          <w:highlight w:val="none"/>
        </w:rPr>
        <w:t>：</w:t>
      </w:r>
      <w:r>
        <w:rPr>
          <w:rFonts w:hint="eastAsia" w:ascii="宋体" w:hAnsi="宋体"/>
          <w:b/>
          <w:color w:val="000000"/>
          <w:sz w:val="30"/>
          <w:szCs w:val="48"/>
          <w:highlight w:val="none"/>
        </w:rPr>
        <w:t>德清县政府采购中心</w:t>
      </w:r>
    </w:p>
    <w:p>
      <w:pPr>
        <w:snapToGrid w:val="0"/>
        <w:spacing w:beforeLines="50" w:afterLines="50" w:line="360" w:lineRule="auto"/>
        <w:rPr>
          <w:rFonts w:ascii="宋体" w:hAnsi="宋体"/>
          <w:b/>
          <w:bCs/>
          <w:color w:val="000000"/>
          <w:w w:val="95"/>
          <w:sz w:val="30"/>
          <w:szCs w:val="30"/>
          <w:highlight w:val="none"/>
        </w:rPr>
      </w:pPr>
    </w:p>
    <w:p>
      <w:pPr>
        <w:snapToGrid w:val="0"/>
        <w:spacing w:beforeLines="50" w:line="360" w:lineRule="auto"/>
        <w:ind w:left="384" w:leftChars="183" w:firstLine="4599" w:firstLineChars="1607"/>
        <w:rPr>
          <w:rFonts w:ascii="宋体" w:hAnsi="宋体"/>
          <w:b/>
          <w:bCs/>
          <w:color w:val="FF0000"/>
          <w:w w:val="95"/>
          <w:sz w:val="30"/>
          <w:szCs w:val="30"/>
          <w:highlight w:val="none"/>
        </w:rPr>
      </w:pPr>
      <w:r>
        <w:rPr>
          <w:rFonts w:ascii="宋体" w:hAnsi="宋体"/>
          <w:b/>
          <w:bCs/>
          <w:color w:val="FF0000"/>
          <w:w w:val="95"/>
          <w:sz w:val="30"/>
          <w:szCs w:val="30"/>
          <w:highlight w:val="none"/>
        </w:rPr>
        <w:t>202</w:t>
      </w:r>
      <w:r>
        <w:rPr>
          <w:rFonts w:hint="eastAsia" w:ascii="宋体" w:hAnsi="宋体"/>
          <w:b/>
          <w:bCs/>
          <w:color w:val="FF0000"/>
          <w:w w:val="95"/>
          <w:sz w:val="30"/>
          <w:szCs w:val="30"/>
          <w:highlight w:val="none"/>
        </w:rPr>
        <w:t>2年08月23日</w:t>
      </w:r>
    </w:p>
    <w:p>
      <w:pPr>
        <w:snapToGrid w:val="0"/>
        <w:spacing w:beforeLines="50" w:line="360" w:lineRule="auto"/>
        <w:ind w:left="384" w:leftChars="183" w:firstLine="4821" w:firstLineChars="1607"/>
        <w:rPr>
          <w:rFonts w:ascii="宋体" w:hAnsi="宋体"/>
          <w:color w:val="FF0000"/>
          <w:sz w:val="30"/>
          <w:szCs w:val="20"/>
          <w:highlight w:val="none"/>
        </w:rPr>
      </w:pPr>
    </w:p>
    <w:p>
      <w:pPr>
        <w:snapToGrid w:val="0"/>
        <w:spacing w:beforeLines="50" w:line="360" w:lineRule="auto"/>
        <w:ind w:left="384" w:leftChars="183" w:firstLine="4821" w:firstLineChars="1607"/>
        <w:rPr>
          <w:rFonts w:ascii="宋体" w:hAnsi="宋体"/>
          <w:color w:val="FF0000"/>
          <w:sz w:val="30"/>
          <w:szCs w:val="20"/>
          <w:highlight w:val="none"/>
        </w:rPr>
      </w:pPr>
    </w:p>
    <w:p>
      <w:pPr>
        <w:snapToGrid w:val="0"/>
        <w:spacing w:beforeLines="50" w:line="360" w:lineRule="auto"/>
        <w:ind w:left="384" w:leftChars="183" w:firstLine="4821" w:firstLineChars="1607"/>
        <w:rPr>
          <w:rFonts w:ascii="宋体" w:hAnsi="宋体"/>
          <w:color w:val="FF0000"/>
          <w:sz w:val="30"/>
          <w:szCs w:val="20"/>
          <w:highlight w:val="none"/>
        </w:rPr>
      </w:pPr>
    </w:p>
    <w:p>
      <w:pPr>
        <w:snapToGrid w:val="0"/>
        <w:spacing w:beforeLines="50" w:line="360" w:lineRule="auto"/>
        <w:ind w:left="384" w:leftChars="183" w:firstLine="4821" w:firstLineChars="1607"/>
        <w:rPr>
          <w:rFonts w:ascii="宋体" w:hAnsi="宋体"/>
          <w:color w:val="FF0000"/>
          <w:sz w:val="30"/>
          <w:szCs w:val="20"/>
          <w:highlight w:val="none"/>
        </w:rPr>
      </w:pPr>
    </w:p>
    <w:p>
      <w:pPr>
        <w:snapToGrid w:val="0"/>
        <w:spacing w:beforeLines="50" w:line="360" w:lineRule="auto"/>
        <w:ind w:left="384" w:leftChars="183" w:firstLine="4821" w:firstLineChars="1607"/>
        <w:rPr>
          <w:rFonts w:ascii="宋体" w:hAnsi="宋体"/>
          <w:color w:val="FF0000"/>
          <w:sz w:val="30"/>
          <w:szCs w:val="20"/>
          <w:highlight w:val="none"/>
        </w:rPr>
      </w:pPr>
    </w:p>
    <w:p>
      <w:pPr>
        <w:snapToGrid w:val="0"/>
        <w:spacing w:beforeLines="50" w:line="360" w:lineRule="auto"/>
        <w:ind w:left="384" w:leftChars="183" w:firstLine="4821" w:firstLineChars="1607"/>
        <w:rPr>
          <w:rFonts w:ascii="宋体" w:hAnsi="宋体"/>
          <w:color w:val="FF0000"/>
          <w:sz w:val="30"/>
          <w:szCs w:val="20"/>
          <w:highlight w:val="none"/>
        </w:rPr>
      </w:pPr>
    </w:p>
    <w:p>
      <w:pPr>
        <w:spacing w:beforeLines="50" w:afterLines="50" w:line="360" w:lineRule="auto"/>
        <w:jc w:val="center"/>
        <w:rPr>
          <w:rFonts w:ascii="宋体" w:hAnsi="宋体"/>
          <w:color w:val="000000"/>
          <w:sz w:val="44"/>
          <w:szCs w:val="44"/>
          <w:highlight w:val="none"/>
        </w:rPr>
      </w:pPr>
      <w:r>
        <w:rPr>
          <w:rFonts w:hint="eastAsia" w:ascii="宋体" w:hAnsi="宋体"/>
          <w:color w:val="000000"/>
          <w:sz w:val="44"/>
          <w:szCs w:val="44"/>
          <w:highlight w:val="none"/>
        </w:rPr>
        <w:t>目录</w:t>
      </w:r>
    </w:p>
    <w:p>
      <w:pPr>
        <w:numPr>
          <w:ilvl w:val="0"/>
          <w:numId w:val="10"/>
        </w:numPr>
        <w:spacing w:beforeLines="50" w:line="480" w:lineRule="exact"/>
        <w:rPr>
          <w:rFonts w:ascii="宋体" w:hAnsi="宋体"/>
          <w:color w:val="000000"/>
          <w:sz w:val="30"/>
          <w:szCs w:val="20"/>
          <w:highlight w:val="none"/>
        </w:rPr>
      </w:pPr>
      <w:r>
        <w:rPr>
          <w:rFonts w:hint="eastAsia" w:ascii="宋体" w:hAnsi="宋体"/>
          <w:color w:val="000000"/>
          <w:sz w:val="30"/>
          <w:szCs w:val="20"/>
          <w:highlight w:val="none"/>
        </w:rPr>
        <w:t>公开招标采购公告</w:t>
      </w:r>
    </w:p>
    <w:p>
      <w:pPr>
        <w:numPr>
          <w:ilvl w:val="0"/>
          <w:numId w:val="10"/>
        </w:numPr>
        <w:spacing w:beforeLines="50" w:line="480" w:lineRule="exact"/>
        <w:rPr>
          <w:rFonts w:ascii="宋体" w:hAnsi="宋体"/>
          <w:color w:val="000000"/>
          <w:sz w:val="30"/>
          <w:szCs w:val="20"/>
          <w:highlight w:val="none"/>
        </w:rPr>
      </w:pPr>
      <w:r>
        <w:rPr>
          <w:rFonts w:hint="eastAsia" w:ascii="宋体" w:hAnsi="宋体"/>
          <w:color w:val="000000"/>
          <w:sz w:val="30"/>
          <w:szCs w:val="20"/>
          <w:highlight w:val="none"/>
        </w:rPr>
        <w:t>招标需求</w:t>
      </w:r>
    </w:p>
    <w:p>
      <w:pPr>
        <w:numPr>
          <w:ilvl w:val="0"/>
          <w:numId w:val="10"/>
        </w:numPr>
        <w:spacing w:beforeLines="50" w:line="480" w:lineRule="exact"/>
        <w:rPr>
          <w:rFonts w:ascii="宋体" w:hAnsi="宋体"/>
          <w:color w:val="000000"/>
          <w:sz w:val="30"/>
          <w:szCs w:val="20"/>
          <w:highlight w:val="none"/>
        </w:rPr>
      </w:pPr>
      <w:r>
        <w:rPr>
          <w:rFonts w:hint="eastAsia" w:ascii="宋体" w:hAnsi="宋体"/>
          <w:color w:val="000000"/>
          <w:sz w:val="30"/>
          <w:szCs w:val="20"/>
          <w:highlight w:val="none"/>
        </w:rPr>
        <w:t>投标人须知</w:t>
      </w:r>
    </w:p>
    <w:p>
      <w:pPr>
        <w:numPr>
          <w:ilvl w:val="0"/>
          <w:numId w:val="10"/>
        </w:numPr>
        <w:spacing w:beforeLines="50" w:line="480" w:lineRule="exact"/>
        <w:rPr>
          <w:rFonts w:ascii="宋体" w:hAnsi="宋体"/>
          <w:color w:val="000000"/>
          <w:sz w:val="30"/>
          <w:szCs w:val="20"/>
          <w:highlight w:val="none"/>
        </w:rPr>
      </w:pPr>
      <w:r>
        <w:rPr>
          <w:rFonts w:hint="eastAsia" w:ascii="宋体" w:hAnsi="宋体"/>
          <w:color w:val="000000"/>
          <w:sz w:val="30"/>
          <w:szCs w:val="20"/>
          <w:highlight w:val="none"/>
        </w:rPr>
        <w:t>评标办法及评分标准</w:t>
      </w:r>
    </w:p>
    <w:p>
      <w:pPr>
        <w:numPr>
          <w:ilvl w:val="0"/>
          <w:numId w:val="10"/>
        </w:numPr>
        <w:spacing w:beforeLines="50" w:line="480" w:lineRule="exact"/>
        <w:rPr>
          <w:rFonts w:ascii="宋体" w:hAnsi="宋体"/>
          <w:color w:val="000000"/>
          <w:sz w:val="30"/>
          <w:szCs w:val="20"/>
          <w:highlight w:val="none"/>
        </w:rPr>
      </w:pPr>
      <w:r>
        <w:rPr>
          <w:rFonts w:hint="eastAsia" w:ascii="宋体" w:hAnsi="宋体"/>
          <w:color w:val="000000"/>
          <w:sz w:val="30"/>
          <w:szCs w:val="20"/>
          <w:highlight w:val="none"/>
        </w:rPr>
        <w:t>政府采购合同主要条款</w:t>
      </w:r>
    </w:p>
    <w:p>
      <w:pPr>
        <w:numPr>
          <w:ilvl w:val="0"/>
          <w:numId w:val="10"/>
        </w:numPr>
        <w:spacing w:beforeLines="50" w:line="480" w:lineRule="exact"/>
        <w:rPr>
          <w:rFonts w:ascii="宋体" w:hAnsi="宋体"/>
          <w:color w:val="000000"/>
          <w:sz w:val="30"/>
          <w:szCs w:val="20"/>
          <w:highlight w:val="none"/>
        </w:rPr>
      </w:pPr>
      <w:r>
        <w:rPr>
          <w:rFonts w:hint="eastAsia" w:ascii="宋体" w:hAnsi="宋体"/>
          <w:color w:val="000000"/>
          <w:sz w:val="30"/>
          <w:szCs w:val="20"/>
          <w:highlight w:val="none"/>
        </w:rPr>
        <w:t>投标文件格式</w:t>
      </w:r>
    </w:p>
    <w:p>
      <w:pPr>
        <w:snapToGrid w:val="0"/>
        <w:spacing w:beforeLines="50" w:afterLines="50"/>
        <w:jc w:val="center"/>
        <w:outlineLvl w:val="0"/>
        <w:rPr>
          <w:rFonts w:ascii="宋体" w:hAnsi="宋体"/>
          <w:color w:val="000000"/>
          <w:sz w:val="30"/>
          <w:szCs w:val="30"/>
          <w:highlight w:val="none"/>
        </w:rPr>
      </w:pPr>
      <w:r>
        <w:rPr>
          <w:rFonts w:ascii="宋体" w:hAnsi="宋体"/>
          <w:color w:val="000000"/>
          <w:sz w:val="24"/>
          <w:highlight w:val="none"/>
        </w:rPr>
        <w:br w:type="page"/>
      </w:r>
      <w:r>
        <w:rPr>
          <w:rFonts w:hint="eastAsia" w:ascii="宋体" w:hAnsi="宋体"/>
          <w:color w:val="000000"/>
          <w:sz w:val="30"/>
          <w:szCs w:val="30"/>
          <w:highlight w:val="none"/>
        </w:rPr>
        <w:t>第一章公开招标采购公告</w:t>
      </w:r>
    </w:p>
    <w:p>
      <w:pPr>
        <w:snapToGrid w:val="0"/>
        <w:ind w:firstLine="480" w:firstLineChars="200"/>
        <w:rPr>
          <w:rFonts w:ascii="宋体" w:hAnsi="宋体"/>
          <w:color w:val="000000"/>
          <w:kern w:val="0"/>
          <w:sz w:val="24"/>
          <w:highlight w:val="none"/>
        </w:rPr>
      </w:pPr>
      <w:r>
        <w:rPr>
          <w:rFonts w:hint="eastAsia" w:ascii="宋体" w:hAnsi="宋体"/>
          <w:color w:val="000000"/>
          <w:kern w:val="0"/>
          <w:sz w:val="24"/>
          <w:highlight w:val="none"/>
        </w:rPr>
        <w:t>根据《中华人民共和国政府采购法》等有关规定，</w:t>
      </w:r>
      <w:r>
        <w:rPr>
          <w:rFonts w:hint="eastAsia" w:ascii="宋体" w:hAnsi="宋体"/>
          <w:b/>
          <w:color w:val="000000"/>
          <w:kern w:val="0"/>
          <w:sz w:val="24"/>
          <w:highlight w:val="none"/>
        </w:rPr>
        <w:t>德清县市政管理处</w:t>
      </w:r>
      <w:r>
        <w:rPr>
          <w:rFonts w:hint="eastAsia" w:ascii="宋体" w:hAnsi="宋体"/>
          <w:color w:val="000000"/>
          <w:kern w:val="0"/>
          <w:sz w:val="24"/>
          <w:highlight w:val="none"/>
        </w:rPr>
        <w:t>就</w:t>
      </w:r>
      <w:r>
        <w:rPr>
          <w:rFonts w:hint="eastAsia" w:ascii="宋体" w:hAnsi="宋体"/>
          <w:b/>
          <w:color w:val="000000"/>
          <w:kern w:val="0"/>
          <w:sz w:val="24"/>
          <w:highlight w:val="none"/>
        </w:rPr>
        <w:t>2022-2023年度辖区市政设施养护管理服务采购项目</w:t>
      </w:r>
      <w:r>
        <w:rPr>
          <w:rFonts w:hint="eastAsia" w:ascii="宋体" w:hAnsi="宋体"/>
          <w:color w:val="000000"/>
          <w:kern w:val="0"/>
          <w:sz w:val="24"/>
          <w:highlight w:val="none"/>
        </w:rPr>
        <w:t>进行公开招标，欢迎国内合格的供应商前来投标。</w:t>
      </w:r>
    </w:p>
    <w:p>
      <w:pPr>
        <w:snapToGrid w:val="0"/>
        <w:spacing w:beforeLines="50"/>
        <w:rPr>
          <w:rFonts w:ascii="宋体" w:hAnsi="宋体"/>
          <w:bCs/>
          <w:color w:val="000000"/>
          <w:sz w:val="24"/>
          <w:highlight w:val="none"/>
        </w:rPr>
      </w:pPr>
      <w:r>
        <w:rPr>
          <w:rFonts w:hint="eastAsia" w:ascii="宋体" w:hAnsi="宋体" w:cs="Arial"/>
          <w:color w:val="000000"/>
          <w:sz w:val="24"/>
          <w:highlight w:val="none"/>
        </w:rPr>
        <w:t>一.</w:t>
      </w:r>
      <w:r>
        <w:rPr>
          <w:rFonts w:hint="eastAsia" w:ascii="宋体" w:hAnsi="宋体" w:cs="Arial"/>
          <w:b/>
          <w:bCs/>
          <w:color w:val="000000"/>
          <w:sz w:val="24"/>
          <w:highlight w:val="none"/>
        </w:rPr>
        <w:t>招标项目编号:</w:t>
      </w:r>
      <w:r>
        <w:rPr>
          <w:rFonts w:hint="eastAsia" w:ascii="宋体" w:hAnsi="宋体"/>
          <w:bCs/>
          <w:color w:val="000000"/>
          <w:sz w:val="24"/>
          <w:highlight w:val="none"/>
        </w:rPr>
        <w:t>DQZFCG-2022-G30</w:t>
      </w:r>
    </w:p>
    <w:p>
      <w:pPr>
        <w:snapToGrid w:val="0"/>
        <w:spacing w:beforeLines="50"/>
        <w:rPr>
          <w:rFonts w:ascii="宋体" w:hAnsi="宋体" w:cs="Arial"/>
          <w:color w:val="000000"/>
          <w:sz w:val="24"/>
          <w:highlight w:val="none"/>
        </w:rPr>
      </w:pPr>
      <w:r>
        <w:rPr>
          <w:rFonts w:hint="eastAsia" w:ascii="宋体" w:hAnsi="宋体" w:cs="Arial"/>
          <w:color w:val="000000"/>
          <w:sz w:val="24"/>
          <w:highlight w:val="none"/>
        </w:rPr>
        <w:t>二.</w:t>
      </w:r>
      <w:r>
        <w:rPr>
          <w:rFonts w:hint="eastAsia" w:ascii="宋体" w:hAnsi="宋体" w:cs="Arial"/>
          <w:b/>
          <w:color w:val="000000"/>
          <w:sz w:val="24"/>
          <w:highlight w:val="none"/>
        </w:rPr>
        <w:t>采购组织类型：</w:t>
      </w:r>
      <w:r>
        <w:rPr>
          <w:rFonts w:hint="eastAsia" w:ascii="宋体" w:hAnsi="宋体" w:cs="Arial"/>
          <w:color w:val="000000"/>
          <w:sz w:val="24"/>
          <w:highlight w:val="none"/>
        </w:rPr>
        <w:t>集中采购</w:t>
      </w:r>
    </w:p>
    <w:p>
      <w:pPr>
        <w:snapToGrid w:val="0"/>
        <w:spacing w:beforeLines="50"/>
        <w:rPr>
          <w:rFonts w:ascii="宋体" w:hAnsi="宋体" w:cs="Arial"/>
          <w:b/>
          <w:bCs/>
          <w:color w:val="000000"/>
          <w:sz w:val="24"/>
          <w:szCs w:val="20"/>
          <w:highlight w:val="none"/>
        </w:rPr>
      </w:pPr>
      <w:r>
        <w:rPr>
          <w:rFonts w:hint="eastAsia" w:ascii="宋体" w:hAnsi="宋体" w:cs="Arial"/>
          <w:b/>
          <w:color w:val="000000"/>
          <w:sz w:val="24"/>
          <w:szCs w:val="20"/>
          <w:highlight w:val="none"/>
        </w:rPr>
        <w:t>三.</w:t>
      </w:r>
      <w:r>
        <w:rPr>
          <w:rFonts w:hint="eastAsia" w:ascii="宋体" w:hAnsi="宋体" w:cs="Arial"/>
          <w:b/>
          <w:bCs/>
          <w:color w:val="000000"/>
          <w:sz w:val="24"/>
          <w:szCs w:val="20"/>
          <w:highlight w:val="none"/>
        </w:rPr>
        <w:t>招标项目概况：</w:t>
      </w:r>
    </w:p>
    <w:tbl>
      <w:tblPr>
        <w:tblStyle w:val="48"/>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3120"/>
        <w:gridCol w:w="510"/>
        <w:gridCol w:w="636"/>
        <w:gridCol w:w="900"/>
        <w:gridCol w:w="227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94" w:type="dxa"/>
            <w:noWrap/>
            <w:vAlign w:val="center"/>
          </w:tcPr>
          <w:p>
            <w:pPr>
              <w:widowControl/>
              <w:jc w:val="center"/>
              <w:rPr>
                <w:rFonts w:ascii="宋体" w:hAnsi="宋体" w:cs="Arial"/>
                <w:b/>
                <w:bCs/>
                <w:sz w:val="24"/>
                <w:szCs w:val="20"/>
                <w:highlight w:val="none"/>
              </w:rPr>
            </w:pPr>
            <w:r>
              <w:rPr>
                <w:rFonts w:hint="eastAsia" w:ascii="宋体" w:hAnsi="宋体" w:cs="Arial"/>
                <w:b/>
                <w:bCs/>
                <w:sz w:val="24"/>
                <w:szCs w:val="20"/>
                <w:highlight w:val="none"/>
              </w:rPr>
              <w:t>标项</w:t>
            </w:r>
          </w:p>
        </w:tc>
        <w:tc>
          <w:tcPr>
            <w:tcW w:w="3120" w:type="dxa"/>
            <w:noWrap/>
            <w:vAlign w:val="center"/>
          </w:tcPr>
          <w:p>
            <w:pPr>
              <w:widowControl/>
              <w:jc w:val="center"/>
              <w:rPr>
                <w:rFonts w:ascii="宋体" w:hAnsi="宋体" w:cs="Arial"/>
                <w:b/>
                <w:bCs/>
                <w:sz w:val="24"/>
                <w:szCs w:val="20"/>
                <w:highlight w:val="none"/>
              </w:rPr>
            </w:pPr>
            <w:r>
              <w:rPr>
                <w:rFonts w:hint="eastAsia" w:ascii="宋体" w:hAnsi="宋体" w:cs="Arial"/>
                <w:b/>
                <w:bCs/>
                <w:sz w:val="24"/>
                <w:szCs w:val="20"/>
                <w:highlight w:val="none"/>
              </w:rPr>
              <w:t>标项名称</w:t>
            </w:r>
          </w:p>
        </w:tc>
        <w:tc>
          <w:tcPr>
            <w:tcW w:w="510" w:type="dxa"/>
            <w:noWrap/>
            <w:vAlign w:val="center"/>
          </w:tcPr>
          <w:p>
            <w:pPr>
              <w:widowControl/>
              <w:jc w:val="center"/>
              <w:rPr>
                <w:rFonts w:ascii="宋体" w:hAnsi="宋体" w:cs="Arial"/>
                <w:b/>
                <w:bCs/>
                <w:sz w:val="24"/>
                <w:szCs w:val="20"/>
                <w:highlight w:val="none"/>
              </w:rPr>
            </w:pPr>
            <w:r>
              <w:rPr>
                <w:rFonts w:hint="eastAsia" w:ascii="宋体" w:hAnsi="宋体" w:cs="Arial"/>
                <w:b/>
                <w:bCs/>
                <w:sz w:val="24"/>
                <w:szCs w:val="20"/>
                <w:highlight w:val="none"/>
              </w:rPr>
              <w:t>单位</w:t>
            </w:r>
          </w:p>
        </w:tc>
        <w:tc>
          <w:tcPr>
            <w:tcW w:w="636" w:type="dxa"/>
            <w:noWrap/>
            <w:vAlign w:val="center"/>
          </w:tcPr>
          <w:p>
            <w:pPr>
              <w:widowControl/>
              <w:jc w:val="center"/>
              <w:rPr>
                <w:rFonts w:ascii="宋体" w:hAnsi="宋体" w:cs="Arial"/>
                <w:b/>
                <w:bCs/>
                <w:sz w:val="24"/>
                <w:szCs w:val="20"/>
                <w:highlight w:val="none"/>
              </w:rPr>
            </w:pPr>
            <w:r>
              <w:rPr>
                <w:rFonts w:hint="eastAsia" w:ascii="宋体" w:hAnsi="宋体" w:cs="Arial"/>
                <w:b/>
                <w:bCs/>
                <w:sz w:val="24"/>
                <w:szCs w:val="20"/>
                <w:highlight w:val="none"/>
              </w:rPr>
              <w:t>数量</w:t>
            </w:r>
          </w:p>
        </w:tc>
        <w:tc>
          <w:tcPr>
            <w:tcW w:w="900" w:type="dxa"/>
            <w:noWrap/>
            <w:vAlign w:val="center"/>
          </w:tcPr>
          <w:p>
            <w:pPr>
              <w:widowControl/>
              <w:jc w:val="center"/>
              <w:rPr>
                <w:rFonts w:ascii="宋体" w:hAnsi="宋体" w:cs="Arial"/>
                <w:b/>
                <w:bCs/>
                <w:sz w:val="24"/>
                <w:szCs w:val="20"/>
                <w:highlight w:val="none"/>
              </w:rPr>
            </w:pPr>
            <w:r>
              <w:rPr>
                <w:rFonts w:hint="eastAsia" w:ascii="宋体" w:hAnsi="宋体" w:cs="Arial"/>
                <w:b/>
                <w:bCs/>
                <w:sz w:val="24"/>
                <w:szCs w:val="20"/>
                <w:highlight w:val="none"/>
              </w:rPr>
              <w:t>预算金额</w:t>
            </w:r>
          </w:p>
        </w:tc>
        <w:tc>
          <w:tcPr>
            <w:tcW w:w="2274" w:type="dxa"/>
            <w:noWrap/>
            <w:vAlign w:val="center"/>
          </w:tcPr>
          <w:p>
            <w:pPr>
              <w:widowControl/>
              <w:jc w:val="center"/>
              <w:rPr>
                <w:rFonts w:ascii="宋体" w:hAnsi="宋体" w:cs="Arial"/>
                <w:b/>
                <w:bCs/>
                <w:sz w:val="24"/>
                <w:szCs w:val="20"/>
                <w:highlight w:val="none"/>
              </w:rPr>
            </w:pPr>
            <w:r>
              <w:rPr>
                <w:rFonts w:hint="eastAsia" w:ascii="宋体" w:hAnsi="宋体" w:cs="Arial"/>
                <w:b/>
                <w:bCs/>
                <w:sz w:val="24"/>
                <w:szCs w:val="20"/>
                <w:highlight w:val="none"/>
              </w:rPr>
              <w:t>简要规格描述或标项基本概况介绍</w:t>
            </w:r>
          </w:p>
        </w:tc>
        <w:tc>
          <w:tcPr>
            <w:tcW w:w="426" w:type="dxa"/>
            <w:noWrap/>
            <w:vAlign w:val="center"/>
          </w:tcPr>
          <w:p>
            <w:pPr>
              <w:widowControl/>
              <w:jc w:val="left"/>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594" w:type="dxa"/>
            <w:noWrap/>
            <w:vAlign w:val="center"/>
          </w:tcPr>
          <w:p>
            <w:pPr>
              <w:snapToGrid w:val="0"/>
              <w:spacing w:line="360" w:lineRule="auto"/>
              <w:jc w:val="center"/>
              <w:rPr>
                <w:rFonts w:ascii="宋体" w:hAnsi="宋体" w:cs="Arial"/>
                <w:b/>
                <w:bCs/>
                <w:sz w:val="24"/>
                <w:szCs w:val="20"/>
                <w:highlight w:val="none"/>
              </w:rPr>
            </w:pPr>
            <w:r>
              <w:rPr>
                <w:rFonts w:hint="eastAsia" w:ascii="宋体" w:hAnsi="宋体" w:cs="Arial"/>
                <w:b/>
                <w:bCs/>
                <w:sz w:val="24"/>
                <w:szCs w:val="20"/>
                <w:highlight w:val="none"/>
              </w:rPr>
              <w:t>一</w:t>
            </w:r>
          </w:p>
        </w:tc>
        <w:tc>
          <w:tcPr>
            <w:tcW w:w="3120" w:type="dxa"/>
            <w:noWrap/>
            <w:vAlign w:val="center"/>
          </w:tcPr>
          <w:p>
            <w:pPr>
              <w:snapToGrid w:val="0"/>
              <w:jc w:val="center"/>
              <w:rPr>
                <w:rFonts w:ascii="宋体" w:hAnsi="宋体"/>
                <w:b/>
                <w:sz w:val="24"/>
                <w:highlight w:val="none"/>
              </w:rPr>
            </w:pPr>
            <w:r>
              <w:rPr>
                <w:rFonts w:hint="eastAsia" w:ascii="宋体" w:hAnsi="宋体"/>
                <w:b/>
                <w:kern w:val="0"/>
                <w:sz w:val="24"/>
                <w:highlight w:val="none"/>
              </w:rPr>
              <w:t>德清县市政管理处2022-2023年度辖区市政设施养护管理服务采购项目-主城区标段</w:t>
            </w:r>
          </w:p>
        </w:tc>
        <w:tc>
          <w:tcPr>
            <w:tcW w:w="510" w:type="dxa"/>
            <w:noWrap/>
            <w:vAlign w:val="center"/>
          </w:tcPr>
          <w:p>
            <w:pPr>
              <w:snapToGrid w:val="0"/>
              <w:jc w:val="center"/>
              <w:rPr>
                <w:rFonts w:ascii="宋体" w:hAnsi="宋体"/>
                <w:b/>
                <w:sz w:val="24"/>
                <w:highlight w:val="none"/>
              </w:rPr>
            </w:pPr>
            <w:r>
              <w:rPr>
                <w:rFonts w:hint="eastAsia" w:ascii="宋体" w:hAnsi="宋体"/>
                <w:b/>
                <w:sz w:val="24"/>
                <w:highlight w:val="none"/>
              </w:rPr>
              <w:t>批</w:t>
            </w:r>
          </w:p>
        </w:tc>
        <w:tc>
          <w:tcPr>
            <w:tcW w:w="636" w:type="dxa"/>
            <w:noWrap/>
            <w:vAlign w:val="center"/>
          </w:tcPr>
          <w:p>
            <w:pPr>
              <w:snapToGrid w:val="0"/>
              <w:jc w:val="center"/>
              <w:rPr>
                <w:rFonts w:ascii="宋体" w:hAnsi="宋体"/>
                <w:b/>
                <w:sz w:val="24"/>
                <w:highlight w:val="none"/>
              </w:rPr>
            </w:pPr>
            <w:r>
              <w:rPr>
                <w:rFonts w:hint="eastAsia" w:ascii="宋体" w:hAnsi="宋体"/>
                <w:b/>
                <w:sz w:val="24"/>
                <w:highlight w:val="none"/>
              </w:rPr>
              <w:t>1</w:t>
            </w:r>
          </w:p>
        </w:tc>
        <w:tc>
          <w:tcPr>
            <w:tcW w:w="900" w:type="dxa"/>
            <w:noWrap/>
            <w:vAlign w:val="center"/>
          </w:tcPr>
          <w:p>
            <w:pPr>
              <w:snapToGrid w:val="0"/>
              <w:jc w:val="center"/>
              <w:rPr>
                <w:rFonts w:ascii="宋体" w:hAnsi="宋体"/>
                <w:b/>
                <w:sz w:val="24"/>
                <w:highlight w:val="none"/>
              </w:rPr>
            </w:pPr>
            <w:r>
              <w:rPr>
                <w:rFonts w:hint="eastAsia" w:ascii="宋体" w:hAnsi="宋体" w:cs="Arial"/>
                <w:b/>
                <w:bCs/>
                <w:sz w:val="24"/>
                <w:szCs w:val="20"/>
                <w:highlight w:val="none"/>
              </w:rPr>
              <w:t>400万</w:t>
            </w:r>
          </w:p>
        </w:tc>
        <w:tc>
          <w:tcPr>
            <w:tcW w:w="2274" w:type="dxa"/>
            <w:noWrap/>
            <w:vAlign w:val="center"/>
          </w:tcPr>
          <w:p>
            <w:pPr>
              <w:widowControl/>
              <w:jc w:val="center"/>
              <w:rPr>
                <w:rFonts w:ascii="宋体" w:hAnsi="宋体" w:cs="Arial"/>
                <w:b/>
                <w:bCs/>
                <w:sz w:val="24"/>
                <w:szCs w:val="20"/>
                <w:highlight w:val="none"/>
              </w:rPr>
            </w:pPr>
            <w:r>
              <w:rPr>
                <w:rFonts w:hint="eastAsia" w:ascii="宋体" w:hAnsi="宋体" w:cs="Arial"/>
                <w:b/>
                <w:bCs/>
                <w:sz w:val="24"/>
                <w:szCs w:val="20"/>
                <w:highlight w:val="none"/>
              </w:rPr>
              <w:t>详见采购文件</w:t>
            </w:r>
          </w:p>
        </w:tc>
        <w:tc>
          <w:tcPr>
            <w:tcW w:w="426" w:type="dxa"/>
            <w:noWrap/>
            <w:vAlign w:val="center"/>
          </w:tcPr>
          <w:p>
            <w:pPr>
              <w:widowControl/>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594" w:type="dxa"/>
            <w:noWrap/>
            <w:vAlign w:val="center"/>
          </w:tcPr>
          <w:p>
            <w:pPr>
              <w:snapToGrid w:val="0"/>
              <w:spacing w:line="360" w:lineRule="auto"/>
              <w:jc w:val="center"/>
              <w:rPr>
                <w:rFonts w:ascii="宋体" w:hAnsi="宋体" w:cs="Arial"/>
                <w:b/>
                <w:bCs/>
                <w:sz w:val="24"/>
                <w:szCs w:val="20"/>
                <w:highlight w:val="none"/>
              </w:rPr>
            </w:pPr>
            <w:r>
              <w:rPr>
                <w:rFonts w:hint="eastAsia" w:ascii="宋体" w:hAnsi="宋体" w:cs="Arial"/>
                <w:b/>
                <w:bCs/>
                <w:sz w:val="24"/>
                <w:szCs w:val="20"/>
                <w:highlight w:val="none"/>
              </w:rPr>
              <w:t>二</w:t>
            </w:r>
          </w:p>
        </w:tc>
        <w:tc>
          <w:tcPr>
            <w:tcW w:w="3120" w:type="dxa"/>
            <w:noWrap/>
            <w:vAlign w:val="center"/>
          </w:tcPr>
          <w:p>
            <w:pPr>
              <w:snapToGrid w:val="0"/>
              <w:jc w:val="center"/>
              <w:rPr>
                <w:rFonts w:ascii="宋体" w:hAnsi="宋体"/>
                <w:b/>
                <w:sz w:val="24"/>
                <w:highlight w:val="none"/>
              </w:rPr>
            </w:pPr>
            <w:r>
              <w:rPr>
                <w:rFonts w:hint="eastAsia" w:ascii="宋体" w:hAnsi="宋体"/>
                <w:b/>
                <w:kern w:val="0"/>
                <w:sz w:val="24"/>
                <w:highlight w:val="none"/>
              </w:rPr>
              <w:t>德清县市政管理处2022-2023年度辖区市政设施养护管理服务采购项目-城北高新园标段</w:t>
            </w:r>
          </w:p>
        </w:tc>
        <w:tc>
          <w:tcPr>
            <w:tcW w:w="510" w:type="dxa"/>
            <w:noWrap/>
            <w:vAlign w:val="center"/>
          </w:tcPr>
          <w:p>
            <w:pPr>
              <w:snapToGrid w:val="0"/>
              <w:jc w:val="center"/>
              <w:rPr>
                <w:rFonts w:ascii="宋体" w:hAnsi="宋体"/>
                <w:b/>
                <w:sz w:val="24"/>
                <w:highlight w:val="none"/>
              </w:rPr>
            </w:pPr>
            <w:r>
              <w:rPr>
                <w:rFonts w:hint="eastAsia" w:ascii="宋体" w:hAnsi="宋体"/>
                <w:b/>
                <w:sz w:val="24"/>
                <w:highlight w:val="none"/>
              </w:rPr>
              <w:t>批</w:t>
            </w:r>
          </w:p>
        </w:tc>
        <w:tc>
          <w:tcPr>
            <w:tcW w:w="636" w:type="dxa"/>
            <w:noWrap/>
            <w:vAlign w:val="center"/>
          </w:tcPr>
          <w:p>
            <w:pPr>
              <w:snapToGrid w:val="0"/>
              <w:jc w:val="center"/>
              <w:rPr>
                <w:rFonts w:ascii="宋体" w:hAnsi="宋体"/>
                <w:b/>
                <w:sz w:val="24"/>
                <w:highlight w:val="none"/>
              </w:rPr>
            </w:pPr>
            <w:r>
              <w:rPr>
                <w:rFonts w:hint="eastAsia" w:ascii="宋体" w:hAnsi="宋体"/>
                <w:b/>
                <w:sz w:val="24"/>
                <w:highlight w:val="none"/>
              </w:rPr>
              <w:t>1</w:t>
            </w:r>
          </w:p>
        </w:tc>
        <w:tc>
          <w:tcPr>
            <w:tcW w:w="900" w:type="dxa"/>
            <w:noWrap/>
            <w:vAlign w:val="center"/>
          </w:tcPr>
          <w:p>
            <w:pPr>
              <w:snapToGrid w:val="0"/>
              <w:jc w:val="center"/>
              <w:rPr>
                <w:rFonts w:ascii="宋体" w:hAnsi="宋体" w:cs="Arial"/>
                <w:b/>
                <w:bCs/>
                <w:sz w:val="24"/>
                <w:szCs w:val="20"/>
                <w:highlight w:val="none"/>
              </w:rPr>
            </w:pPr>
            <w:r>
              <w:rPr>
                <w:rFonts w:hint="eastAsia" w:ascii="宋体" w:hAnsi="宋体" w:cs="Arial"/>
                <w:b/>
                <w:bCs/>
                <w:sz w:val="24"/>
                <w:szCs w:val="20"/>
                <w:highlight w:val="none"/>
              </w:rPr>
              <w:t>360万</w:t>
            </w:r>
          </w:p>
        </w:tc>
        <w:tc>
          <w:tcPr>
            <w:tcW w:w="2274" w:type="dxa"/>
            <w:noWrap/>
            <w:vAlign w:val="center"/>
          </w:tcPr>
          <w:p>
            <w:pPr>
              <w:widowControl/>
              <w:jc w:val="center"/>
              <w:rPr>
                <w:rFonts w:ascii="宋体" w:hAnsi="宋体" w:cs="Arial"/>
                <w:b/>
                <w:bCs/>
                <w:sz w:val="24"/>
                <w:szCs w:val="20"/>
                <w:highlight w:val="none"/>
              </w:rPr>
            </w:pPr>
            <w:r>
              <w:rPr>
                <w:rFonts w:hint="eastAsia" w:ascii="宋体" w:hAnsi="宋体" w:cs="Arial"/>
                <w:b/>
                <w:bCs/>
                <w:sz w:val="24"/>
                <w:szCs w:val="20"/>
                <w:highlight w:val="none"/>
              </w:rPr>
              <w:t>详见采购文件</w:t>
            </w:r>
          </w:p>
        </w:tc>
        <w:tc>
          <w:tcPr>
            <w:tcW w:w="426" w:type="dxa"/>
            <w:noWrap/>
            <w:vAlign w:val="center"/>
          </w:tcPr>
          <w:p>
            <w:pPr>
              <w:widowControl/>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594" w:type="dxa"/>
            <w:noWrap/>
            <w:vAlign w:val="center"/>
          </w:tcPr>
          <w:p>
            <w:pPr>
              <w:snapToGrid w:val="0"/>
              <w:spacing w:line="360" w:lineRule="auto"/>
              <w:jc w:val="center"/>
              <w:rPr>
                <w:rFonts w:ascii="宋体" w:hAnsi="宋体" w:cs="Arial"/>
                <w:b/>
                <w:bCs/>
                <w:sz w:val="24"/>
                <w:szCs w:val="20"/>
                <w:highlight w:val="none"/>
              </w:rPr>
            </w:pPr>
            <w:r>
              <w:rPr>
                <w:rFonts w:hint="eastAsia" w:ascii="宋体" w:hAnsi="宋体" w:cs="Arial"/>
                <w:b/>
                <w:bCs/>
                <w:sz w:val="24"/>
                <w:szCs w:val="20"/>
                <w:highlight w:val="none"/>
              </w:rPr>
              <w:t>三</w:t>
            </w:r>
          </w:p>
        </w:tc>
        <w:tc>
          <w:tcPr>
            <w:tcW w:w="3120" w:type="dxa"/>
            <w:noWrap/>
            <w:vAlign w:val="center"/>
          </w:tcPr>
          <w:p>
            <w:pPr>
              <w:snapToGrid w:val="0"/>
              <w:jc w:val="center"/>
              <w:rPr>
                <w:rFonts w:ascii="宋体" w:hAnsi="宋体"/>
                <w:b/>
                <w:sz w:val="24"/>
                <w:highlight w:val="none"/>
              </w:rPr>
            </w:pPr>
            <w:r>
              <w:rPr>
                <w:rFonts w:hint="eastAsia" w:ascii="宋体" w:hAnsi="宋体"/>
                <w:b/>
                <w:kern w:val="0"/>
                <w:sz w:val="24"/>
                <w:highlight w:val="none"/>
              </w:rPr>
              <w:t>德清县市政管理处2022-2023年度辖区市政设施养护管理服务采购项目-地信小镇标段</w:t>
            </w:r>
          </w:p>
        </w:tc>
        <w:tc>
          <w:tcPr>
            <w:tcW w:w="510" w:type="dxa"/>
            <w:noWrap/>
            <w:vAlign w:val="center"/>
          </w:tcPr>
          <w:p>
            <w:pPr>
              <w:snapToGrid w:val="0"/>
              <w:jc w:val="center"/>
              <w:rPr>
                <w:rFonts w:ascii="宋体" w:hAnsi="宋体"/>
                <w:b/>
                <w:sz w:val="24"/>
                <w:highlight w:val="none"/>
              </w:rPr>
            </w:pPr>
            <w:r>
              <w:rPr>
                <w:rFonts w:hint="eastAsia" w:ascii="宋体" w:hAnsi="宋体"/>
                <w:b/>
                <w:sz w:val="24"/>
                <w:highlight w:val="none"/>
              </w:rPr>
              <w:t>批</w:t>
            </w:r>
          </w:p>
        </w:tc>
        <w:tc>
          <w:tcPr>
            <w:tcW w:w="636" w:type="dxa"/>
            <w:noWrap/>
            <w:vAlign w:val="center"/>
          </w:tcPr>
          <w:p>
            <w:pPr>
              <w:snapToGrid w:val="0"/>
              <w:jc w:val="center"/>
              <w:rPr>
                <w:rFonts w:ascii="宋体" w:hAnsi="宋体"/>
                <w:b/>
                <w:sz w:val="24"/>
                <w:highlight w:val="none"/>
              </w:rPr>
            </w:pPr>
            <w:r>
              <w:rPr>
                <w:rFonts w:hint="eastAsia" w:ascii="宋体" w:hAnsi="宋体"/>
                <w:b/>
                <w:sz w:val="24"/>
                <w:highlight w:val="none"/>
              </w:rPr>
              <w:t>1</w:t>
            </w:r>
          </w:p>
        </w:tc>
        <w:tc>
          <w:tcPr>
            <w:tcW w:w="900" w:type="dxa"/>
            <w:noWrap/>
            <w:vAlign w:val="center"/>
          </w:tcPr>
          <w:p>
            <w:pPr>
              <w:snapToGrid w:val="0"/>
              <w:jc w:val="center"/>
              <w:rPr>
                <w:rFonts w:ascii="宋体" w:hAnsi="宋体" w:cs="Arial"/>
                <w:b/>
                <w:bCs/>
                <w:sz w:val="24"/>
                <w:szCs w:val="20"/>
                <w:highlight w:val="none"/>
              </w:rPr>
            </w:pPr>
            <w:r>
              <w:rPr>
                <w:rFonts w:hint="eastAsia" w:ascii="宋体" w:hAnsi="宋体" w:cs="Arial"/>
                <w:b/>
                <w:bCs/>
                <w:sz w:val="24"/>
                <w:szCs w:val="20"/>
                <w:highlight w:val="none"/>
              </w:rPr>
              <w:t>315万</w:t>
            </w:r>
          </w:p>
        </w:tc>
        <w:tc>
          <w:tcPr>
            <w:tcW w:w="2274" w:type="dxa"/>
            <w:noWrap/>
            <w:vAlign w:val="center"/>
          </w:tcPr>
          <w:p>
            <w:pPr>
              <w:widowControl/>
              <w:jc w:val="center"/>
              <w:rPr>
                <w:rFonts w:ascii="宋体" w:hAnsi="宋体" w:cs="Arial"/>
                <w:b/>
                <w:bCs/>
                <w:sz w:val="24"/>
                <w:szCs w:val="20"/>
                <w:highlight w:val="none"/>
              </w:rPr>
            </w:pPr>
            <w:r>
              <w:rPr>
                <w:rFonts w:hint="eastAsia" w:ascii="宋体" w:hAnsi="宋体" w:cs="Arial"/>
                <w:b/>
                <w:bCs/>
                <w:sz w:val="24"/>
                <w:szCs w:val="20"/>
                <w:highlight w:val="none"/>
              </w:rPr>
              <w:t>详见采购文件</w:t>
            </w:r>
          </w:p>
        </w:tc>
        <w:tc>
          <w:tcPr>
            <w:tcW w:w="426" w:type="dxa"/>
            <w:noWrap/>
            <w:vAlign w:val="center"/>
          </w:tcPr>
          <w:p>
            <w:pPr>
              <w:widowControl/>
              <w:jc w:val="left"/>
              <w:rPr>
                <w:highlight w:val="none"/>
              </w:rPr>
            </w:pPr>
          </w:p>
        </w:tc>
      </w:tr>
    </w:tbl>
    <w:p>
      <w:pPr>
        <w:snapToGrid w:val="0"/>
        <w:rPr>
          <w:rFonts w:ascii="宋体" w:hAnsi="宋体" w:cs="Arial"/>
          <w:b/>
          <w:bCs/>
          <w:color w:val="FF0000"/>
          <w:sz w:val="24"/>
          <w:szCs w:val="20"/>
          <w:highlight w:val="none"/>
        </w:rPr>
      </w:pPr>
      <w:r>
        <w:rPr>
          <w:rFonts w:hint="eastAsia" w:ascii="宋体" w:hAnsi="宋体" w:cs="Arial"/>
          <w:b/>
          <w:bCs/>
          <w:color w:val="FF0000"/>
          <w:sz w:val="24"/>
          <w:szCs w:val="20"/>
          <w:highlight w:val="none"/>
        </w:rPr>
        <w:t>注：1、供应商可以任选以上标项中一个或多个标项报名并参与投标。</w:t>
      </w:r>
    </w:p>
    <w:p>
      <w:pPr>
        <w:snapToGrid w:val="0"/>
        <w:ind w:firstLine="482" w:firstLineChars="200"/>
        <w:rPr>
          <w:rFonts w:ascii="宋体" w:hAnsi="宋体" w:cs="Arial"/>
          <w:b/>
          <w:color w:val="000000"/>
          <w:sz w:val="24"/>
          <w:szCs w:val="20"/>
          <w:highlight w:val="none"/>
        </w:rPr>
      </w:pPr>
      <w:r>
        <w:rPr>
          <w:rFonts w:hint="eastAsia" w:ascii="宋体" w:hAnsi="宋体" w:cs="Arial"/>
          <w:b/>
          <w:bCs/>
          <w:color w:val="FF0000"/>
          <w:sz w:val="24"/>
          <w:szCs w:val="20"/>
          <w:highlight w:val="none"/>
        </w:rPr>
        <w:t>2、本次公开招标按标项顺序进行开评标，为保障采购服务质量及服务效率，同一单位不得承接两个及以上标项，即标项一中标单位自动放弃标项二、三，标项二中标单位自动放弃标项三。</w:t>
      </w:r>
    </w:p>
    <w:p>
      <w:pPr>
        <w:widowControl/>
        <w:spacing w:line="340" w:lineRule="exact"/>
        <w:jc w:val="left"/>
        <w:rPr>
          <w:rFonts w:ascii="宋体" w:hAnsi="宋体" w:cs="Arial"/>
          <w:b/>
          <w:color w:val="000000"/>
          <w:sz w:val="24"/>
          <w:szCs w:val="20"/>
          <w:highlight w:val="none"/>
        </w:rPr>
      </w:pPr>
      <w:r>
        <w:rPr>
          <w:rFonts w:hint="eastAsia" w:ascii="宋体" w:hAnsi="宋体" w:cs="Arial"/>
          <w:b/>
          <w:color w:val="000000"/>
          <w:sz w:val="24"/>
          <w:szCs w:val="20"/>
          <w:highlight w:val="none"/>
        </w:rPr>
        <w:t xml:space="preserve">四．投标供应商资格要求: </w:t>
      </w:r>
    </w:p>
    <w:p>
      <w:pPr>
        <w:widowControl/>
        <w:spacing w:line="340" w:lineRule="exact"/>
        <w:ind w:firstLine="480" w:firstLineChars="200"/>
        <w:jc w:val="left"/>
        <w:rPr>
          <w:rFonts w:ascii="宋体" w:hAnsi="宋体"/>
          <w:sz w:val="24"/>
          <w:highlight w:val="none"/>
        </w:rPr>
      </w:pPr>
      <w:r>
        <w:rPr>
          <w:rFonts w:hint="eastAsia" w:ascii="宋体" w:hAnsi="宋体"/>
          <w:sz w:val="24"/>
          <w:highlight w:val="none"/>
        </w:rPr>
        <w:t>A.符合《中华人民共和国政府采购法》第二十二条的要求、财库【2016】125号《关于在政府采购活动中查询及使用信用记录有关问题的通知》、浙财采监【2013】24号《关于规范政府采购供应商资格设定及资格审查的通知》第六条和财综〔2014〕96 号《政府购买服务管理办法（暂行）》第七条的规定；</w:t>
      </w:r>
    </w:p>
    <w:p>
      <w:pPr>
        <w:widowControl/>
        <w:spacing w:line="340" w:lineRule="exact"/>
        <w:ind w:firstLine="480" w:firstLineChars="200"/>
        <w:jc w:val="left"/>
        <w:rPr>
          <w:rFonts w:ascii="宋体" w:hAnsi="宋体"/>
          <w:sz w:val="24"/>
          <w:highlight w:val="none"/>
        </w:rPr>
      </w:pPr>
      <w:r>
        <w:rPr>
          <w:rFonts w:hint="eastAsia" w:ascii="宋体" w:hAnsi="宋体"/>
          <w:sz w:val="24"/>
          <w:highlight w:val="none"/>
        </w:rPr>
        <w:t>B.拟投标人须为中华人民共和国境内注册，具有良好的财务状况和商业信誉，具有相应服务能力的供应商；（总公司所设立的区域性分支机构（分公司），以及个体工商户、个人独资企业、合伙企业，必须获得总公司（总机构）授权或能够提供房产权证或其他有效财产证明材料）</w:t>
      </w:r>
    </w:p>
    <w:p>
      <w:pPr>
        <w:widowControl/>
        <w:spacing w:line="340" w:lineRule="exact"/>
        <w:ind w:firstLine="480" w:firstLineChars="200"/>
        <w:jc w:val="left"/>
        <w:rPr>
          <w:rFonts w:ascii="宋体" w:hAnsi="宋体"/>
          <w:sz w:val="24"/>
          <w:highlight w:val="none"/>
        </w:rPr>
      </w:pPr>
      <w:r>
        <w:rPr>
          <w:rFonts w:hint="eastAsia" w:ascii="宋体" w:hAnsi="宋体"/>
          <w:sz w:val="24"/>
          <w:highlight w:val="none"/>
        </w:rPr>
        <w:t>C.拟</w:t>
      </w:r>
      <w:r>
        <w:rPr>
          <w:rFonts w:hint="eastAsia" w:ascii="宋体" w:hAnsi="宋体" w:cs="Arial"/>
          <w:sz w:val="24"/>
          <w:szCs w:val="20"/>
          <w:highlight w:val="none"/>
        </w:rPr>
        <w:t>投标人须具有较强的和能提供长期的售后服务能力；</w:t>
      </w:r>
    </w:p>
    <w:p>
      <w:pPr>
        <w:widowControl/>
        <w:spacing w:line="340" w:lineRule="exact"/>
        <w:ind w:firstLine="482" w:firstLineChars="200"/>
        <w:jc w:val="left"/>
        <w:rPr>
          <w:rFonts w:ascii="宋体" w:hAnsi="宋体"/>
          <w:b/>
          <w:color w:val="FF0000"/>
          <w:sz w:val="24"/>
          <w:highlight w:val="none"/>
        </w:rPr>
      </w:pPr>
      <w:r>
        <w:rPr>
          <w:rFonts w:hint="eastAsia" w:ascii="宋体" w:hAnsi="宋体"/>
          <w:b/>
          <w:color w:val="FF0000"/>
          <w:sz w:val="24"/>
          <w:highlight w:val="none"/>
        </w:rPr>
        <w:t>D.拟投标人须具有安全生产许可证；</w:t>
      </w:r>
    </w:p>
    <w:p>
      <w:pPr>
        <w:widowControl/>
        <w:spacing w:line="340" w:lineRule="exact"/>
        <w:ind w:firstLine="482" w:firstLineChars="200"/>
        <w:jc w:val="left"/>
        <w:rPr>
          <w:rFonts w:ascii="宋体" w:hAnsi="宋体"/>
          <w:b/>
          <w:color w:val="FF0000"/>
          <w:sz w:val="24"/>
          <w:highlight w:val="none"/>
        </w:rPr>
      </w:pPr>
      <w:r>
        <w:rPr>
          <w:rFonts w:hint="eastAsia" w:ascii="宋体" w:hAnsi="宋体"/>
          <w:b/>
          <w:color w:val="FF0000"/>
          <w:sz w:val="24"/>
          <w:highlight w:val="none"/>
        </w:rPr>
        <w:t>E.本项目属于预留份额专门面向中小企业采购的项目。若投标人为大中型企业，须向小微企业进行分包（接受分包的小微企业与分包企业之间不得存在直接控股、管理关系），且分包意向协议中小微企业合同份额不得低于合同总金额的30%；若投标人是小微企业的，</w:t>
      </w:r>
      <w:r>
        <w:rPr>
          <w:rFonts w:hint="eastAsia" w:ascii="宋体" w:hAnsi="宋体"/>
          <w:b/>
          <w:color w:val="FF0000"/>
          <w:sz w:val="24"/>
          <w:highlight w:val="none"/>
          <w:lang w:eastAsia="zh-CN"/>
        </w:rPr>
        <w:t>则</w:t>
      </w:r>
      <w:r>
        <w:rPr>
          <w:rFonts w:hint="eastAsia" w:ascii="宋体" w:hAnsi="宋体"/>
          <w:b/>
          <w:color w:val="FF0000"/>
          <w:sz w:val="24"/>
          <w:highlight w:val="none"/>
        </w:rPr>
        <w:t>视同符合了资格条件，无需再向小微企业分包。本项目不得进行二次分包。</w:t>
      </w:r>
    </w:p>
    <w:p>
      <w:pPr>
        <w:widowControl/>
        <w:spacing w:line="340" w:lineRule="exact"/>
        <w:ind w:firstLine="480" w:firstLineChars="200"/>
        <w:jc w:val="left"/>
        <w:rPr>
          <w:rFonts w:ascii="宋体" w:hAnsi="宋体"/>
          <w:sz w:val="24"/>
          <w:highlight w:val="none"/>
        </w:rPr>
      </w:pPr>
      <w:r>
        <w:rPr>
          <w:rFonts w:hint="eastAsia" w:ascii="宋体" w:hAnsi="宋体"/>
          <w:sz w:val="24"/>
          <w:highlight w:val="none"/>
        </w:rPr>
        <w:t>F.本项目不接受联合体投标。</w:t>
      </w:r>
    </w:p>
    <w:p>
      <w:pPr>
        <w:widowControl/>
        <w:spacing w:line="340" w:lineRule="exact"/>
        <w:jc w:val="left"/>
        <w:rPr>
          <w:rFonts w:ascii="宋体" w:hAnsi="宋体" w:cs="Arial"/>
          <w:b/>
          <w:color w:val="000000"/>
          <w:sz w:val="24"/>
          <w:szCs w:val="20"/>
          <w:highlight w:val="none"/>
        </w:rPr>
      </w:pPr>
      <w:r>
        <w:rPr>
          <w:rFonts w:hint="eastAsia" w:ascii="宋体" w:hAnsi="宋体" w:cs="Arial"/>
          <w:b/>
          <w:color w:val="000000"/>
          <w:sz w:val="24"/>
          <w:szCs w:val="20"/>
          <w:highlight w:val="none"/>
        </w:rPr>
        <w:t>五．项目报名方式，采购文件公告期限，采购文件依法获取方式及时间:</w:t>
      </w:r>
    </w:p>
    <w:p>
      <w:pPr>
        <w:widowControl/>
        <w:spacing w:line="340" w:lineRule="exact"/>
        <w:ind w:firstLine="542" w:firstLineChars="225"/>
        <w:jc w:val="left"/>
        <w:rPr>
          <w:rFonts w:ascii="宋体" w:hAnsi="宋体"/>
          <w:b/>
          <w:color w:val="000000"/>
          <w:sz w:val="24"/>
          <w:highlight w:val="none"/>
        </w:rPr>
      </w:pPr>
      <w:r>
        <w:rPr>
          <w:rFonts w:hint="eastAsia" w:ascii="宋体" w:hAnsi="宋体"/>
          <w:b/>
          <w:color w:val="000000"/>
          <w:sz w:val="24"/>
          <w:highlight w:val="none"/>
        </w:rPr>
        <w:t>1．本项目报名方式只接受浙江省政府采购网（政采云平台）网上报名，不接受供应商现场报名，供应商须在浙江省政府采购网（政采云平台）注册成为浙江省政府采购正式供应商方可进行网上报名；供应商政采云获取采购文件审核通过即为报名成功。</w:t>
      </w:r>
    </w:p>
    <w:p>
      <w:pPr>
        <w:widowControl/>
        <w:spacing w:line="340" w:lineRule="exact"/>
        <w:ind w:firstLine="540" w:firstLineChars="225"/>
        <w:jc w:val="left"/>
        <w:rPr>
          <w:rFonts w:ascii="宋体" w:hAnsi="宋体"/>
          <w:color w:val="FF0000"/>
          <w:sz w:val="24"/>
          <w:highlight w:val="none"/>
        </w:rPr>
      </w:pPr>
      <w:r>
        <w:rPr>
          <w:rFonts w:hint="eastAsia" w:ascii="宋体" w:hAnsi="宋体"/>
          <w:color w:val="000000"/>
          <w:sz w:val="24"/>
          <w:highlight w:val="none"/>
        </w:rPr>
        <w:t>2.本项目采购文件公告期限：</w:t>
      </w:r>
      <w:r>
        <w:rPr>
          <w:rFonts w:hint="eastAsia" w:ascii="宋体" w:hAnsi="宋体"/>
          <w:color w:val="FF0000"/>
          <w:sz w:val="24"/>
          <w:highlight w:val="none"/>
        </w:rPr>
        <w:t>202</w:t>
      </w:r>
      <w:r>
        <w:rPr>
          <w:rFonts w:hint="eastAsia" w:ascii="宋体" w:hAnsi="宋体"/>
          <w:color w:val="FF0000"/>
          <w:sz w:val="24"/>
          <w:highlight w:val="none"/>
          <w:lang w:val="en-US" w:eastAsia="zh-CN"/>
        </w:rPr>
        <w:t>2</w:t>
      </w:r>
      <w:r>
        <w:rPr>
          <w:rFonts w:hint="eastAsia" w:ascii="宋体" w:hAnsi="宋体"/>
          <w:color w:val="FF0000"/>
          <w:sz w:val="24"/>
          <w:highlight w:val="none"/>
        </w:rPr>
        <w:t>-</w:t>
      </w:r>
      <w:r>
        <w:rPr>
          <w:rFonts w:hint="eastAsia" w:ascii="宋体" w:hAnsi="宋体"/>
          <w:color w:val="FF0000"/>
          <w:sz w:val="24"/>
          <w:highlight w:val="none"/>
          <w:lang w:val="en-US" w:eastAsia="zh-CN"/>
        </w:rPr>
        <w:t>09</w:t>
      </w:r>
      <w:r>
        <w:rPr>
          <w:rFonts w:hint="eastAsia" w:ascii="宋体" w:hAnsi="宋体"/>
          <w:color w:val="FF0000"/>
          <w:sz w:val="24"/>
          <w:highlight w:val="none"/>
        </w:rPr>
        <w:t>-</w:t>
      </w:r>
      <w:r>
        <w:rPr>
          <w:rFonts w:hint="eastAsia" w:ascii="宋体" w:hAnsi="宋体"/>
          <w:color w:val="FF0000"/>
          <w:sz w:val="24"/>
          <w:highlight w:val="none"/>
          <w:lang w:val="en-US" w:eastAsia="zh-CN"/>
        </w:rPr>
        <w:t>05</w:t>
      </w:r>
      <w:r>
        <w:rPr>
          <w:rFonts w:hint="eastAsia" w:ascii="宋体" w:hAnsi="宋体"/>
          <w:color w:val="000000"/>
          <w:sz w:val="24"/>
          <w:highlight w:val="none"/>
        </w:rPr>
        <w:t>至</w:t>
      </w:r>
      <w:r>
        <w:rPr>
          <w:rFonts w:hint="eastAsia" w:ascii="宋体" w:hAnsi="宋体"/>
          <w:color w:val="FF0000"/>
          <w:sz w:val="24"/>
          <w:highlight w:val="none"/>
        </w:rPr>
        <w:t>202</w:t>
      </w:r>
      <w:r>
        <w:rPr>
          <w:rFonts w:hint="eastAsia" w:ascii="宋体" w:hAnsi="宋体"/>
          <w:color w:val="FF0000"/>
          <w:sz w:val="24"/>
          <w:highlight w:val="none"/>
          <w:lang w:val="en-US" w:eastAsia="zh-CN"/>
        </w:rPr>
        <w:t>2</w:t>
      </w:r>
      <w:r>
        <w:rPr>
          <w:rFonts w:hint="eastAsia" w:ascii="宋体" w:hAnsi="宋体"/>
          <w:color w:val="FF0000"/>
          <w:sz w:val="24"/>
          <w:highlight w:val="none"/>
        </w:rPr>
        <w:t>-</w:t>
      </w:r>
      <w:r>
        <w:rPr>
          <w:rFonts w:hint="eastAsia" w:ascii="宋体" w:hAnsi="宋体"/>
          <w:color w:val="FF0000"/>
          <w:sz w:val="24"/>
          <w:highlight w:val="none"/>
          <w:lang w:val="en-US" w:eastAsia="zh-CN"/>
        </w:rPr>
        <w:t>09</w:t>
      </w:r>
      <w:r>
        <w:rPr>
          <w:rFonts w:hint="eastAsia" w:ascii="宋体" w:hAnsi="宋体"/>
          <w:color w:val="FF0000"/>
          <w:sz w:val="24"/>
          <w:highlight w:val="none"/>
        </w:rPr>
        <w:t>-</w:t>
      </w:r>
      <w:r>
        <w:rPr>
          <w:rFonts w:hint="eastAsia" w:ascii="宋体" w:hAnsi="宋体"/>
          <w:color w:val="FF0000"/>
          <w:sz w:val="24"/>
          <w:highlight w:val="none"/>
          <w:lang w:val="en-US" w:eastAsia="zh-CN"/>
        </w:rPr>
        <w:t>09</w:t>
      </w:r>
      <w:r>
        <w:rPr>
          <w:rFonts w:hint="eastAsia" w:ascii="宋体" w:hAnsi="宋体"/>
          <w:b/>
          <w:color w:val="000000"/>
          <w:sz w:val="24"/>
          <w:highlight w:val="none"/>
        </w:rPr>
        <w:t>(采购文件公告期限届满后允许潜在投标人网上报名并依法获取采购文件, 供应商未按规定时间要求提出质疑的，则视同认可采购文件，但法律法规及规范性文件有明确规定的除外)</w:t>
      </w:r>
    </w:p>
    <w:p>
      <w:pPr>
        <w:widowControl/>
        <w:spacing w:line="340" w:lineRule="exact"/>
        <w:ind w:firstLine="540" w:firstLineChars="225"/>
        <w:jc w:val="left"/>
        <w:rPr>
          <w:rFonts w:ascii="宋体" w:hAnsi="宋体"/>
          <w:b/>
          <w:color w:val="000000"/>
          <w:sz w:val="24"/>
          <w:highlight w:val="none"/>
        </w:rPr>
      </w:pPr>
      <w:r>
        <w:rPr>
          <w:rFonts w:hint="eastAsia" w:ascii="宋体" w:hAnsi="宋体"/>
          <w:color w:val="000000"/>
          <w:sz w:val="24"/>
          <w:highlight w:val="none"/>
        </w:rPr>
        <w:t>3．</w:t>
      </w:r>
      <w:r>
        <w:rPr>
          <w:rFonts w:hint="eastAsia" w:ascii="宋体" w:hAnsi="宋体"/>
          <w:b/>
          <w:color w:val="000000"/>
          <w:sz w:val="24"/>
          <w:highlight w:val="none"/>
        </w:rPr>
        <w:t>拟投标人可在浙江政府采购网（</w:t>
      </w:r>
      <w:r>
        <w:rPr>
          <w:highlight w:val="none"/>
        </w:rPr>
        <w:fldChar w:fldCharType="begin"/>
      </w:r>
      <w:r>
        <w:rPr>
          <w:highlight w:val="none"/>
        </w:rPr>
        <w:instrText xml:space="preserve"> HYPERLINK "http://www.zjzfcg.gov.cn" </w:instrText>
      </w:r>
      <w:r>
        <w:rPr>
          <w:highlight w:val="none"/>
        </w:rPr>
        <w:fldChar w:fldCharType="separate"/>
      </w:r>
      <w:r>
        <w:rPr>
          <w:rFonts w:hint="eastAsia" w:ascii="宋体" w:hAnsi="宋体"/>
          <w:b/>
          <w:color w:val="000000"/>
          <w:sz w:val="24"/>
          <w:highlight w:val="none"/>
        </w:rPr>
        <w:t>www.zjzfcg.gov.cn</w:t>
      </w:r>
      <w:r>
        <w:rPr>
          <w:rFonts w:hint="eastAsia" w:ascii="宋体" w:hAnsi="宋体"/>
          <w:b/>
          <w:color w:val="000000"/>
          <w:sz w:val="24"/>
          <w:highlight w:val="none"/>
        </w:rPr>
        <w:fldChar w:fldCharType="end"/>
      </w:r>
      <w:r>
        <w:rPr>
          <w:rFonts w:hint="eastAsia" w:ascii="宋体" w:hAnsi="宋体"/>
          <w:b/>
          <w:color w:val="000000"/>
          <w:sz w:val="24"/>
          <w:highlight w:val="none"/>
        </w:rPr>
        <w:t>）或德清县公共资源交易中心网站（http://ggzy.deqing.gov.cn/cms/）免费浏览或下载采购文件。但</w:t>
      </w:r>
      <w:r>
        <w:rPr>
          <w:rFonts w:hint="eastAsia" w:ascii="宋体" w:hAnsi="宋体"/>
          <w:b/>
          <w:color w:val="000000"/>
          <w:sz w:val="24"/>
          <w:highlight w:val="none"/>
          <w:u w:val="single"/>
        </w:rPr>
        <w:t>公告附件的采购文件仅供阅览使用，供应商网上报名成功为依法获取采购文件的方式</w:t>
      </w:r>
      <w:r>
        <w:rPr>
          <w:rFonts w:hint="eastAsia" w:ascii="宋体" w:hAnsi="宋体"/>
          <w:b/>
          <w:color w:val="000000"/>
          <w:sz w:val="24"/>
          <w:highlight w:val="none"/>
        </w:rPr>
        <w:t>。</w:t>
      </w:r>
    </w:p>
    <w:p>
      <w:pPr>
        <w:widowControl/>
        <w:spacing w:line="340" w:lineRule="exact"/>
        <w:jc w:val="left"/>
        <w:rPr>
          <w:rFonts w:ascii="宋体" w:hAnsi="宋体"/>
          <w:color w:val="FF0000"/>
          <w:sz w:val="24"/>
          <w:highlight w:val="none"/>
        </w:rPr>
      </w:pPr>
      <w:r>
        <w:rPr>
          <w:rFonts w:hint="eastAsia" w:ascii="宋体" w:hAnsi="宋体"/>
          <w:b/>
          <w:color w:val="000000"/>
          <w:sz w:val="24"/>
          <w:highlight w:val="none"/>
        </w:rPr>
        <w:t>六．投标截止时间：</w:t>
      </w:r>
      <w:r>
        <w:rPr>
          <w:rFonts w:hint="eastAsia" w:ascii="宋体" w:hAnsi="宋体"/>
          <w:color w:val="FF0000"/>
          <w:sz w:val="24"/>
          <w:highlight w:val="none"/>
        </w:rPr>
        <w:t>202</w:t>
      </w:r>
      <w:r>
        <w:rPr>
          <w:rFonts w:hint="eastAsia" w:ascii="宋体" w:hAnsi="宋体"/>
          <w:color w:val="FF0000"/>
          <w:sz w:val="24"/>
          <w:highlight w:val="none"/>
          <w:lang w:val="en-US" w:eastAsia="zh-CN"/>
        </w:rPr>
        <w:t>2</w:t>
      </w:r>
      <w:r>
        <w:rPr>
          <w:rFonts w:hint="eastAsia" w:ascii="宋体" w:hAnsi="宋体"/>
          <w:color w:val="FF0000"/>
          <w:sz w:val="24"/>
          <w:highlight w:val="none"/>
        </w:rPr>
        <w:t>-</w:t>
      </w:r>
      <w:r>
        <w:rPr>
          <w:rFonts w:hint="eastAsia" w:ascii="宋体" w:hAnsi="宋体"/>
          <w:color w:val="FF0000"/>
          <w:sz w:val="24"/>
          <w:highlight w:val="none"/>
          <w:lang w:val="en-US" w:eastAsia="zh-CN"/>
        </w:rPr>
        <w:t>09</w:t>
      </w:r>
      <w:r>
        <w:rPr>
          <w:rFonts w:hint="eastAsia" w:ascii="宋体" w:hAnsi="宋体"/>
          <w:color w:val="FF0000"/>
          <w:sz w:val="24"/>
          <w:highlight w:val="none"/>
        </w:rPr>
        <w:t>-</w:t>
      </w:r>
      <w:r>
        <w:rPr>
          <w:rFonts w:hint="eastAsia" w:ascii="宋体" w:hAnsi="宋体"/>
          <w:color w:val="FF0000"/>
          <w:sz w:val="24"/>
          <w:highlight w:val="none"/>
          <w:lang w:val="en-US" w:eastAsia="zh-CN"/>
        </w:rPr>
        <w:t>23</w:t>
      </w:r>
      <w:r>
        <w:rPr>
          <w:rFonts w:hint="eastAsia" w:ascii="宋体" w:hAnsi="宋体"/>
          <w:color w:val="FF0000"/>
          <w:sz w:val="24"/>
          <w:highlight w:val="none"/>
        </w:rPr>
        <w:t>　09:00</w:t>
      </w:r>
    </w:p>
    <w:p>
      <w:pPr>
        <w:widowControl/>
        <w:spacing w:line="340" w:lineRule="exact"/>
        <w:jc w:val="left"/>
        <w:rPr>
          <w:rFonts w:ascii="宋体" w:hAnsi="宋体"/>
          <w:color w:val="000000"/>
          <w:sz w:val="24"/>
          <w:highlight w:val="none"/>
        </w:rPr>
      </w:pPr>
      <w:r>
        <w:rPr>
          <w:rFonts w:hint="eastAsia" w:ascii="宋体" w:hAnsi="宋体"/>
          <w:b/>
          <w:color w:val="000000"/>
          <w:sz w:val="24"/>
          <w:highlight w:val="none"/>
        </w:rPr>
        <w:t>七．投标地址：</w:t>
      </w:r>
      <w:r>
        <w:rPr>
          <w:rFonts w:hint="eastAsia" w:ascii="宋体" w:hAnsi="宋体"/>
          <w:color w:val="000000"/>
          <w:sz w:val="24"/>
          <w:highlight w:val="none"/>
        </w:rPr>
        <w:t>德清县武康街道永安街169号公共资源交易中心二楼</w:t>
      </w:r>
      <w:r>
        <w:rPr>
          <w:rFonts w:hint="eastAsia" w:ascii="宋体" w:hAnsi="宋体"/>
          <w:color w:val="000000"/>
          <w:sz w:val="24"/>
          <w:highlight w:val="none"/>
          <w:lang w:val="en-US" w:eastAsia="zh-CN"/>
        </w:rPr>
        <w:t>201</w:t>
      </w:r>
      <w:r>
        <w:rPr>
          <w:rFonts w:hint="eastAsia" w:ascii="宋体" w:hAnsi="宋体"/>
          <w:color w:val="000000"/>
          <w:sz w:val="24"/>
          <w:highlight w:val="none"/>
        </w:rPr>
        <w:t>开标室</w:t>
      </w:r>
    </w:p>
    <w:p>
      <w:pPr>
        <w:widowControl/>
        <w:spacing w:line="340" w:lineRule="exact"/>
        <w:jc w:val="left"/>
        <w:rPr>
          <w:rFonts w:ascii="宋体" w:hAnsi="宋体"/>
          <w:color w:val="FF0000"/>
          <w:sz w:val="24"/>
          <w:highlight w:val="none"/>
        </w:rPr>
      </w:pPr>
      <w:r>
        <w:rPr>
          <w:rFonts w:hint="eastAsia" w:ascii="宋体" w:hAnsi="宋体"/>
          <w:b/>
          <w:color w:val="000000"/>
          <w:sz w:val="24"/>
          <w:highlight w:val="none"/>
        </w:rPr>
        <w:t>八．开标时间：</w:t>
      </w:r>
      <w:r>
        <w:rPr>
          <w:rFonts w:hint="eastAsia" w:ascii="宋体" w:hAnsi="宋体"/>
          <w:color w:val="FF0000"/>
          <w:sz w:val="24"/>
          <w:highlight w:val="none"/>
        </w:rPr>
        <w:t>202</w:t>
      </w:r>
      <w:r>
        <w:rPr>
          <w:rFonts w:hint="eastAsia" w:ascii="宋体" w:hAnsi="宋体"/>
          <w:color w:val="FF0000"/>
          <w:sz w:val="24"/>
          <w:highlight w:val="none"/>
          <w:lang w:val="en-US" w:eastAsia="zh-CN"/>
        </w:rPr>
        <w:t>2</w:t>
      </w:r>
      <w:r>
        <w:rPr>
          <w:rFonts w:hint="eastAsia" w:ascii="宋体" w:hAnsi="宋体"/>
          <w:color w:val="FF0000"/>
          <w:sz w:val="24"/>
          <w:highlight w:val="none"/>
        </w:rPr>
        <w:t>-</w:t>
      </w:r>
      <w:r>
        <w:rPr>
          <w:rFonts w:hint="eastAsia" w:ascii="宋体" w:hAnsi="宋体"/>
          <w:color w:val="FF0000"/>
          <w:sz w:val="24"/>
          <w:highlight w:val="none"/>
          <w:lang w:val="en-US" w:eastAsia="zh-CN"/>
        </w:rPr>
        <w:t>09</w:t>
      </w:r>
      <w:r>
        <w:rPr>
          <w:rFonts w:hint="eastAsia" w:ascii="宋体" w:hAnsi="宋体"/>
          <w:color w:val="FF0000"/>
          <w:sz w:val="24"/>
          <w:highlight w:val="none"/>
        </w:rPr>
        <w:t>-</w:t>
      </w:r>
      <w:r>
        <w:rPr>
          <w:rFonts w:hint="eastAsia" w:ascii="宋体" w:hAnsi="宋体"/>
          <w:color w:val="FF0000"/>
          <w:sz w:val="24"/>
          <w:highlight w:val="none"/>
          <w:lang w:val="en-US" w:eastAsia="zh-CN"/>
        </w:rPr>
        <w:t>23</w:t>
      </w:r>
      <w:r>
        <w:rPr>
          <w:rFonts w:hint="eastAsia" w:ascii="宋体" w:hAnsi="宋体"/>
          <w:color w:val="FF0000"/>
          <w:sz w:val="24"/>
          <w:highlight w:val="none"/>
        </w:rPr>
        <w:t>　09:00</w:t>
      </w:r>
    </w:p>
    <w:p>
      <w:pPr>
        <w:widowControl/>
        <w:spacing w:line="340" w:lineRule="exact"/>
        <w:jc w:val="left"/>
        <w:rPr>
          <w:rFonts w:ascii="宋体" w:hAnsi="宋体"/>
          <w:color w:val="000000"/>
          <w:sz w:val="24"/>
          <w:highlight w:val="none"/>
        </w:rPr>
      </w:pPr>
      <w:r>
        <w:rPr>
          <w:rFonts w:hint="eastAsia" w:ascii="宋体" w:hAnsi="宋体"/>
          <w:color w:val="FF0000"/>
          <w:sz w:val="24"/>
          <w:highlight w:val="none"/>
        </w:rPr>
        <w:t>九．开标地址：</w:t>
      </w:r>
      <w:r>
        <w:rPr>
          <w:rFonts w:hint="eastAsia" w:ascii="宋体" w:hAnsi="宋体"/>
          <w:color w:val="000000"/>
          <w:sz w:val="24"/>
          <w:highlight w:val="none"/>
        </w:rPr>
        <w:t>德清县武康街道永安街169号公共资源交易中心二楼</w:t>
      </w:r>
      <w:r>
        <w:rPr>
          <w:rFonts w:hint="eastAsia" w:ascii="宋体" w:hAnsi="宋体"/>
          <w:color w:val="000000"/>
          <w:sz w:val="24"/>
          <w:highlight w:val="none"/>
          <w:lang w:val="en-US" w:eastAsia="zh-CN"/>
        </w:rPr>
        <w:t>201</w:t>
      </w:r>
      <w:r>
        <w:rPr>
          <w:rFonts w:hint="eastAsia" w:ascii="宋体" w:hAnsi="宋体"/>
          <w:color w:val="000000"/>
          <w:sz w:val="24"/>
          <w:highlight w:val="none"/>
        </w:rPr>
        <w:t>开标室</w:t>
      </w:r>
    </w:p>
    <w:p>
      <w:pPr>
        <w:widowControl/>
        <w:spacing w:line="340" w:lineRule="exact"/>
        <w:jc w:val="left"/>
        <w:rPr>
          <w:rFonts w:ascii="宋体" w:hAnsi="宋体"/>
          <w:b/>
          <w:color w:val="000000"/>
          <w:sz w:val="24"/>
          <w:highlight w:val="none"/>
        </w:rPr>
      </w:pPr>
      <w:r>
        <w:rPr>
          <w:rFonts w:hint="eastAsia" w:ascii="宋体" w:hAnsi="宋体"/>
          <w:b/>
          <w:color w:val="000000"/>
          <w:sz w:val="24"/>
          <w:highlight w:val="none"/>
        </w:rPr>
        <w:t>十．投标保证金：</w:t>
      </w:r>
      <w:r>
        <w:rPr>
          <w:rFonts w:hint="eastAsia" w:ascii="宋体" w:hAnsi="宋体"/>
          <w:color w:val="000000"/>
          <w:sz w:val="24"/>
          <w:highlight w:val="none"/>
        </w:rPr>
        <w:t>本项目不需要缴纳投标保证金。</w:t>
      </w:r>
    </w:p>
    <w:p>
      <w:pPr>
        <w:widowControl/>
        <w:spacing w:line="340" w:lineRule="exact"/>
        <w:jc w:val="left"/>
        <w:rPr>
          <w:rFonts w:ascii="宋体" w:hAnsi="宋体"/>
          <w:b/>
          <w:sz w:val="24"/>
          <w:highlight w:val="none"/>
        </w:rPr>
      </w:pPr>
      <w:r>
        <w:rPr>
          <w:rFonts w:hint="eastAsia" w:ascii="宋体" w:hAnsi="宋体"/>
          <w:b/>
          <w:color w:val="000000"/>
          <w:sz w:val="24"/>
          <w:highlight w:val="none"/>
        </w:rPr>
        <w:t>十一．</w:t>
      </w:r>
      <w:r>
        <w:rPr>
          <w:rFonts w:hint="eastAsia" w:ascii="宋体" w:hAnsi="宋体"/>
          <w:b/>
          <w:sz w:val="24"/>
          <w:highlight w:val="none"/>
        </w:rPr>
        <w:t>其他事项：</w:t>
      </w:r>
    </w:p>
    <w:p>
      <w:pPr>
        <w:widowControl/>
        <w:spacing w:line="340" w:lineRule="exact"/>
        <w:ind w:firstLine="465"/>
        <w:jc w:val="left"/>
        <w:rPr>
          <w:rFonts w:ascii="宋体" w:hAnsi="宋体"/>
          <w:b/>
          <w:color w:val="000000"/>
          <w:sz w:val="24"/>
          <w:highlight w:val="none"/>
        </w:rPr>
      </w:pPr>
      <w:r>
        <w:rPr>
          <w:rFonts w:hint="eastAsia" w:ascii="宋体" w:hAnsi="宋体"/>
          <w:color w:val="000000"/>
          <w:sz w:val="24"/>
          <w:highlight w:val="none"/>
        </w:rPr>
        <w:t xml:space="preserve"> 1．本项目公告期限为5个工作日，供应商认为采购文件使自己的权益受到损害的，可以自获取采购文件之日或者采购文件公告期限届满之日（公告期限届满后获取采购文件的，</w:t>
      </w:r>
      <w:r>
        <w:rPr>
          <w:rFonts w:hint="eastAsia" w:ascii="宋体" w:hAnsi="宋体"/>
          <w:sz w:val="24"/>
          <w:highlight w:val="none"/>
        </w:rPr>
        <w:t>以公告期限届满之日为准）起7个工作日内，以书面形式向采购人和本采购代理机构提出质疑。（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采购人、采购代理机构的答复不满意或者采购人、采购代理机构未在规定的时间内作出答复的，可以在答复期满后十五个工作日内向同级政府采购监督管理部门投诉。（质疑供应商对在线质疑答复不满意的，可在线提起投诉，路径为：浙江政府服务网-政府采购投诉处理-在线办理。）质疑函范本、投诉书范本请到浙江政府采购网下载专区下载。2.投标人报名成功并依法获取采购文件</w:t>
      </w:r>
      <w:r>
        <w:rPr>
          <w:rFonts w:hint="eastAsia" w:ascii="宋体" w:hAnsi="宋体"/>
          <w:color w:val="000000"/>
          <w:sz w:val="24"/>
          <w:highlight w:val="none"/>
        </w:rPr>
        <w:t>后决定不参加该项目投标，应在投标截止</w:t>
      </w:r>
      <w:r>
        <w:rPr>
          <w:rFonts w:hint="eastAsia" w:ascii="宋体" w:hAnsi="宋体"/>
          <w:sz w:val="24"/>
          <w:highlight w:val="none"/>
        </w:rPr>
        <w:t>时间3天前（提前72小时）以书面形式（信函、传真加盖投标单位公章）通知本机构，如在规</w:t>
      </w:r>
      <w:r>
        <w:rPr>
          <w:rFonts w:hint="eastAsia" w:ascii="宋体" w:hAnsi="宋体"/>
          <w:color w:val="000000"/>
          <w:sz w:val="24"/>
          <w:highlight w:val="none"/>
        </w:rPr>
        <w:t>定期内未收到投标人书面函件，则视为投标人同意参加投标。</w:t>
      </w:r>
      <w:r>
        <w:rPr>
          <w:rFonts w:hint="eastAsia" w:ascii="宋体" w:hAnsi="宋体"/>
          <w:b/>
          <w:color w:val="000000"/>
          <w:sz w:val="24"/>
          <w:highlight w:val="none"/>
        </w:rPr>
        <w:t>3. 本项目采取资格后审方式，供应商是否具有投标资格在开标结束后由采购人进行审查确认。</w:t>
      </w:r>
    </w:p>
    <w:p>
      <w:pPr>
        <w:widowControl/>
        <w:spacing w:line="340" w:lineRule="exact"/>
        <w:ind w:firstLine="542" w:firstLineChars="225"/>
        <w:jc w:val="left"/>
        <w:rPr>
          <w:rFonts w:ascii="宋体" w:hAnsi="宋体" w:cs="Arial"/>
          <w:bCs/>
          <w:color w:val="000000"/>
          <w:sz w:val="24"/>
          <w:szCs w:val="20"/>
          <w:highlight w:val="none"/>
        </w:rPr>
      </w:pPr>
      <w:r>
        <w:rPr>
          <w:rFonts w:hint="eastAsia" w:ascii="宋体" w:hAnsi="宋体" w:cs="Arial"/>
          <w:b/>
          <w:bCs/>
          <w:color w:val="000000"/>
          <w:sz w:val="24"/>
          <w:szCs w:val="20"/>
          <w:highlight w:val="none"/>
        </w:rPr>
        <w:t>4.</w:t>
      </w:r>
      <w:r>
        <w:rPr>
          <w:rFonts w:hint="eastAsia" w:ascii="宋体" w:hAnsi="宋体" w:cs="Arial"/>
          <w:bCs/>
          <w:color w:val="000000"/>
          <w:sz w:val="24"/>
          <w:szCs w:val="20"/>
          <w:highlight w:val="none"/>
        </w:rPr>
        <w:t>本项目不集中组织现场考察，需要供应商自行联系采购人进行现场考察和调研。</w:t>
      </w:r>
    </w:p>
    <w:p>
      <w:pPr>
        <w:widowControl/>
        <w:snapToGrid w:val="0"/>
        <w:spacing w:line="460" w:lineRule="exact"/>
        <w:jc w:val="left"/>
        <w:rPr>
          <w:rFonts w:ascii="宋体" w:hAnsi="宋体"/>
          <w:sz w:val="24"/>
          <w:highlight w:val="none"/>
        </w:rPr>
      </w:pPr>
      <w:r>
        <w:rPr>
          <w:rFonts w:hint="eastAsia" w:ascii="宋体" w:hAnsi="宋体" w:cs="Arial"/>
          <w:b/>
          <w:color w:val="000000"/>
          <w:sz w:val="24"/>
          <w:szCs w:val="20"/>
          <w:highlight w:val="none"/>
        </w:rPr>
        <w:t>十二．</w:t>
      </w:r>
      <w:r>
        <w:rPr>
          <w:rFonts w:hint="eastAsia" w:ascii="宋体" w:hAnsi="宋体" w:cs="Arial"/>
          <w:b/>
          <w:sz w:val="24"/>
          <w:highlight w:val="none"/>
        </w:rPr>
        <w:t>投标说明</w:t>
      </w:r>
    </w:p>
    <w:p>
      <w:pPr>
        <w:pStyle w:val="27"/>
        <w:wordWrap w:val="0"/>
        <w:adjustRightInd w:val="0"/>
        <w:snapToGrid w:val="0"/>
        <w:spacing w:before="120" w:after="120" w:line="500" w:lineRule="exact"/>
        <w:ind w:firstLine="482" w:firstLineChars="200"/>
        <w:rPr>
          <w:b/>
          <w:sz w:val="24"/>
          <w:szCs w:val="24"/>
          <w:highlight w:val="none"/>
        </w:rPr>
      </w:pPr>
      <w:r>
        <w:rPr>
          <w:rFonts w:hint="eastAsia"/>
          <w:b/>
          <w:sz w:val="24"/>
          <w:szCs w:val="24"/>
          <w:highlight w:val="none"/>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0572-8013362。</w:t>
      </w:r>
    </w:p>
    <w:p>
      <w:pPr>
        <w:pStyle w:val="27"/>
        <w:wordWrap w:val="0"/>
        <w:adjustRightInd w:val="0"/>
        <w:snapToGrid w:val="0"/>
        <w:spacing w:before="120" w:after="120" w:line="500" w:lineRule="exact"/>
        <w:ind w:firstLine="482" w:firstLineChars="200"/>
        <w:rPr>
          <w:b/>
          <w:sz w:val="24"/>
          <w:szCs w:val="24"/>
          <w:highlight w:val="none"/>
        </w:rPr>
      </w:pPr>
      <w:r>
        <w:rPr>
          <w:rFonts w:hint="eastAsia"/>
          <w:b/>
          <w:sz w:val="24"/>
          <w:szCs w:val="24"/>
          <w:highlight w:val="none"/>
        </w:rPr>
        <w:t>2、投标人应在开标前完成CA数字证书办理。（办理流程详见</w:t>
      </w:r>
      <w:r>
        <w:rPr>
          <w:highlight w:val="none"/>
        </w:rPr>
        <w:fldChar w:fldCharType="begin"/>
      </w:r>
      <w:r>
        <w:rPr>
          <w:highlight w:val="none"/>
        </w:rPr>
        <w:instrText xml:space="preserve"> HYPERLINK "http://www.zjzfcg.gov.cn/bidClientTemplate/2019-05-27/12945.html" </w:instrText>
      </w:r>
      <w:r>
        <w:rPr>
          <w:highlight w:val="none"/>
        </w:rPr>
        <w:fldChar w:fldCharType="separate"/>
      </w:r>
      <w:r>
        <w:rPr>
          <w:rFonts w:hint="eastAsia"/>
          <w:b/>
          <w:sz w:val="24"/>
          <w:szCs w:val="24"/>
          <w:highlight w:val="none"/>
        </w:rPr>
        <w:t>http://www.zjzfcg.gov.cn/bidClientTemplate/2019-05</w:t>
      </w:r>
      <w:bookmarkStart w:id="0" w:name="_Hlt12345973"/>
      <w:bookmarkStart w:id="1" w:name="_Hlt12345974"/>
      <w:r>
        <w:rPr>
          <w:rFonts w:hint="eastAsia"/>
          <w:b/>
          <w:sz w:val="24"/>
          <w:szCs w:val="24"/>
          <w:highlight w:val="none"/>
        </w:rPr>
        <w:t>-</w:t>
      </w:r>
      <w:bookmarkEnd w:id="0"/>
      <w:bookmarkEnd w:id="1"/>
      <w:r>
        <w:rPr>
          <w:rFonts w:hint="eastAsia"/>
          <w:b/>
          <w:sz w:val="24"/>
          <w:szCs w:val="24"/>
          <w:highlight w:val="none"/>
        </w:rPr>
        <w:t>27/12945.html</w:t>
      </w:r>
      <w:r>
        <w:rPr>
          <w:rFonts w:hint="eastAsia"/>
          <w:b/>
          <w:sz w:val="24"/>
          <w:szCs w:val="24"/>
          <w:highlight w:val="none"/>
        </w:rPr>
        <w:fldChar w:fldCharType="end"/>
      </w:r>
      <w:r>
        <w:rPr>
          <w:rFonts w:hint="eastAsia"/>
          <w:b/>
          <w:sz w:val="24"/>
          <w:szCs w:val="24"/>
          <w:highlight w:val="none"/>
        </w:rPr>
        <w:t>）。完成CA数字证书办理预计一至两周，建议各投标人抓紧时间办理。</w:t>
      </w:r>
    </w:p>
    <w:p>
      <w:pPr>
        <w:wordWrap w:val="0"/>
        <w:snapToGrid w:val="0"/>
        <w:spacing w:line="460" w:lineRule="exact"/>
        <w:ind w:firstLine="482" w:firstLineChars="200"/>
        <w:rPr>
          <w:rFonts w:ascii="宋体" w:hAnsi="宋体"/>
          <w:b/>
          <w:sz w:val="24"/>
          <w:highlight w:val="none"/>
        </w:rPr>
      </w:pPr>
      <w:r>
        <w:rPr>
          <w:rFonts w:hint="eastAsia" w:ascii="宋体" w:hAnsi="宋体"/>
          <w:b/>
          <w:sz w:val="24"/>
          <w:highlight w:val="none"/>
        </w:rPr>
        <w:t>3、投标人通过政采云平台电子投标工具制作投标文件，电子投标工具请供应商自行前往浙江省政府采购网下载并安装，（下载网址：</w:t>
      </w:r>
      <w:r>
        <w:rPr>
          <w:rFonts w:ascii="宋体" w:hAnsi="宋体"/>
          <w:b/>
          <w:sz w:val="24"/>
          <w:highlight w:val="none"/>
        </w:rPr>
        <w:t>http://www.zjzfcg.gov.cn/bidClientTemplate/2019-09-24/12975.html</w:t>
      </w:r>
      <w:r>
        <w:rPr>
          <w:rFonts w:hint="eastAsia" w:ascii="宋体" w:hAnsi="宋体"/>
          <w:b/>
          <w:sz w:val="24"/>
          <w:highlight w:val="none"/>
        </w:rPr>
        <w:t>），供应商电子交易操作指南详见网址：</w:t>
      </w:r>
      <w:r>
        <w:rPr>
          <w:rFonts w:ascii="宋体" w:hAnsi="宋体"/>
          <w:b/>
          <w:sz w:val="24"/>
          <w:highlight w:val="none"/>
        </w:rPr>
        <w:t>https://help.zcygov.cn/web/site_2/2018/12-28/2573.html</w:t>
      </w:r>
      <w:r>
        <w:rPr>
          <w:rFonts w:hint="eastAsia" w:ascii="宋体" w:hAnsi="宋体"/>
          <w:b/>
          <w:sz w:val="24"/>
          <w:highlight w:val="none"/>
        </w:rPr>
        <w:t>）。</w:t>
      </w:r>
    </w:p>
    <w:p>
      <w:pPr>
        <w:pStyle w:val="27"/>
        <w:wordWrap w:val="0"/>
        <w:adjustRightInd w:val="0"/>
        <w:snapToGrid w:val="0"/>
        <w:spacing w:before="120" w:after="120" w:line="500" w:lineRule="exact"/>
        <w:ind w:firstLine="482" w:firstLineChars="200"/>
        <w:rPr>
          <w:b/>
          <w:sz w:val="24"/>
          <w:szCs w:val="24"/>
          <w:highlight w:val="none"/>
        </w:rPr>
      </w:pPr>
      <w:r>
        <w:rPr>
          <w:rFonts w:hint="eastAsia"/>
          <w:b/>
          <w:sz w:val="24"/>
          <w:highlight w:val="none"/>
        </w:rPr>
        <w:t>4、</w:t>
      </w:r>
      <w:r>
        <w:rPr>
          <w:rFonts w:hint="eastAsia"/>
          <w:b/>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pStyle w:val="27"/>
        <w:adjustRightInd w:val="0"/>
        <w:snapToGrid w:val="0"/>
        <w:spacing w:before="120" w:after="120" w:line="500" w:lineRule="exact"/>
        <w:ind w:firstLine="482" w:firstLineChars="200"/>
        <w:rPr>
          <w:b/>
          <w:sz w:val="24"/>
          <w:szCs w:val="24"/>
          <w:highlight w:val="none"/>
        </w:rPr>
      </w:pPr>
      <w:r>
        <w:rPr>
          <w:rFonts w:hint="eastAsia"/>
          <w:b/>
          <w:sz w:val="24"/>
          <w:szCs w:val="24"/>
          <w:highlight w:val="none"/>
        </w:rPr>
        <w:t>投标人在投标截止时间前将备份电子投标文件按要求密封送交到德清县公共资源交易中心</w:t>
      </w:r>
      <w:r>
        <w:rPr>
          <w:rFonts w:hint="eastAsia"/>
          <w:b/>
          <w:color w:val="FF0000"/>
          <w:sz w:val="24"/>
          <w:szCs w:val="24"/>
          <w:highlight w:val="none"/>
          <w:lang w:val="en-US" w:eastAsia="zh-CN"/>
        </w:rPr>
        <w:t>201</w:t>
      </w:r>
      <w:r>
        <w:rPr>
          <w:rFonts w:hint="eastAsia"/>
          <w:b/>
          <w:sz w:val="24"/>
          <w:szCs w:val="24"/>
          <w:highlight w:val="none"/>
        </w:rPr>
        <w:t>开标室（德清县武康街道永安街169号二楼），逾期送达或未按要求密封将被拒收。如投标人未在投标截止时间前完成电子投标文件的传输递交，其备份电子投标文件无效。备份电子投标文件采用邮寄方式送达的，其中可能存在的破损、遗失等一切风险由投标人自行承担。</w:t>
      </w:r>
      <w:r>
        <w:rPr>
          <w:rFonts w:hint="eastAsia" w:hAnsi="Courier New" w:eastAsia="Calibri"/>
          <w:b/>
          <w:color w:val="FF0000"/>
          <w:sz w:val="24"/>
          <w:szCs w:val="24"/>
          <w:highlight w:val="none"/>
        </w:rPr>
        <w:t>如</w:t>
      </w:r>
      <w:r>
        <w:rPr>
          <w:rFonts w:hint="eastAsia"/>
          <w:b/>
          <w:color w:val="FF0000"/>
          <w:sz w:val="24"/>
          <w:szCs w:val="24"/>
          <w:highlight w:val="none"/>
        </w:rPr>
        <w:t>投标人不提供备份投标文件，电子投标文件解密未成功从而造成评审委员会对其投标文件无法评审的，其投标无效，相关风险和责任由投标人自行承担。</w:t>
      </w:r>
    </w:p>
    <w:p>
      <w:pPr>
        <w:snapToGrid w:val="0"/>
        <w:spacing w:beforeLines="50" w:afterLines="50"/>
        <w:rPr>
          <w:rFonts w:ascii="宋体" w:hAnsi="宋体" w:cs="Arial"/>
          <w:b/>
          <w:sz w:val="24"/>
          <w:szCs w:val="20"/>
          <w:highlight w:val="none"/>
        </w:rPr>
      </w:pPr>
      <w:r>
        <w:rPr>
          <w:rFonts w:hint="eastAsia" w:ascii="宋体" w:hAnsi="宋体" w:cs="Arial"/>
          <w:b/>
          <w:sz w:val="24"/>
          <w:szCs w:val="20"/>
          <w:highlight w:val="none"/>
        </w:rPr>
        <w:t>十三.联系方式</w:t>
      </w:r>
    </w:p>
    <w:p>
      <w:pPr>
        <w:snapToGrid w:val="0"/>
        <w:spacing w:beforeLines="50" w:afterLines="50"/>
        <w:ind w:firstLine="540" w:firstLineChars="225"/>
        <w:rPr>
          <w:rFonts w:ascii="宋体" w:hAnsi="宋体" w:cs="Arial"/>
          <w:sz w:val="24"/>
          <w:szCs w:val="20"/>
          <w:highlight w:val="none"/>
        </w:rPr>
      </w:pPr>
      <w:r>
        <w:rPr>
          <w:rFonts w:hint="eastAsia" w:ascii="宋体" w:hAnsi="宋体" w:cs="Arial"/>
          <w:sz w:val="24"/>
          <w:szCs w:val="20"/>
          <w:highlight w:val="none"/>
        </w:rPr>
        <w:t>1、采购人名称：德清县市政管理处</w:t>
      </w:r>
    </w:p>
    <w:p>
      <w:pPr>
        <w:snapToGrid w:val="0"/>
        <w:spacing w:beforeLines="50" w:afterLines="50"/>
        <w:ind w:firstLine="540" w:firstLineChars="225"/>
        <w:rPr>
          <w:rFonts w:ascii="宋体" w:hAnsi="宋体" w:cs="Arial"/>
          <w:sz w:val="24"/>
          <w:szCs w:val="20"/>
          <w:highlight w:val="none"/>
        </w:rPr>
      </w:pPr>
      <w:r>
        <w:rPr>
          <w:rFonts w:hint="eastAsia" w:ascii="宋体" w:hAnsi="宋体" w:cs="Arial"/>
          <w:sz w:val="24"/>
          <w:szCs w:val="20"/>
          <w:highlight w:val="none"/>
        </w:rPr>
        <w:t>联系人：吴先生</w:t>
      </w:r>
    </w:p>
    <w:p>
      <w:pPr>
        <w:snapToGrid w:val="0"/>
        <w:spacing w:beforeLines="50" w:afterLines="50"/>
        <w:ind w:firstLine="540" w:firstLineChars="225"/>
        <w:rPr>
          <w:rFonts w:ascii="宋体" w:hAnsi="宋体" w:cs="Arial"/>
          <w:sz w:val="24"/>
          <w:szCs w:val="20"/>
          <w:highlight w:val="none"/>
        </w:rPr>
      </w:pPr>
      <w:r>
        <w:rPr>
          <w:rFonts w:hint="eastAsia" w:ascii="宋体" w:hAnsi="宋体" w:cs="Arial"/>
          <w:sz w:val="24"/>
          <w:szCs w:val="20"/>
          <w:highlight w:val="none"/>
        </w:rPr>
        <w:t>联系电话：0572-8367065</w:t>
      </w:r>
    </w:p>
    <w:p>
      <w:pPr>
        <w:snapToGrid w:val="0"/>
        <w:spacing w:beforeLines="50" w:afterLines="50"/>
        <w:ind w:firstLine="540" w:firstLineChars="225"/>
        <w:rPr>
          <w:rFonts w:ascii="宋体" w:hAnsi="宋体" w:cs="Arial"/>
          <w:sz w:val="24"/>
          <w:szCs w:val="20"/>
          <w:highlight w:val="none"/>
        </w:rPr>
      </w:pPr>
      <w:r>
        <w:rPr>
          <w:rFonts w:hint="eastAsia" w:ascii="宋体" w:hAnsi="宋体" w:cs="Arial"/>
          <w:sz w:val="24"/>
          <w:szCs w:val="20"/>
          <w:highlight w:val="none"/>
        </w:rPr>
        <w:t>地址：德清县武康街道群益街292号</w:t>
      </w:r>
    </w:p>
    <w:p>
      <w:pPr>
        <w:snapToGrid w:val="0"/>
        <w:spacing w:beforeLines="50" w:afterLines="50"/>
        <w:ind w:firstLine="540" w:firstLineChars="225"/>
        <w:rPr>
          <w:rFonts w:ascii="宋体" w:hAnsi="宋体" w:cs="Arial"/>
          <w:color w:val="000000"/>
          <w:sz w:val="24"/>
          <w:szCs w:val="20"/>
          <w:highlight w:val="none"/>
        </w:rPr>
      </w:pPr>
      <w:r>
        <w:rPr>
          <w:rFonts w:hint="eastAsia" w:ascii="宋体" w:hAnsi="宋体" w:cs="Arial"/>
          <w:color w:val="000000"/>
          <w:sz w:val="24"/>
          <w:szCs w:val="20"/>
          <w:highlight w:val="none"/>
        </w:rPr>
        <w:t>2、采购代理机构名称：德清县政府采购中心</w:t>
      </w:r>
    </w:p>
    <w:p>
      <w:pPr>
        <w:snapToGrid w:val="0"/>
        <w:spacing w:beforeLines="50" w:afterLines="50"/>
        <w:ind w:firstLine="540" w:firstLineChars="225"/>
        <w:rPr>
          <w:rFonts w:ascii="宋体" w:hAnsi="宋体" w:cs="Arial"/>
          <w:color w:val="000000"/>
          <w:sz w:val="24"/>
          <w:szCs w:val="20"/>
          <w:highlight w:val="none"/>
        </w:rPr>
      </w:pPr>
      <w:r>
        <w:rPr>
          <w:rFonts w:hint="eastAsia" w:ascii="宋体" w:hAnsi="宋体" w:cs="Arial"/>
          <w:color w:val="000000"/>
          <w:sz w:val="24"/>
          <w:szCs w:val="20"/>
          <w:highlight w:val="none"/>
        </w:rPr>
        <w:t>联系人：邱小姐、史先生</w:t>
      </w:r>
    </w:p>
    <w:p>
      <w:pPr>
        <w:snapToGrid w:val="0"/>
        <w:spacing w:beforeLines="50" w:afterLines="50"/>
        <w:ind w:firstLine="540" w:firstLineChars="225"/>
        <w:rPr>
          <w:rFonts w:ascii="宋体" w:hAnsi="宋体" w:cs="Arial"/>
          <w:color w:val="000000"/>
          <w:sz w:val="24"/>
          <w:szCs w:val="20"/>
          <w:highlight w:val="none"/>
        </w:rPr>
      </w:pPr>
      <w:r>
        <w:rPr>
          <w:rFonts w:hint="eastAsia" w:ascii="宋体" w:hAnsi="宋体" w:cs="Arial"/>
          <w:color w:val="000000"/>
          <w:sz w:val="24"/>
          <w:szCs w:val="20"/>
          <w:highlight w:val="none"/>
        </w:rPr>
        <w:t>联系电话：0572-8061059</w:t>
      </w:r>
    </w:p>
    <w:p>
      <w:pPr>
        <w:snapToGrid w:val="0"/>
        <w:spacing w:beforeLines="50" w:afterLines="50"/>
        <w:ind w:firstLine="540" w:firstLineChars="225"/>
        <w:rPr>
          <w:rFonts w:ascii="宋体" w:hAnsi="宋体" w:cs="Arial"/>
          <w:color w:val="000000"/>
          <w:sz w:val="24"/>
          <w:szCs w:val="20"/>
          <w:highlight w:val="none"/>
        </w:rPr>
      </w:pPr>
      <w:r>
        <w:rPr>
          <w:rFonts w:hint="eastAsia" w:ascii="宋体" w:hAnsi="宋体" w:cs="Arial"/>
          <w:color w:val="000000"/>
          <w:sz w:val="24"/>
          <w:szCs w:val="20"/>
          <w:highlight w:val="none"/>
        </w:rPr>
        <w:t>传真：0572-8061059</w:t>
      </w:r>
    </w:p>
    <w:p>
      <w:pPr>
        <w:snapToGrid w:val="0"/>
        <w:spacing w:beforeLines="50" w:afterLines="50"/>
        <w:ind w:firstLine="540" w:firstLineChars="225"/>
        <w:rPr>
          <w:rFonts w:ascii="宋体" w:hAnsi="宋体" w:cs="Arial"/>
          <w:color w:val="000000"/>
          <w:sz w:val="24"/>
          <w:szCs w:val="20"/>
          <w:highlight w:val="none"/>
        </w:rPr>
      </w:pPr>
      <w:r>
        <w:rPr>
          <w:rFonts w:hint="eastAsia" w:ascii="宋体" w:hAnsi="宋体" w:cs="Arial"/>
          <w:color w:val="000000"/>
          <w:sz w:val="24"/>
          <w:szCs w:val="20"/>
          <w:highlight w:val="none"/>
        </w:rPr>
        <w:t>地址：德清县武康街道永安街169号（沃尔玛超市对面）</w:t>
      </w:r>
    </w:p>
    <w:p>
      <w:pPr>
        <w:snapToGrid w:val="0"/>
        <w:spacing w:beforeLines="50" w:afterLines="50"/>
        <w:ind w:firstLine="540" w:firstLineChars="225"/>
        <w:rPr>
          <w:rFonts w:ascii="宋体" w:hAnsi="宋体" w:cs="Arial"/>
          <w:color w:val="000000"/>
          <w:sz w:val="24"/>
          <w:szCs w:val="20"/>
          <w:highlight w:val="none"/>
        </w:rPr>
      </w:pPr>
      <w:r>
        <w:rPr>
          <w:rFonts w:hint="eastAsia" w:ascii="宋体" w:hAnsi="宋体" w:cs="Arial"/>
          <w:color w:val="000000"/>
          <w:sz w:val="24"/>
          <w:szCs w:val="20"/>
          <w:highlight w:val="none"/>
        </w:rPr>
        <w:t>3、同级政府采购监督管理部门名称：德清县财政局</w:t>
      </w:r>
    </w:p>
    <w:p>
      <w:pPr>
        <w:snapToGrid w:val="0"/>
        <w:spacing w:beforeLines="50" w:afterLines="50"/>
        <w:ind w:firstLine="540" w:firstLineChars="225"/>
        <w:rPr>
          <w:rFonts w:ascii="宋体" w:hAnsi="宋体" w:cs="Arial"/>
          <w:color w:val="000000"/>
          <w:sz w:val="24"/>
          <w:szCs w:val="20"/>
          <w:highlight w:val="none"/>
        </w:rPr>
      </w:pPr>
      <w:r>
        <w:rPr>
          <w:rFonts w:hint="eastAsia" w:ascii="宋体" w:hAnsi="宋体" w:cs="Arial"/>
          <w:color w:val="000000"/>
          <w:sz w:val="24"/>
          <w:szCs w:val="20"/>
          <w:highlight w:val="none"/>
        </w:rPr>
        <w:t>联系人：宣女士</w:t>
      </w:r>
    </w:p>
    <w:p>
      <w:pPr>
        <w:snapToGrid w:val="0"/>
        <w:spacing w:beforeLines="50" w:afterLines="50"/>
        <w:ind w:firstLine="540" w:firstLineChars="225"/>
        <w:rPr>
          <w:rFonts w:ascii="宋体" w:hAnsi="宋体" w:cs="Arial"/>
          <w:color w:val="000000"/>
          <w:sz w:val="24"/>
          <w:szCs w:val="20"/>
          <w:highlight w:val="none"/>
        </w:rPr>
      </w:pPr>
      <w:r>
        <w:rPr>
          <w:rFonts w:hint="eastAsia" w:ascii="宋体" w:hAnsi="宋体" w:cs="Arial"/>
          <w:color w:val="000000"/>
          <w:sz w:val="24"/>
          <w:szCs w:val="20"/>
          <w:highlight w:val="none"/>
        </w:rPr>
        <w:t>监督投诉电话：0572-8280716</w:t>
      </w:r>
    </w:p>
    <w:p>
      <w:pPr>
        <w:snapToGrid w:val="0"/>
        <w:spacing w:beforeLines="50" w:afterLines="50"/>
        <w:ind w:firstLine="540" w:firstLineChars="225"/>
        <w:rPr>
          <w:rFonts w:ascii="宋体" w:hAnsi="宋体" w:cs="Arial"/>
          <w:color w:val="000000"/>
          <w:sz w:val="24"/>
          <w:szCs w:val="20"/>
          <w:highlight w:val="none"/>
        </w:rPr>
      </w:pPr>
      <w:r>
        <w:rPr>
          <w:rFonts w:hint="eastAsia" w:ascii="宋体" w:hAnsi="宋体" w:cs="Arial"/>
          <w:color w:val="000000"/>
          <w:sz w:val="24"/>
          <w:szCs w:val="20"/>
          <w:highlight w:val="none"/>
        </w:rPr>
        <w:t>传真：0572-8280716</w:t>
      </w:r>
    </w:p>
    <w:p>
      <w:pPr>
        <w:snapToGrid w:val="0"/>
        <w:spacing w:beforeLines="50" w:afterLines="50"/>
        <w:ind w:firstLine="540" w:firstLineChars="225"/>
        <w:rPr>
          <w:rFonts w:ascii="宋体" w:hAnsi="宋体" w:cs="Arial"/>
          <w:color w:val="000000"/>
          <w:sz w:val="24"/>
          <w:szCs w:val="20"/>
          <w:highlight w:val="none"/>
        </w:rPr>
      </w:pPr>
      <w:r>
        <w:rPr>
          <w:rFonts w:hint="eastAsia" w:ascii="宋体" w:hAnsi="宋体" w:cs="Arial"/>
          <w:color w:val="000000"/>
          <w:sz w:val="24"/>
          <w:szCs w:val="20"/>
          <w:highlight w:val="none"/>
        </w:rPr>
        <w:t>地址：湖州市德清县武康街道舞阳街228号</w:t>
      </w:r>
    </w:p>
    <w:p>
      <w:pPr>
        <w:snapToGrid w:val="0"/>
        <w:spacing w:beforeLines="50" w:afterLines="50"/>
        <w:ind w:firstLine="540" w:firstLineChars="225"/>
        <w:rPr>
          <w:rFonts w:ascii="宋体" w:hAnsi="宋体" w:cs="Arial"/>
          <w:sz w:val="24"/>
          <w:szCs w:val="20"/>
          <w:highlight w:val="none"/>
        </w:rPr>
      </w:pPr>
    </w:p>
    <w:p>
      <w:pPr>
        <w:snapToGrid w:val="0"/>
        <w:spacing w:beforeLines="50" w:afterLines="50"/>
        <w:ind w:firstLine="540" w:firstLineChars="225"/>
        <w:rPr>
          <w:rFonts w:ascii="宋体" w:hAnsi="宋体" w:cs="Arial"/>
          <w:color w:val="000000"/>
          <w:sz w:val="24"/>
          <w:szCs w:val="20"/>
          <w:highlight w:val="none"/>
        </w:rPr>
      </w:pPr>
    </w:p>
    <w:p>
      <w:pPr>
        <w:snapToGrid w:val="0"/>
        <w:spacing w:beforeLines="50" w:afterLines="50"/>
        <w:ind w:firstLine="540" w:firstLineChars="225"/>
        <w:rPr>
          <w:rFonts w:ascii="宋体" w:hAnsi="宋体" w:cs="Arial"/>
          <w:color w:val="000000"/>
          <w:sz w:val="24"/>
          <w:szCs w:val="20"/>
          <w:highlight w:val="none"/>
        </w:rPr>
      </w:pPr>
    </w:p>
    <w:p>
      <w:pPr>
        <w:snapToGrid w:val="0"/>
        <w:spacing w:beforeLines="50" w:afterLines="50"/>
        <w:ind w:firstLine="540" w:firstLineChars="225"/>
        <w:rPr>
          <w:rFonts w:ascii="宋体" w:hAnsi="宋体" w:cs="Arial"/>
          <w:color w:val="000000"/>
          <w:sz w:val="24"/>
          <w:szCs w:val="20"/>
          <w:highlight w:val="none"/>
        </w:rPr>
      </w:pPr>
    </w:p>
    <w:p>
      <w:pPr>
        <w:snapToGrid w:val="0"/>
        <w:spacing w:beforeLines="50" w:afterLines="50"/>
        <w:ind w:firstLine="540" w:firstLineChars="225"/>
        <w:rPr>
          <w:rFonts w:ascii="宋体" w:hAnsi="宋体" w:cs="Arial"/>
          <w:color w:val="000000"/>
          <w:sz w:val="24"/>
          <w:szCs w:val="20"/>
          <w:highlight w:val="none"/>
        </w:rPr>
      </w:pPr>
    </w:p>
    <w:p>
      <w:pPr>
        <w:snapToGrid w:val="0"/>
        <w:spacing w:beforeLines="50" w:afterLines="50"/>
        <w:ind w:firstLine="540" w:firstLineChars="225"/>
        <w:rPr>
          <w:rFonts w:ascii="宋体" w:hAnsi="宋体" w:cs="Arial"/>
          <w:color w:val="000000"/>
          <w:sz w:val="24"/>
          <w:szCs w:val="20"/>
          <w:highlight w:val="none"/>
        </w:rPr>
      </w:pPr>
    </w:p>
    <w:p>
      <w:pPr>
        <w:snapToGrid w:val="0"/>
        <w:spacing w:beforeLines="50" w:afterLines="50"/>
        <w:ind w:firstLine="540" w:firstLineChars="225"/>
        <w:rPr>
          <w:rFonts w:ascii="宋体" w:hAnsi="宋体" w:cs="Arial"/>
          <w:color w:val="000000"/>
          <w:sz w:val="24"/>
          <w:szCs w:val="20"/>
          <w:highlight w:val="none"/>
        </w:rPr>
      </w:pPr>
    </w:p>
    <w:p>
      <w:pPr>
        <w:snapToGrid w:val="0"/>
        <w:spacing w:beforeLines="50" w:afterLines="50"/>
        <w:ind w:firstLine="540" w:firstLineChars="225"/>
        <w:rPr>
          <w:rFonts w:ascii="宋体" w:hAnsi="宋体" w:cs="Arial"/>
          <w:color w:val="000000"/>
          <w:sz w:val="24"/>
          <w:szCs w:val="20"/>
          <w:highlight w:val="none"/>
        </w:rPr>
      </w:pPr>
    </w:p>
    <w:p>
      <w:pPr>
        <w:snapToGrid w:val="0"/>
        <w:spacing w:beforeLines="50" w:afterLines="50"/>
        <w:ind w:firstLine="540" w:firstLineChars="225"/>
        <w:rPr>
          <w:rFonts w:ascii="宋体" w:hAnsi="宋体" w:cs="Arial"/>
          <w:color w:val="000000"/>
          <w:sz w:val="24"/>
          <w:szCs w:val="20"/>
          <w:highlight w:val="none"/>
        </w:rPr>
      </w:pPr>
    </w:p>
    <w:p>
      <w:pPr>
        <w:snapToGrid w:val="0"/>
        <w:spacing w:beforeLines="50" w:afterLines="50"/>
        <w:ind w:firstLine="540" w:firstLineChars="225"/>
        <w:rPr>
          <w:rFonts w:ascii="宋体" w:hAnsi="宋体" w:cs="Arial"/>
          <w:color w:val="000000"/>
          <w:sz w:val="24"/>
          <w:szCs w:val="20"/>
          <w:highlight w:val="none"/>
        </w:rPr>
      </w:pPr>
    </w:p>
    <w:p>
      <w:pPr>
        <w:snapToGrid w:val="0"/>
        <w:spacing w:beforeLines="50" w:afterLines="50"/>
        <w:ind w:firstLine="540" w:firstLineChars="225"/>
        <w:rPr>
          <w:rFonts w:ascii="宋体" w:hAnsi="宋体" w:cs="Arial"/>
          <w:color w:val="000000"/>
          <w:sz w:val="24"/>
          <w:szCs w:val="20"/>
          <w:highlight w:val="none"/>
        </w:rPr>
      </w:pPr>
    </w:p>
    <w:p>
      <w:pPr>
        <w:snapToGrid w:val="0"/>
        <w:spacing w:beforeLines="50" w:afterLines="50"/>
        <w:ind w:firstLine="540" w:firstLineChars="225"/>
        <w:rPr>
          <w:rFonts w:ascii="宋体" w:hAnsi="宋体" w:cs="Arial"/>
          <w:color w:val="000000"/>
          <w:sz w:val="24"/>
          <w:szCs w:val="20"/>
          <w:highlight w:val="none"/>
        </w:rPr>
      </w:pPr>
    </w:p>
    <w:p>
      <w:pPr>
        <w:snapToGrid w:val="0"/>
        <w:spacing w:beforeLines="50" w:afterLines="50"/>
        <w:ind w:firstLine="540" w:firstLineChars="225"/>
        <w:rPr>
          <w:rFonts w:ascii="宋体" w:hAnsi="宋体" w:cs="Arial"/>
          <w:color w:val="000000"/>
          <w:sz w:val="24"/>
          <w:szCs w:val="20"/>
          <w:highlight w:val="none"/>
        </w:rPr>
      </w:pPr>
    </w:p>
    <w:p>
      <w:pPr>
        <w:snapToGrid w:val="0"/>
        <w:spacing w:beforeLines="50" w:afterLines="50"/>
        <w:ind w:firstLine="540" w:firstLineChars="225"/>
        <w:rPr>
          <w:rFonts w:ascii="宋体" w:hAnsi="宋体" w:cs="Arial"/>
          <w:color w:val="000000"/>
          <w:sz w:val="24"/>
          <w:szCs w:val="20"/>
          <w:highlight w:val="none"/>
        </w:rPr>
      </w:pPr>
    </w:p>
    <w:p>
      <w:pPr>
        <w:snapToGrid w:val="0"/>
        <w:spacing w:beforeLines="50" w:afterLines="50"/>
        <w:ind w:firstLine="540" w:firstLineChars="225"/>
        <w:rPr>
          <w:rFonts w:ascii="宋体" w:hAnsi="宋体" w:cs="Arial"/>
          <w:color w:val="000000"/>
          <w:sz w:val="24"/>
          <w:szCs w:val="20"/>
          <w:highlight w:val="none"/>
        </w:rPr>
      </w:pPr>
    </w:p>
    <w:p>
      <w:pPr>
        <w:snapToGrid w:val="0"/>
        <w:spacing w:beforeLines="50" w:afterLines="50"/>
        <w:ind w:firstLine="540" w:firstLineChars="225"/>
        <w:rPr>
          <w:rFonts w:ascii="宋体" w:hAnsi="宋体" w:cs="Arial"/>
          <w:color w:val="000000"/>
          <w:sz w:val="24"/>
          <w:szCs w:val="20"/>
          <w:highlight w:val="none"/>
        </w:rPr>
      </w:pPr>
    </w:p>
    <w:p>
      <w:pPr>
        <w:snapToGrid w:val="0"/>
        <w:spacing w:beforeLines="50" w:afterLines="50"/>
        <w:ind w:firstLine="540" w:firstLineChars="225"/>
        <w:rPr>
          <w:rFonts w:ascii="宋体" w:hAnsi="宋体" w:cs="Arial"/>
          <w:color w:val="000000"/>
          <w:sz w:val="24"/>
          <w:szCs w:val="20"/>
          <w:highlight w:val="none"/>
        </w:rPr>
      </w:pPr>
    </w:p>
    <w:p>
      <w:pPr>
        <w:snapToGrid w:val="0"/>
        <w:spacing w:beforeLines="50" w:afterLines="50"/>
        <w:ind w:firstLine="540" w:firstLineChars="225"/>
        <w:rPr>
          <w:rFonts w:ascii="宋体" w:hAnsi="宋体" w:cs="Arial"/>
          <w:color w:val="000000"/>
          <w:sz w:val="24"/>
          <w:szCs w:val="20"/>
          <w:highlight w:val="none"/>
        </w:rPr>
      </w:pPr>
    </w:p>
    <w:p>
      <w:pPr>
        <w:snapToGrid w:val="0"/>
        <w:spacing w:beforeLines="50" w:afterLines="50"/>
        <w:ind w:firstLine="540" w:firstLineChars="225"/>
        <w:rPr>
          <w:rFonts w:ascii="宋体" w:hAnsi="宋体" w:cs="Arial"/>
          <w:color w:val="000000"/>
          <w:sz w:val="24"/>
          <w:szCs w:val="20"/>
          <w:highlight w:val="none"/>
        </w:rPr>
      </w:pPr>
    </w:p>
    <w:p>
      <w:pPr>
        <w:snapToGrid w:val="0"/>
        <w:spacing w:beforeLines="50" w:afterLines="50"/>
        <w:ind w:firstLine="540" w:firstLineChars="225"/>
        <w:rPr>
          <w:rFonts w:ascii="宋体" w:hAnsi="宋体" w:cs="Arial"/>
          <w:color w:val="000000"/>
          <w:sz w:val="24"/>
          <w:szCs w:val="20"/>
          <w:highlight w:val="none"/>
        </w:rPr>
      </w:pPr>
    </w:p>
    <w:p>
      <w:pPr>
        <w:snapToGrid w:val="0"/>
        <w:spacing w:beforeLines="50" w:afterLines="50"/>
        <w:ind w:firstLine="540" w:firstLineChars="225"/>
        <w:rPr>
          <w:rFonts w:ascii="宋体" w:hAnsi="宋体" w:cs="Arial"/>
          <w:color w:val="000000"/>
          <w:sz w:val="24"/>
          <w:szCs w:val="20"/>
          <w:highlight w:val="none"/>
        </w:rPr>
      </w:pPr>
    </w:p>
    <w:p>
      <w:pPr>
        <w:snapToGrid w:val="0"/>
        <w:spacing w:beforeLines="50" w:afterLines="50"/>
        <w:ind w:firstLine="540" w:firstLineChars="225"/>
        <w:rPr>
          <w:rFonts w:ascii="宋体" w:hAnsi="宋体" w:cs="Arial"/>
          <w:color w:val="000000"/>
          <w:sz w:val="24"/>
          <w:szCs w:val="20"/>
          <w:highlight w:val="none"/>
        </w:rPr>
      </w:pPr>
    </w:p>
    <w:p>
      <w:pPr>
        <w:snapToGrid w:val="0"/>
        <w:spacing w:beforeLines="50" w:afterLines="50"/>
        <w:rPr>
          <w:rFonts w:ascii="宋体" w:hAnsi="宋体" w:cs="Arial"/>
          <w:color w:val="000000"/>
          <w:sz w:val="24"/>
          <w:szCs w:val="20"/>
          <w:highlight w:val="none"/>
        </w:rPr>
      </w:pPr>
    </w:p>
    <w:p>
      <w:pPr>
        <w:snapToGrid w:val="0"/>
        <w:spacing w:beforeLines="50" w:afterLines="50"/>
        <w:jc w:val="center"/>
        <w:rPr>
          <w:rFonts w:ascii="宋体" w:hAnsi="宋体"/>
          <w:b/>
          <w:color w:val="000000"/>
          <w:sz w:val="28"/>
          <w:szCs w:val="28"/>
          <w:highlight w:val="none"/>
        </w:rPr>
      </w:pPr>
      <w:r>
        <w:rPr>
          <w:rFonts w:hint="eastAsia" w:ascii="宋体" w:hAnsi="宋体"/>
          <w:color w:val="000000"/>
          <w:sz w:val="30"/>
          <w:szCs w:val="30"/>
          <w:highlight w:val="none"/>
        </w:rPr>
        <w:t>第二章</w:t>
      </w:r>
      <w:r>
        <w:rPr>
          <w:rFonts w:hint="eastAsia" w:ascii="宋体" w:hAnsi="宋体"/>
          <w:bCs/>
          <w:color w:val="000000"/>
          <w:sz w:val="30"/>
          <w:szCs w:val="30"/>
          <w:highlight w:val="none"/>
        </w:rPr>
        <w:t>招</w:t>
      </w:r>
      <w:r>
        <w:rPr>
          <w:rFonts w:hint="eastAsia" w:ascii="宋体" w:hAnsi="宋体"/>
          <w:color w:val="000000"/>
          <w:sz w:val="30"/>
          <w:szCs w:val="30"/>
          <w:highlight w:val="none"/>
        </w:rPr>
        <w:t>标需求</w:t>
      </w:r>
    </w:p>
    <w:p>
      <w:pPr>
        <w:rPr>
          <w:rFonts w:ascii="宋体" w:hAnsi="宋体"/>
          <w:b/>
          <w:color w:val="000000"/>
          <w:sz w:val="24"/>
          <w:highlight w:val="none"/>
        </w:rPr>
      </w:pPr>
      <w:r>
        <w:rPr>
          <w:rFonts w:hint="eastAsia" w:ascii="宋体" w:hAnsi="宋体"/>
          <w:b/>
          <w:color w:val="000000"/>
          <w:sz w:val="24"/>
          <w:highlight w:val="none"/>
        </w:rPr>
        <w:t>一、说明</w:t>
      </w:r>
    </w:p>
    <w:p>
      <w:pPr>
        <w:spacing w:line="400" w:lineRule="exact"/>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本采购文件所提出的服务技术标准是基本的技术标准和使用功能，并未规定所有的技术要求和适用标准，供应商应提供一套满足所列标准要求的高质量的相应服务。本技术要求使用的标准如与供应商所执行标准发生矛盾时，按较高标准执行。</w:t>
      </w:r>
    </w:p>
    <w:p>
      <w:pPr>
        <w:spacing w:line="400" w:lineRule="exact"/>
        <w:ind w:firstLine="480" w:firstLineChars="200"/>
        <w:rPr>
          <w:rFonts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．本招标服务应按国际标准、国标、部标或专业标准提供，非标准服务按采购人提供的要求提供，服务标准按照国家有关规定及合同约定进行验收。</w:t>
      </w:r>
    </w:p>
    <w:p>
      <w:pPr>
        <w:rPr>
          <w:rFonts w:ascii="宋体" w:hAnsi="宋体" w:eastAsia="Calibri"/>
          <w:b/>
          <w:color w:val="000000"/>
          <w:sz w:val="24"/>
          <w:highlight w:val="none"/>
        </w:rPr>
      </w:pPr>
      <w:r>
        <w:rPr>
          <w:rFonts w:hint="eastAsia" w:ascii="宋体" w:hAnsi="宋体"/>
          <w:b/>
          <w:color w:val="000000"/>
          <w:sz w:val="24"/>
          <w:highlight w:val="none"/>
        </w:rPr>
        <w:t>二、</w:t>
      </w:r>
      <w:r>
        <w:rPr>
          <w:rFonts w:hint="eastAsia" w:ascii="宋体" w:hAnsi="宋体" w:eastAsia="Calibri"/>
          <w:b/>
          <w:color w:val="000000"/>
          <w:sz w:val="24"/>
          <w:highlight w:val="none"/>
        </w:rPr>
        <w:t>招标项目内容（加▲号项需实质性响应）</w:t>
      </w:r>
    </w:p>
    <w:p>
      <w:pPr>
        <w:spacing w:line="400" w:lineRule="exact"/>
        <w:rPr>
          <w:rFonts w:ascii="宋体" w:hAnsi="宋体" w:cs="宋体"/>
          <w:b/>
          <w:color w:val="FF0000"/>
          <w:kern w:val="0"/>
          <w:sz w:val="32"/>
          <w:szCs w:val="32"/>
          <w:highlight w:val="none"/>
        </w:rPr>
      </w:pPr>
      <w:r>
        <w:rPr>
          <w:rFonts w:hint="eastAsia" w:ascii="宋体" w:hAnsi="宋体"/>
          <w:b/>
          <w:color w:val="FF0000"/>
          <w:kern w:val="0"/>
          <w:sz w:val="32"/>
          <w:szCs w:val="32"/>
          <w:highlight w:val="none"/>
        </w:rPr>
        <w:t>标项一：德清县市政管理处2022-2023年度辖区市政设施养护管理服务采购项目-主城区标段</w:t>
      </w:r>
    </w:p>
    <w:p>
      <w:pPr>
        <w:spacing w:beforeLines="50" w:line="360" w:lineRule="auto"/>
        <w:rPr>
          <w:rFonts w:ascii="宋体" w:hAnsi="宋体"/>
          <w:b/>
          <w:sz w:val="24"/>
          <w:highlight w:val="none"/>
        </w:rPr>
      </w:pPr>
      <w:r>
        <w:rPr>
          <w:rFonts w:hint="eastAsia" w:ascii="宋体" w:hAnsi="宋体"/>
          <w:b/>
          <w:sz w:val="24"/>
          <w:highlight w:val="none"/>
        </w:rPr>
        <w:t>（一）项目概况：</w:t>
      </w:r>
    </w:p>
    <w:p>
      <w:pPr>
        <w:spacing w:line="360" w:lineRule="auto"/>
        <w:ind w:firstLine="482" w:firstLineChars="200"/>
        <w:jc w:val="left"/>
        <w:rPr>
          <w:rFonts w:ascii="宋体" w:hAnsi="宋体"/>
          <w:b/>
          <w:sz w:val="24"/>
          <w:highlight w:val="none"/>
        </w:rPr>
      </w:pPr>
      <w:r>
        <w:rPr>
          <w:rFonts w:hint="eastAsia" w:ascii="宋体" w:hAnsi="宋体"/>
          <w:b/>
          <w:kern w:val="0"/>
          <w:sz w:val="24"/>
          <w:highlight w:val="none"/>
        </w:rPr>
        <w:t>德清县主城区</w:t>
      </w:r>
      <w:r>
        <w:rPr>
          <w:rFonts w:hint="eastAsia" w:ascii="宋体" w:hAnsi="宋体"/>
          <w:b/>
          <w:sz w:val="24"/>
          <w:highlight w:val="none"/>
        </w:rPr>
        <w:t>各类市政设施在日常使用过程中出现的常规性病害，例如：人行道铺装松动破损、树围拱起断裂、沥青路面麻面坑洞、隔离桩松动损坏、道路沉降积水、应急抢险、巡查等需要及时进行养护管理服务，每一个年度服务费上限为400万元。服务周期：自合同签订之日起一年。服务期满，经招标人考核合格，且双方协商同意，并向财政部门报备后，可续签一年，续签最多不得超过两次。承包人若愿意续约，应在合同到期前3个月书面提出续约申请，发包人根据承包人在合同期内履约和考核情况决定是否续约，每次续约服务年限为1年，可续约2次，续约需另行签订养护施工合同。在续约期间因政策变动，发包人可以提前终止续约合同。</w:t>
      </w:r>
    </w:p>
    <w:p>
      <w:pPr>
        <w:spacing w:beforeLines="50" w:line="360" w:lineRule="auto"/>
        <w:ind w:firstLine="482" w:firstLineChars="200"/>
        <w:rPr>
          <w:rFonts w:ascii="宋体" w:hAnsi="宋体"/>
          <w:b/>
          <w:sz w:val="24"/>
          <w:highlight w:val="none"/>
        </w:rPr>
      </w:pPr>
      <w:r>
        <w:rPr>
          <w:rFonts w:hint="eastAsia" w:ascii="宋体" w:hAnsi="宋体"/>
          <w:b/>
          <w:sz w:val="24"/>
          <w:highlight w:val="none"/>
        </w:rPr>
        <w:t>本次市政设施养护采购内容主要针对以上问题所需进行的零星修复工作，分为市政道路维修类、人行道维修类、桥梁维修类、排水管网维护类、道路巡视检查及紧急状态下抢修工作等。确保</w:t>
      </w:r>
      <w:r>
        <w:rPr>
          <w:rFonts w:hint="eastAsia" w:ascii="宋体" w:hAnsi="宋体"/>
          <w:b/>
          <w:kern w:val="0"/>
          <w:sz w:val="24"/>
          <w:highlight w:val="none"/>
        </w:rPr>
        <w:t>主城区</w:t>
      </w:r>
      <w:r>
        <w:rPr>
          <w:rFonts w:hint="eastAsia" w:ascii="宋体" w:hAnsi="宋体"/>
          <w:b/>
          <w:sz w:val="24"/>
          <w:highlight w:val="none"/>
        </w:rPr>
        <w:t>市政设施出现各类病害能够及时得到修复。</w:t>
      </w:r>
    </w:p>
    <w:p>
      <w:pPr>
        <w:spacing w:beforeLines="50" w:line="360" w:lineRule="auto"/>
        <w:ind w:firstLine="482" w:firstLineChars="200"/>
        <w:rPr>
          <w:rFonts w:ascii="宋体" w:hAnsi="宋体"/>
          <w:b/>
          <w:sz w:val="24"/>
          <w:highlight w:val="none"/>
        </w:rPr>
      </w:pPr>
      <w:r>
        <w:rPr>
          <w:rFonts w:hint="eastAsia" w:ascii="宋体" w:hAnsi="宋体"/>
          <w:b/>
          <w:sz w:val="24"/>
          <w:highlight w:val="none"/>
        </w:rPr>
        <w:t>本项目以</w:t>
      </w:r>
      <w:r>
        <w:rPr>
          <w:rFonts w:ascii="宋体" w:hAnsi="宋体"/>
          <w:b/>
          <w:sz w:val="24"/>
          <w:highlight w:val="none"/>
        </w:rPr>
        <w:t>服务为主，</w:t>
      </w:r>
      <w:r>
        <w:rPr>
          <w:rFonts w:hint="eastAsia" w:ascii="宋体" w:hAnsi="宋体"/>
          <w:b/>
          <w:sz w:val="24"/>
          <w:highlight w:val="none"/>
        </w:rPr>
        <w:t>市政</w:t>
      </w:r>
      <w:r>
        <w:rPr>
          <w:rFonts w:ascii="宋体" w:hAnsi="宋体"/>
          <w:b/>
          <w:sz w:val="24"/>
          <w:highlight w:val="none"/>
        </w:rPr>
        <w:t>设施养护维护过程中</w:t>
      </w:r>
      <w:r>
        <w:rPr>
          <w:rFonts w:hint="eastAsia" w:ascii="宋体" w:hAnsi="宋体"/>
          <w:b/>
          <w:sz w:val="24"/>
          <w:highlight w:val="none"/>
        </w:rPr>
        <w:t>拆除</w:t>
      </w:r>
      <w:r>
        <w:rPr>
          <w:rFonts w:ascii="宋体" w:hAnsi="宋体"/>
          <w:b/>
          <w:sz w:val="24"/>
          <w:highlight w:val="none"/>
        </w:rPr>
        <w:t>下来的原有</w:t>
      </w:r>
      <w:r>
        <w:rPr>
          <w:rFonts w:hint="eastAsia" w:ascii="宋体" w:hAnsi="宋体"/>
          <w:b/>
          <w:sz w:val="24"/>
          <w:highlight w:val="none"/>
        </w:rPr>
        <w:t>材料</w:t>
      </w:r>
      <w:r>
        <w:rPr>
          <w:rFonts w:ascii="宋体" w:hAnsi="宋体"/>
          <w:b/>
          <w:sz w:val="24"/>
          <w:highlight w:val="none"/>
        </w:rPr>
        <w:t>、设施</w:t>
      </w:r>
      <w:r>
        <w:rPr>
          <w:rFonts w:hint="eastAsia" w:ascii="宋体" w:hAnsi="宋体"/>
          <w:b/>
          <w:sz w:val="24"/>
          <w:highlight w:val="none"/>
        </w:rPr>
        <w:t>按照</w:t>
      </w:r>
      <w:r>
        <w:rPr>
          <w:rFonts w:ascii="宋体" w:hAnsi="宋体"/>
          <w:b/>
          <w:sz w:val="24"/>
          <w:highlight w:val="none"/>
        </w:rPr>
        <w:t>清单</w:t>
      </w:r>
      <w:r>
        <w:rPr>
          <w:rFonts w:hint="eastAsia" w:ascii="宋体" w:hAnsi="宋体"/>
          <w:b/>
          <w:sz w:val="24"/>
          <w:highlight w:val="none"/>
        </w:rPr>
        <w:t>描述可</w:t>
      </w:r>
      <w:r>
        <w:rPr>
          <w:rFonts w:ascii="宋体" w:hAnsi="宋体"/>
          <w:b/>
          <w:sz w:val="24"/>
          <w:highlight w:val="none"/>
        </w:rPr>
        <w:t>重复利用</w:t>
      </w:r>
      <w:r>
        <w:rPr>
          <w:rFonts w:hint="eastAsia" w:ascii="宋体" w:hAnsi="宋体"/>
          <w:b/>
          <w:sz w:val="24"/>
          <w:highlight w:val="none"/>
        </w:rPr>
        <w:t>的</w:t>
      </w:r>
      <w:r>
        <w:rPr>
          <w:rFonts w:ascii="宋体" w:hAnsi="宋体"/>
          <w:b/>
          <w:sz w:val="24"/>
          <w:highlight w:val="none"/>
        </w:rPr>
        <w:t>，</w:t>
      </w:r>
      <w:r>
        <w:rPr>
          <w:rFonts w:hint="eastAsia" w:ascii="宋体" w:hAnsi="宋体"/>
          <w:b/>
          <w:sz w:val="24"/>
          <w:highlight w:val="none"/>
        </w:rPr>
        <w:t>其</w:t>
      </w:r>
      <w:r>
        <w:rPr>
          <w:rFonts w:ascii="宋体" w:hAnsi="宋体"/>
          <w:b/>
          <w:sz w:val="24"/>
          <w:highlight w:val="none"/>
        </w:rPr>
        <w:t>材料价格</w:t>
      </w:r>
      <w:r>
        <w:rPr>
          <w:rFonts w:hint="eastAsia" w:ascii="宋体" w:hAnsi="宋体"/>
          <w:b/>
          <w:sz w:val="24"/>
          <w:highlight w:val="none"/>
        </w:rPr>
        <w:t>在</w:t>
      </w:r>
      <w:r>
        <w:rPr>
          <w:rFonts w:ascii="宋体" w:hAnsi="宋体"/>
          <w:b/>
          <w:sz w:val="24"/>
          <w:highlight w:val="none"/>
        </w:rPr>
        <w:t>结算过程中按照</w:t>
      </w:r>
      <w:r>
        <w:rPr>
          <w:rFonts w:hint="eastAsia" w:ascii="宋体" w:hAnsi="宋体"/>
          <w:b/>
          <w:sz w:val="24"/>
          <w:highlight w:val="none"/>
        </w:rPr>
        <w:t>当月信息价予以</w:t>
      </w:r>
      <w:r>
        <w:rPr>
          <w:rFonts w:ascii="宋体" w:hAnsi="宋体"/>
          <w:b/>
          <w:sz w:val="24"/>
          <w:highlight w:val="none"/>
        </w:rPr>
        <w:t>扣除</w:t>
      </w:r>
      <w:r>
        <w:rPr>
          <w:rFonts w:hint="eastAsia" w:ascii="宋体" w:hAnsi="宋体"/>
          <w:b/>
          <w:sz w:val="24"/>
          <w:highlight w:val="none"/>
        </w:rPr>
        <w:t>。</w:t>
      </w:r>
    </w:p>
    <w:p>
      <w:pPr>
        <w:spacing w:beforeLines="50" w:line="360" w:lineRule="auto"/>
        <w:rPr>
          <w:rFonts w:ascii="宋体" w:hAnsi="宋体"/>
          <w:b/>
          <w:sz w:val="24"/>
          <w:highlight w:val="none"/>
        </w:rPr>
      </w:pPr>
      <w:r>
        <w:rPr>
          <w:rFonts w:hint="eastAsia" w:ascii="宋体" w:hAnsi="宋体"/>
          <w:b/>
          <w:sz w:val="24"/>
          <w:highlight w:val="none"/>
        </w:rPr>
        <w:t>（二）采购需求（详细清单）：</w:t>
      </w:r>
    </w:p>
    <w:tbl>
      <w:tblPr>
        <w:tblStyle w:val="48"/>
        <w:tblW w:w="90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66"/>
        <w:gridCol w:w="3945"/>
        <w:gridCol w:w="1326"/>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ign w:val="center"/>
          </w:tcPr>
          <w:p>
            <w:pPr>
              <w:jc w:val="center"/>
              <w:rPr>
                <w:rFonts w:ascii="宋体" w:hAnsi="宋体"/>
                <w:b/>
                <w:bCs/>
                <w:sz w:val="22"/>
                <w:highlight w:val="none"/>
              </w:rPr>
            </w:pPr>
            <w:r>
              <w:rPr>
                <w:rFonts w:hint="eastAsia" w:ascii="宋体" w:hAnsi="宋体"/>
                <w:b/>
                <w:bCs/>
                <w:sz w:val="22"/>
                <w:highlight w:val="none"/>
              </w:rPr>
              <w:t>序号</w:t>
            </w:r>
          </w:p>
        </w:tc>
        <w:tc>
          <w:tcPr>
            <w:tcW w:w="1966" w:type="dxa"/>
            <w:noWrap/>
            <w:vAlign w:val="center"/>
          </w:tcPr>
          <w:p>
            <w:pPr>
              <w:jc w:val="center"/>
              <w:rPr>
                <w:rFonts w:ascii="宋体" w:hAnsi="宋体"/>
                <w:b/>
                <w:bCs/>
                <w:sz w:val="22"/>
                <w:highlight w:val="none"/>
              </w:rPr>
            </w:pPr>
            <w:r>
              <w:rPr>
                <w:rFonts w:hint="eastAsia" w:ascii="宋体" w:hAnsi="宋体"/>
                <w:b/>
                <w:bCs/>
                <w:sz w:val="22"/>
                <w:highlight w:val="none"/>
              </w:rPr>
              <w:t>项目名称</w:t>
            </w:r>
          </w:p>
        </w:tc>
        <w:tc>
          <w:tcPr>
            <w:tcW w:w="3945" w:type="dxa"/>
            <w:noWrap/>
            <w:vAlign w:val="center"/>
          </w:tcPr>
          <w:p>
            <w:pPr>
              <w:jc w:val="center"/>
              <w:rPr>
                <w:rFonts w:ascii="宋体" w:hAnsi="宋体"/>
                <w:b/>
                <w:bCs/>
                <w:sz w:val="22"/>
                <w:highlight w:val="none"/>
              </w:rPr>
            </w:pPr>
            <w:r>
              <w:rPr>
                <w:rFonts w:hint="eastAsia" w:ascii="宋体" w:hAnsi="宋体"/>
                <w:b/>
                <w:bCs/>
                <w:sz w:val="22"/>
                <w:highlight w:val="none"/>
              </w:rPr>
              <w:t>项目特征</w:t>
            </w:r>
          </w:p>
        </w:tc>
        <w:tc>
          <w:tcPr>
            <w:tcW w:w="1326" w:type="dxa"/>
            <w:noWrap/>
            <w:vAlign w:val="center"/>
          </w:tcPr>
          <w:p>
            <w:pPr>
              <w:jc w:val="center"/>
              <w:rPr>
                <w:rFonts w:ascii="宋体" w:hAnsi="宋体"/>
                <w:b/>
                <w:bCs/>
                <w:sz w:val="22"/>
                <w:highlight w:val="none"/>
              </w:rPr>
            </w:pPr>
            <w:r>
              <w:rPr>
                <w:rFonts w:hint="eastAsia" w:ascii="宋体" w:hAnsi="宋体"/>
                <w:b/>
                <w:bCs/>
                <w:sz w:val="22"/>
                <w:highlight w:val="none"/>
              </w:rPr>
              <w:t>计量单位</w:t>
            </w:r>
          </w:p>
        </w:tc>
        <w:tc>
          <w:tcPr>
            <w:tcW w:w="1185" w:type="dxa"/>
            <w:noWrap/>
            <w:vAlign w:val="center"/>
          </w:tcPr>
          <w:p>
            <w:pPr>
              <w:jc w:val="center"/>
              <w:rPr>
                <w:rFonts w:ascii="宋体" w:hAnsi="宋体"/>
                <w:b/>
                <w:bCs/>
                <w:sz w:val="22"/>
                <w:highlight w:val="none"/>
              </w:rPr>
            </w:pPr>
            <w:r>
              <w:rPr>
                <w:rFonts w:hint="eastAsia"/>
                <w:kern w:val="0"/>
                <w:szCs w:val="21"/>
                <w:highlight w:val="none"/>
              </w:rPr>
              <w:t>▲</w:t>
            </w:r>
            <w:r>
              <w:rPr>
                <w:rFonts w:hint="eastAsia" w:ascii="宋体" w:hAnsi="宋体"/>
                <w:b/>
                <w:bCs/>
                <w:sz w:val="22"/>
                <w:highlight w:val="none"/>
              </w:rPr>
              <w:t>单价上限价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097" w:type="dxa"/>
            <w:gridSpan w:val="5"/>
            <w:noWrap/>
            <w:vAlign w:val="center"/>
          </w:tcPr>
          <w:p>
            <w:pPr>
              <w:jc w:val="center"/>
              <w:rPr>
                <w:rFonts w:ascii="宋体" w:hAnsi="宋体"/>
                <w:sz w:val="22"/>
                <w:highlight w:val="none"/>
              </w:rPr>
            </w:pPr>
            <w:r>
              <w:rPr>
                <w:rFonts w:hint="eastAsia" w:ascii="宋体" w:hAnsi="宋体"/>
                <w:sz w:val="22"/>
                <w:highlight w:val="none"/>
              </w:rPr>
              <w:t>拆除工程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jc w:val="center"/>
              <w:rPr>
                <w:rFonts w:ascii="宋体" w:hAnsi="宋体" w:cs="Arial"/>
                <w:szCs w:val="20"/>
                <w:highlight w:val="none"/>
              </w:rPr>
            </w:pPr>
            <w:r>
              <w:rPr>
                <w:rFonts w:hint="eastAsia" w:ascii="宋体" w:hAnsi="宋体" w:cs="Arial"/>
                <w:szCs w:val="20"/>
                <w:highlight w:val="none"/>
              </w:rPr>
              <w:t>1</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拆除路面</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1、材质：砼道路</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2、厚度：10CM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4、包含围挡费用，请投标单位在单价中自行考虑</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41.13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jc w:val="center"/>
              <w:rPr>
                <w:rFonts w:ascii="宋体" w:hAnsi="宋体" w:cs="Arial"/>
                <w:szCs w:val="20"/>
                <w:highlight w:val="none"/>
              </w:rPr>
            </w:pPr>
            <w:r>
              <w:rPr>
                <w:rFonts w:hint="eastAsia" w:ascii="宋体" w:hAnsi="宋体" w:cs="Arial"/>
                <w:szCs w:val="20"/>
                <w:highlight w:val="none"/>
              </w:rPr>
              <w:t>2</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拆除路面</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1、材质：砼道路</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2、厚度：10cm内，每减1cm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jc w:val="center"/>
              <w:rPr>
                <w:rFonts w:ascii="宋体" w:hAnsi="宋体" w:cs="Arial"/>
                <w:szCs w:val="20"/>
                <w:highlight w:val="none"/>
              </w:rPr>
            </w:pPr>
            <w:r>
              <w:rPr>
                <w:rFonts w:hint="eastAsia" w:ascii="宋体" w:hAnsi="宋体" w:cs="Arial"/>
                <w:szCs w:val="20"/>
                <w:highlight w:val="none"/>
              </w:rPr>
              <w:t>3</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拆除路面</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1、材质：砼道路</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2、厚度：15cm以内，每增1cm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jc w:val="center"/>
              <w:rPr>
                <w:rFonts w:ascii="宋体" w:hAnsi="宋体" w:cs="Arial"/>
                <w:szCs w:val="20"/>
                <w:highlight w:val="none"/>
              </w:rPr>
            </w:pPr>
            <w:r>
              <w:rPr>
                <w:rFonts w:hint="eastAsia" w:ascii="宋体" w:hAnsi="宋体" w:cs="Arial"/>
                <w:szCs w:val="20"/>
                <w:highlight w:val="none"/>
              </w:rPr>
              <w:t>4</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拆除路面</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1、材质：砼道路</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2、厚度：15cm以上，每增1cm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jc w:val="center"/>
              <w:rPr>
                <w:rFonts w:ascii="宋体" w:hAnsi="宋体" w:cs="Arial"/>
                <w:szCs w:val="20"/>
                <w:highlight w:val="none"/>
              </w:rPr>
            </w:pPr>
            <w:r>
              <w:rPr>
                <w:rFonts w:hint="eastAsia" w:ascii="宋体" w:hAnsi="宋体" w:cs="Arial"/>
                <w:szCs w:val="20"/>
                <w:highlight w:val="none"/>
              </w:rPr>
              <w:t>5</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拆除基层</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1、材质：水泥稳定基层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2、厚度：10cm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75" w:type="dxa"/>
            <w:noWrap/>
            <w:vAlign w:val="center"/>
          </w:tcPr>
          <w:p>
            <w:pPr>
              <w:jc w:val="center"/>
              <w:rPr>
                <w:rFonts w:ascii="宋体" w:hAnsi="宋体" w:cs="Arial"/>
                <w:szCs w:val="20"/>
                <w:highlight w:val="none"/>
              </w:rPr>
            </w:pPr>
            <w:r>
              <w:rPr>
                <w:rFonts w:hint="eastAsia" w:ascii="宋体" w:hAnsi="宋体" w:cs="Arial"/>
                <w:szCs w:val="20"/>
                <w:highlight w:val="none"/>
              </w:rPr>
              <w:t>6</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拆除基层</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1、材质：水泥稳定基层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2、厚度：10cm内，每减1cm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jc w:val="center"/>
              <w:rPr>
                <w:rFonts w:ascii="宋体" w:hAnsi="宋体" w:cs="Arial"/>
                <w:szCs w:val="20"/>
                <w:highlight w:val="none"/>
              </w:rPr>
            </w:pPr>
            <w:r>
              <w:rPr>
                <w:rFonts w:hint="eastAsia" w:ascii="宋体" w:hAnsi="宋体" w:cs="Arial"/>
                <w:szCs w:val="20"/>
                <w:highlight w:val="none"/>
              </w:rPr>
              <w:t>7</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拆除基层</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1、材质：水泥稳定基层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2、厚度：15cm以内，每增1cm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jc w:val="center"/>
              <w:rPr>
                <w:rFonts w:ascii="宋体" w:hAnsi="宋体" w:cs="Arial"/>
                <w:szCs w:val="20"/>
                <w:highlight w:val="none"/>
              </w:rPr>
            </w:pPr>
            <w:r>
              <w:rPr>
                <w:rFonts w:hint="eastAsia" w:ascii="宋体" w:hAnsi="宋体" w:cs="Arial"/>
                <w:szCs w:val="20"/>
                <w:highlight w:val="none"/>
              </w:rPr>
              <w:t>8</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拆除基层</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1、材质：水泥稳定基层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2、厚度：15cm以上，每增1cm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jc w:val="center"/>
              <w:rPr>
                <w:rFonts w:ascii="宋体" w:hAnsi="宋体" w:cs="Arial"/>
                <w:szCs w:val="20"/>
                <w:highlight w:val="none"/>
              </w:rPr>
            </w:pPr>
            <w:r>
              <w:rPr>
                <w:rFonts w:hint="eastAsia" w:ascii="宋体" w:hAnsi="宋体" w:cs="Arial"/>
                <w:szCs w:val="20"/>
                <w:highlight w:val="none"/>
              </w:rPr>
              <w:t>9</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拆除基层</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1、材质：碎石垫层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2、厚度：10cm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30.77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jc w:val="center"/>
              <w:rPr>
                <w:rFonts w:ascii="宋体" w:hAnsi="宋体" w:cs="Arial"/>
                <w:szCs w:val="20"/>
                <w:highlight w:val="none"/>
              </w:rPr>
            </w:pPr>
            <w:r>
              <w:rPr>
                <w:rFonts w:hint="eastAsia" w:ascii="宋体" w:hAnsi="宋体" w:cs="Arial"/>
                <w:szCs w:val="20"/>
                <w:highlight w:val="none"/>
              </w:rPr>
              <w:t>10</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拆除基层</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1、材质：碎石垫层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2、厚度：10cm内，每减5cm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jc w:val="center"/>
              <w:rPr>
                <w:rFonts w:ascii="宋体" w:hAnsi="宋体" w:cs="Arial"/>
                <w:szCs w:val="20"/>
                <w:highlight w:val="none"/>
              </w:rPr>
            </w:pPr>
            <w:r>
              <w:rPr>
                <w:rFonts w:hint="eastAsia" w:ascii="宋体" w:hAnsi="宋体" w:cs="Arial"/>
                <w:szCs w:val="20"/>
                <w:highlight w:val="none"/>
              </w:rPr>
              <w:t>11</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拆除基层</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1、材质：碎石垫层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2、厚度：20cm以内，每增5cm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jc w:val="center"/>
              <w:rPr>
                <w:rFonts w:ascii="宋体" w:hAnsi="宋体" w:cs="Arial"/>
                <w:szCs w:val="20"/>
                <w:highlight w:val="none"/>
              </w:rPr>
            </w:pPr>
            <w:r>
              <w:rPr>
                <w:rFonts w:hint="eastAsia" w:ascii="宋体" w:hAnsi="宋体" w:cs="Arial"/>
                <w:szCs w:val="20"/>
                <w:highlight w:val="none"/>
              </w:rPr>
              <w:t>12</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拆除基层</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1、材质：碎石垫层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2、厚度：20cm以上，每增5cm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jc w:val="center"/>
              <w:rPr>
                <w:rFonts w:ascii="宋体" w:hAnsi="宋体" w:cs="Arial"/>
                <w:szCs w:val="20"/>
                <w:highlight w:val="none"/>
              </w:rPr>
            </w:pPr>
            <w:r>
              <w:rPr>
                <w:rFonts w:hint="eastAsia" w:ascii="宋体" w:hAnsi="宋体" w:cs="Arial"/>
                <w:szCs w:val="20"/>
                <w:highlight w:val="none"/>
              </w:rPr>
              <w:t>13</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拆除路面</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1、材质：沥青路面</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2、厚度：5cm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4、包含围挡费用，请投标单位在单价中自行考虑</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jc w:val="center"/>
              <w:rPr>
                <w:rFonts w:ascii="宋体" w:hAnsi="宋体" w:cs="Arial"/>
                <w:szCs w:val="20"/>
                <w:highlight w:val="none"/>
              </w:rPr>
            </w:pPr>
            <w:r>
              <w:rPr>
                <w:rFonts w:hint="eastAsia" w:ascii="宋体" w:hAnsi="宋体" w:cs="Arial"/>
                <w:szCs w:val="20"/>
                <w:highlight w:val="none"/>
              </w:rPr>
              <w:t>14</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拆除路面</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1、材质：沥青路面</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2、厚度：5cm内，每减1cm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jc w:val="center"/>
              <w:rPr>
                <w:rFonts w:ascii="宋体" w:hAnsi="宋体" w:cs="Arial"/>
                <w:szCs w:val="20"/>
                <w:highlight w:val="none"/>
              </w:rPr>
            </w:pPr>
            <w:r>
              <w:rPr>
                <w:rFonts w:hint="eastAsia" w:ascii="宋体" w:hAnsi="宋体" w:cs="Arial"/>
                <w:szCs w:val="20"/>
                <w:highlight w:val="none"/>
              </w:rPr>
              <w:t>15</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拆除路面</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1、材质：沥青路面</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2、厚度：10cm以内，每增1cm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jc w:val="center"/>
              <w:rPr>
                <w:rFonts w:ascii="宋体" w:hAnsi="宋体" w:cs="Arial"/>
                <w:szCs w:val="20"/>
                <w:highlight w:val="none"/>
              </w:rPr>
            </w:pPr>
            <w:r>
              <w:rPr>
                <w:rFonts w:hint="eastAsia" w:ascii="宋体" w:hAnsi="宋体" w:cs="Arial"/>
                <w:szCs w:val="20"/>
                <w:highlight w:val="none"/>
              </w:rPr>
              <w:t>16</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拆除路面</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1、材质：沥青路面</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2、厚度：10cm以上，每增1cm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jc w:val="center"/>
              <w:rPr>
                <w:rFonts w:ascii="宋体" w:hAnsi="宋体" w:cs="Arial"/>
                <w:szCs w:val="20"/>
                <w:highlight w:val="none"/>
              </w:rPr>
            </w:pPr>
            <w:r>
              <w:rPr>
                <w:rFonts w:hint="eastAsia" w:ascii="宋体" w:hAnsi="宋体" w:cs="Arial"/>
                <w:szCs w:val="20"/>
                <w:highlight w:val="none"/>
              </w:rPr>
              <w:t>17</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拆除人行道</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1、材质：人行道板（含3cm水泥砂浆垫层）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2、厚度：60mm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4、包含围挡费用，请投标单位在单价中自行考虑</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jc w:val="center"/>
              <w:rPr>
                <w:rFonts w:ascii="宋体" w:hAnsi="宋体" w:cs="Arial"/>
                <w:szCs w:val="20"/>
                <w:highlight w:val="none"/>
              </w:rPr>
            </w:pPr>
            <w:r>
              <w:rPr>
                <w:rFonts w:hint="eastAsia" w:ascii="宋体" w:hAnsi="宋体" w:cs="Arial"/>
                <w:szCs w:val="20"/>
                <w:highlight w:val="none"/>
              </w:rPr>
              <w:t>18</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拆除人行道</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1、材质：人行道板（含2cm水泥砂浆垫层）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2、厚度：80mm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4、包含围挡费用，请投标单位在单价中自行考虑</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jc w:val="center"/>
              <w:rPr>
                <w:rFonts w:ascii="宋体" w:hAnsi="宋体" w:cs="Arial"/>
                <w:szCs w:val="20"/>
                <w:highlight w:val="none"/>
              </w:rPr>
            </w:pPr>
            <w:r>
              <w:rPr>
                <w:rFonts w:hint="eastAsia" w:ascii="宋体" w:hAnsi="宋体" w:cs="Arial"/>
                <w:szCs w:val="20"/>
                <w:highlight w:val="none"/>
              </w:rPr>
              <w:t>19</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拆除基层</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1、材质：砼垫层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2、厚度：10cm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3、部位：人行道</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4、运距：自行考虑</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34.88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jc w:val="center"/>
              <w:rPr>
                <w:rFonts w:ascii="宋体" w:hAnsi="宋体" w:cs="Arial"/>
                <w:szCs w:val="20"/>
                <w:highlight w:val="none"/>
              </w:rPr>
            </w:pPr>
            <w:r>
              <w:rPr>
                <w:rFonts w:hint="eastAsia" w:ascii="宋体" w:hAnsi="宋体" w:cs="Arial"/>
                <w:szCs w:val="20"/>
                <w:highlight w:val="none"/>
              </w:rPr>
              <w:t>20</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拆除基层</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1、材质：砼垫层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2、厚度：10cm内，每减1cm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3、部位：人行道</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4、运距：自行考虑</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jc w:val="center"/>
              <w:rPr>
                <w:rFonts w:ascii="宋体" w:hAnsi="宋体" w:cs="Arial"/>
                <w:szCs w:val="20"/>
                <w:highlight w:val="none"/>
              </w:rPr>
            </w:pPr>
            <w:r>
              <w:rPr>
                <w:rFonts w:hint="eastAsia" w:ascii="宋体" w:hAnsi="宋体" w:cs="Arial"/>
                <w:szCs w:val="20"/>
                <w:highlight w:val="none"/>
              </w:rPr>
              <w:t>21</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拆除基层</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1、材质：砼垫层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2、厚度：15cm以内，每增1cm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3、部位：人行道</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4、运距：自行考虑</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jc w:val="center"/>
              <w:rPr>
                <w:rFonts w:ascii="宋体" w:hAnsi="宋体" w:cs="Arial"/>
                <w:szCs w:val="20"/>
                <w:highlight w:val="none"/>
              </w:rPr>
            </w:pPr>
            <w:r>
              <w:rPr>
                <w:rFonts w:hint="eastAsia" w:ascii="宋体" w:hAnsi="宋体" w:cs="Arial"/>
                <w:szCs w:val="20"/>
                <w:highlight w:val="none"/>
              </w:rPr>
              <w:t>22</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拆除基层</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1、材质：砼垫层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2、厚度：15cm以上，每增1cm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3、部位：人行道</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4、运距：自行考虑</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jc w:val="center"/>
              <w:rPr>
                <w:rFonts w:ascii="宋体" w:hAnsi="宋体" w:cs="Arial"/>
                <w:szCs w:val="20"/>
                <w:highlight w:val="none"/>
              </w:rPr>
            </w:pPr>
            <w:r>
              <w:rPr>
                <w:rFonts w:hint="eastAsia" w:ascii="宋体" w:hAnsi="宋体" w:cs="Arial"/>
                <w:szCs w:val="20"/>
                <w:highlight w:val="none"/>
              </w:rPr>
              <w:t>23</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拆除侧、平（缘）石</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1、材质：石质、砼侧石</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2、运距：自行考虑</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jc w:val="center"/>
              <w:rPr>
                <w:rFonts w:ascii="宋体" w:hAnsi="宋体" w:cs="Arial"/>
                <w:szCs w:val="20"/>
                <w:highlight w:val="none"/>
              </w:rPr>
            </w:pPr>
            <w:r>
              <w:rPr>
                <w:rFonts w:hint="eastAsia" w:ascii="宋体" w:hAnsi="宋体" w:cs="Arial"/>
                <w:szCs w:val="20"/>
                <w:highlight w:val="none"/>
              </w:rPr>
              <w:t>24</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拆除侧、平（缘）石</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1、材质：石质、砼平石</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2、运距：自行考虑</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jc w:val="center"/>
              <w:rPr>
                <w:rFonts w:ascii="宋体" w:hAnsi="宋体" w:cs="Arial"/>
                <w:szCs w:val="20"/>
                <w:highlight w:val="none"/>
              </w:rPr>
            </w:pPr>
            <w:r>
              <w:rPr>
                <w:rFonts w:hint="eastAsia" w:ascii="宋体" w:hAnsi="宋体" w:cs="Arial"/>
                <w:szCs w:val="20"/>
                <w:highlight w:val="none"/>
              </w:rPr>
              <w:t>25</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铣刨路面</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1、材质：沥青路面</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2、厚度：3cm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4、包含围挡费用，请投标单位在单价中自行考虑</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jc w:val="center"/>
              <w:rPr>
                <w:rFonts w:ascii="宋体" w:hAnsi="宋体" w:cs="Arial"/>
                <w:szCs w:val="20"/>
                <w:highlight w:val="none"/>
              </w:rPr>
            </w:pPr>
            <w:r>
              <w:rPr>
                <w:rFonts w:hint="eastAsia" w:ascii="宋体" w:hAnsi="宋体" w:cs="Arial"/>
                <w:szCs w:val="20"/>
                <w:highlight w:val="none"/>
              </w:rPr>
              <w:t>26</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铣刨路面</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1、材质：沥青路面</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2、厚度：3cm内，每减1cm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Arial"/>
                <w:szCs w:val="20"/>
                <w:highlight w:val="none"/>
              </w:rPr>
              <w:t>27</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铣刨路面</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1、材质：沥青路面</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2、厚度：3cm以上，每增1cm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Arial"/>
                <w:szCs w:val="20"/>
                <w:highlight w:val="none"/>
              </w:rPr>
              <w:t>28</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切割机切缝</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切割机切缝</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7" w:type="dxa"/>
            <w:gridSpan w:val="5"/>
            <w:noWrap/>
            <w:vAlign w:val="center"/>
          </w:tcPr>
          <w:p>
            <w:pPr>
              <w:jc w:val="center"/>
              <w:rPr>
                <w:rFonts w:ascii="宋体" w:hAnsi="宋体" w:cs="Arial"/>
                <w:szCs w:val="18"/>
                <w:highlight w:val="none"/>
              </w:rPr>
            </w:pPr>
            <w:r>
              <w:rPr>
                <w:rFonts w:hint="eastAsia" w:ascii="宋体" w:hAnsi="宋体" w:cs="Arial"/>
                <w:szCs w:val="18"/>
                <w:highlight w:val="none"/>
              </w:rPr>
              <w:t>土方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29</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挖一般土方</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1、土壤类别：三类土（人工挖土）</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2、挖土深度：2m以内</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m3</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36.55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30</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挖一般土方</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1、土壤类别：三类土（机械挖土）</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2、挖土深度：2m以内</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m3</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31</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余方弃置</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1、废弃料品种：土方</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2、运距：自行考虑</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m3</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70.65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32</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回填方</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1、填方材料品种：土方</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m3</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7" w:type="dxa"/>
            <w:gridSpan w:val="5"/>
            <w:noWrap/>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33</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路床（槽）整形</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路床整形碾压</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34</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碎石</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1、厚度：10cm级配碎石</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31.95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35</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碎石</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级配碎石，每增（减）1cm</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36</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水泥混凝土</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快速砼补洞：快速混凝土42.5级坍落度35~50</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m3</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5384.66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37</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水泥混凝土</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零星修补，单个维修面积小于一板块翻修</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1、混凝土强度等级：C25砼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2、厚度：10cm</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137.43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38</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水泥混凝土</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零星修补，单个维修面积小于一板块翻修</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1、混凝土强度等级：C25砼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2、厚度：每增减1cm</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39</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水泥混凝土</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零星修补，单个维修面积小于一板块翻修</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1、混凝土强度等级：C30砼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2、厚度：10cm</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138.87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40</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水泥混凝土</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零星修补，单个维修面积小于一板块翻修</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1、混凝土强度等级：C30砼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2、厚度：每增减1cm</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41</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水泥混凝土</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1、混凝土强度等级：C25砼（含模板）</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2、厚度：10cm</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62.47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42</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水泥混凝土</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1、混凝土强度等级：C25砼（含模板）</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2、厚度：每增（减）1cm</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43</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水泥混凝土</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1、混凝土强度等级：C30砼（含模板）</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2、厚度：10cm</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63.90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44</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水泥混凝土</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1、混凝土强度等级：C30砼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2、厚度：每增（减）1cm</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45</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水泥混凝土</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1、混凝土强度等级：C20砼垫层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2、厚度：10cm</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49.95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46</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水泥混凝土</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1、混凝土强度等级：C20砼垫层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2、厚度：每增（减）1cm</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47</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水泥混凝土</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1、沥青品种：耐黄变聚氨酯彩色碎石透水面层(芝麻灰)</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2、厚度：2cm</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278.48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48</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透层、粘层</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1、材料品种：乳化沥青粘层</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49</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沥青混凝土</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1、沥青品种：冷拌细粒式沥青砼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2、厚度：3cm</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83.64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50</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沥青混凝土</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1、沥青品种：冷拌细粒式沥青砼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2、厚度：每增（减）0.5cm</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51</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沥青混凝土</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1、沥青品种：彩色细粒式沥青砼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2、厚度：3cm</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125.20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52</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沥青混凝土</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1、沥青品种：彩色细粒式沥青砼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2、厚度：每增（减）0.5cm</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53</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沥青混凝土</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零星补洞沥青，单个维修面积≤10m2</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1、沥青品种：彩色细粒式沥青砼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2、厚度：3cm</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145.63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54</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沥青混凝土</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零星补洞沥青，单个维修面积≤10m2</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1、沥青品种：彩色细粒式沥青砼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2、厚度：每增（减）0.5cm</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55</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沥青混凝土</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零星补洞沥青，单个维修面积≤10m2</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1、沥青品种：冷拌细粒式沥青砼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2、厚度：3cm</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101.63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56</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沥青混凝土</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零星补洞沥青，单个维修面积≤10m2</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1、沥青品种：冷拌细粒式沥青砼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2、厚度：每增（减）0.5cm</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57</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沥青混凝土</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零星补洞沥青，单个维修面积≤10m2</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1、沥青品种：细粒式沥青砼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2、厚度：3cm</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56.86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58</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沥青混凝土</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零星补洞沥青，单个维修面积≤10m2</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1、沥青品种：细粒式沥青砼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2、厚度：每增（减）0.5cm</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59</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沥青混凝土</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零星补洞沥青，单个维修面积≤10m2</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1、沥青品种：中粒式沥青砼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2、厚度：5cm</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76.63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60</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沥青混凝土</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零星补洞沥青，单个维修面积≤10m2</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1、沥青品种：中粒式沥青砼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2、厚度：每增（减）1cm</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61</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沥青混凝土</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1、沥青品种：细粒式沥青砼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2、厚度：3cm</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41.35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62</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沥青混凝土</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1、沥青品种：细粒式沥青砼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2、厚度：每增（减）0.5cm</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63</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沥青混凝土</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1、沥青品种：中粒式沥青砼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2、厚度：5cm</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60.24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64</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沥青混凝土</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1、沥青品种：中粒式沥青砼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2、厚度：每增（减）1cm</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65</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沥青混凝土</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快速沥青补洞</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m3</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4362.66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66</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水泥稳定碎（砾）石</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1、水泥含量：5%</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2、厚度：15cm</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62.36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67</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水泥稳定碎（砾）石</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1、水泥含量：5%</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2、厚度：每增（减）1cm</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68</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现浇构件钢筋</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钢筋制作、安装</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t</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7144.35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69</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标线</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热熔地面标线</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36.36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70</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清除标线</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清除标线</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71</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老沥青路面裂缝处灌缝</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老沥青路面裂缝处灌缝：热沥青灌缝</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46.97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72</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人工涂沥青漆</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人工涂沥青漆</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73</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土工合成材料</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铺设土工布</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74</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土工合成材料</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铺设玻纤格栅</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75</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沥青修复剂</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人工喷涂沥青修复剂</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76</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沥青修复液剂</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机械喷涂沥青修复剂</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77</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隔离护栏</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隔离护栏制作安装，样式同原有护栏</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78</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地基注浆</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1、成孔深度、间距：成孔0.7m，间距纵向孔距2m，横向孔距3m,；与1.5m（另列）间隔布置，详参施工图DL-03-01</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2、浆液种类及配合比：普通型地聚合物：级配砂：水为1:2:0.55，其中混合料用量为210kg/m3</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3、注浆方法：压密注浆</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4、含废浆处理</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m3</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190.99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79</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地基注浆</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1、成孔深度、间距：成孔1.2m，间距纵向孔距2m，横向孔距3m；与0.7m（另列）间隔布置，详参施工图DL-03-01</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2、浆液种类及配合比：普通型地聚合物：级配砂：水为1:0.25:0.55，其中混合料用量为100kg/m3</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3、注浆方法：压密注浆</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4、含废浆处理</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m3</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135.62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7" w:type="dxa"/>
            <w:gridSpan w:val="5"/>
            <w:noWrap/>
            <w:vAlign w:val="center"/>
          </w:tcPr>
          <w:p>
            <w:pPr>
              <w:widowControl/>
              <w:jc w:val="center"/>
              <w:textAlignment w:val="center"/>
              <w:rPr>
                <w:rFonts w:ascii="宋体" w:hAnsi="宋体" w:cs="Arial"/>
                <w:szCs w:val="18"/>
                <w:highlight w:val="none"/>
              </w:rPr>
            </w:pPr>
            <w:r>
              <w:rPr>
                <w:rFonts w:hint="eastAsia" w:ascii="宋体" w:hAnsi="宋体" w:cs="Arial"/>
                <w:szCs w:val="20"/>
                <w:highlight w:val="none"/>
              </w:rPr>
              <w:t>人行道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80</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人行道整形碾压</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人行道整形碾压</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81</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1、块料品种、规格：20*10*6cm荷兰砖</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2、基础、垫层：材料品种、厚度：2cmM7.5干混砌筑砂浆</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70.96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82</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1、块料品种、规格：20*10*6cm荷兰砖翻铺</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2、基础、垫层：材料品种、厚度：2cmM7.5干混砌筑砂浆</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55.99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83</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1、块料品种、规格：25*25*5cm砼预制彩色道板</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2、基础、垫层：材料品种、厚度：2cmM7.5干混砌筑砂浆</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58.93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84</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1、块料品种、规格：25*25*5cm砼预制彩色道板翻铺</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2、基础、垫层：材料品种、厚度：2cmM7.5干混砌筑砂浆</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40.59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85</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1、块料品种、规格：10*10*6cm芝麻灰火烧面花岗岩</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2、基础、垫层：材料品种、厚度：3cmM10干混砌筑砂浆</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216.13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86</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1、块料品种、规格：10*10*8cm高湖石</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2、基础、垫层：材料品种、厚度：3cmM10干混砌筑砂浆</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278.35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87</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1、块料品种、规格：10*10*10cm高湖石马蹄石</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2、基础、垫层：材料品种、厚度：3cmM10干混砌筑砂浆</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339.55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88</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1、块料品种、规格：10*10*10cm芝麻灰马蹄石</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2、基础、垫层：材料品种、厚度：3cmM10干混砌筑砂浆</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345.67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89</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1、块料品种、规格：3cm芝麻灰火烧面花岗岩</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2、基础、垫层：材料品种、厚度：3cmM10干混砌筑砂浆</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162.07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90</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1、块料品种、规格：3cm芝麻灰火烧面花岗岩盲道板</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2、基础、垫层：材料品种、厚度：3cmM10干混砌筑砂浆</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172.27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91</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1、块料品种、规格：3cm芝麻灰火烧面花岗岩翻铺</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2、基础、垫层：材料品种、厚度：3cmM10干混砌筑砂浆</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115.74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92</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1、块料品种、规格：3cm芝麻灰火烧面花岗岩</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2、基础、垫层：材料品种、厚度：3cmM10干混砌筑砂浆，15cmC20砼垫层，10cm碎石垫层</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265.41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93</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1、块料品种、规格：每增减1cm芝麻灰花岗岩</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94</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1、块料品种、规格：3cm五莲红火烧面花岗岩</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2、基础、垫层：材料品种、厚度：3cmM10干混砌筑砂浆</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153.91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95</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1、块料品种、规格：3cm五莲红火烧面花岗岩盲道板</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2、基础、垫层：材料品种、厚度：3cmM10干混砌筑砂浆</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164.11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96</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1、块料品种、规格：3cm五莲红火烧面花岗岩翻铺</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2、基础、垫层：材料品种、厚度：3cmM10干混砌筑砂浆</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137.33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97</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945"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1、块料品种、规格：3cm五莲红花岗岩</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2、基础、垫层：材料品种、厚度：3cmM10干混砌筑砂浆，15cmC20砼垫层，10cm碎石垫层</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257.25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98</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945" w:type="dxa"/>
            <w:noWrap/>
            <w:vAlign w:val="center"/>
          </w:tcPr>
          <w:p>
            <w:pPr>
              <w:widowControl/>
              <w:jc w:val="left"/>
              <w:textAlignment w:val="center"/>
              <w:rPr>
                <w:rFonts w:ascii="宋体" w:hAnsi="宋体" w:cs="Arial"/>
                <w:i/>
                <w:iCs/>
                <w:szCs w:val="18"/>
                <w:highlight w:val="none"/>
                <w:vertAlign w:val="superscript"/>
              </w:rPr>
            </w:pPr>
            <w:r>
              <w:rPr>
                <w:rFonts w:hint="eastAsia" w:ascii="宋体" w:hAnsi="宋体" w:cs="宋体"/>
                <w:kern w:val="0"/>
                <w:sz w:val="18"/>
                <w:szCs w:val="18"/>
                <w:highlight w:val="none"/>
              </w:rPr>
              <w:t>1、块料品种、规格：每增减1cm五莲红花岗岩</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99</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安砌侧（平、缘）石</w:t>
            </w:r>
          </w:p>
        </w:tc>
        <w:tc>
          <w:tcPr>
            <w:tcW w:w="3945" w:type="dxa"/>
            <w:noWrap/>
            <w:vAlign w:val="center"/>
          </w:tcPr>
          <w:p>
            <w:pPr>
              <w:widowControl/>
              <w:jc w:val="left"/>
              <w:textAlignment w:val="center"/>
              <w:rPr>
                <w:rFonts w:ascii="宋体" w:hAnsi="宋体" w:cs="Arial"/>
                <w:i/>
                <w:iCs/>
                <w:szCs w:val="18"/>
                <w:highlight w:val="none"/>
                <w:vertAlign w:val="superscript"/>
              </w:rPr>
            </w:pPr>
            <w:r>
              <w:rPr>
                <w:rFonts w:hint="eastAsia" w:ascii="宋体" w:hAnsi="宋体" w:cs="宋体"/>
                <w:kern w:val="0"/>
                <w:sz w:val="18"/>
                <w:szCs w:val="18"/>
                <w:highlight w:val="none"/>
              </w:rPr>
              <w:t>1、材料品种、规格：芝麻灰花岗岩火烧面侧石15*25*100cm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2、基础、垫层：材料品种、厚度：20厚M7.5干混砌筑砂浆粘结层；C20砼靠背</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135.10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100</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安砌侧（平、缘）石</w:t>
            </w:r>
          </w:p>
        </w:tc>
        <w:tc>
          <w:tcPr>
            <w:tcW w:w="3945" w:type="dxa"/>
            <w:noWrap/>
            <w:vAlign w:val="center"/>
          </w:tcPr>
          <w:p>
            <w:pPr>
              <w:widowControl/>
              <w:jc w:val="left"/>
              <w:textAlignment w:val="center"/>
              <w:rPr>
                <w:rFonts w:ascii="宋体" w:hAnsi="宋体" w:cs="Arial"/>
                <w:i/>
                <w:iCs/>
                <w:szCs w:val="18"/>
                <w:highlight w:val="none"/>
                <w:vertAlign w:val="superscript"/>
              </w:rPr>
            </w:pPr>
            <w:r>
              <w:rPr>
                <w:rFonts w:hint="eastAsia" w:ascii="宋体" w:hAnsi="宋体" w:cs="宋体"/>
                <w:kern w:val="0"/>
                <w:sz w:val="18"/>
                <w:szCs w:val="18"/>
                <w:highlight w:val="none"/>
              </w:rPr>
              <w:t>1、材料品种、规格：芝麻灰花岗岩火烧面侧石20*40*100cm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2、基础、垫层：材料品种、厚度：20厚M7.5干混砌筑砂浆粘结层；C20砼靠背</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252.40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101</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安砌侧（平、缘）石</w:t>
            </w:r>
          </w:p>
        </w:tc>
        <w:tc>
          <w:tcPr>
            <w:tcW w:w="3945" w:type="dxa"/>
            <w:noWrap/>
            <w:vAlign w:val="center"/>
          </w:tcPr>
          <w:p>
            <w:pPr>
              <w:widowControl/>
              <w:jc w:val="left"/>
              <w:textAlignment w:val="center"/>
              <w:rPr>
                <w:rFonts w:ascii="宋体" w:hAnsi="宋体" w:cs="Arial"/>
                <w:i/>
                <w:iCs/>
                <w:szCs w:val="18"/>
                <w:highlight w:val="none"/>
                <w:vertAlign w:val="superscript"/>
              </w:rPr>
            </w:pPr>
            <w:r>
              <w:rPr>
                <w:rFonts w:hint="eastAsia" w:ascii="宋体" w:hAnsi="宋体" w:cs="宋体"/>
                <w:kern w:val="0"/>
                <w:sz w:val="18"/>
                <w:szCs w:val="18"/>
                <w:highlight w:val="none"/>
              </w:rPr>
              <w:t>1、材料品种、规格：芝麻灰花岗岩火烧面平石15*10*100cm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2、基础、垫层：材料品种、厚度：20厚M7.5干混砌筑砂浆粘结层</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69.15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102</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安砌侧（平、缘）石</w:t>
            </w:r>
          </w:p>
        </w:tc>
        <w:tc>
          <w:tcPr>
            <w:tcW w:w="3945" w:type="dxa"/>
            <w:noWrap/>
            <w:vAlign w:val="center"/>
          </w:tcPr>
          <w:p>
            <w:pPr>
              <w:widowControl/>
              <w:jc w:val="left"/>
              <w:textAlignment w:val="center"/>
              <w:rPr>
                <w:rFonts w:ascii="宋体" w:hAnsi="宋体" w:cs="Arial"/>
                <w:i/>
                <w:iCs/>
                <w:szCs w:val="18"/>
                <w:highlight w:val="none"/>
                <w:vertAlign w:val="superscript"/>
              </w:rPr>
            </w:pPr>
            <w:r>
              <w:rPr>
                <w:rFonts w:hint="eastAsia" w:ascii="宋体" w:hAnsi="宋体" w:cs="宋体"/>
                <w:kern w:val="0"/>
                <w:sz w:val="18"/>
                <w:szCs w:val="18"/>
                <w:highlight w:val="none"/>
              </w:rPr>
              <w:t>1、材料品种、规格：芝麻灰花岗岩火烧面侧石15*25*100cm翻铺</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2、基础、垫层：材料品种、厚度：20厚M7.5干混砌筑砂浆粘结层；C20砼靠背</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82.80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103</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安砌侧（平、缘）石</w:t>
            </w:r>
          </w:p>
        </w:tc>
        <w:tc>
          <w:tcPr>
            <w:tcW w:w="3945" w:type="dxa"/>
            <w:noWrap/>
            <w:vAlign w:val="center"/>
          </w:tcPr>
          <w:p>
            <w:pPr>
              <w:widowControl/>
              <w:jc w:val="left"/>
              <w:textAlignment w:val="center"/>
              <w:rPr>
                <w:rFonts w:ascii="宋体" w:hAnsi="宋体" w:cs="Arial"/>
                <w:i/>
                <w:iCs/>
                <w:szCs w:val="18"/>
                <w:highlight w:val="none"/>
                <w:vertAlign w:val="superscript"/>
              </w:rPr>
            </w:pPr>
            <w:r>
              <w:rPr>
                <w:rFonts w:hint="eastAsia" w:ascii="宋体" w:hAnsi="宋体" w:cs="宋体"/>
                <w:kern w:val="0"/>
                <w:sz w:val="18"/>
                <w:szCs w:val="18"/>
                <w:highlight w:val="none"/>
              </w:rPr>
              <w:t>1、材料品种、规格：芝麻灰花岗岩火烧面平石15*10*100cm翻铺</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2、基础、垫层：材料品种、厚度：20厚M7.5干混砌筑砂浆粘结层</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48.18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104</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安砌侧（平、缘）石</w:t>
            </w:r>
          </w:p>
        </w:tc>
        <w:tc>
          <w:tcPr>
            <w:tcW w:w="3945" w:type="dxa"/>
            <w:noWrap/>
            <w:vAlign w:val="center"/>
          </w:tcPr>
          <w:p>
            <w:pPr>
              <w:widowControl/>
              <w:jc w:val="left"/>
              <w:textAlignment w:val="center"/>
              <w:rPr>
                <w:rFonts w:ascii="宋体" w:hAnsi="宋体" w:cs="Arial"/>
                <w:i/>
                <w:iCs/>
                <w:szCs w:val="18"/>
                <w:highlight w:val="none"/>
                <w:vertAlign w:val="superscript"/>
              </w:rPr>
            </w:pPr>
            <w:r>
              <w:rPr>
                <w:rFonts w:hint="eastAsia" w:ascii="宋体" w:hAnsi="宋体" w:cs="宋体"/>
                <w:kern w:val="0"/>
                <w:sz w:val="18"/>
                <w:szCs w:val="18"/>
                <w:highlight w:val="none"/>
              </w:rPr>
              <w:t>1、材料品种、规格：砼侧石30*15*100cm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2、基础、垫层：材料品种、厚度：20厚M7.5干混砌筑砂浆粘结层</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35.42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105</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破损隔离桩修复</w:t>
            </w:r>
          </w:p>
        </w:tc>
        <w:tc>
          <w:tcPr>
            <w:tcW w:w="3945" w:type="dxa"/>
            <w:noWrap/>
            <w:vAlign w:val="center"/>
          </w:tcPr>
          <w:p>
            <w:pPr>
              <w:widowControl/>
              <w:jc w:val="left"/>
              <w:textAlignment w:val="center"/>
              <w:rPr>
                <w:rFonts w:ascii="宋体" w:hAnsi="宋体" w:cs="Arial"/>
                <w:i/>
                <w:iCs/>
                <w:szCs w:val="18"/>
                <w:highlight w:val="none"/>
                <w:vertAlign w:val="superscript"/>
              </w:rPr>
            </w:pPr>
            <w:r>
              <w:rPr>
                <w:rFonts w:hint="eastAsia" w:ascii="宋体" w:hAnsi="宋体" w:cs="宋体"/>
                <w:kern w:val="0"/>
                <w:sz w:val="18"/>
                <w:szCs w:val="18"/>
                <w:highlight w:val="none"/>
              </w:rPr>
              <w:t>破损隔离桩修复（包括隔离桩重新埋设、重新贴反光膜等）</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个</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106</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隔离桩</w:t>
            </w:r>
          </w:p>
        </w:tc>
        <w:tc>
          <w:tcPr>
            <w:tcW w:w="3945" w:type="dxa"/>
            <w:noWrap/>
            <w:vAlign w:val="center"/>
          </w:tcPr>
          <w:p>
            <w:pPr>
              <w:widowControl/>
              <w:jc w:val="left"/>
              <w:textAlignment w:val="center"/>
              <w:rPr>
                <w:rFonts w:ascii="宋体" w:hAnsi="宋体" w:cs="Arial"/>
                <w:i/>
                <w:iCs/>
                <w:szCs w:val="18"/>
                <w:highlight w:val="none"/>
                <w:vertAlign w:val="superscript"/>
              </w:rPr>
            </w:pPr>
            <w:r>
              <w:rPr>
                <w:rFonts w:hint="eastAsia" w:ascii="宋体" w:hAnsi="宋体" w:cs="宋体"/>
                <w:kern w:val="0"/>
                <w:sz w:val="18"/>
                <w:szCs w:val="18"/>
                <w:highlight w:val="none"/>
              </w:rPr>
              <w:t>Φ100*3钢管（外贴反光膜），长1m，内灌C20砼</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个</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107</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隔离桩</w:t>
            </w:r>
          </w:p>
        </w:tc>
        <w:tc>
          <w:tcPr>
            <w:tcW w:w="3945" w:type="dxa"/>
            <w:noWrap/>
            <w:vAlign w:val="center"/>
          </w:tcPr>
          <w:p>
            <w:pPr>
              <w:widowControl/>
              <w:jc w:val="left"/>
              <w:textAlignment w:val="center"/>
              <w:rPr>
                <w:rFonts w:ascii="宋体" w:hAnsi="宋体" w:cs="Arial"/>
                <w:i/>
                <w:iCs/>
                <w:szCs w:val="18"/>
                <w:highlight w:val="none"/>
                <w:vertAlign w:val="superscript"/>
              </w:rPr>
            </w:pPr>
            <w:r>
              <w:rPr>
                <w:rFonts w:hint="eastAsia" w:ascii="宋体" w:hAnsi="宋体" w:cs="宋体"/>
                <w:kern w:val="0"/>
                <w:sz w:val="18"/>
                <w:szCs w:val="18"/>
                <w:highlight w:val="none"/>
              </w:rPr>
              <w:t>Φ150*3.5钢管（外贴反光膜），长1m，内灌C20砼</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个</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108</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隔离桩</w:t>
            </w:r>
          </w:p>
        </w:tc>
        <w:tc>
          <w:tcPr>
            <w:tcW w:w="3945" w:type="dxa"/>
            <w:noWrap/>
            <w:vAlign w:val="center"/>
          </w:tcPr>
          <w:p>
            <w:pPr>
              <w:widowControl/>
              <w:jc w:val="left"/>
              <w:textAlignment w:val="center"/>
              <w:rPr>
                <w:rFonts w:ascii="宋体" w:hAnsi="宋体" w:cs="Arial"/>
                <w:i/>
                <w:iCs/>
                <w:szCs w:val="18"/>
                <w:highlight w:val="none"/>
                <w:vertAlign w:val="superscript"/>
              </w:rPr>
            </w:pPr>
            <w:r>
              <w:rPr>
                <w:rFonts w:hint="eastAsia" w:ascii="宋体" w:hAnsi="宋体" w:cs="宋体"/>
                <w:kern w:val="0"/>
                <w:sz w:val="18"/>
                <w:szCs w:val="18"/>
                <w:highlight w:val="none"/>
              </w:rPr>
              <w:t>成品花岗岩隔离桩安装，材质同原有材质</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个</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109</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隔离球墩</w:t>
            </w:r>
          </w:p>
        </w:tc>
        <w:tc>
          <w:tcPr>
            <w:tcW w:w="3945" w:type="dxa"/>
            <w:noWrap/>
            <w:vAlign w:val="center"/>
          </w:tcPr>
          <w:p>
            <w:pPr>
              <w:widowControl/>
              <w:jc w:val="left"/>
              <w:textAlignment w:val="center"/>
              <w:rPr>
                <w:rFonts w:ascii="宋体" w:hAnsi="宋体" w:cs="Arial"/>
                <w:i/>
                <w:iCs/>
                <w:szCs w:val="18"/>
                <w:highlight w:val="none"/>
                <w:vertAlign w:val="superscript"/>
              </w:rPr>
            </w:pPr>
            <w:r>
              <w:rPr>
                <w:rFonts w:hint="eastAsia" w:ascii="宋体" w:hAnsi="宋体" w:cs="宋体"/>
                <w:kern w:val="0"/>
                <w:sz w:val="18"/>
                <w:szCs w:val="18"/>
                <w:highlight w:val="none"/>
              </w:rPr>
              <w:t>成品花岗岩隔离球墩安装，材质同原有材质</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个</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110</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油漆</w:t>
            </w:r>
          </w:p>
        </w:tc>
        <w:tc>
          <w:tcPr>
            <w:tcW w:w="3945" w:type="dxa"/>
            <w:noWrap/>
            <w:vAlign w:val="center"/>
          </w:tcPr>
          <w:p>
            <w:pPr>
              <w:widowControl/>
              <w:jc w:val="left"/>
              <w:textAlignment w:val="center"/>
              <w:rPr>
                <w:rFonts w:ascii="宋体" w:hAnsi="宋体" w:cs="Arial"/>
                <w:i/>
                <w:iCs/>
                <w:szCs w:val="18"/>
                <w:highlight w:val="none"/>
                <w:vertAlign w:val="superscript"/>
              </w:rPr>
            </w:pPr>
            <w:r>
              <w:rPr>
                <w:rFonts w:hint="eastAsia" w:ascii="宋体" w:hAnsi="宋体" w:cs="宋体"/>
                <w:kern w:val="0"/>
                <w:sz w:val="18"/>
                <w:szCs w:val="18"/>
                <w:highlight w:val="none"/>
              </w:rPr>
              <w:t>木材面聚酯清漆 三遍</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36.30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111</w:t>
            </w:r>
          </w:p>
        </w:tc>
        <w:tc>
          <w:tcPr>
            <w:tcW w:w="1966"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花坛修复</w:t>
            </w:r>
          </w:p>
        </w:tc>
        <w:tc>
          <w:tcPr>
            <w:tcW w:w="3945" w:type="dxa"/>
            <w:noWrap/>
            <w:vAlign w:val="center"/>
          </w:tcPr>
          <w:p>
            <w:pPr>
              <w:widowControl/>
              <w:jc w:val="left"/>
              <w:textAlignment w:val="center"/>
              <w:rPr>
                <w:rFonts w:ascii="宋体" w:hAnsi="宋体" w:cs="Arial"/>
                <w:i/>
                <w:iCs/>
                <w:szCs w:val="18"/>
                <w:highlight w:val="none"/>
                <w:vertAlign w:val="superscript"/>
              </w:rPr>
            </w:pPr>
            <w:r>
              <w:rPr>
                <w:rFonts w:hint="eastAsia" w:ascii="宋体" w:hAnsi="宋体" w:cs="宋体"/>
                <w:kern w:val="0"/>
                <w:sz w:val="18"/>
                <w:szCs w:val="18"/>
                <w:highlight w:val="none"/>
              </w:rPr>
              <w:t>240厚MU10砼标准砖M7.5水泥砂浆砌筑</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20厚1:2水泥砂浆抹面</w:t>
            </w:r>
          </w:p>
        </w:tc>
        <w:tc>
          <w:tcPr>
            <w:tcW w:w="132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229.08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112</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花坛修复</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240厚MU10砼标准砖M7.5水泥砂浆砌筑</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20厚1:2水泥砂浆抹面</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石材贴面同原有材质规格</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411.08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113</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树池砌筑</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石质树池更换，材质规格同原有的材质规格（包括原有侧石拆除、清理、砼基础、外运等一切费用）</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55.55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114</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树池砌筑</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原树池利用修复（包括原有侧石拆除、清理、砼基础等一切费用）</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7" w:type="dxa"/>
            <w:gridSpan w:val="5"/>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桥涵工程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115</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油漆</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钢管栏杆柱及横杆油漆（面积按藏开面积计算），包含除锈、砂皮打磨、清运等</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环氧富锌漆一遍；喷云铁防锈漆一遍；喷氟碳面漆两道</w:t>
            </w:r>
          </w:p>
        </w:tc>
        <w:tc>
          <w:tcPr>
            <w:tcW w:w="1326" w:type="dxa"/>
            <w:noWrap/>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58.61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116</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零星砌砖</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1、砖品种、规格、强度等级：MU10砼标准砖</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2、砂浆强度等级、配合比：M7.5干混砌筑砂浆</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m3</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604.97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117</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零星项目一般抹灰</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20厚DM15干混抹灰砂浆</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56.68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118</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水泥混凝土</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10mm厚C20混凝土基层，包括锯缝、灌缝、养护</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47.95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119</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水泥混凝土</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1、混凝土强度等级：C20砼垫层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2、厚度：每增（减）1cm</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m2</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120</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金属栏杆</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钢管栏杆制作安装（包含原有栏杆拆除）</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109.46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121</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金属栏杆</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型钢栏杆制作安装（包含原有栏杆拆除）</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109.46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122</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石质栏杆</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花岗岩栏板制作安装（包含原有栏杆拆除）</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123</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石质栏杆</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花岗岩柱制作安装</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根</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215.10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124</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警示柱</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反光防撞隔离桩</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根</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66.68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125</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标志板</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警示牌制作安装</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块</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650.00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126</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桥梁伸缩装置</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伸缩缝调换安装 型钢伸缩缝（型钢型号综合考虑）含拆除砼，清理垃圾及外运，运距综合考虑</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972.10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127</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安装限高标志牌</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安装限高标志牌</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块</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128</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桥面伸缩缝清理</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桥面伸缩缝清理</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129</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桥面泄水孔清理</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桥面泄水孔清理</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个</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32.72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130</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止水带更换</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长条型橡胶止水带更换</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271.24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131</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橡胶支座保养</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橡胶支座保养</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只</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44.28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132</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桥梁伸缩缝灌胶</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清除及清理伸缩缝，安装背衬材料，注胶等一切费用</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7" w:type="dxa"/>
            <w:gridSpan w:val="5"/>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排水管网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133</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检查井升降</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300*450以内检查井 升高15cm以内</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189.03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134</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检查井升降</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450*450以内检查井 升高15cm以内</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204.79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135</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检查井升降</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500*500以内检查井 升高15cm以内</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220.53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136</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检查井升降</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600*600以内检查井 升高15cm以内</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236.29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137</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检查井升降</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750*750以内检查井 降低20cm以内</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199.35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138</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检查井升降</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750*750以内检查井 每增加10cm</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58.18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139</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检查井升降</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750*750以内检查井 升高20cm以内</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315.05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140</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检查井升降</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φ700井筒检查井 降低20cm以内</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195.36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141</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检查井升降</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φ700井筒检查井 升高20cm以内</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297.90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142</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检查井升降</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φ700井筒检查井 每增加10cm</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51.58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143</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检查井升降</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单篦雨水口 降低20cm以内</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174.99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144</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检查井升降</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单篦雨水口 升高20cm以内</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267.31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145</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检查井升降</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单篦雨水口 每增加10cm</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46.24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146</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调换检查井井盖座</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调换防沉降球墨铸铁检查井井盖座（700*700mm） ，井四周采用C20砼坞膀，包含拆除的井盖等建筑垃圾外运，运距自行考虑</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1435.64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147</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调换检查井井盖座</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调换防沉降，五防井盖座（700*900mm） ，井四周采用C20砼坞膀，包含拆除的井盖等建筑垃圾外运，运距自行考虑</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1419.64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148</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调换检查井井盖座</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调换防沉降就墨铸铁检查井井盖座（Φ700） ，井四周采用C20砼坞膀，包含拆除的井盖等建筑垃圾外运，运距自行考虑</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1185.05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149</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调换检查井井盖座</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调换防沉降就墨铸铁检查井井盖座（Φ800） ，井四周采用C20砼坞膀，包含拆除的井盖等建筑垃圾外运，运距自行考虑</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1265.71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150</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调换检查井井盖座</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调换模压树脂复合井盖、座(重型)（Φ700） ，井四周采用C20砼坞膀，包含拆除的井盖等建筑垃圾外运，运距自行考虑</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618.05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151</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调换检查井井盖座</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调换模压树脂复合井盖、座(重型)（Φ800） ，井四周采用C20砼坞膀，包含拆除的井盖等建筑垃圾外运，运距自行考虑</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649.71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152</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调换检查井井盖座</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调换模压树脂复合井盖、座(重型)（700*700mm） ，井四周采用C20砼坞膀，包含拆除的井盖等建筑垃圾外运，运距自行考虑</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713.64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153</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调换雨水口井篦</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调换球墨铸铁雨水口井篦380*680mm ，井四周采用C20砼坞膀，包含拆除的井盖等建筑垃圾外运，运距自行考虑</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390.13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154</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调换雨水口井篦</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调换复合雨水口井篦380*680mm ，井四周采用C20砼坞膀，包含拆除的井盖等建筑垃圾外运，运距自行考虑</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216.13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155</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调换雨水口井篦</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调换复合雨水口井篦300*450mm ，井四周采用C20砼坞膀，包含拆除的井盖等建筑垃圾外运，运距自行考虑</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160.90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156</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预制井盖板</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1800*1800mm（Φ700内空）*20cm预制C25砼盖板，HRB400直径10@200双向钢筋</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块</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773.37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157</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校正检查井井盖</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校正圆形检查井井盖</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158</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校正检查井井盖</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校正方形检查井井盖</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159</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校正检查井井盖</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校正雨水口井篦</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160</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砌筑井</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Φ700圆形砖砌检查井（详参02S515P19）</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1、垫层、基础材质及厚度：100厚C15砼垫层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2、砌筑材料品种、规格、强度等级：MU10砼标准砖</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3、勾缝、抹面要求：井内外壁采用20厚1:2防水水泥砂浆抹面</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4、砂浆强度等级、配合比：砌筑M7.5水泥砂浆</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5、井盖、井圈材质及规格：：井盖采用Φ700 D400型防沉降球墨铸铁井盖，设置防坠落安全网；井圈C30砼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6、井深：平均1.5m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7、踏步：检查井内设置塑钢踏步，踏步安装详见国标图集 06MS201-5</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2158.21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161</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砌筑井</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Φ700圆形砖砌检查井（详参02S515P19）</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6、井深：每增减10cm</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62.42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162</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砌筑井</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Φ1000圆形砖砌检查井（收口式）（详参02S515P11）</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1、垫层、基础材质及厚度：100厚C15砼垫层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2、砌筑材料品种、规格、强度等级：M7.5水泥砂浆砌MU10砼标准砖</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3、勾缝、抹面要求：内外壁采用20厚1:2防水水泥砂浆抹面</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4、井深：平均1.71m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5、井盖、井圈材质及规格:Φ700 D400型防沉降球墨铸铁井盖，C30砼井圈；井内安装8颗膨胀螺丝，并铺设一层聚乙烯防坠网</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6、踏步材质、规格：检查井内设置塑钢踏步，踏步安装详见国标图集 06MS201-6</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2309.92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163</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砌筑井</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Φ1000圆形砖砌检查井（收口式）（详参02S515P11）</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4、井深：每增减0.1m</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82.32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164</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雨水口</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380*680mm砖砌单篦雨水口</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1.井深：0.7m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2、雨水篦子及圈口材质、型号、规格：380*680mm铸铁井篦</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3、垫层、基础材质及厚度：100厚C15素砼垫层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4、砌筑材料品种、规格：MU10砼标砖,M10水泥砂浆砌体</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5、砂浆强度等级及配合比：井内外壁采用20厚1:3水泥砂浆抹面</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6、详见：图集05S518P6</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710.95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165</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雨水口</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380*680mm砖砌单篦雨水口</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1.井深：每增减0.1m</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58.99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166</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雨水口</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300*450mm砖砌单篦雨水口</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1.井深：0.7m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2、雨水篦子及圈口材质、型号、规格：380*680mm铸铁井篦</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3、垫层、基础材质及厚度：100厚C15素砼垫层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4、砌筑材料品种、规格：MU10砼标砖,M10水泥砂浆砌体</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5、砂浆强度等级及配合比：井内外壁采用20厚1:3水泥砂浆抹面</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6、详见：图集05S518P6</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537.07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167</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雨水口</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300*450mm砖砌单篦雨水口</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1.井深：每增减0.1m</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46.14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168</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复合井盖</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人行道明沟复合盖板600*400*80mm，含C20砼压顶，材质同原材质</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块</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169</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复合井盖</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人行道明沟复合盖板600*400*80mm翻铺（50%利用），材质同原材质</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块</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170</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 UPVC管（管径） φ250以下（含挖土、砂石基础、回填等全部工作）</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273.61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171</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 PE100管 1.0MPa（管径） φ225以下（含挖土、砂石基础、回填等全部工作）</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411.63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172</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 PE100管 1.0MPa（管径） φ300（含挖土、砂石基础、回填等全部工作）</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554.46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173</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 PE100管 1.0MPa（管径） φ400（含挖土、砂石基础、回填等全部工作）</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739.19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174</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 PE100管 1.0MPa（管径） φ500（含挖土、砂石基础、回填等全部工作）</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1012.22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175</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 PE100管 1.0MPa（管径） φ600（含挖土、砂石基础、回填等全部工作）</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1456.79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176</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 HDPE双壁波纹管（管径） φ225（含挖土、砂石基础、回填等全部工作）</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266.43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177</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 HDPE双壁波纹管（管径） φ300（含挖土、管道基础、回填等全部工作）</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325.56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178</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 HDPE双壁波纹管（管径） φ400（含挖土、管道基础、回填等全部工作）</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364.65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179</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 HDPE双壁波纹管（管径） φ500（含挖土、管道基础、回填等全部工作）</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416.42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180</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 HDPE双壁波纹管（管径） φ600（含挖土、管道基础、回填等全部工作）</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490.51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181</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 钢筋砼管 Φ200（含挖土、管道基础、回填等全部工作）</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182</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 钢筋砼管 Φ300（含挖土、管道基础、回填等全部工作）</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288.22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183</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 钢筋砼管 Φ400（含挖土、管道基础、回填等全部工作）</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322.88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184</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 钢筋砼管 Φ500（含挖土、管道基础、回填等全部工作）</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356.21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185</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 钢筋砼管 Φ600（含挖土、管道基础、回填等全部工作）</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382.47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186</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水平导向钻进</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1、材质及规格：Φ200PE100管，1.0MPa</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2、接口方式：热熔连接</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394.23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187</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水平导向钻进</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1、材质及规格：Φ300PE100管，1.0MPa</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2、接口方式：热熔连接</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584.26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188</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水平导向钻进</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1、材质及规格：Φ400PE100管，1.0MPa</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2、接口方式：热熔连接</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880.80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189</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水平导向钻进</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1、材质及规格：Φ500PE100管，1.0MPa</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2、接口方式：热熔连接</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1278.66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190</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水平导向钻进</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1、材质及规格：Φ600PE100管，1.0MPa</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2、接口方式：热熔连接</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1948.48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191</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防坠网</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1.挂钩：304不锈钢挂钩8个，Φ10，打入井壁80mm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2.防坠网应同时满足以下要求:a.单绳拉力不小于1600N。b.耐冲击不小于1000焦耳(200Kg*0.5m)。c.承重能力不小于850Kg。 d.网目小于10cm。e.中绳直径不小于6mm,边绳不小于10mm。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3.防坠网采用高密度低压聚乙烯或高密度尼龙材料制作,材料应满足现行国家及行业标准要求。</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个</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7" w:type="dxa"/>
            <w:gridSpan w:val="5"/>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192</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道路智慧化巡视检查</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道路巡视检查，对智慧系统录入资料整理等</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工日</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193</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应急抢险</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应急抢险，铲车，排水车、抢险车等特种车辆</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台班</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194</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应急抢险</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应急抢险，一般抢险人员</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工日</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7" w:type="dxa"/>
            <w:gridSpan w:val="5"/>
            <w:noWrap/>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零星人工机械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195</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零星人工</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零星人工</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工日</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196</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零星机械</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零星机械（拖拉机）使用台班</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台班</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197</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零星机械</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零星机械（风镐）使用台班</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台班</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198</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零星机械</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零星机械（挖掘机）使用台班</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台班</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199</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零星机械</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零星机械（沥青保温车）使用台班</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台班</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200</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零星机械</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零星机械（吊车）使用台班</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台班</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7" w:type="dxa"/>
            <w:gridSpan w:val="5"/>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机械进出场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201</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大型机械设备进出场及安拆</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履带式推土机</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台·次</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3848.87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202</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大型机械设备进出场及安拆</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沥青混凝土摊铺机</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台·次</w:t>
            </w:r>
          </w:p>
        </w:tc>
        <w:tc>
          <w:tcPr>
            <w:tcW w:w="118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5708.31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203</w:t>
            </w:r>
          </w:p>
        </w:tc>
        <w:tc>
          <w:tcPr>
            <w:tcW w:w="1966"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大型机械设备进出场及安拆</w:t>
            </w:r>
          </w:p>
        </w:tc>
        <w:tc>
          <w:tcPr>
            <w:tcW w:w="3945"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履带式挖掘机</w:t>
            </w:r>
          </w:p>
        </w:tc>
        <w:tc>
          <w:tcPr>
            <w:tcW w:w="132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台·次</w:t>
            </w:r>
          </w:p>
        </w:tc>
        <w:tc>
          <w:tcPr>
            <w:tcW w:w="1185" w:type="dxa"/>
            <w:noWrap/>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4337.23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97" w:type="dxa"/>
            <w:gridSpan w:val="5"/>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单价合计金额上限价：79881.34元</w:t>
            </w:r>
          </w:p>
        </w:tc>
      </w:tr>
    </w:tbl>
    <w:p>
      <w:pPr>
        <w:spacing w:beforeLines="50" w:line="276" w:lineRule="auto"/>
        <w:rPr>
          <w:rFonts w:ascii="宋体" w:hAnsi="宋体"/>
          <w:b/>
          <w:sz w:val="24"/>
          <w:highlight w:val="none"/>
        </w:rPr>
      </w:pPr>
      <w:r>
        <w:rPr>
          <w:rFonts w:hint="eastAsia" w:ascii="宋体" w:hAnsi="宋体"/>
          <w:b/>
          <w:sz w:val="24"/>
          <w:highlight w:val="none"/>
        </w:rPr>
        <w:t>▲注：1、本项目以优惠率（优惠率=（采购人合计上限价格-投标人报价）/采购人合计上限价格*100%）作为投标报价，此优惠率以采购人采购文件中提供的清单和价格为基础，只能唯一，不允许各部分单独报优惠率。</w:t>
      </w:r>
    </w:p>
    <w:p>
      <w:pPr>
        <w:spacing w:beforeLines="50" w:line="276" w:lineRule="auto"/>
        <w:rPr>
          <w:rFonts w:ascii="宋体" w:hAnsi="宋体"/>
          <w:b/>
          <w:sz w:val="24"/>
          <w:highlight w:val="none"/>
        </w:rPr>
      </w:pPr>
      <w:r>
        <w:rPr>
          <w:rFonts w:hint="eastAsia" w:ascii="宋体" w:hAnsi="宋体"/>
          <w:b/>
          <w:sz w:val="24"/>
          <w:highlight w:val="none"/>
        </w:rPr>
        <w:t>2、单价合计金额上限价=拆除工程+土方+道路+人行道+桥涵工程+排水管网+道路巡视检查+零星人工机械各子项单价上限金额之和。</w:t>
      </w:r>
    </w:p>
    <w:p>
      <w:pPr>
        <w:spacing w:beforeLines="50" w:line="276" w:lineRule="auto"/>
        <w:rPr>
          <w:rFonts w:ascii="宋体" w:hAnsi="宋体"/>
          <w:b/>
          <w:sz w:val="24"/>
          <w:highlight w:val="none"/>
        </w:rPr>
      </w:pPr>
      <w:r>
        <w:rPr>
          <w:rFonts w:hint="eastAsia" w:ascii="宋体" w:hAnsi="宋体"/>
          <w:b/>
          <w:sz w:val="24"/>
          <w:highlight w:val="none"/>
        </w:rPr>
        <w:t>3、上述清单</w:t>
      </w:r>
      <w:r>
        <w:rPr>
          <w:rFonts w:ascii="宋体" w:hAnsi="宋体"/>
          <w:b/>
          <w:sz w:val="24"/>
          <w:highlight w:val="none"/>
        </w:rPr>
        <w:t>内</w:t>
      </w:r>
      <w:r>
        <w:rPr>
          <w:rFonts w:hint="eastAsia" w:ascii="宋体" w:hAnsi="宋体"/>
          <w:b/>
          <w:sz w:val="24"/>
          <w:highlight w:val="none"/>
        </w:rPr>
        <w:t>所有</w:t>
      </w:r>
      <w:r>
        <w:rPr>
          <w:rFonts w:ascii="宋体" w:hAnsi="宋体"/>
          <w:b/>
          <w:sz w:val="24"/>
          <w:highlight w:val="none"/>
        </w:rPr>
        <w:t>子项单价上限价均为综合单价</w:t>
      </w:r>
      <w:r>
        <w:rPr>
          <w:rFonts w:hint="eastAsia" w:ascii="宋体" w:hAnsi="宋体"/>
          <w:b/>
          <w:sz w:val="24"/>
          <w:highlight w:val="none"/>
        </w:rPr>
        <w:t>（综合单价</w:t>
      </w:r>
      <w:r>
        <w:rPr>
          <w:rFonts w:ascii="宋体" w:hAnsi="宋体"/>
          <w:b/>
          <w:sz w:val="24"/>
          <w:highlight w:val="none"/>
        </w:rPr>
        <w:t>内</w:t>
      </w:r>
      <w:r>
        <w:rPr>
          <w:rFonts w:hint="eastAsia" w:ascii="宋体" w:hAnsi="宋体"/>
          <w:b/>
          <w:sz w:val="24"/>
          <w:highlight w:val="none"/>
        </w:rPr>
        <w:t>包括</w:t>
      </w:r>
      <w:r>
        <w:rPr>
          <w:rFonts w:ascii="宋体" w:hAnsi="宋体"/>
          <w:b/>
          <w:sz w:val="24"/>
          <w:highlight w:val="none"/>
        </w:rPr>
        <w:t>：</w:t>
      </w:r>
      <w:r>
        <w:rPr>
          <w:rFonts w:hint="eastAsia" w:ascii="宋体" w:hAnsi="宋体"/>
          <w:b/>
          <w:sz w:val="24"/>
          <w:highlight w:val="none"/>
        </w:rPr>
        <w:t>人工费、材料费、机械费、利润、企业管理费</w:t>
      </w:r>
      <w:r>
        <w:rPr>
          <w:rFonts w:ascii="宋体" w:hAnsi="宋体"/>
          <w:b/>
          <w:sz w:val="24"/>
          <w:highlight w:val="none"/>
        </w:rPr>
        <w:t>）</w:t>
      </w:r>
    </w:p>
    <w:p>
      <w:pPr>
        <w:spacing w:beforeLines="50" w:line="276" w:lineRule="auto"/>
        <w:rPr>
          <w:rFonts w:ascii="宋体" w:hAnsi="宋体"/>
          <w:b/>
          <w:sz w:val="24"/>
          <w:highlight w:val="none"/>
        </w:rPr>
      </w:pPr>
      <w:r>
        <w:rPr>
          <w:rFonts w:hint="eastAsia" w:ascii="宋体" w:hAnsi="宋体"/>
          <w:b/>
          <w:sz w:val="24"/>
          <w:highlight w:val="none"/>
        </w:rPr>
        <w:t>4、本项目中标人需派遣一名熟练掌握“德清县智慧市政平台”操作使用的管理人员专职服务于本项目，接受管理单位调度与管理。</w:t>
      </w:r>
    </w:p>
    <w:p>
      <w:pPr>
        <w:spacing w:beforeLines="50" w:line="276" w:lineRule="auto"/>
        <w:rPr>
          <w:rFonts w:ascii="宋体" w:hAnsi="宋体"/>
          <w:b/>
          <w:sz w:val="24"/>
          <w:highlight w:val="none"/>
        </w:rPr>
      </w:pPr>
      <w:r>
        <w:rPr>
          <w:rFonts w:hint="eastAsia" w:ascii="宋体" w:hAnsi="宋体"/>
          <w:b/>
          <w:sz w:val="24"/>
          <w:highlight w:val="none"/>
        </w:rPr>
        <w:t>5、本项目招标人需每月对中标人进行考核，具体考核办法及细则见第五章合同主要条款附件1、附件2。</w:t>
      </w:r>
    </w:p>
    <w:p>
      <w:pPr>
        <w:spacing w:beforeLines="50" w:line="360" w:lineRule="auto"/>
        <w:rPr>
          <w:rFonts w:ascii="宋体" w:hAnsi="宋体"/>
          <w:b/>
          <w:color w:val="000000"/>
          <w:sz w:val="24"/>
          <w:highlight w:val="none"/>
        </w:rPr>
      </w:pPr>
    </w:p>
    <w:p>
      <w:pPr>
        <w:spacing w:line="400" w:lineRule="exact"/>
        <w:rPr>
          <w:rFonts w:ascii="宋体" w:hAnsi="宋体"/>
          <w:b/>
          <w:color w:val="FF0000"/>
          <w:kern w:val="0"/>
          <w:sz w:val="32"/>
          <w:szCs w:val="32"/>
          <w:highlight w:val="none"/>
        </w:rPr>
      </w:pPr>
      <w:r>
        <w:rPr>
          <w:rFonts w:hint="eastAsia" w:ascii="宋体" w:hAnsi="宋体"/>
          <w:b/>
          <w:color w:val="FF0000"/>
          <w:kern w:val="0"/>
          <w:sz w:val="32"/>
          <w:szCs w:val="32"/>
          <w:highlight w:val="none"/>
        </w:rPr>
        <w:t>标项二：德清县市政管理处2022-2023年度辖区市政设施养护管理服务采购项目-城北高新园标段</w:t>
      </w:r>
    </w:p>
    <w:p>
      <w:pPr>
        <w:spacing w:beforeLines="50" w:line="360" w:lineRule="auto"/>
        <w:rPr>
          <w:rFonts w:ascii="宋体" w:hAnsi="宋体"/>
          <w:b/>
          <w:sz w:val="24"/>
          <w:highlight w:val="none"/>
        </w:rPr>
      </w:pPr>
      <w:r>
        <w:rPr>
          <w:rFonts w:hint="eastAsia" w:ascii="宋体" w:hAnsi="宋体"/>
          <w:b/>
          <w:sz w:val="24"/>
          <w:highlight w:val="none"/>
        </w:rPr>
        <w:t>（一）项目概况：</w:t>
      </w:r>
    </w:p>
    <w:p>
      <w:pPr>
        <w:spacing w:beforeLines="50" w:line="360" w:lineRule="auto"/>
        <w:ind w:firstLine="482" w:firstLineChars="200"/>
        <w:rPr>
          <w:rFonts w:ascii="宋体" w:hAnsi="宋体"/>
          <w:b/>
          <w:sz w:val="24"/>
          <w:highlight w:val="none"/>
        </w:rPr>
      </w:pPr>
      <w:r>
        <w:rPr>
          <w:rFonts w:hint="eastAsia" w:ascii="宋体" w:hAnsi="宋体"/>
          <w:b/>
          <w:kern w:val="0"/>
          <w:sz w:val="24"/>
          <w:highlight w:val="none"/>
        </w:rPr>
        <w:t>德清县城北高新园区</w:t>
      </w:r>
      <w:r>
        <w:rPr>
          <w:rFonts w:hint="eastAsia" w:ascii="宋体" w:hAnsi="宋体"/>
          <w:b/>
          <w:sz w:val="24"/>
          <w:highlight w:val="none"/>
        </w:rPr>
        <w:t>各类市政设施在日常使用过程中出现的常规性病害，例如：人行道铺装松动破损、树围拱起断裂、沥青路面麻面坑洞、隔离桩松动损坏、道路沉降积水、应急抢险、巡查等需要及时进行养护管理服务，每一个年度服务费上限为360万元。服务周期：自合同签订之日起一年。服务期满，经招标人考核合格，且双方协商同意，并向财政部门报备后，可续签一年，续签最多不得超过两次。，承包人若愿意续约，应在合同到期前3个月书面提出续约申请，发包人根据承包人在合同期内履约和考核情况决定是否续约，每次续约服务年限为1年，可续约2次，续约需另行签订养护施工合同。在续约期间因政策变动，发包人可以提前终止续约合同。</w:t>
      </w:r>
    </w:p>
    <w:p>
      <w:pPr>
        <w:spacing w:beforeLines="50" w:line="360" w:lineRule="auto"/>
        <w:ind w:firstLine="482" w:firstLineChars="200"/>
        <w:rPr>
          <w:rFonts w:ascii="宋体" w:hAnsi="宋体"/>
          <w:b/>
          <w:sz w:val="24"/>
          <w:highlight w:val="none"/>
        </w:rPr>
      </w:pPr>
      <w:r>
        <w:rPr>
          <w:rFonts w:hint="eastAsia" w:ascii="宋体" w:hAnsi="宋体"/>
          <w:b/>
          <w:sz w:val="24"/>
          <w:highlight w:val="none"/>
        </w:rPr>
        <w:t>本次市政设施养护采购内容主要针对以上问题所需进行的零星修复工作，分为市政道路维修类、人行道维修类、桥梁维修类、排水管网维护类、道路巡视检查及紧急状态下抢修工作等。确保</w:t>
      </w:r>
      <w:r>
        <w:rPr>
          <w:rFonts w:hint="eastAsia" w:ascii="宋体" w:hAnsi="宋体"/>
          <w:b/>
          <w:kern w:val="0"/>
          <w:sz w:val="24"/>
          <w:highlight w:val="none"/>
        </w:rPr>
        <w:t>城北高新园区</w:t>
      </w:r>
      <w:r>
        <w:rPr>
          <w:rFonts w:hint="eastAsia" w:ascii="宋体" w:hAnsi="宋体"/>
          <w:b/>
          <w:sz w:val="24"/>
          <w:highlight w:val="none"/>
        </w:rPr>
        <w:t>市政设施出现各类病害能够及时得到修复。</w:t>
      </w:r>
    </w:p>
    <w:p>
      <w:pPr>
        <w:spacing w:beforeLines="50" w:line="360" w:lineRule="auto"/>
        <w:ind w:firstLine="482" w:firstLineChars="200"/>
        <w:rPr>
          <w:rFonts w:ascii="宋体" w:hAnsi="宋体"/>
          <w:b/>
          <w:sz w:val="24"/>
          <w:highlight w:val="none"/>
        </w:rPr>
      </w:pPr>
      <w:r>
        <w:rPr>
          <w:rFonts w:hint="eastAsia" w:ascii="宋体" w:hAnsi="宋体"/>
          <w:b/>
          <w:sz w:val="24"/>
          <w:highlight w:val="none"/>
        </w:rPr>
        <w:t>本项目以</w:t>
      </w:r>
      <w:r>
        <w:rPr>
          <w:rFonts w:ascii="宋体" w:hAnsi="宋体"/>
          <w:b/>
          <w:sz w:val="24"/>
          <w:highlight w:val="none"/>
        </w:rPr>
        <w:t>服务为主，</w:t>
      </w:r>
      <w:r>
        <w:rPr>
          <w:rFonts w:hint="eastAsia" w:ascii="宋体" w:hAnsi="宋体"/>
          <w:b/>
          <w:sz w:val="24"/>
          <w:highlight w:val="none"/>
        </w:rPr>
        <w:t>市政</w:t>
      </w:r>
      <w:r>
        <w:rPr>
          <w:rFonts w:ascii="宋体" w:hAnsi="宋体"/>
          <w:b/>
          <w:sz w:val="24"/>
          <w:highlight w:val="none"/>
        </w:rPr>
        <w:t>设施养护维护过程中</w:t>
      </w:r>
      <w:r>
        <w:rPr>
          <w:rFonts w:hint="eastAsia" w:ascii="宋体" w:hAnsi="宋体"/>
          <w:b/>
          <w:sz w:val="24"/>
          <w:highlight w:val="none"/>
        </w:rPr>
        <w:t>拆除</w:t>
      </w:r>
      <w:r>
        <w:rPr>
          <w:rFonts w:ascii="宋体" w:hAnsi="宋体"/>
          <w:b/>
          <w:sz w:val="24"/>
          <w:highlight w:val="none"/>
        </w:rPr>
        <w:t>下来的原有</w:t>
      </w:r>
      <w:r>
        <w:rPr>
          <w:rFonts w:hint="eastAsia" w:ascii="宋体" w:hAnsi="宋体"/>
          <w:b/>
          <w:sz w:val="24"/>
          <w:highlight w:val="none"/>
        </w:rPr>
        <w:t>材料</w:t>
      </w:r>
      <w:r>
        <w:rPr>
          <w:rFonts w:ascii="宋体" w:hAnsi="宋体"/>
          <w:b/>
          <w:sz w:val="24"/>
          <w:highlight w:val="none"/>
        </w:rPr>
        <w:t>、设施</w:t>
      </w:r>
      <w:r>
        <w:rPr>
          <w:rFonts w:hint="eastAsia" w:ascii="宋体" w:hAnsi="宋体"/>
          <w:b/>
          <w:sz w:val="24"/>
          <w:highlight w:val="none"/>
        </w:rPr>
        <w:t>按照</w:t>
      </w:r>
      <w:r>
        <w:rPr>
          <w:rFonts w:ascii="宋体" w:hAnsi="宋体"/>
          <w:b/>
          <w:sz w:val="24"/>
          <w:highlight w:val="none"/>
        </w:rPr>
        <w:t>清单</w:t>
      </w:r>
      <w:r>
        <w:rPr>
          <w:rFonts w:hint="eastAsia" w:ascii="宋体" w:hAnsi="宋体"/>
          <w:b/>
          <w:sz w:val="24"/>
          <w:highlight w:val="none"/>
        </w:rPr>
        <w:t>描述可</w:t>
      </w:r>
      <w:r>
        <w:rPr>
          <w:rFonts w:ascii="宋体" w:hAnsi="宋体"/>
          <w:b/>
          <w:sz w:val="24"/>
          <w:highlight w:val="none"/>
        </w:rPr>
        <w:t>重复利用</w:t>
      </w:r>
      <w:r>
        <w:rPr>
          <w:rFonts w:hint="eastAsia" w:ascii="宋体" w:hAnsi="宋体"/>
          <w:b/>
          <w:sz w:val="24"/>
          <w:highlight w:val="none"/>
        </w:rPr>
        <w:t>的</w:t>
      </w:r>
      <w:r>
        <w:rPr>
          <w:rFonts w:ascii="宋体" w:hAnsi="宋体"/>
          <w:b/>
          <w:sz w:val="24"/>
          <w:highlight w:val="none"/>
        </w:rPr>
        <w:t>，</w:t>
      </w:r>
      <w:r>
        <w:rPr>
          <w:rFonts w:hint="eastAsia" w:ascii="宋体" w:hAnsi="宋体"/>
          <w:b/>
          <w:sz w:val="24"/>
          <w:highlight w:val="none"/>
        </w:rPr>
        <w:t>其</w:t>
      </w:r>
      <w:r>
        <w:rPr>
          <w:rFonts w:ascii="宋体" w:hAnsi="宋体"/>
          <w:b/>
          <w:sz w:val="24"/>
          <w:highlight w:val="none"/>
        </w:rPr>
        <w:t>材料价格</w:t>
      </w:r>
      <w:r>
        <w:rPr>
          <w:rFonts w:hint="eastAsia" w:ascii="宋体" w:hAnsi="宋体"/>
          <w:b/>
          <w:sz w:val="24"/>
          <w:highlight w:val="none"/>
        </w:rPr>
        <w:t>在</w:t>
      </w:r>
      <w:r>
        <w:rPr>
          <w:rFonts w:ascii="宋体" w:hAnsi="宋体"/>
          <w:b/>
          <w:sz w:val="24"/>
          <w:highlight w:val="none"/>
        </w:rPr>
        <w:t>结算过程中按照</w:t>
      </w:r>
      <w:r>
        <w:rPr>
          <w:rFonts w:hint="eastAsia" w:ascii="宋体" w:hAnsi="宋体"/>
          <w:b/>
          <w:sz w:val="24"/>
          <w:highlight w:val="none"/>
        </w:rPr>
        <w:t>当月信息价予以</w:t>
      </w:r>
      <w:r>
        <w:rPr>
          <w:rFonts w:ascii="宋体" w:hAnsi="宋体"/>
          <w:b/>
          <w:sz w:val="24"/>
          <w:highlight w:val="none"/>
        </w:rPr>
        <w:t>扣除</w:t>
      </w:r>
      <w:r>
        <w:rPr>
          <w:rFonts w:hint="eastAsia" w:ascii="宋体" w:hAnsi="宋体"/>
          <w:b/>
          <w:sz w:val="24"/>
          <w:highlight w:val="none"/>
        </w:rPr>
        <w:t>。</w:t>
      </w:r>
    </w:p>
    <w:p>
      <w:pPr>
        <w:spacing w:beforeLines="50" w:line="360" w:lineRule="auto"/>
        <w:rPr>
          <w:rFonts w:ascii="宋体" w:hAnsi="宋体"/>
          <w:b/>
          <w:sz w:val="24"/>
          <w:highlight w:val="none"/>
        </w:rPr>
      </w:pPr>
      <w:r>
        <w:rPr>
          <w:rFonts w:hint="eastAsia" w:ascii="宋体" w:hAnsi="宋体"/>
          <w:b/>
          <w:sz w:val="24"/>
          <w:highlight w:val="none"/>
        </w:rPr>
        <w:t>（二）采购需求（详细清单）：</w:t>
      </w:r>
    </w:p>
    <w:tbl>
      <w:tblPr>
        <w:tblStyle w:val="48"/>
        <w:tblW w:w="94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3861"/>
        <w:gridCol w:w="1276"/>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noWrap/>
            <w:vAlign w:val="center"/>
          </w:tcPr>
          <w:p>
            <w:pPr>
              <w:jc w:val="center"/>
              <w:rPr>
                <w:rFonts w:ascii="宋体" w:hAnsi="宋体"/>
                <w:b/>
                <w:bCs/>
                <w:sz w:val="22"/>
                <w:highlight w:val="none"/>
              </w:rPr>
            </w:pPr>
            <w:r>
              <w:rPr>
                <w:rFonts w:hint="eastAsia" w:ascii="宋体" w:hAnsi="宋体"/>
                <w:b/>
                <w:bCs/>
                <w:sz w:val="22"/>
                <w:highlight w:val="none"/>
              </w:rPr>
              <w:t>序号</w:t>
            </w:r>
          </w:p>
        </w:tc>
        <w:tc>
          <w:tcPr>
            <w:tcW w:w="2410" w:type="dxa"/>
            <w:noWrap/>
            <w:vAlign w:val="center"/>
          </w:tcPr>
          <w:p>
            <w:pPr>
              <w:jc w:val="center"/>
              <w:rPr>
                <w:rFonts w:ascii="宋体" w:hAnsi="宋体"/>
                <w:b/>
                <w:bCs/>
                <w:sz w:val="22"/>
                <w:highlight w:val="none"/>
              </w:rPr>
            </w:pPr>
            <w:r>
              <w:rPr>
                <w:rFonts w:hint="eastAsia" w:ascii="宋体" w:hAnsi="宋体"/>
                <w:b/>
                <w:bCs/>
                <w:sz w:val="22"/>
                <w:highlight w:val="none"/>
              </w:rPr>
              <w:t>项目名称</w:t>
            </w:r>
          </w:p>
        </w:tc>
        <w:tc>
          <w:tcPr>
            <w:tcW w:w="3861" w:type="dxa"/>
            <w:noWrap/>
            <w:vAlign w:val="center"/>
          </w:tcPr>
          <w:p>
            <w:pPr>
              <w:jc w:val="center"/>
              <w:rPr>
                <w:rFonts w:ascii="宋体" w:hAnsi="宋体"/>
                <w:b/>
                <w:bCs/>
                <w:sz w:val="22"/>
                <w:highlight w:val="none"/>
              </w:rPr>
            </w:pPr>
            <w:r>
              <w:rPr>
                <w:rFonts w:hint="eastAsia" w:ascii="宋体" w:hAnsi="宋体"/>
                <w:b/>
                <w:bCs/>
                <w:sz w:val="22"/>
                <w:highlight w:val="none"/>
              </w:rPr>
              <w:t>项目特征</w:t>
            </w:r>
          </w:p>
        </w:tc>
        <w:tc>
          <w:tcPr>
            <w:tcW w:w="1276" w:type="dxa"/>
            <w:noWrap/>
            <w:vAlign w:val="center"/>
          </w:tcPr>
          <w:p>
            <w:pPr>
              <w:jc w:val="center"/>
              <w:rPr>
                <w:rFonts w:ascii="宋体" w:hAnsi="宋体"/>
                <w:b/>
                <w:bCs/>
                <w:sz w:val="22"/>
                <w:highlight w:val="none"/>
              </w:rPr>
            </w:pPr>
            <w:r>
              <w:rPr>
                <w:rFonts w:hint="eastAsia" w:ascii="宋体" w:hAnsi="宋体"/>
                <w:b/>
                <w:bCs/>
                <w:sz w:val="22"/>
                <w:highlight w:val="none"/>
              </w:rPr>
              <w:t>计量单位</w:t>
            </w:r>
          </w:p>
        </w:tc>
        <w:tc>
          <w:tcPr>
            <w:tcW w:w="1267" w:type="dxa"/>
            <w:noWrap/>
            <w:vAlign w:val="center"/>
          </w:tcPr>
          <w:p>
            <w:pPr>
              <w:jc w:val="center"/>
              <w:rPr>
                <w:rFonts w:ascii="宋体" w:hAnsi="宋体"/>
                <w:b/>
                <w:bCs/>
                <w:sz w:val="22"/>
                <w:highlight w:val="none"/>
              </w:rPr>
            </w:pPr>
            <w:r>
              <w:rPr>
                <w:rFonts w:hint="eastAsia"/>
                <w:kern w:val="0"/>
                <w:szCs w:val="21"/>
                <w:highlight w:val="none"/>
              </w:rPr>
              <w:t>▲</w:t>
            </w:r>
            <w:r>
              <w:rPr>
                <w:rFonts w:hint="eastAsia" w:ascii="宋体" w:hAnsi="宋体"/>
                <w:b/>
                <w:bCs/>
                <w:sz w:val="22"/>
                <w:highlight w:val="none"/>
              </w:rPr>
              <w:t>单价上限价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489" w:type="dxa"/>
            <w:gridSpan w:val="5"/>
            <w:noWrap/>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拆除工程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拆除路面</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1、材质：砼道路</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2、厚度：10CM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4、包含围挡费用，请投标单位在单价中自行考虑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41.13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2</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拆除路面</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1、材质：砼道路</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2、厚度：10cm内，每减1cm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3</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拆除路面</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1、材质：砼道路</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2、厚度：15cm以内，每增1cm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4</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拆除路面</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1、材质：砼道路</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2、厚度：15cm以上，每增1cm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5</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拆除基层</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1、材质：水泥稳定基层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2、厚度：10cm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6</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拆除基层</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1、材质：水泥稳定基层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2、厚度：10cm内，每减1cm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7</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拆除基层</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1、材质：水泥稳定基层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2、厚度：15cm以内，每增1cm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8</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拆除基层</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1、材质：水泥稳定基层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2、厚度：15cm以上，每增1cm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9</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拆除基层</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1、材质：碎石垫层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2、厚度：10cm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30.77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10</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拆除基层</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1、材质：碎石垫层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2、厚度：10cm内，每减5cm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11</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拆除基层</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1、材质：碎石垫层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2、厚度：20cm以内，每增5cm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12</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拆除基层</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1、材质：碎石垫层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2、厚度：20cm以上，每增5cm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13</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拆除路面</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1、材质：沥青路面</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2、厚度：5cm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4、包含围挡费用，请投标单位在单价中自行考虑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14</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拆除路面</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1、材质：沥青路面</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2、厚度：5cm内，每减1cm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15</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拆除路面</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1、材质：沥青路面</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2、厚度：10cm以内，每增1cm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16</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拆除路面</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1、材质：沥青路面</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2、厚度：10cm以上，每增1cm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17</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拆除人行道</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1、材质：人行道板（含3cm水泥砂浆垫层）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2、厚度：60mm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4、包含围挡费用，请投标单位在单价中自行考虑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18</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拆除人行道</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1、材质：人行道板（含2cm水泥砂浆垫层）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2、厚度：80mm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4、包含围挡费用，请投标单位在单价中自行考虑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19</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拆除基层</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1、材质：砼垫层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2、厚度：10cm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3、部位：人行道</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4、运距：自行考虑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34.88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20</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拆除基层</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1、材质：砼垫层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2、厚度：10cm内，每减1cm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3、部位：人行道</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4、运距：自行考虑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21</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拆除基层</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1、材质：砼垫层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2、厚度：15cm以内，每增1cm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3、部位：人行道</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4、运距：自行考虑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22</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拆除基层</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1、材质：砼垫层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2、厚度：15cm以上，每增1cm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3、部位：人行道</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4、运距：自行考虑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23</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拆除侧、平（缘）石</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1、材质：石质、砼侧石</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2、运距：自行考虑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24</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拆除侧、平（缘）石</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1、材质：石质、砼平石</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2、运距：自行考虑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25</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铣刨路面</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1、材质：沥青路面</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2、厚度：3cm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4、包含围挡费用，请投标单位在单价中自行考虑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26</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铣刨路面</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1、材质：沥青路面</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2、厚度：3cm内，每减1cm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27</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铣刨路面</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1、材质：沥青路面</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2、厚度：3cm以上，每增1cm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28</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切割机切缝</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切割机切缝</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489" w:type="dxa"/>
            <w:gridSpan w:val="5"/>
            <w:noWrap/>
            <w:vAlign w:val="center"/>
          </w:tcPr>
          <w:p>
            <w:pPr>
              <w:widowControl/>
              <w:jc w:val="center"/>
              <w:textAlignment w:val="center"/>
              <w:rPr>
                <w:rFonts w:ascii="宋体" w:hAnsi="宋体" w:cs="Arial"/>
                <w:szCs w:val="18"/>
                <w:highlight w:val="none"/>
              </w:rPr>
            </w:pPr>
            <w:r>
              <w:rPr>
                <w:rFonts w:hint="eastAsia" w:ascii="宋体" w:hAnsi="宋体" w:cs="Arial"/>
                <w:szCs w:val="18"/>
                <w:highlight w:val="none"/>
              </w:rPr>
              <w:t>土方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29</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挖一般土方</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1、土壤类别：三类土（人工挖土）</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2、挖土深度：2m以内</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m3</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36.55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30</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挖一般土方</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1、土壤类别：三类土（机械挖土）</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2、挖土深度：2m以内</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m3</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31</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余方弃置</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1、废弃料品种：土方</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2、运距：自行考虑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m3</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70.65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32</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回填方</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1、填方材料品种：土方</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m3</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89" w:type="dxa"/>
            <w:gridSpan w:val="5"/>
            <w:noWrap/>
            <w:vAlign w:val="center"/>
          </w:tcPr>
          <w:p>
            <w:pPr>
              <w:widowControl/>
              <w:jc w:val="center"/>
              <w:textAlignment w:val="center"/>
              <w:rPr>
                <w:rFonts w:ascii="宋体" w:hAnsi="宋体" w:cs="Arial"/>
                <w:szCs w:val="18"/>
                <w:highlight w:val="none"/>
              </w:rPr>
            </w:pPr>
            <w:r>
              <w:rPr>
                <w:rFonts w:hint="eastAsia" w:ascii="宋体" w:hAnsi="宋体" w:cs="Arial"/>
                <w:szCs w:val="18"/>
                <w:highlight w:val="none"/>
              </w:rPr>
              <w:t>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33</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路床（槽）整形</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路床整形碾压</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34</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碎石</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1、厚度：10cm级配碎石</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31.95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35</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碎石</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级配碎石，每增（减）1cm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36</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水泥混凝土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快速砼补洞：快速混凝土42.5级坍落度35~50</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m3</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5384.66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37</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水泥混凝土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零星修补，单个维修面积小于一板块翻修</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1、混凝土强度等级：C25砼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2、厚度：10cm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137.43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38</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水泥混凝土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零星修补，单个维修面积小于一板块翻修</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1、混凝土强度等级：C25砼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2、厚度：每增减1cm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39</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水泥混凝土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零星修补，单个维修面积小于一板块翻修</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1、混凝土强度等级：C30砼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2、厚度：10cm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138.87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40</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水泥混凝土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零星修补，单个维修面积小于一板块翻修</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1、混凝土强度等级：C30砼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2、厚度：每增减1cm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41</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水泥混凝土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1、混凝土强度等级：C25砼（含模板）</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2、厚度：10cm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62.47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42</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水泥混凝土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1、混凝土强度等级：C25砼（含模板）</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2、厚度：每增（减）1cm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43</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水泥混凝土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1、混凝土强度等级：C30砼（含模板）</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2、厚度：10cm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63.90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44</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水泥混凝土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1、混凝土强度等级：C30砼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2、厚度：每增（减）1cm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45</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水泥混凝土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1、混凝土强度等级：C20砼垫层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2、厚度：10cm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49.95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46</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水泥混凝土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1、混凝土强度等级：C20砼垫层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2、厚度：每增（减）1cm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47</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水泥混凝土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1、沥青品种：耐黄变聚氨酯彩色碎石透水面层(芝麻灰)</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2、厚度：2cm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278.48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48</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透层、粘层</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1、材料品种：乳化沥青粘层</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49</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1、沥青品种：冷拌细粒式沥青砼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2、厚度：3cm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83.64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50</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1、沥青品种：冷拌细粒式沥青砼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2、厚度：每增（减）0.5cm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51</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1、沥青品种：彩色细粒式沥青砼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2、厚度：3cm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125.20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52</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1、沥青品种：彩色细粒式沥青砼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2、厚度：每增（减）0.5cm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53</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零星补洞沥青，单个维修面积≤10m2</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1、沥青品种：彩色细粒式沥青砼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2、厚度：3cm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145.63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54</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零星补洞沥青，单个维修面积≤10m2</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1、沥青品种：彩色细粒式沥青砼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2、厚度：每增（减）0.5cm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55</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零星补洞沥青，单个维修面积≤10m2</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1、沥青品种：冷拌细粒式沥青砼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2、厚度：3cm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101.63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56</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零星补洞沥青，单个维修面积≤10m2</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1、沥青品种：冷拌细粒式沥青砼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2、厚度：每增（减）0.5cm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57</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零星补洞沥青，单个维修面积≤10m2</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1、沥青品种：细粒式沥青砼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2、厚度：3cm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56.86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58</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零星补洞沥青，单个维修面积≤10m2</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1、沥青品种：细粒式沥青砼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2、厚度：每增（减）0.5cm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59</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零星补洞沥青，单个维修面积≤10m2</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1、沥青品种：中粒式沥青砼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2、厚度：5cm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76.63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60</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零星补洞沥青，单个维修面积≤10m2</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1、沥青品种：中粒式沥青砼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2、厚度：每增（减）1cm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61</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1、沥青品种：细粒式沥青砼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2、厚度：3cm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41.35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62</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1、沥青品种：细粒式沥青砼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2、厚度：每增（减）0.5cm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63</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1、沥青品种：中粒式沥青砼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2、厚度：5cm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60.24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64</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1、沥青品种：中粒式沥青砼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2、厚度：每增（减）1cm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65</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快速沥青补洞</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m3</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4362.66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66</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水泥稳定碎（砾）石</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1、水泥含量：5%</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2、厚度：15cm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62.36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67</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水泥稳定碎（砾）石</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1、水泥含量：5%</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2、厚度：每增（减）1cm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68</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现浇构件钢筋</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钢筋制作、安装</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t</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7144.35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69</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标线</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热熔地面标线</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36.36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70</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清除标线</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清除标线</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71</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老沥青路面裂缝处灌缝</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老沥青路面裂缝处灌缝：热沥青灌缝</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46.97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72</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人工涂沥青漆</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人工涂沥青漆</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73</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土工合成材料</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铺设土工布</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74</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土工合成材料</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铺设玻纤格栅</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75</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沥青修复剂</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人工喷涂沥青修复剂</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76</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沥青修复液剂</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机械喷涂沥青修复剂</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77</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隔离护栏</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隔离护栏制作安装，样式同原有护栏</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78</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地基注浆</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1、成孔深度、间距：成孔0.7m，间距纵向孔距2m，横向孔距3m,；与1.5m（另列）间隔布置，详参施工图DL-03-01</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2、浆液种类及配合比：普通型地聚合物：级配砂：水为1:2:0.55，其中混合料用量为210kg/m3</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3、注浆方法：压密注浆</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4、含废浆处理</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m3</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190.99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79</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地基注浆</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1、成孔深度、间距：成孔1.2m，间距纵向孔距2m，横向孔距3m；与0.7m（另列）间隔布置，详参施工图DL-03-01</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2、浆液种类及配合比：普通型地聚合物：级配砂：水为1:0.25:0.55，其中混合料用量为100kg/m3</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3、注浆方法：压密注浆</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4、含废浆处理</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m3</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135.62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89" w:type="dxa"/>
            <w:gridSpan w:val="5"/>
            <w:noWrap/>
            <w:vAlign w:val="center"/>
          </w:tcPr>
          <w:p>
            <w:pPr>
              <w:widowControl/>
              <w:jc w:val="center"/>
              <w:textAlignment w:val="center"/>
              <w:rPr>
                <w:rFonts w:ascii="宋体" w:hAnsi="宋体" w:cs="Arial"/>
                <w:szCs w:val="18"/>
                <w:highlight w:val="none"/>
              </w:rPr>
            </w:pPr>
            <w:r>
              <w:rPr>
                <w:rFonts w:hint="eastAsia" w:ascii="宋体" w:hAnsi="宋体" w:cs="Arial"/>
                <w:szCs w:val="18"/>
                <w:highlight w:val="none"/>
              </w:rPr>
              <w:t>人行道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80</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人行道整形碾压</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人行道整形碾压</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81</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1、块料品种、规格：20*10*6cm荷兰砖</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2、基础、垫层：材料品种、厚度：2cmM7.5干混砌筑砂浆</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70.96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82</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1、块料品种、规格：20*10*6cm荷兰砖翻铺</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2、基础、垫层：材料品种、厚度：2cmM7.5干混砌筑砂浆</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55.99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83</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1、块料品种、规格：25*25*5cm砼预制彩色道板</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2、基础、垫层：材料品种、厚度：2cmM7.5干混砌筑砂浆</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58.93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84</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1、块料品种、规格：25*25*5cm砼预制彩色道板翻铺</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2、基础、垫层：材料品种、厚度：2cmM7.5干混砌筑砂浆</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40.59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85</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1、块料品种、规格：10*10*6cm芝麻灰火烧面花岗岩</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2、基础、垫层：材料品种、厚度：3cmM10干混砌筑砂浆</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216.13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86</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1、块料品种、规格：10*10*8cm高湖石</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2、基础、垫层：材料品种、厚度：3cmM10干混砌筑砂浆</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278.35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87</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1、块料品种、规格：10*10*10cm高湖石马蹄石</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2、基础、垫层：材料品种、厚度：3cmM10干混砌筑砂浆</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339.55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88</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1、块料品种、规格：10*10*10cm芝麻灰马蹄石</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2、基础、垫层：材料品种、厚度：3cmM10干混砌筑砂浆</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345.67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89</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1、块料品种、规格：3cm芝麻灰火烧面花岗岩</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2、基础、垫层：材料品种、厚度：3cmM10干混砌筑砂浆</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162.07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90</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1、块料品种、规格：3cm芝麻灰火烧面花岗岩盲道板</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2、基础、垫层：材料品种、厚度：3cmM10干混砌筑砂浆</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172.27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91</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1、块料品种、规格：3cm芝麻灰火烧面花岗岩翻铺</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2、基础、垫层：材料品种、厚度：3cmM10干混砌筑砂浆</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115.74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92</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1、块料品种、规格：3cm芝麻灰火烧面花岗岩</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2、基础、垫层：材料品种、厚度：3cmM10干混砌筑砂浆，15cmC20砼垫层，10cm碎石垫层</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265.41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93</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1、块料品种、规格：每增减1cm芝麻灰花岗岩</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94</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861" w:type="dxa"/>
            <w:noWrap/>
            <w:vAlign w:val="center"/>
          </w:tcPr>
          <w:p>
            <w:pPr>
              <w:widowControl/>
              <w:jc w:val="left"/>
              <w:textAlignment w:val="center"/>
              <w:rPr>
                <w:rFonts w:ascii="宋体" w:hAnsi="宋体" w:cs="Arial"/>
                <w:i/>
                <w:iCs/>
                <w:szCs w:val="18"/>
                <w:highlight w:val="none"/>
                <w:vertAlign w:val="superscript"/>
              </w:rPr>
            </w:pPr>
            <w:r>
              <w:rPr>
                <w:rFonts w:hint="eastAsia" w:ascii="宋体" w:hAnsi="宋体" w:cs="宋体"/>
                <w:kern w:val="0"/>
                <w:sz w:val="18"/>
                <w:szCs w:val="18"/>
                <w:highlight w:val="none"/>
              </w:rPr>
              <w:t>1、块料品种、规格：3cm五莲红火烧面花岗岩</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2、基础、垫层：材料品种、厚度：3cmM10干混砌筑砂浆</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153.91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95</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861" w:type="dxa"/>
            <w:noWrap/>
            <w:vAlign w:val="center"/>
          </w:tcPr>
          <w:p>
            <w:pPr>
              <w:widowControl/>
              <w:jc w:val="left"/>
              <w:textAlignment w:val="center"/>
              <w:rPr>
                <w:rFonts w:ascii="宋体" w:hAnsi="宋体" w:cs="Arial"/>
                <w:i/>
                <w:iCs/>
                <w:szCs w:val="18"/>
                <w:highlight w:val="none"/>
                <w:vertAlign w:val="superscript"/>
              </w:rPr>
            </w:pPr>
            <w:r>
              <w:rPr>
                <w:rFonts w:hint="eastAsia" w:ascii="宋体" w:hAnsi="宋体" w:cs="宋体"/>
                <w:kern w:val="0"/>
                <w:sz w:val="18"/>
                <w:szCs w:val="18"/>
                <w:highlight w:val="none"/>
              </w:rPr>
              <w:t>1、块料品种、规格：3cm五莲红火烧面花岗岩盲道板</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2、基础、垫层：材料品种、厚度：3cmM10干混砌筑砂浆</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164.11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96</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861" w:type="dxa"/>
            <w:noWrap/>
            <w:vAlign w:val="center"/>
          </w:tcPr>
          <w:p>
            <w:pPr>
              <w:widowControl/>
              <w:jc w:val="left"/>
              <w:textAlignment w:val="center"/>
              <w:rPr>
                <w:rFonts w:ascii="宋体" w:hAnsi="宋体" w:cs="Arial"/>
                <w:i/>
                <w:iCs/>
                <w:szCs w:val="18"/>
                <w:highlight w:val="none"/>
                <w:vertAlign w:val="superscript"/>
              </w:rPr>
            </w:pPr>
            <w:r>
              <w:rPr>
                <w:rFonts w:hint="eastAsia" w:ascii="宋体" w:hAnsi="宋体" w:cs="宋体"/>
                <w:kern w:val="0"/>
                <w:sz w:val="18"/>
                <w:szCs w:val="18"/>
                <w:highlight w:val="none"/>
              </w:rPr>
              <w:t>1、块料品种、规格：3cm五莲红火烧面花岗岩翻铺</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2、基础、垫层：材料品种、厚度：3cmM10干混砌筑砂浆</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137.33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97</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861" w:type="dxa"/>
            <w:noWrap/>
            <w:vAlign w:val="center"/>
          </w:tcPr>
          <w:p>
            <w:pPr>
              <w:widowControl/>
              <w:jc w:val="left"/>
              <w:textAlignment w:val="center"/>
              <w:rPr>
                <w:rFonts w:ascii="宋体" w:hAnsi="宋体" w:cs="Arial"/>
                <w:i/>
                <w:iCs/>
                <w:szCs w:val="18"/>
                <w:highlight w:val="none"/>
                <w:vertAlign w:val="superscript"/>
              </w:rPr>
            </w:pPr>
            <w:r>
              <w:rPr>
                <w:rFonts w:hint="eastAsia" w:ascii="宋体" w:hAnsi="宋体" w:cs="宋体"/>
                <w:kern w:val="0"/>
                <w:sz w:val="18"/>
                <w:szCs w:val="18"/>
                <w:highlight w:val="none"/>
              </w:rPr>
              <w:t>1、块料品种、规格：3cm五莲红花岗岩</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2、基础、垫层：材料品种、厚度：3cmM10干混砌筑砂浆，15cmC20砼垫层，10cm碎石垫层</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257.25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98</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861" w:type="dxa"/>
            <w:noWrap/>
            <w:vAlign w:val="center"/>
          </w:tcPr>
          <w:p>
            <w:pPr>
              <w:widowControl/>
              <w:jc w:val="left"/>
              <w:textAlignment w:val="center"/>
              <w:rPr>
                <w:rFonts w:ascii="宋体" w:hAnsi="宋体" w:cs="Arial"/>
                <w:i/>
                <w:iCs/>
                <w:szCs w:val="18"/>
                <w:highlight w:val="none"/>
                <w:vertAlign w:val="superscript"/>
              </w:rPr>
            </w:pPr>
            <w:r>
              <w:rPr>
                <w:rFonts w:hint="eastAsia" w:ascii="宋体" w:hAnsi="宋体" w:cs="宋体"/>
                <w:kern w:val="0"/>
                <w:sz w:val="18"/>
                <w:szCs w:val="18"/>
                <w:highlight w:val="none"/>
              </w:rPr>
              <w:t>1、块料品种、规格：每增减1cm五莲红花岗岩</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99</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安砌侧（平、缘）石</w:t>
            </w:r>
          </w:p>
        </w:tc>
        <w:tc>
          <w:tcPr>
            <w:tcW w:w="3861" w:type="dxa"/>
            <w:noWrap/>
            <w:vAlign w:val="center"/>
          </w:tcPr>
          <w:p>
            <w:pPr>
              <w:widowControl/>
              <w:jc w:val="left"/>
              <w:textAlignment w:val="center"/>
              <w:rPr>
                <w:rFonts w:ascii="宋体" w:hAnsi="宋体" w:cs="Arial"/>
                <w:i/>
                <w:iCs/>
                <w:szCs w:val="18"/>
                <w:highlight w:val="none"/>
                <w:vertAlign w:val="superscript"/>
              </w:rPr>
            </w:pPr>
            <w:r>
              <w:rPr>
                <w:rFonts w:hint="eastAsia" w:ascii="宋体" w:hAnsi="宋体" w:cs="宋体"/>
                <w:kern w:val="0"/>
                <w:sz w:val="18"/>
                <w:szCs w:val="18"/>
                <w:highlight w:val="none"/>
              </w:rPr>
              <w:t>1、材料品种、规格：芝麻灰花岗岩火烧面侧石15*25*100cm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2、基础、垫层：材料品种、厚度：20厚M7.5干混砌筑砂浆粘结层；C20砼靠背</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135.10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100</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安砌侧（平、缘）石</w:t>
            </w:r>
          </w:p>
        </w:tc>
        <w:tc>
          <w:tcPr>
            <w:tcW w:w="3861" w:type="dxa"/>
            <w:noWrap/>
            <w:vAlign w:val="center"/>
          </w:tcPr>
          <w:p>
            <w:pPr>
              <w:widowControl/>
              <w:jc w:val="left"/>
              <w:textAlignment w:val="center"/>
              <w:rPr>
                <w:rFonts w:ascii="宋体" w:hAnsi="宋体" w:cs="Arial"/>
                <w:i/>
                <w:iCs/>
                <w:szCs w:val="18"/>
                <w:highlight w:val="none"/>
                <w:vertAlign w:val="superscript"/>
              </w:rPr>
            </w:pPr>
            <w:r>
              <w:rPr>
                <w:rFonts w:hint="eastAsia" w:ascii="宋体" w:hAnsi="宋体" w:cs="宋体"/>
                <w:kern w:val="0"/>
                <w:sz w:val="18"/>
                <w:szCs w:val="18"/>
                <w:highlight w:val="none"/>
              </w:rPr>
              <w:t>1、材料品种、规格：芝麻灰花岗岩火烧面侧石20*40*100cm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2、基础、垫层：材料品种、厚度：20厚M7.5干混砌筑砂浆粘结层；C20砼靠背</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252.40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101</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安砌侧（平、缘）石</w:t>
            </w:r>
          </w:p>
        </w:tc>
        <w:tc>
          <w:tcPr>
            <w:tcW w:w="3861" w:type="dxa"/>
            <w:noWrap/>
            <w:vAlign w:val="center"/>
          </w:tcPr>
          <w:p>
            <w:pPr>
              <w:widowControl/>
              <w:jc w:val="left"/>
              <w:textAlignment w:val="center"/>
              <w:rPr>
                <w:rFonts w:ascii="宋体" w:hAnsi="宋体" w:cs="Arial"/>
                <w:i/>
                <w:iCs/>
                <w:szCs w:val="18"/>
                <w:highlight w:val="none"/>
                <w:vertAlign w:val="superscript"/>
              </w:rPr>
            </w:pPr>
            <w:r>
              <w:rPr>
                <w:rFonts w:hint="eastAsia" w:ascii="宋体" w:hAnsi="宋体" w:cs="宋体"/>
                <w:kern w:val="0"/>
                <w:sz w:val="18"/>
                <w:szCs w:val="18"/>
                <w:highlight w:val="none"/>
              </w:rPr>
              <w:t>1、材料品种、规格：芝麻灰花岗岩火烧面平石15*10*100cm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2、基础、垫层：材料品种、厚度：20厚M7.5干混砌筑砂浆粘结层</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69.15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102</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安砌侧（平、缘）石</w:t>
            </w:r>
          </w:p>
        </w:tc>
        <w:tc>
          <w:tcPr>
            <w:tcW w:w="3861" w:type="dxa"/>
            <w:noWrap/>
            <w:vAlign w:val="center"/>
          </w:tcPr>
          <w:p>
            <w:pPr>
              <w:widowControl/>
              <w:jc w:val="left"/>
              <w:textAlignment w:val="center"/>
              <w:rPr>
                <w:rFonts w:ascii="宋体" w:hAnsi="宋体" w:cs="Arial"/>
                <w:i/>
                <w:iCs/>
                <w:szCs w:val="18"/>
                <w:highlight w:val="none"/>
                <w:vertAlign w:val="superscript"/>
              </w:rPr>
            </w:pPr>
            <w:r>
              <w:rPr>
                <w:rFonts w:hint="eastAsia" w:ascii="宋体" w:hAnsi="宋体" w:cs="宋体"/>
                <w:kern w:val="0"/>
                <w:sz w:val="18"/>
                <w:szCs w:val="18"/>
                <w:highlight w:val="none"/>
              </w:rPr>
              <w:t>1、材料品种、规格：芝麻灰花岗岩火烧面侧石15*25*100cm翻铺</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2、基础、垫层：材料品种、厚度：20厚M7.5干混砌筑砂浆粘结层；C20砼靠背</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82.80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103</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安砌侧（平、缘）石</w:t>
            </w:r>
          </w:p>
        </w:tc>
        <w:tc>
          <w:tcPr>
            <w:tcW w:w="3861" w:type="dxa"/>
            <w:noWrap/>
            <w:vAlign w:val="center"/>
          </w:tcPr>
          <w:p>
            <w:pPr>
              <w:widowControl/>
              <w:jc w:val="left"/>
              <w:textAlignment w:val="center"/>
              <w:rPr>
                <w:rFonts w:ascii="宋体" w:hAnsi="宋体" w:cs="Arial"/>
                <w:i/>
                <w:iCs/>
                <w:szCs w:val="18"/>
                <w:highlight w:val="none"/>
                <w:vertAlign w:val="superscript"/>
              </w:rPr>
            </w:pPr>
            <w:r>
              <w:rPr>
                <w:rFonts w:hint="eastAsia" w:ascii="宋体" w:hAnsi="宋体" w:cs="宋体"/>
                <w:kern w:val="0"/>
                <w:sz w:val="18"/>
                <w:szCs w:val="18"/>
                <w:highlight w:val="none"/>
              </w:rPr>
              <w:t>1、材料品种、规格：芝麻灰花岗岩火烧面平石15*10*100cm翻铺</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2、基础、垫层：材料品种、厚度：20厚M7.5干混砌筑砂浆粘结层</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48.18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104</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安砌侧（平、缘）石</w:t>
            </w:r>
          </w:p>
        </w:tc>
        <w:tc>
          <w:tcPr>
            <w:tcW w:w="3861" w:type="dxa"/>
            <w:noWrap/>
            <w:vAlign w:val="center"/>
          </w:tcPr>
          <w:p>
            <w:pPr>
              <w:widowControl/>
              <w:jc w:val="left"/>
              <w:textAlignment w:val="center"/>
              <w:rPr>
                <w:rFonts w:ascii="宋体" w:hAnsi="宋体" w:cs="Arial"/>
                <w:i/>
                <w:iCs/>
                <w:szCs w:val="18"/>
                <w:highlight w:val="none"/>
                <w:vertAlign w:val="superscript"/>
              </w:rPr>
            </w:pPr>
            <w:r>
              <w:rPr>
                <w:rFonts w:hint="eastAsia" w:ascii="宋体" w:hAnsi="宋体" w:cs="宋体"/>
                <w:kern w:val="0"/>
                <w:sz w:val="18"/>
                <w:szCs w:val="18"/>
                <w:highlight w:val="none"/>
              </w:rPr>
              <w:t>1、材料品种、规格：砼侧石30*15*100cm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2、基础、垫层：材料品种、厚度：20厚M7.5干混砌筑砂浆粘结层</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35.42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105</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破损隔离桩修复</w:t>
            </w:r>
          </w:p>
        </w:tc>
        <w:tc>
          <w:tcPr>
            <w:tcW w:w="3861" w:type="dxa"/>
            <w:noWrap/>
            <w:vAlign w:val="center"/>
          </w:tcPr>
          <w:p>
            <w:pPr>
              <w:widowControl/>
              <w:jc w:val="left"/>
              <w:textAlignment w:val="center"/>
              <w:rPr>
                <w:rFonts w:ascii="宋体" w:hAnsi="宋体" w:cs="Arial"/>
                <w:i/>
                <w:iCs/>
                <w:szCs w:val="18"/>
                <w:highlight w:val="none"/>
                <w:vertAlign w:val="superscript"/>
              </w:rPr>
            </w:pPr>
            <w:r>
              <w:rPr>
                <w:rFonts w:hint="eastAsia" w:ascii="宋体" w:hAnsi="宋体" w:cs="宋体"/>
                <w:kern w:val="0"/>
                <w:sz w:val="18"/>
                <w:szCs w:val="18"/>
                <w:highlight w:val="none"/>
              </w:rPr>
              <w:t>破损隔离桩修复（包括隔离桩重新埋设、重新贴反光膜等）</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个</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106</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隔离桩</w:t>
            </w:r>
          </w:p>
        </w:tc>
        <w:tc>
          <w:tcPr>
            <w:tcW w:w="3861" w:type="dxa"/>
            <w:noWrap/>
            <w:vAlign w:val="center"/>
          </w:tcPr>
          <w:p>
            <w:pPr>
              <w:widowControl/>
              <w:jc w:val="left"/>
              <w:textAlignment w:val="center"/>
              <w:rPr>
                <w:rFonts w:ascii="宋体" w:hAnsi="宋体" w:cs="Arial"/>
                <w:i/>
                <w:iCs/>
                <w:szCs w:val="18"/>
                <w:highlight w:val="none"/>
                <w:vertAlign w:val="superscript"/>
              </w:rPr>
            </w:pPr>
            <w:r>
              <w:rPr>
                <w:rFonts w:hint="eastAsia" w:ascii="宋体" w:hAnsi="宋体" w:cs="宋体"/>
                <w:kern w:val="0"/>
                <w:sz w:val="18"/>
                <w:szCs w:val="18"/>
                <w:highlight w:val="none"/>
              </w:rPr>
              <w:t>Φ100*3钢管（外贴反光膜），长1m，内灌C20砼</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个</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107</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隔离桩</w:t>
            </w:r>
          </w:p>
        </w:tc>
        <w:tc>
          <w:tcPr>
            <w:tcW w:w="3861" w:type="dxa"/>
            <w:noWrap/>
            <w:vAlign w:val="center"/>
          </w:tcPr>
          <w:p>
            <w:pPr>
              <w:widowControl/>
              <w:jc w:val="left"/>
              <w:textAlignment w:val="center"/>
              <w:rPr>
                <w:rFonts w:ascii="宋体" w:hAnsi="宋体" w:cs="Arial"/>
                <w:i/>
                <w:iCs/>
                <w:szCs w:val="18"/>
                <w:highlight w:val="none"/>
                <w:vertAlign w:val="superscript"/>
              </w:rPr>
            </w:pPr>
            <w:r>
              <w:rPr>
                <w:rFonts w:hint="eastAsia" w:ascii="宋体" w:hAnsi="宋体" w:cs="宋体"/>
                <w:kern w:val="0"/>
                <w:sz w:val="18"/>
                <w:szCs w:val="18"/>
                <w:highlight w:val="none"/>
              </w:rPr>
              <w:t>Φ150*3.5钢管（外贴反光膜），长1m，内灌C20砼</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个</w:t>
            </w:r>
          </w:p>
        </w:tc>
        <w:tc>
          <w:tcPr>
            <w:tcW w:w="126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108</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隔离桩</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成品花岗岩隔离桩安装，材质同原有材质</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个</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109</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隔离球墩</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成品花岗岩隔离球墩安装，材质同原有材质</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个</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110</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油漆</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木材面聚酯清漆 三遍</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36.30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111</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花坛修复</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240厚MU10砼标准砖M7.5水泥砂浆砌筑</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20厚1:2水泥砂浆抹面</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229.08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112</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花坛修复</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240厚MU10砼标准砖M7.5水泥砂浆砌筑</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20厚1:2水泥砂浆抹面</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石材贴面同原有材质规格</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411.08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113</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树池砌筑</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石质树池更换，材质规格同原有的材质规格（包括原有侧石拆除、清理、砼基础、外运等一切费用）</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55.55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114</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树池砌筑</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原树池利用修复（包括原有侧石拆除、清理、砼基础等一切费用）</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89" w:type="dxa"/>
            <w:gridSpan w:val="5"/>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桥涵工程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115</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油漆</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钢管栏杆柱及横杆油漆（面积按藏开面积计算），包含除锈、砂皮打磨、清运等</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环氧富锌漆一遍；喷云铁防锈漆一遍；喷氟碳面漆两道</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58.61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116</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零星砌砖</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1、砖品种、规格、强度等级：MU10砼标准砖</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2、砂浆强度等级、配合比：M7.5干混砌筑砂浆</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m3</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604.97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117</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零星项目一般抹灰</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20厚DM15干混抹灰砂浆</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56.68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118</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水泥混凝土</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10mm厚C20混凝土基层，包括锯缝、灌缝、养护</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47.95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119</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水泥混凝土</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1、混凝土强度等级：C20砼垫层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2、厚度：每增（减）1cm</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m2</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120</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金属栏杆</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钢管栏杆制作安装（包含原有栏杆拆除）</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109.46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121</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金属栏杆</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型钢栏杆制作安装（包含原有栏杆拆除）</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109.46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122</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石质栏杆</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花岗岩栏板制作安装（包含原有栏杆拆除）</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123</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石质栏杆</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花岗岩柱制作安装</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根</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215.10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124</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警示柱</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反光防撞隔离桩</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根</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66.68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125</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标志板</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警示牌制作安装</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块</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650.00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126</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桥梁伸缩装置</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伸缩缝调换安装 型钢伸缩缝（型钢型号综合考虑）含拆除砼，清理垃圾及外运，运距综合考虑</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972.10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127</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安装限高标志牌</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安装限高标志牌</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块</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128</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桥面伸缩缝清理</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桥面伸缩缝清理</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129</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桥面泄水孔清理</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桥面泄水孔清理</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个</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32.72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130</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止水带更换</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长条型橡胶止水带更换</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271.24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131</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橡胶支座保养</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橡胶支座保养</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只</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44.28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132</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桥梁伸缩缝灌胶</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清除及清理伸缩缝，安装背衬材料，注胶等一切费用</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89" w:type="dxa"/>
            <w:gridSpan w:val="5"/>
            <w:noWrap/>
            <w:vAlign w:val="center"/>
          </w:tcPr>
          <w:p>
            <w:pPr>
              <w:jc w:val="center"/>
              <w:rPr>
                <w:rFonts w:ascii="宋体" w:hAnsi="宋体" w:cs="宋体"/>
                <w:kern w:val="0"/>
                <w:sz w:val="18"/>
                <w:szCs w:val="18"/>
                <w:highlight w:val="none"/>
              </w:rPr>
            </w:pPr>
            <w:r>
              <w:rPr>
                <w:rFonts w:hint="eastAsia" w:ascii="宋体" w:hAnsi="宋体" w:cs="宋体"/>
                <w:kern w:val="0"/>
                <w:sz w:val="18"/>
                <w:szCs w:val="18"/>
                <w:highlight w:val="none"/>
              </w:rPr>
              <w:t>排水管网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133</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检查井升降</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300*450以内检查井 升高15cm以内</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189.03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134</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检查井升降</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450*450以内检查井 升高15cm以内</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204.79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135</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检查井升降</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500*500以内检查井 升高15cm以内</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220.53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137</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检查井升降</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750*750以内检查井 降低20cm以内</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199.35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138</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检查井升降</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750*750以内检查井 每增加10cm</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58.18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139</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检查井升降</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750*750以内检查井 升高20cm以内</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315.05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140</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检查井升降</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φ700井筒检查井 降低20cm以内</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195.36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141</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检查井升降</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φ700井筒检查井 升高20cm以内</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297.90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142</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检查井升降</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φ700井筒检查井 每增加10cm</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51.58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143</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检查井升降</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单篦雨水口 降低20cm以内</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174.99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144</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检查井升降</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单篦雨水口 升高20cm以内</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267.31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145</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检查井升降</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单篦雨水口 每增加10cm</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46.24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146</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调换检查井井盖座</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调换防沉降球墨铸铁检查井井盖座（700*700mm） ，井四周采用C20砼坞膀，包含拆除的井盖等建筑垃圾外运，运距自行考虑</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1435.64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147</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调换检查井井盖座</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调换防沉降，五防井盖座（700*900mm） ，井四周采用C20砼坞膀，包含拆除的井盖等建筑垃圾外运，运距自行考虑</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1419.64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148</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调换检查井井盖座</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调换防沉降就墨铸铁检查井井盖座（Φ700） ，井四周采用C20砼坞膀，包含拆除的井盖等建筑垃圾外运，运距自行考虑</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1185.05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149</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调换检查井井盖座</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调换防沉降就墨铸铁检查井井盖座（Φ800） ，井四周采用C20砼坞膀，包含拆除的井盖等建筑垃圾外运，运距自行考虑</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1265.71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150</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调换检查井井盖座</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调换模压树脂复合井盖、座(重型)（Φ700） ，井四周采用C20砼坞膀，包含拆除的井盖等建筑垃圾外运，运距自行考虑</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618.05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151</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调换检查井井盖座</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调换模压树脂复合井盖、座(重型)（Φ800） ，井四周采用C20砼坞膀，包含拆除的井盖等建筑垃圾外运，运距自行考虑</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649.71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152</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调换检查井井盖座</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调换模压树脂复合井盖、座(重型)（700*700mm） ，井四周采用C20砼坞膀，包含拆除的井盖等建筑垃圾外运，运距自行考虑</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713.64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153</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调换雨水口井篦</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调换球墨铸铁雨水口井篦380*680mm ，井四周采用C20砼坞膀，包含拆除的井盖等建筑垃圾外运，运距自行考虑</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390.13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154</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调换雨水口井篦</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调换复合雨水口井篦380*680mm ，井四周采用C20砼坞膀，包含拆除的井盖等建筑垃圾外运，运距自行考虑</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216.13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155</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调换雨水口井篦</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调换复合雨水口井篦300*450mm ，井四周采用C20砼坞膀，包含拆除的井盖等建筑垃圾外运，运距自行考虑</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160.90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156</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预制井盖板</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1800*1800mm（Φ700内空）*20cm预制C25砼盖板，HRB400直径10@200双向钢筋</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块</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773.37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157</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校正检查井井盖</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校正圆形检查井井盖</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158</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校正检查井井盖</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校正方形检查井井盖</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159</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校正检查井井盖</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校正雨水口井篦</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160</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砌筑井</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Φ700圆形砖砌检查井（详参02S515P19）</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1、垫层、基础材质及厚度：100厚C15砼垫层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2、砌筑材料品种、规格、强度等级：MU10砼标准砖</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3、勾缝、抹面要求：井内外壁采用20厚1:2防水水泥砂浆抹面</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4、砂浆强度等级、配合比：砌筑M7.5水泥砂浆</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5、井盖、井圈材质及规格：：井盖采用Φ700 D400型防沉降球墨铸铁井盖，设置防坠落安全网；井圈C30砼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6、井深：平均1.5m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7、踏步：检查井内设置塑钢踏步，踏步安装详见国标图集 06MS201-5</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2158.21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161</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砌筑井</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Φ700圆形砖砌检查井（详参02S515P19）</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6、井深：每增减10cm</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62.42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162</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砌筑井</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Φ1000圆形砖砌检查井（收口式）（详参02S515P11）</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1、垫层、基础材质及厚度：100厚C15砼垫层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2、砌筑材料品种、规格、强度等级：M7.5水泥砂浆砌MU10砼标准砖</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3、勾缝、抹面要求：内外壁采用20厚1:2防水水泥砂浆抹面</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4、井深：平均1.71m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5、井盖、井圈材质及规格:Φ700 D400型防沉降球墨铸铁井盖，C30砼井圈；井内安装8颗膨胀螺丝，并铺设一层聚乙烯防坠网</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6、踏步材质、规格：检查井内设置塑钢踏步，踏步安装详见国标图集 06MS201-6</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2309.92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163</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砌筑井</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Φ1000圆形砖砌检查井（收口式）（详参02S515P11）</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4、井深：每增减0.1m</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82.32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164</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雨水口</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380*680mm砖砌单篦雨水口</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1.井深：0.7m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2、雨水篦子及圈口材质、型号、规格：380*680mm铸铁井篦</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3、垫层、基础材质及厚度：100厚C15素砼垫层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4、砌筑材料品种、规格：MU10砼标砖,M10水泥砂浆砌体</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5、砂浆强度等级及配合比：井内外壁采用20厚1:3水泥砂浆抹面</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6、详见：图集05S518P6</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710.95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165</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雨水口</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380*680mm砖砌单篦雨水口</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1.井深：每增减0.1m</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58.99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166</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雨水口</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300*450mm砖砌单篦雨水口</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1.井深：0.7m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2、雨水篦子及圈口材质、型号、规格：380*680mm铸铁井篦</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3、垫层、基础材质及厚度：100厚C15素砼垫层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4、砌筑材料品种、规格：MU10砼标砖,M10水泥砂浆砌体</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5、砂浆强度等级及配合比：井内外壁采用20厚1:3水泥砂浆抹面</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6、详见：图集05S518P6</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537.07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highlight w:val="none"/>
              </w:rPr>
            </w:pPr>
            <w:r>
              <w:rPr>
                <w:rFonts w:hint="eastAsia" w:ascii="宋体" w:hAnsi="宋体" w:cs="宋体"/>
                <w:kern w:val="0"/>
                <w:sz w:val="18"/>
                <w:szCs w:val="18"/>
                <w:highlight w:val="none"/>
              </w:rPr>
              <w:t>167</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雨水口</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300*450mm砖砌单篦雨水口</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1.井深：每增减0.1m</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46.14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highlight w:val="none"/>
              </w:rPr>
            </w:pPr>
            <w:r>
              <w:rPr>
                <w:rFonts w:hint="eastAsia" w:ascii="宋体" w:hAnsi="宋体" w:cs="宋体"/>
                <w:kern w:val="0"/>
                <w:sz w:val="18"/>
                <w:szCs w:val="18"/>
                <w:highlight w:val="none"/>
              </w:rPr>
              <w:t>168</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复合井盖</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人行道明沟复合盖板600*400*80mm，含C20砼压顶，材质同原材质</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块</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highlight w:val="none"/>
              </w:rPr>
            </w:pPr>
            <w:r>
              <w:rPr>
                <w:rFonts w:hint="eastAsia" w:ascii="宋体" w:hAnsi="宋体" w:cs="宋体"/>
                <w:kern w:val="0"/>
                <w:sz w:val="18"/>
                <w:szCs w:val="18"/>
                <w:highlight w:val="none"/>
              </w:rPr>
              <w:t>169</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复合井盖</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人行道明沟复合盖板600*400*80mm翻铺（50%利用），材质同原材质</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块</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highlight w:val="none"/>
              </w:rPr>
            </w:pPr>
            <w:r>
              <w:rPr>
                <w:rFonts w:hint="eastAsia" w:ascii="宋体" w:hAnsi="宋体" w:cs="宋体"/>
                <w:kern w:val="0"/>
                <w:sz w:val="18"/>
                <w:szCs w:val="18"/>
                <w:highlight w:val="none"/>
              </w:rPr>
              <w:t>170</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 UPVC管（管径） φ250以下（含挖土、砂石基础、回填等全部工作）</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273.61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highlight w:val="none"/>
              </w:rPr>
            </w:pPr>
            <w:r>
              <w:rPr>
                <w:rFonts w:hint="eastAsia" w:ascii="宋体" w:hAnsi="宋体" w:cs="宋体"/>
                <w:kern w:val="0"/>
                <w:sz w:val="18"/>
                <w:szCs w:val="18"/>
                <w:highlight w:val="none"/>
              </w:rPr>
              <w:t>171</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 PE100管 1.0MPa（管径） φ225以下（含挖土、砂石基础、回填等全部工作）</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411.63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highlight w:val="none"/>
              </w:rPr>
            </w:pPr>
            <w:r>
              <w:rPr>
                <w:rFonts w:hint="eastAsia" w:ascii="宋体" w:hAnsi="宋体" w:cs="宋体"/>
                <w:kern w:val="0"/>
                <w:sz w:val="18"/>
                <w:szCs w:val="18"/>
                <w:highlight w:val="none"/>
              </w:rPr>
              <w:t>172</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 PE100管 1.0MPa（管径） φ300（含挖土、砂石基础、回填等全部工作）</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554.46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highlight w:val="none"/>
              </w:rPr>
            </w:pPr>
            <w:r>
              <w:rPr>
                <w:rFonts w:hint="eastAsia" w:ascii="宋体" w:hAnsi="宋体" w:cs="宋体"/>
                <w:kern w:val="0"/>
                <w:sz w:val="18"/>
                <w:szCs w:val="18"/>
                <w:highlight w:val="none"/>
              </w:rPr>
              <w:t>173</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 PE100管 1.0MPa（管径） φ400（含挖土、砂石基础、回填等全部工作）</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739.19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174</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 PE100管 1.0MPa（管径） φ500（含挖土、砂石基础、回填等全部工作）</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1012.22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175</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 PE100管 1.0MPa（管径） φ600（含挖土、砂石基础、回填等全部工作）</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1456.79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176</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 HDPE双壁波纹管（管径） φ225（含挖土、砂石基础、回填等全部工作）</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266.43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177</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 HDPE双壁波纹管（管径） φ300（含挖土、管道基础、回填等全部工作）</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325.56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178</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 HDPE双壁波纹管（管径） φ400（含挖土、管道基础、回填等全部工作）</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364.65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179</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 HDPE双壁波纹管（管径） φ500（含挖土、管道基础、回填等全部工作）</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416.42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180</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 HDPE双壁波纹管（管径） φ600（含挖土、管道基础、回填等全部工作）</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490.51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181</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 钢筋砼管 Φ200（含挖土、管道基础、回填等全部工作）</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182</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 钢筋砼管 Φ300（含挖土、管道基础、回填等全部工作）</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288.22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183</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 钢筋砼管 Φ400（含挖土、管道基础、回填等全部工作）</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322.88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184</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 钢筋砼管 Φ500（含挖土、管道基础、回填等全部工作）</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356.21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185</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 钢筋砼管 Φ600（含挖土、管道基础、回填等全部工作）</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382.47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186</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水平导向钻进</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1、材质及规格：Φ200PE100管，1.0MPa</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2、接口方式：热熔连接</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394.23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187</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水平导向钻进</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1、材质及规格：Φ300PE100管，1.0MPa</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2、接口方式：热熔连接</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584.26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188</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水平导向钻进</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1、材质及规格：Φ400PE100管，1.0MPa</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2、接口方式：热熔连接</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880.80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189</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水平导向钻进</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1、材质及规格：Φ500PE100管，1.0MPa</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2、接口方式：热熔连接</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1278.66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190</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水平导向钻进</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1、材质及规格：Φ600PE100管，1.0MPa</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2、接口方式：热熔连接</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1948.48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191</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防坠网</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1.挂钩：304不锈钢挂钩8个，Φ10，打入井壁80mm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2.防坠网应同时满足以下要求:a.单绳拉力不小于1600N。b.耐冲击不小于1000焦耳(200Kg*0.5m)。c.承重能力不小于850Kg。 d.网目小于10cm。e.中绳直径不小于6mm,边绳不小于10mm。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3.防坠网采用高密度低压聚乙烯或高密度尼龙材料制作,材料应满足现行国家及行业标准要求。</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个</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89" w:type="dxa"/>
            <w:gridSpan w:val="5"/>
            <w:noWrap/>
            <w:vAlign w:val="center"/>
          </w:tcPr>
          <w:p>
            <w:pPr>
              <w:jc w:val="center"/>
              <w:rPr>
                <w:rFonts w:ascii="宋体" w:hAnsi="宋体" w:cs="宋体"/>
                <w:kern w:val="0"/>
                <w:sz w:val="18"/>
                <w:szCs w:val="18"/>
                <w:highlight w:val="none"/>
              </w:rPr>
            </w:pPr>
            <w:r>
              <w:rPr>
                <w:rFonts w:hint="eastAsia" w:ascii="宋体" w:hAnsi="宋体" w:cs="宋体"/>
                <w:kern w:val="0"/>
                <w:sz w:val="18"/>
                <w:szCs w:val="18"/>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192</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道路智慧化巡视检查</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道路巡视检查，对智慧系统录入资料整理等</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工日</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193</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应急抢险</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应急抢险，铲车，排水车、抢险车等特种车辆</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台班</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194</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应急抢险</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应急抢险，一般抢险人员</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工日</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89" w:type="dxa"/>
            <w:gridSpan w:val="5"/>
            <w:noWrap/>
            <w:vAlign w:val="center"/>
          </w:tcPr>
          <w:p>
            <w:pPr>
              <w:jc w:val="center"/>
              <w:rPr>
                <w:rFonts w:ascii="宋体" w:hAnsi="宋体" w:cs="宋体"/>
                <w:kern w:val="0"/>
                <w:sz w:val="18"/>
                <w:szCs w:val="18"/>
                <w:highlight w:val="none"/>
              </w:rPr>
            </w:pPr>
            <w:r>
              <w:rPr>
                <w:rFonts w:hint="eastAsia" w:ascii="宋体" w:hAnsi="宋体" w:cs="宋体"/>
                <w:kern w:val="0"/>
                <w:sz w:val="18"/>
                <w:szCs w:val="18"/>
                <w:highlight w:val="none"/>
              </w:rPr>
              <w:t>零星人工机械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195</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零星人工</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零星人工</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工日</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196</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零星机械</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零星机械（拖拉机）使用台班</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台班</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197</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零星机械</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零星机械（风镐）使用台班</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台班</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198</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零星机械</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零星机械（挖掘机）使用台班</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台班</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199</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零星机械</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零星机械（沥青保温车）使用台班</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台班</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200</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零星机械</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零星机械（吊车）使用台班</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台班</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89" w:type="dxa"/>
            <w:gridSpan w:val="5"/>
            <w:noWrap/>
            <w:vAlign w:val="center"/>
          </w:tcPr>
          <w:p>
            <w:pPr>
              <w:jc w:val="center"/>
              <w:rPr>
                <w:rFonts w:ascii="宋体" w:hAnsi="宋体" w:cs="宋体"/>
                <w:kern w:val="0"/>
                <w:sz w:val="18"/>
                <w:szCs w:val="18"/>
                <w:highlight w:val="none"/>
              </w:rPr>
            </w:pPr>
            <w:r>
              <w:rPr>
                <w:rFonts w:hint="eastAsia" w:ascii="宋体" w:hAnsi="宋体" w:cs="宋体"/>
                <w:kern w:val="0"/>
                <w:sz w:val="18"/>
                <w:szCs w:val="18"/>
                <w:highlight w:val="none"/>
              </w:rPr>
              <w:t>机械进出场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201</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大型机械设备进出场及安拆</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履带式推土机</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台·次</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3848.87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202</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大型机械设备进出场及安拆</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沥青混凝土摊铺机</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台·次</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5708.31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203</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大型机械设备进出场及安拆</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履带式挖掘机</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台·次</w:t>
            </w:r>
          </w:p>
        </w:tc>
        <w:tc>
          <w:tcPr>
            <w:tcW w:w="126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4337.23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89" w:type="dxa"/>
            <w:gridSpan w:val="5"/>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单价合计金额上限价：：79881.34元</w:t>
            </w:r>
          </w:p>
        </w:tc>
      </w:tr>
    </w:tbl>
    <w:p>
      <w:pPr>
        <w:spacing w:beforeLines="50" w:line="276" w:lineRule="auto"/>
        <w:rPr>
          <w:rFonts w:ascii="宋体" w:hAnsi="宋体"/>
          <w:b/>
          <w:sz w:val="24"/>
          <w:highlight w:val="none"/>
        </w:rPr>
      </w:pPr>
      <w:r>
        <w:rPr>
          <w:rFonts w:hint="eastAsia" w:ascii="宋体" w:hAnsi="宋体"/>
          <w:b/>
          <w:sz w:val="24"/>
          <w:highlight w:val="none"/>
        </w:rPr>
        <w:t>▲注：1、本项目以优惠率（优惠率=（采购人合计上限价格-投标人报价）/采购人合计上限价格*100%）作为投标报价，此优惠率以采购人采购文件中提供的清单和价格为基础，只能唯一，不允许各部分单独报优惠率。</w:t>
      </w:r>
    </w:p>
    <w:p>
      <w:pPr>
        <w:spacing w:beforeLines="50" w:line="276" w:lineRule="auto"/>
        <w:rPr>
          <w:rFonts w:ascii="宋体" w:hAnsi="宋体"/>
          <w:b/>
          <w:sz w:val="24"/>
          <w:highlight w:val="none"/>
        </w:rPr>
      </w:pPr>
      <w:r>
        <w:rPr>
          <w:rFonts w:hint="eastAsia" w:ascii="宋体" w:hAnsi="宋体"/>
          <w:b/>
          <w:sz w:val="24"/>
          <w:highlight w:val="none"/>
        </w:rPr>
        <w:t>2、单价合计金额上限价=拆除工程+土方+道路+人行道+桥涵工程+排水管网+道路巡视检查+零星人工机械各子项单价上限金额之和。</w:t>
      </w:r>
    </w:p>
    <w:p>
      <w:pPr>
        <w:spacing w:beforeLines="50" w:line="276" w:lineRule="auto"/>
        <w:rPr>
          <w:rFonts w:ascii="宋体" w:hAnsi="宋体"/>
          <w:b/>
          <w:sz w:val="24"/>
          <w:highlight w:val="none"/>
        </w:rPr>
      </w:pPr>
      <w:r>
        <w:rPr>
          <w:rFonts w:hint="eastAsia" w:ascii="宋体" w:hAnsi="宋体"/>
          <w:b/>
          <w:sz w:val="24"/>
          <w:highlight w:val="none"/>
        </w:rPr>
        <w:t>3、上述清单</w:t>
      </w:r>
      <w:r>
        <w:rPr>
          <w:rFonts w:ascii="宋体" w:hAnsi="宋体"/>
          <w:b/>
          <w:sz w:val="24"/>
          <w:highlight w:val="none"/>
        </w:rPr>
        <w:t>内</w:t>
      </w:r>
      <w:r>
        <w:rPr>
          <w:rFonts w:hint="eastAsia" w:ascii="宋体" w:hAnsi="宋体"/>
          <w:b/>
          <w:sz w:val="24"/>
          <w:highlight w:val="none"/>
        </w:rPr>
        <w:t>所有</w:t>
      </w:r>
      <w:r>
        <w:rPr>
          <w:rFonts w:ascii="宋体" w:hAnsi="宋体"/>
          <w:b/>
          <w:sz w:val="24"/>
          <w:highlight w:val="none"/>
        </w:rPr>
        <w:t>子项单价上限价均为综合单价</w:t>
      </w:r>
      <w:r>
        <w:rPr>
          <w:rFonts w:hint="eastAsia" w:ascii="宋体" w:hAnsi="宋体"/>
          <w:b/>
          <w:sz w:val="24"/>
          <w:highlight w:val="none"/>
        </w:rPr>
        <w:t>（综合单价</w:t>
      </w:r>
      <w:r>
        <w:rPr>
          <w:rFonts w:ascii="宋体" w:hAnsi="宋体"/>
          <w:b/>
          <w:sz w:val="24"/>
          <w:highlight w:val="none"/>
        </w:rPr>
        <w:t>内</w:t>
      </w:r>
      <w:r>
        <w:rPr>
          <w:rFonts w:hint="eastAsia" w:ascii="宋体" w:hAnsi="宋体"/>
          <w:b/>
          <w:sz w:val="24"/>
          <w:highlight w:val="none"/>
        </w:rPr>
        <w:t>包括</w:t>
      </w:r>
      <w:r>
        <w:rPr>
          <w:rFonts w:ascii="宋体" w:hAnsi="宋体"/>
          <w:b/>
          <w:sz w:val="24"/>
          <w:highlight w:val="none"/>
        </w:rPr>
        <w:t>：</w:t>
      </w:r>
      <w:r>
        <w:rPr>
          <w:rFonts w:hint="eastAsia" w:ascii="宋体" w:hAnsi="宋体"/>
          <w:b/>
          <w:sz w:val="24"/>
          <w:highlight w:val="none"/>
        </w:rPr>
        <w:t>人工费、材料费、机械费、利润、企业管理费</w:t>
      </w:r>
      <w:r>
        <w:rPr>
          <w:rFonts w:ascii="宋体" w:hAnsi="宋体"/>
          <w:b/>
          <w:sz w:val="24"/>
          <w:highlight w:val="none"/>
        </w:rPr>
        <w:t>）</w:t>
      </w:r>
    </w:p>
    <w:p>
      <w:pPr>
        <w:spacing w:beforeLines="50" w:line="276" w:lineRule="auto"/>
        <w:rPr>
          <w:rFonts w:ascii="宋体" w:hAnsi="宋体"/>
          <w:b/>
          <w:sz w:val="24"/>
          <w:highlight w:val="none"/>
        </w:rPr>
      </w:pPr>
      <w:r>
        <w:rPr>
          <w:rFonts w:hint="eastAsia" w:ascii="宋体" w:hAnsi="宋体"/>
          <w:b/>
          <w:sz w:val="24"/>
          <w:highlight w:val="none"/>
        </w:rPr>
        <w:t>4、本项目中标人需派遣一名熟练掌握“德清县智慧市政平台”操作使用的管理人员专职服务于本项目，接受管理单位调度与管理。</w:t>
      </w:r>
    </w:p>
    <w:p>
      <w:pPr>
        <w:spacing w:beforeLines="50" w:line="276" w:lineRule="auto"/>
        <w:rPr>
          <w:rFonts w:ascii="宋体" w:hAnsi="宋体"/>
          <w:b/>
          <w:sz w:val="24"/>
          <w:highlight w:val="none"/>
        </w:rPr>
      </w:pPr>
      <w:r>
        <w:rPr>
          <w:rFonts w:hint="eastAsia" w:ascii="宋体" w:hAnsi="宋体"/>
          <w:b/>
          <w:sz w:val="24"/>
          <w:highlight w:val="none"/>
        </w:rPr>
        <w:t>5、本项目招标人需每月对中标人进行考核，具体考核办法及细则见第五章合同主要条款附件1、附件2。</w:t>
      </w:r>
    </w:p>
    <w:p>
      <w:pPr>
        <w:spacing w:beforeLines="50" w:line="360" w:lineRule="auto"/>
        <w:rPr>
          <w:rFonts w:ascii="宋体" w:hAnsi="宋体"/>
          <w:b/>
          <w:color w:val="000000"/>
          <w:sz w:val="24"/>
          <w:highlight w:val="none"/>
        </w:rPr>
      </w:pPr>
    </w:p>
    <w:p>
      <w:pPr>
        <w:spacing w:line="400" w:lineRule="exact"/>
        <w:rPr>
          <w:rFonts w:ascii="宋体" w:hAnsi="宋体"/>
          <w:b/>
          <w:color w:val="FF0000"/>
          <w:kern w:val="0"/>
          <w:sz w:val="32"/>
          <w:szCs w:val="32"/>
          <w:highlight w:val="none"/>
        </w:rPr>
      </w:pPr>
      <w:r>
        <w:rPr>
          <w:rFonts w:hint="eastAsia" w:ascii="宋体" w:hAnsi="宋体"/>
          <w:b/>
          <w:color w:val="FF0000"/>
          <w:kern w:val="0"/>
          <w:sz w:val="32"/>
          <w:szCs w:val="32"/>
          <w:highlight w:val="none"/>
        </w:rPr>
        <w:t>标项三：德清县市政管理处2022-2023年度辖区市政设施养护管理服务采购项目-地信小镇标段</w:t>
      </w:r>
    </w:p>
    <w:p>
      <w:pPr>
        <w:spacing w:beforeLines="50" w:line="360" w:lineRule="auto"/>
        <w:rPr>
          <w:rFonts w:ascii="宋体" w:hAnsi="宋体"/>
          <w:b/>
          <w:sz w:val="24"/>
          <w:highlight w:val="none"/>
        </w:rPr>
      </w:pPr>
      <w:r>
        <w:rPr>
          <w:rFonts w:hint="eastAsia" w:ascii="宋体" w:hAnsi="宋体"/>
          <w:b/>
          <w:sz w:val="24"/>
          <w:highlight w:val="none"/>
        </w:rPr>
        <w:t>（一）项目概况：</w:t>
      </w:r>
    </w:p>
    <w:p>
      <w:pPr>
        <w:spacing w:beforeLines="50" w:line="360" w:lineRule="auto"/>
        <w:ind w:firstLine="482" w:firstLineChars="200"/>
        <w:rPr>
          <w:rFonts w:ascii="宋体" w:hAnsi="宋体"/>
          <w:b/>
          <w:sz w:val="24"/>
          <w:highlight w:val="none"/>
        </w:rPr>
      </w:pPr>
      <w:r>
        <w:rPr>
          <w:rFonts w:hint="eastAsia" w:ascii="宋体" w:hAnsi="宋体"/>
          <w:b/>
          <w:kern w:val="0"/>
          <w:sz w:val="24"/>
          <w:highlight w:val="none"/>
        </w:rPr>
        <w:t>德清县地信小镇</w:t>
      </w:r>
      <w:r>
        <w:rPr>
          <w:rFonts w:hint="eastAsia" w:ascii="宋体" w:hAnsi="宋体"/>
          <w:b/>
          <w:sz w:val="24"/>
          <w:highlight w:val="none"/>
        </w:rPr>
        <w:t>各类市政设施在日常使用过程中出现的常规性病害，例如：人行道铺装松动破损、树围拱起断裂、沥青路面麻面坑洞、隔离桩松动损坏、道路沉降积水、应急抢险、巡查等需要及时进行养护管理服务，每一个年度服务费上限为315万元。服务周期：自合同签订之日起一年。服务期满，经招标人考核合格，且双方协商同意，并向财政部门报备后，可续签一年，续签最多不得超过两次。，承包人若愿意续约，应在合同到期前3个月书面提出续约申请，发包人根据承包人在合同期内履约和考核情况决定是否续约，每次续约服务年限为1年，可续约2次，续约需另行签订养护施工合同。在续约期间因政策变动，发包人可以提前终止续约合同。</w:t>
      </w:r>
    </w:p>
    <w:p>
      <w:pPr>
        <w:spacing w:beforeLines="50" w:line="360" w:lineRule="auto"/>
        <w:ind w:firstLine="482" w:firstLineChars="200"/>
        <w:rPr>
          <w:rFonts w:ascii="宋体" w:hAnsi="宋体"/>
          <w:b/>
          <w:sz w:val="24"/>
          <w:highlight w:val="none"/>
        </w:rPr>
      </w:pPr>
      <w:r>
        <w:rPr>
          <w:rFonts w:hint="eastAsia" w:ascii="宋体" w:hAnsi="宋体"/>
          <w:b/>
          <w:sz w:val="24"/>
          <w:highlight w:val="none"/>
        </w:rPr>
        <w:t>本次市政设施养护采购内容主要针对以上问题所需进行的零星修复工作，分为市政道路维修类、人行道维修类、桥梁维修类、排水管网维护类、道路巡视检查及紧急状态下抢修工作等。确保</w:t>
      </w:r>
      <w:r>
        <w:rPr>
          <w:rFonts w:hint="eastAsia" w:ascii="宋体" w:hAnsi="宋体"/>
          <w:b/>
          <w:kern w:val="0"/>
          <w:sz w:val="24"/>
          <w:highlight w:val="none"/>
        </w:rPr>
        <w:t>地信小镇</w:t>
      </w:r>
      <w:r>
        <w:rPr>
          <w:rFonts w:hint="eastAsia" w:ascii="宋体" w:hAnsi="宋体"/>
          <w:b/>
          <w:sz w:val="24"/>
          <w:highlight w:val="none"/>
        </w:rPr>
        <w:t>市政设施出现各类病害能够及时得到修复。</w:t>
      </w:r>
    </w:p>
    <w:p>
      <w:pPr>
        <w:spacing w:beforeLines="50" w:line="360" w:lineRule="auto"/>
        <w:ind w:firstLine="482" w:firstLineChars="200"/>
        <w:rPr>
          <w:rFonts w:ascii="宋体" w:hAnsi="宋体"/>
          <w:b/>
          <w:sz w:val="24"/>
          <w:highlight w:val="none"/>
        </w:rPr>
      </w:pPr>
      <w:r>
        <w:rPr>
          <w:rFonts w:hint="eastAsia" w:ascii="宋体" w:hAnsi="宋体"/>
          <w:b/>
          <w:sz w:val="24"/>
          <w:highlight w:val="none"/>
        </w:rPr>
        <w:t>本项目以</w:t>
      </w:r>
      <w:r>
        <w:rPr>
          <w:rFonts w:ascii="宋体" w:hAnsi="宋体"/>
          <w:b/>
          <w:sz w:val="24"/>
          <w:highlight w:val="none"/>
        </w:rPr>
        <w:t>服务为主，</w:t>
      </w:r>
      <w:r>
        <w:rPr>
          <w:rFonts w:hint="eastAsia" w:ascii="宋体" w:hAnsi="宋体"/>
          <w:b/>
          <w:sz w:val="24"/>
          <w:highlight w:val="none"/>
        </w:rPr>
        <w:t>市政</w:t>
      </w:r>
      <w:r>
        <w:rPr>
          <w:rFonts w:ascii="宋体" w:hAnsi="宋体"/>
          <w:b/>
          <w:sz w:val="24"/>
          <w:highlight w:val="none"/>
        </w:rPr>
        <w:t>设施养护维护过程中</w:t>
      </w:r>
      <w:r>
        <w:rPr>
          <w:rFonts w:hint="eastAsia" w:ascii="宋体" w:hAnsi="宋体"/>
          <w:b/>
          <w:sz w:val="24"/>
          <w:highlight w:val="none"/>
        </w:rPr>
        <w:t>拆除</w:t>
      </w:r>
      <w:r>
        <w:rPr>
          <w:rFonts w:ascii="宋体" w:hAnsi="宋体"/>
          <w:b/>
          <w:sz w:val="24"/>
          <w:highlight w:val="none"/>
        </w:rPr>
        <w:t>下来的原有</w:t>
      </w:r>
      <w:r>
        <w:rPr>
          <w:rFonts w:hint="eastAsia" w:ascii="宋体" w:hAnsi="宋体"/>
          <w:b/>
          <w:sz w:val="24"/>
          <w:highlight w:val="none"/>
        </w:rPr>
        <w:t>材料</w:t>
      </w:r>
      <w:r>
        <w:rPr>
          <w:rFonts w:ascii="宋体" w:hAnsi="宋体"/>
          <w:b/>
          <w:sz w:val="24"/>
          <w:highlight w:val="none"/>
        </w:rPr>
        <w:t>、设施</w:t>
      </w:r>
      <w:r>
        <w:rPr>
          <w:rFonts w:hint="eastAsia" w:ascii="宋体" w:hAnsi="宋体"/>
          <w:b/>
          <w:sz w:val="24"/>
          <w:highlight w:val="none"/>
        </w:rPr>
        <w:t>按照</w:t>
      </w:r>
      <w:r>
        <w:rPr>
          <w:rFonts w:ascii="宋体" w:hAnsi="宋体"/>
          <w:b/>
          <w:sz w:val="24"/>
          <w:highlight w:val="none"/>
        </w:rPr>
        <w:t>清单</w:t>
      </w:r>
      <w:r>
        <w:rPr>
          <w:rFonts w:hint="eastAsia" w:ascii="宋体" w:hAnsi="宋体"/>
          <w:b/>
          <w:sz w:val="24"/>
          <w:highlight w:val="none"/>
        </w:rPr>
        <w:t>描述可</w:t>
      </w:r>
      <w:r>
        <w:rPr>
          <w:rFonts w:ascii="宋体" w:hAnsi="宋体"/>
          <w:b/>
          <w:sz w:val="24"/>
          <w:highlight w:val="none"/>
        </w:rPr>
        <w:t>重复利用</w:t>
      </w:r>
      <w:r>
        <w:rPr>
          <w:rFonts w:hint="eastAsia" w:ascii="宋体" w:hAnsi="宋体"/>
          <w:b/>
          <w:sz w:val="24"/>
          <w:highlight w:val="none"/>
        </w:rPr>
        <w:t>的</w:t>
      </w:r>
      <w:r>
        <w:rPr>
          <w:rFonts w:ascii="宋体" w:hAnsi="宋体"/>
          <w:b/>
          <w:sz w:val="24"/>
          <w:highlight w:val="none"/>
        </w:rPr>
        <w:t>，</w:t>
      </w:r>
      <w:r>
        <w:rPr>
          <w:rFonts w:hint="eastAsia" w:ascii="宋体" w:hAnsi="宋体"/>
          <w:b/>
          <w:sz w:val="24"/>
          <w:highlight w:val="none"/>
        </w:rPr>
        <w:t>其</w:t>
      </w:r>
      <w:r>
        <w:rPr>
          <w:rFonts w:ascii="宋体" w:hAnsi="宋体"/>
          <w:b/>
          <w:sz w:val="24"/>
          <w:highlight w:val="none"/>
        </w:rPr>
        <w:t>材料价格</w:t>
      </w:r>
      <w:r>
        <w:rPr>
          <w:rFonts w:hint="eastAsia" w:ascii="宋体" w:hAnsi="宋体"/>
          <w:b/>
          <w:sz w:val="24"/>
          <w:highlight w:val="none"/>
        </w:rPr>
        <w:t>在</w:t>
      </w:r>
      <w:r>
        <w:rPr>
          <w:rFonts w:ascii="宋体" w:hAnsi="宋体"/>
          <w:b/>
          <w:sz w:val="24"/>
          <w:highlight w:val="none"/>
        </w:rPr>
        <w:t>结算过程中按照</w:t>
      </w:r>
      <w:r>
        <w:rPr>
          <w:rFonts w:hint="eastAsia" w:ascii="宋体" w:hAnsi="宋体"/>
          <w:b/>
          <w:sz w:val="24"/>
          <w:highlight w:val="none"/>
        </w:rPr>
        <w:t>当月信息价予以</w:t>
      </w:r>
      <w:r>
        <w:rPr>
          <w:rFonts w:ascii="宋体" w:hAnsi="宋体"/>
          <w:b/>
          <w:sz w:val="24"/>
          <w:highlight w:val="none"/>
        </w:rPr>
        <w:t>扣除</w:t>
      </w:r>
      <w:r>
        <w:rPr>
          <w:rFonts w:hint="eastAsia" w:ascii="宋体" w:hAnsi="宋体"/>
          <w:b/>
          <w:sz w:val="24"/>
          <w:highlight w:val="none"/>
        </w:rPr>
        <w:t>。</w:t>
      </w:r>
    </w:p>
    <w:p>
      <w:pPr>
        <w:spacing w:beforeLines="50" w:line="360" w:lineRule="auto"/>
        <w:rPr>
          <w:rFonts w:ascii="宋体" w:hAnsi="宋体"/>
          <w:b/>
          <w:sz w:val="24"/>
          <w:highlight w:val="none"/>
        </w:rPr>
      </w:pPr>
      <w:r>
        <w:rPr>
          <w:rFonts w:hint="eastAsia" w:ascii="宋体" w:hAnsi="宋体"/>
          <w:b/>
          <w:sz w:val="24"/>
          <w:highlight w:val="none"/>
        </w:rPr>
        <w:t>（二）采购需求（详细清单）：</w:t>
      </w:r>
    </w:p>
    <w:tbl>
      <w:tblPr>
        <w:tblStyle w:val="4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3861"/>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noWrap/>
            <w:vAlign w:val="center"/>
          </w:tcPr>
          <w:p>
            <w:pPr>
              <w:jc w:val="center"/>
              <w:rPr>
                <w:rFonts w:ascii="宋体" w:hAnsi="宋体"/>
                <w:b/>
                <w:bCs/>
                <w:sz w:val="22"/>
                <w:highlight w:val="none"/>
              </w:rPr>
            </w:pPr>
            <w:r>
              <w:rPr>
                <w:rFonts w:hint="eastAsia" w:ascii="宋体" w:hAnsi="宋体"/>
                <w:b/>
                <w:bCs/>
                <w:sz w:val="22"/>
                <w:highlight w:val="none"/>
              </w:rPr>
              <w:t>序号</w:t>
            </w:r>
          </w:p>
        </w:tc>
        <w:tc>
          <w:tcPr>
            <w:tcW w:w="2410" w:type="dxa"/>
            <w:noWrap/>
            <w:vAlign w:val="center"/>
          </w:tcPr>
          <w:p>
            <w:pPr>
              <w:jc w:val="center"/>
              <w:rPr>
                <w:rFonts w:ascii="宋体" w:hAnsi="宋体"/>
                <w:b/>
                <w:bCs/>
                <w:sz w:val="22"/>
                <w:highlight w:val="none"/>
              </w:rPr>
            </w:pPr>
            <w:r>
              <w:rPr>
                <w:rFonts w:hint="eastAsia" w:ascii="宋体" w:hAnsi="宋体"/>
                <w:b/>
                <w:bCs/>
                <w:sz w:val="22"/>
                <w:highlight w:val="none"/>
              </w:rPr>
              <w:t>项目名称</w:t>
            </w:r>
          </w:p>
        </w:tc>
        <w:tc>
          <w:tcPr>
            <w:tcW w:w="3861" w:type="dxa"/>
            <w:noWrap/>
            <w:vAlign w:val="center"/>
          </w:tcPr>
          <w:p>
            <w:pPr>
              <w:jc w:val="center"/>
              <w:rPr>
                <w:rFonts w:ascii="宋体" w:hAnsi="宋体"/>
                <w:b/>
                <w:bCs/>
                <w:sz w:val="22"/>
                <w:highlight w:val="none"/>
              </w:rPr>
            </w:pPr>
            <w:r>
              <w:rPr>
                <w:rFonts w:hint="eastAsia" w:ascii="宋体" w:hAnsi="宋体"/>
                <w:b/>
                <w:bCs/>
                <w:sz w:val="22"/>
                <w:highlight w:val="none"/>
              </w:rPr>
              <w:t>项目特征</w:t>
            </w:r>
          </w:p>
        </w:tc>
        <w:tc>
          <w:tcPr>
            <w:tcW w:w="1276" w:type="dxa"/>
            <w:noWrap/>
            <w:vAlign w:val="center"/>
          </w:tcPr>
          <w:p>
            <w:pPr>
              <w:jc w:val="center"/>
              <w:rPr>
                <w:rFonts w:ascii="宋体" w:hAnsi="宋体"/>
                <w:b/>
                <w:bCs/>
                <w:sz w:val="22"/>
                <w:highlight w:val="none"/>
              </w:rPr>
            </w:pPr>
            <w:r>
              <w:rPr>
                <w:rFonts w:hint="eastAsia" w:ascii="宋体" w:hAnsi="宋体"/>
                <w:b/>
                <w:bCs/>
                <w:sz w:val="22"/>
                <w:highlight w:val="none"/>
              </w:rPr>
              <w:t>计量单位</w:t>
            </w:r>
          </w:p>
        </w:tc>
        <w:tc>
          <w:tcPr>
            <w:tcW w:w="1417" w:type="dxa"/>
            <w:noWrap/>
            <w:vAlign w:val="center"/>
          </w:tcPr>
          <w:p>
            <w:pPr>
              <w:jc w:val="center"/>
              <w:rPr>
                <w:rFonts w:ascii="宋体" w:hAnsi="宋体"/>
                <w:b/>
                <w:bCs/>
                <w:sz w:val="22"/>
                <w:highlight w:val="none"/>
              </w:rPr>
            </w:pPr>
            <w:r>
              <w:rPr>
                <w:rFonts w:hint="eastAsia"/>
                <w:kern w:val="0"/>
                <w:szCs w:val="21"/>
                <w:highlight w:val="none"/>
              </w:rPr>
              <w:t>▲</w:t>
            </w:r>
            <w:r>
              <w:rPr>
                <w:rFonts w:hint="eastAsia" w:ascii="宋体" w:hAnsi="宋体"/>
                <w:b/>
                <w:bCs/>
                <w:sz w:val="22"/>
                <w:highlight w:val="none"/>
              </w:rPr>
              <w:t>单价上限价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639" w:type="dxa"/>
            <w:gridSpan w:val="5"/>
            <w:noWrap/>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管道疏通、检测及修复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管道疏通</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1、管径Φ400以下</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2、疏通方式：机械疏通</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3、包含沿线检查井、雨水口清捞；</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4、废料场地和污泥外运由投标单位自行考虑；</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5、符合环保要求，安全措施到位，投标人自行考虑费用，并包含在投标报价中。</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2</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管道疏通</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1、管径Φ400~800</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2、疏通方式：机械疏通</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3、包含沿线检查井、雨水口清捞；</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4、废料场地和污泥外运由投标单位自行考虑；</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5、符合环保要求，安全措施到位，投标人自行考虑费用，并包含在投标报价中。</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3</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管道疏通</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1、管径Φ800~1200</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2、疏通方式：机械疏通</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3、包含沿线检查井、雨水口清捞；</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4、废料场地和污泥外运由投标单位自行考虑；</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5、符合环保要求，安全措施到位，投标人自行考虑费用，并包含在投标报价中。</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4</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管道疏通</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1、管径Φ1200~1800</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2、疏通方式：机械疏通</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3、包含沿线检查井、雨水口清捞；</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4、废料场地和污泥外运由投标单位自行考虑；</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5、符合环保要求，安全措施到位，投标人自行考虑费用，并包含在投标报价中。</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5</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管道疏通</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1、管径Φ≥1800</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2、疏通方式：机械疏通</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3、包含沿线检查井、雨水口清捞；</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4、废料场地和污泥外运由投标单位自行考虑；</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5、符合环保要求，安全措施到位，投标人自行考虑费用，并包含在投标报价中。</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6</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管道二次疏通</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1、管道二次疏通</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2、疏通方式：机械疏通</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3、包含沿线检查井、雨水口清捞；</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4、废料场地和污泥外运由投标单位自行考虑；</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5、符合环保要求，安全措施到位，投标人自行考虑费用，并包含在投标报价中。</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7</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CCTV检测</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机器人雨污水管道内部破损、变形、渗漏、雨污水排入等检测、成像判读，及管封、管堵以及抽水等前期工作</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8</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临时抢修应急</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临时抢修应急:管道清淤、疏通堵塞等包含人工机械等一切费用</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次</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9" w:type="dxa"/>
            <w:gridSpan w:val="5"/>
            <w:noWrap/>
            <w:vAlign w:val="center"/>
          </w:tcPr>
          <w:p>
            <w:pPr>
              <w:jc w:val="center"/>
              <w:rPr>
                <w:rFonts w:ascii="宋体" w:hAnsi="宋体" w:cs="Arial"/>
                <w:szCs w:val="18"/>
                <w:highlight w:val="none"/>
              </w:rPr>
            </w:pPr>
            <w:r>
              <w:rPr>
                <w:rFonts w:hint="eastAsia" w:ascii="宋体" w:hAnsi="宋体" w:cs="宋体"/>
                <w:kern w:val="0"/>
                <w:sz w:val="18"/>
                <w:szCs w:val="18"/>
                <w:highlight w:val="none"/>
              </w:rPr>
              <w:t>拆除工程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9</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拆除路面</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1、材质：砼道路</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2、厚度：10CM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4、包含围挡费用，请投标单位在单价中自行考虑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41.13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10</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拆除路面</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1、材质：砼道路</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2、厚度：10cm内，每减1cm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11</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拆除路面</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1、材质：砼道路</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2、厚度：15cm以内，每增1cm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12</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拆除路面</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1、材质：砼道路</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2、厚度：15cm以上，每增1cm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13</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拆除基层</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1、材质：水泥稳定基层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2、厚度：10cm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14</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拆除基层</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1、材质：水泥稳定基层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2、厚度：10cm内，每减1cm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15</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拆除基层</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1、材质：水泥稳定基层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2、厚度：15cm以内，每增1cm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16</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拆除基层</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1、材质：水泥稳定基层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2、厚度：15cm以上，每增1cm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17</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拆除基层</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1、材质：碎石垫层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2、厚度：10cm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30.77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18</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拆除基层</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1、材质：碎石垫层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2、厚度：10cm内，每减5cm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19</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拆除基层</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1、材质：碎石垫层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2、厚度：20cm以内，每增5cm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20</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拆除基层</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1、材质：碎石垫层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2、厚度：20cm以上，每增5cm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21</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拆除路面</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1、材质：沥青路面</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2、厚度：5cm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4、包含围挡费用，请投标单位在单价中自行考虑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22</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拆除路面</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1、材质：沥青路面</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2、厚度：5cm内，每减1cm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23</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拆除路面</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1、材质：沥青路面</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2、厚度：10cm以内，每增1cm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24</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拆除路面</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1、材质：沥青路面</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2、厚度：10cm以上，每增1cm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25</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拆除人行道</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1、材质：人行道板（含3cm水泥砂浆垫层）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2、厚度：60mm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4、包含围挡费用，请投标单位在单价中自行考虑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26</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拆除人行道</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1、材质：人行道板（含2cm水泥砂浆垫层）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2、厚度：80mm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4、包含围挡费用，请投标单位在单价中自行考虑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27</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拆除基层</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1、材质：砼垫层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2、厚度：10cm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3、部位：人行道</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4、运距：自行考虑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34.88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28</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拆除基层</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1、材质：砼垫层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2、厚度：10cm内，每减1cm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3、部位：人行道</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4、运距：自行考虑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29</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拆除基层</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1、材质：砼垫层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2、厚度：15cm以内，每增1cm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3、部位：人行道</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4、运距：自行考虑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30</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拆除基层</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1、材质：砼垫层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2、厚度：15cm以上，每增1cm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3、部位：人行道</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4、运距：自行考虑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31</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拆除侧、平（缘）石</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1、材质：石质、砼侧石</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2、运距：自行考虑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32</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拆除侧、平（缘）石</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1、材质：石质、砼平石</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2、运距：自行考虑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33</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铣刨路面</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1、材质：沥青路面</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2、厚度：3cm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4、包含围挡费用，请投标单位在单价中自行考虑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34</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铣刨路面</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1、材质：沥青路面</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2、厚度：3cm内，每减1cm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35</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铣刨路面</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1、材质：沥青路面</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2、厚度：3cm以上，每增1cm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3、运距：自行考虑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36</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切割机切缝</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切割机切缝</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639" w:type="dxa"/>
            <w:gridSpan w:val="5"/>
            <w:noWrap/>
            <w:vAlign w:val="center"/>
          </w:tcPr>
          <w:p>
            <w:pPr>
              <w:jc w:val="center"/>
              <w:rPr>
                <w:rFonts w:ascii="宋体" w:hAnsi="宋体" w:cs="Arial"/>
                <w:szCs w:val="18"/>
                <w:highlight w:val="none"/>
              </w:rPr>
            </w:pPr>
            <w:r>
              <w:rPr>
                <w:rFonts w:hint="eastAsia" w:ascii="宋体" w:hAnsi="宋体" w:cs="宋体"/>
                <w:kern w:val="0"/>
                <w:sz w:val="18"/>
                <w:szCs w:val="18"/>
                <w:highlight w:val="none"/>
              </w:rPr>
              <w:t>土方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37</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挖一般土方</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1、土壤类别：三类土（人工挖土）</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2、挖土深度：2m以内</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m3</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36.55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38</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挖一般土方</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1、土壤类别：三类土（机械挖土）</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2、挖土深度：2m以内</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m3</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39</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余方弃置</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1、废弃料品种：土方</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2、运距：自行考虑</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m3</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70.65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40</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回填方</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1、填方材料品种：土方</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m3</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9" w:type="dxa"/>
            <w:gridSpan w:val="5"/>
            <w:noWrap/>
            <w:vAlign w:val="center"/>
          </w:tcPr>
          <w:p>
            <w:pPr>
              <w:jc w:val="center"/>
              <w:rPr>
                <w:rFonts w:ascii="宋体" w:hAnsi="宋体" w:cs="Arial"/>
                <w:szCs w:val="18"/>
                <w:highlight w:val="none"/>
              </w:rPr>
            </w:pPr>
            <w:r>
              <w:rPr>
                <w:rFonts w:hint="eastAsia" w:ascii="宋体" w:hAnsi="宋体" w:cs="宋体"/>
                <w:kern w:val="0"/>
                <w:sz w:val="18"/>
                <w:szCs w:val="18"/>
                <w:highlight w:val="none"/>
              </w:rPr>
              <w:t>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41</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路床（槽）整形</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路床整形碾压</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42</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碎石</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1、厚度：10cm级配碎石</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31.95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43</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碎石</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级配碎石，每增（减）1cm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44</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水泥混凝土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快速砼补洞：快速混凝土42.5级坍落度35~50</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m3</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5384.66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45</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水泥混凝土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零星修补，单个维修面积小于一板块翻修</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1、混凝土强度等级：C25砼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2、厚度：10cm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137.43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46</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水泥混凝土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零星修补，单个维修面积小于一板块翻修</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1、混凝土强度等级：C25砼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2、厚度：每增减1cm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47</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水泥混凝土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零星修补，单个维修面积小于一板块翻修</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1、混凝土强度等级：C30砼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2、厚度：10cm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138.87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48</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水泥混凝土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零星修补，单个维修面积小于一板块翻修</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1、混凝土强度等级：C30砼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2、厚度：每增减1cm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49</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水泥混凝土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1、混凝土强度等级：C25砼（含模板）</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2、厚度：10cm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62.47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50</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水泥混凝土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1、混凝土强度等级：C25砼（含模板）</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2、厚度：每增（减）1cm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51</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水泥混凝土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1、混凝土强度等级：C30砼（含模板）</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2、厚度：10cm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63.90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52</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水泥混凝土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1、混凝土强度等级：C30砼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2、厚度：每增（减）1cm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53</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水泥混凝土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1、混凝土强度等级：C20砼垫层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2、厚度：10cm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49.95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54</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水泥混凝土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1、混凝土强度等级：C20砼垫层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2、厚度：每增（减）1cm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55</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水泥混凝土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1、沥青品种：耐黄变聚氨酯彩色碎石透水面层(芝麻灰)</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2、厚度：2cm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278.48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56</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透层、粘层</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1、材料品种：乳化沥青粘层</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57</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1、沥青品种：冷拌细粒式沥青砼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2、厚度：3cm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83.64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58</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1、沥青品种：冷拌细粒式沥青砼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2、厚度：每增（减）0.5cm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59</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1、沥青品种：彩色细粒式沥青砼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2、厚度：3cm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125.20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60</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1、沥青品种：彩色细粒式沥青砼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2、厚度：每增（减）0.5cm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61</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零星补洞沥青，单个维修面积≤10m2</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1、沥青品种：彩色细粒式沥青砼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2、厚度：3cm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145.63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62</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零星补洞沥青，单个维修面积≤10m2</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1、沥青品种：彩色细粒式沥青砼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2、厚度：每增（减）0.5cm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63</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零星补洞沥青，单个维修面积≤10m2</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1、沥青品种：冷拌细粒式沥青砼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2、厚度：3cm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101.63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64</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零星补洞沥青，单个维修面积≤10m2</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1、沥青品种：冷拌细粒式沥青砼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2、厚度：每增（减）0.5cm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65</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零星补洞沥青，单个维修面积≤10m2</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1、沥青品种：细粒式沥青砼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2、厚度：3cm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56.86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66</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零星补洞沥青，单个维修面积≤10m2</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1、沥青品种：细粒式沥青砼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2、厚度：每增（减）0.5cm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67</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零星补洞沥青，单个维修面积≤10m2</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1、沥青品种：中粒式沥青砼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2、厚度：5cm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76.63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68</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零星补洞沥青，单个维修面积≤10m2</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1、沥青品种：中粒式沥青砼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2、厚度：每增（减）1cm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69</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1、沥青品种：细粒式沥青砼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2、厚度：3cm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41.35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70</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1、沥青品种：细粒式沥青砼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2、厚度：每增（减）0.5cm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71</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1、沥青品种：中粒式沥青砼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2、厚度：5cm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60.24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72</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1、沥青品种：中粒式沥青砼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2、厚度：每增（减）1cm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73</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沥青混凝土</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快速沥青补洞</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m3</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4362.66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74</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水泥稳定碎（砾）石</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1、水泥含量：5%</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2、厚度：15cm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62.36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75</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水泥稳定碎（砾）石</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1、水泥含量：5%</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2、厚度：每增（减）1cm</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76</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现浇构件钢筋</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钢筋制作、安装</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t</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7144.35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77</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标线</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热熔地面标线</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36.36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78</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清除标线</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清除标线</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79</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老沥青路面裂缝处灌缝</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老沥青路面裂缝处灌缝：热沥青灌缝</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46.97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80</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人工涂沥青漆</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人工涂沥青漆</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81</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土工合成材料</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铺设土工布</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82</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土工合成材料</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铺设玻纤格栅</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83</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沥青修复剂</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人工喷涂沥青修复剂</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84</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沥青修复液剂</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机械喷涂沥青修复剂</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85</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隔离护栏</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隔离护栏制作安装，样式同原有护栏</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86</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地基注浆</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1、成孔深度、间距：成孔0.7m，间距纵向孔距2m，横向孔距3m,；与1.5m（另列）间隔布置，详参施工图DL-03-01</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2、浆液种类及配合比：普通型地聚合物：级配砂：水为1:2:0.55，其中混合料用量为210kg/m3</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3、注浆方法：压密注浆</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4、含废浆处理</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m3</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190.99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87</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地基注浆</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1、成孔深度、间距：成孔1.2m，间距纵向孔距2m，横向孔距3m；与0.7m（另列）间隔布置，详参施工图DL-03-01</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2、浆液种类及配合比：普通型地聚合物：级配砂：水为1:0.25:0.55，其中混合料用量为100kg/m3</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3、注浆方法：压密注浆</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4、含废浆处理</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m3</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135.62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9" w:type="dxa"/>
            <w:gridSpan w:val="5"/>
            <w:noWrap/>
            <w:vAlign w:val="center"/>
          </w:tcPr>
          <w:p>
            <w:pPr>
              <w:jc w:val="center"/>
              <w:rPr>
                <w:rFonts w:ascii="宋体" w:hAnsi="宋体" w:cs="Arial"/>
                <w:szCs w:val="18"/>
                <w:highlight w:val="none"/>
              </w:rPr>
            </w:pPr>
            <w:r>
              <w:rPr>
                <w:rFonts w:hint="eastAsia" w:ascii="宋体" w:hAnsi="宋体" w:cs="宋体"/>
                <w:kern w:val="0"/>
                <w:sz w:val="18"/>
                <w:szCs w:val="18"/>
                <w:highlight w:val="none"/>
              </w:rPr>
              <w:t>人行道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88</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人行道整形碾压</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人行道整形碾压</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89</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1、块料品种、规格：20*10*6cm荷兰砖</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2、基础、垫层：材料品种、厚度：2cmM7.5干混砌筑砂浆</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70.96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90</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1、块料品种、规格：20*10*6cm荷兰砖翻铺</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2、基础、垫层：材料品种、厚度：2cmM7.5干混砌筑砂浆</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55.99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91</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1、块料品种、规格：25*25*5cm砼预制彩色道板</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2、基础、垫层：材料品种、厚度：2cmM7.5干混砌筑砂浆</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58.93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92</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861"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1、块料品种、规格：25*25*5cm砼预制彩色道板翻铺</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2、基础、垫层：材料品种、厚度：2cmM7.5干混砌筑砂浆</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40.59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93</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861" w:type="dxa"/>
            <w:noWrap/>
            <w:vAlign w:val="center"/>
          </w:tcPr>
          <w:p>
            <w:pPr>
              <w:widowControl/>
              <w:jc w:val="left"/>
              <w:textAlignment w:val="center"/>
              <w:rPr>
                <w:rFonts w:ascii="宋体" w:hAnsi="宋体" w:cs="Arial"/>
                <w:i/>
                <w:iCs/>
                <w:szCs w:val="18"/>
                <w:highlight w:val="none"/>
                <w:vertAlign w:val="superscript"/>
              </w:rPr>
            </w:pPr>
            <w:r>
              <w:rPr>
                <w:rFonts w:hint="eastAsia" w:ascii="宋体" w:hAnsi="宋体" w:cs="宋体"/>
                <w:kern w:val="0"/>
                <w:sz w:val="18"/>
                <w:szCs w:val="18"/>
                <w:highlight w:val="none"/>
              </w:rPr>
              <w:t>1、块料品种、规格：10*10*6cm芝麻灰火烧面花岗岩</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2、基础、垫层：材料品种、厚度：3cmM10干混砌筑砂浆</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216.13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94</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861" w:type="dxa"/>
            <w:noWrap/>
            <w:vAlign w:val="center"/>
          </w:tcPr>
          <w:p>
            <w:pPr>
              <w:widowControl/>
              <w:jc w:val="left"/>
              <w:textAlignment w:val="center"/>
              <w:rPr>
                <w:rFonts w:ascii="宋体" w:hAnsi="宋体" w:cs="Arial"/>
                <w:i/>
                <w:iCs/>
                <w:szCs w:val="18"/>
                <w:highlight w:val="none"/>
                <w:vertAlign w:val="superscript"/>
              </w:rPr>
            </w:pPr>
            <w:r>
              <w:rPr>
                <w:rFonts w:hint="eastAsia" w:ascii="宋体" w:hAnsi="宋体" w:cs="宋体"/>
                <w:kern w:val="0"/>
                <w:sz w:val="18"/>
                <w:szCs w:val="18"/>
                <w:highlight w:val="none"/>
              </w:rPr>
              <w:t>1、块料品种、规格：10*10*8cm高湖石</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2、基础、垫层：材料品种、厚度：3cmM10干混砌筑砂浆</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278.35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95</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861" w:type="dxa"/>
            <w:noWrap/>
            <w:vAlign w:val="center"/>
          </w:tcPr>
          <w:p>
            <w:pPr>
              <w:widowControl/>
              <w:jc w:val="left"/>
              <w:textAlignment w:val="center"/>
              <w:rPr>
                <w:rFonts w:ascii="宋体" w:hAnsi="宋体" w:cs="Arial"/>
                <w:i/>
                <w:iCs/>
                <w:szCs w:val="18"/>
                <w:highlight w:val="none"/>
                <w:vertAlign w:val="superscript"/>
              </w:rPr>
            </w:pPr>
            <w:r>
              <w:rPr>
                <w:rFonts w:hint="eastAsia" w:ascii="宋体" w:hAnsi="宋体" w:cs="宋体"/>
                <w:kern w:val="0"/>
                <w:sz w:val="18"/>
                <w:szCs w:val="18"/>
                <w:highlight w:val="none"/>
              </w:rPr>
              <w:t>1、块料品种、规格：10*10*10cm高湖石马蹄石</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2、基础、垫层：材料品种、厚度：3cmM10干混砌筑砂浆</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339.55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96</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861" w:type="dxa"/>
            <w:noWrap/>
            <w:vAlign w:val="center"/>
          </w:tcPr>
          <w:p>
            <w:pPr>
              <w:widowControl/>
              <w:jc w:val="left"/>
              <w:textAlignment w:val="center"/>
              <w:rPr>
                <w:rFonts w:ascii="宋体" w:hAnsi="宋体" w:cs="Arial"/>
                <w:i/>
                <w:iCs/>
                <w:szCs w:val="18"/>
                <w:highlight w:val="none"/>
                <w:vertAlign w:val="superscript"/>
              </w:rPr>
            </w:pPr>
            <w:r>
              <w:rPr>
                <w:rFonts w:hint="eastAsia" w:ascii="宋体" w:hAnsi="宋体" w:cs="宋体"/>
                <w:kern w:val="0"/>
                <w:sz w:val="18"/>
                <w:szCs w:val="18"/>
                <w:highlight w:val="none"/>
              </w:rPr>
              <w:t>1、块料品种、规格：10*10*10cm芝麻灰马蹄石</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2、基础、垫层：材料品种、厚度：3cmM10干混砌筑砂浆</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345.67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97</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861" w:type="dxa"/>
            <w:noWrap/>
            <w:vAlign w:val="center"/>
          </w:tcPr>
          <w:p>
            <w:pPr>
              <w:widowControl/>
              <w:jc w:val="left"/>
              <w:textAlignment w:val="center"/>
              <w:rPr>
                <w:rFonts w:ascii="宋体" w:hAnsi="宋体" w:cs="Arial"/>
                <w:i/>
                <w:iCs/>
                <w:szCs w:val="18"/>
                <w:highlight w:val="none"/>
                <w:vertAlign w:val="superscript"/>
              </w:rPr>
            </w:pPr>
            <w:r>
              <w:rPr>
                <w:rFonts w:hint="eastAsia" w:ascii="宋体" w:hAnsi="宋体" w:cs="宋体"/>
                <w:kern w:val="0"/>
                <w:sz w:val="18"/>
                <w:szCs w:val="18"/>
                <w:highlight w:val="none"/>
              </w:rPr>
              <w:t>1、块料品种、规格：3cm芝麻灰火烧面花岗岩</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2、基础、垫层：材料品种、厚度：3cmM10干混砌筑砂浆</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162.07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98</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861" w:type="dxa"/>
            <w:noWrap/>
            <w:vAlign w:val="center"/>
          </w:tcPr>
          <w:p>
            <w:pPr>
              <w:widowControl/>
              <w:jc w:val="left"/>
              <w:textAlignment w:val="center"/>
              <w:rPr>
                <w:rFonts w:ascii="宋体" w:hAnsi="宋体" w:cs="Arial"/>
                <w:i/>
                <w:iCs/>
                <w:szCs w:val="18"/>
                <w:highlight w:val="none"/>
                <w:vertAlign w:val="superscript"/>
              </w:rPr>
            </w:pPr>
            <w:r>
              <w:rPr>
                <w:rFonts w:hint="eastAsia" w:ascii="宋体" w:hAnsi="宋体" w:cs="宋体"/>
                <w:kern w:val="0"/>
                <w:sz w:val="18"/>
                <w:szCs w:val="18"/>
                <w:highlight w:val="none"/>
              </w:rPr>
              <w:t>1、块料品种、规格：3cm芝麻灰火烧面花岗岩盲道板</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2、基础、垫层：材料品种、厚度：3cmM10干混砌筑砂浆</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172.27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99</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861" w:type="dxa"/>
            <w:noWrap/>
            <w:vAlign w:val="center"/>
          </w:tcPr>
          <w:p>
            <w:pPr>
              <w:widowControl/>
              <w:jc w:val="left"/>
              <w:textAlignment w:val="center"/>
              <w:rPr>
                <w:rFonts w:ascii="宋体" w:hAnsi="宋体" w:cs="Arial"/>
                <w:i/>
                <w:iCs/>
                <w:szCs w:val="18"/>
                <w:highlight w:val="none"/>
                <w:vertAlign w:val="superscript"/>
              </w:rPr>
            </w:pPr>
            <w:r>
              <w:rPr>
                <w:rFonts w:hint="eastAsia" w:ascii="宋体" w:hAnsi="宋体" w:cs="宋体"/>
                <w:kern w:val="0"/>
                <w:sz w:val="18"/>
                <w:szCs w:val="18"/>
                <w:highlight w:val="none"/>
              </w:rPr>
              <w:t>1、块料品种、规格：3cm芝麻灰火烧面花岗岩翻铺</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2、基础、垫层：材料品种、厚度：3cmM10干混砌筑砂浆</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115.74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100</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861" w:type="dxa"/>
            <w:noWrap/>
            <w:vAlign w:val="center"/>
          </w:tcPr>
          <w:p>
            <w:pPr>
              <w:widowControl/>
              <w:jc w:val="left"/>
              <w:textAlignment w:val="center"/>
              <w:rPr>
                <w:rFonts w:ascii="宋体" w:hAnsi="宋体" w:cs="Arial"/>
                <w:i/>
                <w:iCs/>
                <w:szCs w:val="18"/>
                <w:highlight w:val="none"/>
                <w:vertAlign w:val="superscript"/>
              </w:rPr>
            </w:pPr>
            <w:r>
              <w:rPr>
                <w:rFonts w:hint="eastAsia" w:ascii="宋体" w:hAnsi="宋体" w:cs="宋体"/>
                <w:kern w:val="0"/>
                <w:sz w:val="18"/>
                <w:szCs w:val="18"/>
                <w:highlight w:val="none"/>
              </w:rPr>
              <w:t>1、块料品种、规格：3cm芝麻灰火烧面花岗岩</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2、基础、垫层：材料品种、厚度：3cmM10干混砌筑砂浆，15cmC20砼垫层，10cm碎石垫层</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265.41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101</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861" w:type="dxa"/>
            <w:noWrap/>
            <w:vAlign w:val="center"/>
          </w:tcPr>
          <w:p>
            <w:pPr>
              <w:widowControl/>
              <w:jc w:val="left"/>
              <w:textAlignment w:val="center"/>
              <w:rPr>
                <w:rFonts w:ascii="宋体" w:hAnsi="宋体" w:cs="Arial"/>
                <w:i/>
                <w:iCs/>
                <w:szCs w:val="18"/>
                <w:highlight w:val="none"/>
                <w:vertAlign w:val="superscript"/>
              </w:rPr>
            </w:pPr>
            <w:r>
              <w:rPr>
                <w:rFonts w:hint="eastAsia" w:ascii="宋体" w:hAnsi="宋体" w:cs="宋体"/>
                <w:kern w:val="0"/>
                <w:sz w:val="18"/>
                <w:szCs w:val="18"/>
                <w:highlight w:val="none"/>
              </w:rPr>
              <w:t>1、块料品种、规格：每增减1cm芝麻灰花岗岩</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102</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861" w:type="dxa"/>
            <w:noWrap/>
            <w:vAlign w:val="center"/>
          </w:tcPr>
          <w:p>
            <w:pPr>
              <w:widowControl/>
              <w:jc w:val="left"/>
              <w:textAlignment w:val="center"/>
              <w:rPr>
                <w:rFonts w:ascii="宋体" w:hAnsi="宋体" w:cs="Arial"/>
                <w:i/>
                <w:iCs/>
                <w:szCs w:val="18"/>
                <w:highlight w:val="none"/>
                <w:vertAlign w:val="superscript"/>
              </w:rPr>
            </w:pPr>
            <w:r>
              <w:rPr>
                <w:rFonts w:hint="eastAsia" w:ascii="宋体" w:hAnsi="宋体" w:cs="宋体"/>
                <w:kern w:val="0"/>
                <w:sz w:val="18"/>
                <w:szCs w:val="18"/>
                <w:highlight w:val="none"/>
              </w:rPr>
              <w:t>1、块料品种、规格：3cm五莲红火烧面花岗岩</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2、基础、垫层：材料品种、厚度：3cmM10干混砌筑砂浆</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153.91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103</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861" w:type="dxa"/>
            <w:noWrap/>
            <w:vAlign w:val="center"/>
          </w:tcPr>
          <w:p>
            <w:pPr>
              <w:widowControl/>
              <w:jc w:val="left"/>
              <w:textAlignment w:val="center"/>
              <w:rPr>
                <w:rFonts w:ascii="宋体" w:hAnsi="宋体" w:cs="Arial"/>
                <w:i/>
                <w:iCs/>
                <w:szCs w:val="18"/>
                <w:highlight w:val="none"/>
                <w:vertAlign w:val="superscript"/>
              </w:rPr>
            </w:pPr>
            <w:r>
              <w:rPr>
                <w:rFonts w:hint="eastAsia" w:ascii="宋体" w:hAnsi="宋体" w:cs="宋体"/>
                <w:kern w:val="0"/>
                <w:sz w:val="18"/>
                <w:szCs w:val="18"/>
                <w:highlight w:val="none"/>
              </w:rPr>
              <w:t>1、块料品种、规格：3cm五莲红火烧面花岗岩盲道板</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2、基础、垫层：材料品种、厚度：3cmM10干混砌筑砂浆</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164.11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104</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861" w:type="dxa"/>
            <w:noWrap/>
            <w:vAlign w:val="center"/>
          </w:tcPr>
          <w:p>
            <w:pPr>
              <w:widowControl/>
              <w:jc w:val="left"/>
              <w:textAlignment w:val="center"/>
              <w:rPr>
                <w:rFonts w:ascii="宋体" w:hAnsi="宋体" w:cs="Arial"/>
                <w:i/>
                <w:iCs/>
                <w:szCs w:val="18"/>
                <w:highlight w:val="none"/>
                <w:vertAlign w:val="superscript"/>
              </w:rPr>
            </w:pPr>
            <w:r>
              <w:rPr>
                <w:rFonts w:hint="eastAsia" w:ascii="宋体" w:hAnsi="宋体" w:cs="宋体"/>
                <w:kern w:val="0"/>
                <w:sz w:val="18"/>
                <w:szCs w:val="18"/>
                <w:highlight w:val="none"/>
              </w:rPr>
              <w:t>1、块料品种、规格：3cm五莲红火烧面花岗岩翻铺</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2、基础、垫层：材料品种、厚度：3cmM10干混砌筑砂浆</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137.33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105</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861" w:type="dxa"/>
            <w:noWrap/>
            <w:vAlign w:val="center"/>
          </w:tcPr>
          <w:p>
            <w:pPr>
              <w:widowControl/>
              <w:jc w:val="left"/>
              <w:textAlignment w:val="center"/>
              <w:rPr>
                <w:rFonts w:ascii="宋体" w:hAnsi="宋体" w:cs="Arial"/>
                <w:i/>
                <w:iCs/>
                <w:szCs w:val="18"/>
                <w:highlight w:val="none"/>
                <w:vertAlign w:val="superscript"/>
              </w:rPr>
            </w:pPr>
            <w:r>
              <w:rPr>
                <w:rFonts w:hint="eastAsia" w:ascii="宋体" w:hAnsi="宋体" w:cs="宋体"/>
                <w:kern w:val="0"/>
                <w:sz w:val="18"/>
                <w:szCs w:val="18"/>
                <w:highlight w:val="none"/>
              </w:rPr>
              <w:t>1、块料品种、规格：3cm五莲红花岗岩</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2、基础、垫层：材料品种、厚度：3cmM10干混砌筑砂浆，15cmC20砼垫层，10cm碎石垫层</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257.25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106</w:t>
            </w:r>
          </w:p>
        </w:tc>
        <w:tc>
          <w:tcPr>
            <w:tcW w:w="2410" w:type="dxa"/>
            <w:noWrap/>
            <w:vAlign w:val="center"/>
          </w:tcPr>
          <w:p>
            <w:pPr>
              <w:widowControl/>
              <w:jc w:val="left"/>
              <w:textAlignment w:val="center"/>
              <w:rPr>
                <w:rFonts w:ascii="宋体" w:hAnsi="宋体" w:cs="Arial"/>
                <w:szCs w:val="18"/>
                <w:highlight w:val="none"/>
              </w:rPr>
            </w:pPr>
            <w:r>
              <w:rPr>
                <w:rFonts w:hint="eastAsia" w:ascii="宋体" w:hAnsi="宋体" w:cs="宋体"/>
                <w:kern w:val="0"/>
                <w:sz w:val="18"/>
                <w:szCs w:val="18"/>
                <w:highlight w:val="none"/>
              </w:rPr>
              <w:t>人行道块料铺设</w:t>
            </w:r>
          </w:p>
        </w:tc>
        <w:tc>
          <w:tcPr>
            <w:tcW w:w="3861" w:type="dxa"/>
            <w:noWrap/>
            <w:vAlign w:val="center"/>
          </w:tcPr>
          <w:p>
            <w:pPr>
              <w:widowControl/>
              <w:jc w:val="left"/>
              <w:textAlignment w:val="center"/>
              <w:rPr>
                <w:rFonts w:ascii="宋体" w:hAnsi="宋体" w:cs="Arial"/>
                <w:i/>
                <w:iCs/>
                <w:szCs w:val="18"/>
                <w:highlight w:val="none"/>
                <w:vertAlign w:val="superscript"/>
              </w:rPr>
            </w:pPr>
            <w:r>
              <w:rPr>
                <w:rFonts w:hint="eastAsia" w:ascii="宋体" w:hAnsi="宋体" w:cs="宋体"/>
                <w:kern w:val="0"/>
                <w:sz w:val="18"/>
                <w:szCs w:val="18"/>
                <w:highlight w:val="none"/>
              </w:rPr>
              <w:t>1、块料品种、规格：每增减1cm五莲红花岗岩</w:t>
            </w:r>
          </w:p>
        </w:tc>
        <w:tc>
          <w:tcPr>
            <w:tcW w:w="1276"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Arial"/>
                <w:szCs w:val="18"/>
                <w:highlight w:val="none"/>
              </w:rPr>
            </w:pPr>
            <w:r>
              <w:rPr>
                <w:rFonts w:hint="eastAsia" w:ascii="宋体" w:hAnsi="宋体" w:cs="宋体"/>
                <w:kern w:val="0"/>
                <w:sz w:val="18"/>
                <w:szCs w:val="18"/>
                <w:highlight w:val="none"/>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107</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安砌侧（平、缘）石</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1、材料品种、规格：芝麻灰花岗岩火烧面侧石15*25*100cm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2、基础、垫层：材料品种、厚度：20厚M7.5干混砌筑砂浆粘结层；C20砼靠背</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135.10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108</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安砌侧（平、缘）石</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1、材料品种、规格：芝麻灰花岗岩火烧面侧石20*40*100cm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2、基础、垫层：材料品种、厚度：20厚M7.5干混砌筑砂浆粘结层；C20砼靠背</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252.40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109</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安砌侧（平、缘）石</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1、材料品种、规格：芝麻灰花岗岩火烧面平石15*10*100cm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2、基础、垫层：材料品种、厚度：20厚M7.5干混砌筑砂浆粘结层</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69.15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110</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安砌侧（平、缘）石</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1、材料品种、规格：芝麻灰花岗岩火烧面侧石15*25*100cm翻铺</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2、基础、垫层：材料品种、厚度：20厚M7.5干混砌筑砂浆粘结层；C20砼靠背</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82.80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111</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安砌侧（平、缘）石</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1、材料品种、规格：芝麻灰花岗岩火烧面平石15*10*100cm翻铺</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2、基础、垫层：材料品种、厚度：20厚M7.5干混砌筑砂浆粘结层</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48.18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112</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安砌侧（平、缘）石</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1、材料品种、规格：砼侧石30*15*100cm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2、基础、垫层：材料品种、厚度：20厚M7.5干混砌筑砂浆粘结层</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35.42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113</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破损隔离桩修复</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破损隔离桩修复（包括隔离桩重新埋设、重新贴反光膜等）</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个</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114</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隔离桩</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Φ100*3钢管（外贴反光膜），长1m，内灌C20砼</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个</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115</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隔离桩</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Φ150*3.5钢管（外贴反光膜），长1m，内灌C20砼</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个</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116</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隔离桩</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成品花岗岩隔离桩安装，材质同原有材质</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个</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117</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隔离球墩</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成品花岗岩隔离球墩安装，材质同原有材质</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个</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118</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油漆</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木材面聚酯清漆 三遍</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36.30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119</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花坛修复</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240厚MU10砼标准砖M7.5水泥砂浆砌筑</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20厚1:2水泥砂浆抹面</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229.08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120</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花坛修复</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240厚MU10砼标准砖M7.5水泥砂浆砌筑</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20厚1:2水泥砂浆抹面</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石材贴面同原有材质规格</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411.08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121</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树池砌筑</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石质树池更换，材质规格同原有的材质规格（包括原有侧石拆除、清理、砼基础、外运等一切费用）</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55.55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122</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树池砌筑</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原树池利用修复（包括原有侧石拆除、清理、砼基础等一切费用）</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9" w:type="dxa"/>
            <w:gridSpan w:val="5"/>
            <w:noWrap/>
            <w:vAlign w:val="center"/>
          </w:tcPr>
          <w:p>
            <w:pPr>
              <w:jc w:val="center"/>
              <w:rPr>
                <w:rFonts w:ascii="宋体" w:hAnsi="宋体" w:cs="宋体"/>
                <w:kern w:val="0"/>
                <w:sz w:val="18"/>
                <w:szCs w:val="18"/>
                <w:highlight w:val="none"/>
              </w:rPr>
            </w:pPr>
            <w:r>
              <w:rPr>
                <w:rFonts w:hint="eastAsia" w:ascii="宋体" w:hAnsi="宋体" w:cs="宋体"/>
                <w:kern w:val="0"/>
                <w:sz w:val="18"/>
                <w:szCs w:val="18"/>
                <w:highlight w:val="none"/>
              </w:rPr>
              <w:t>桥涵工程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123</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油漆</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钢管栏杆柱及横杆油漆（面积按藏开面积计算），包含除锈、砂皮打磨、清运等</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环氧富锌漆一遍；喷云铁防锈漆一遍；喷氟碳面漆两道</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58.61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124</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零星砌砖</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1、砖品种、规格、强度等级：MU10砼标准砖</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2、砂浆强度等级、配合比：M7.5干混砌筑砂浆</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m3</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604.97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125</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零星项目一般抹灰</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20厚DM15干混抹灰砂浆</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56.68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126</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水泥混凝土</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10mm厚C20混凝土基层，包括锯缝、灌缝、养护</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47.95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127</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水泥混凝土</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1、混凝土强度等级：C20砼垫层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2、厚度：每增（减）1cm</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m2</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128</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金属栏杆</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钢管栏杆制作安装（包含原有栏杆拆除）</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109.46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129</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金属栏杆</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型钢栏杆制作安装（包含原有栏杆拆除）</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109.46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130</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石质栏杆</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花岗岩栏板制作安装（包含原有栏杆拆除）</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131</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石质栏杆</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花岗岩柱制作安装</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根</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215.10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132</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警示柱</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反光防撞隔离桩</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根</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66.68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133</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标志板</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警示牌制作安装</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块</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650.00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134</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桥梁伸缩装置</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伸缩缝调换安装 型钢伸缩缝（型钢型号综合考虑）含拆除砼，清理垃圾及外运，运距综合考虑</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972.10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135</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安装限高标志牌</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安装限高标志牌</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块</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136</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桥面伸缩缝清理</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桥面伸缩缝清理</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137</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桥面泄水孔清理</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桥面泄水孔清理</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个</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32.72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138</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止水带更换</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长条型橡胶止水带更换</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271.24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139</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橡胶支座保养</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橡胶支座保养</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只</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44.28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140</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桥梁伸缩缝灌胶</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清除及清理伸缩缝，安装背衬材料，注胶等一切费用</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9" w:type="dxa"/>
            <w:gridSpan w:val="5"/>
            <w:noWrap/>
            <w:vAlign w:val="center"/>
          </w:tcPr>
          <w:p>
            <w:pPr>
              <w:jc w:val="center"/>
              <w:rPr>
                <w:rFonts w:ascii="宋体" w:hAnsi="宋体" w:cs="宋体"/>
                <w:kern w:val="0"/>
                <w:sz w:val="18"/>
                <w:szCs w:val="18"/>
                <w:highlight w:val="none"/>
              </w:rPr>
            </w:pPr>
            <w:r>
              <w:rPr>
                <w:rFonts w:hint="eastAsia" w:ascii="宋体" w:hAnsi="宋体" w:cs="宋体"/>
                <w:kern w:val="0"/>
                <w:sz w:val="18"/>
                <w:szCs w:val="18"/>
                <w:highlight w:val="none"/>
              </w:rPr>
              <w:t>排水管网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141</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检查井升降</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300*450以内检查井 升高15cm以内</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189.03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142</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检查井升降</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450*450以内检查井 升高15cm以内</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204.79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143</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检查井升降</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500*500以内检查井 升高15cm以内</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220.53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144</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检查井升降</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600*600以内检查井 升高15cm以内</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236.29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145</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检查井升降</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750*750以内检查井 降低20cm以内</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199.35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146</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检查井升降</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750*750以内检查井 每增加10cm</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58.18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147</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检查井升降</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750*750以内检查井 升高20cm以内</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315.05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148</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检查井升降</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φ700井筒检查井 降低20cm以内</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195.36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149</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检查井升降</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φ700井筒检查井 升高20cm以内</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297.90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150</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检查井升降</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φ700井筒检查井 每增加10cm</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51.58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151</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检查井升降</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单篦雨水口 降低20cm以内</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174.99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152</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检查井升降</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单篦雨水口 升高20cm以内</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267.31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153</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检查井升降</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单篦雨水口 每增加10cm</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46.24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154</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调换检查井井盖座</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调换防沉降球墨铸铁检查井井盖座（700*700mm） ，井四周采用C20砼坞膀，包含拆除的井盖等建筑垃圾外运，运距自行考虑</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1435.64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155</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调换检查井井盖座</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调换防沉降，五防井盖座（700*900mm） ，井四周采用C20砼坞膀，包含拆除的井盖等建筑垃圾外运，运距自行考虑</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1419.64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156</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调换检查井井盖座</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调换防沉降就墨铸铁检查井井盖座（Φ700） ，井四周采用C20砼坞膀，包含拆除的井盖等建筑垃圾外运，运距自行考虑</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1185.05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157</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调换检查井井盖座</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调换防沉降就墨铸铁检查井井盖座（Φ800） ，井四周采用C20砼坞膀，包含拆除的井盖等建筑垃圾外运，运距自行考虑</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1265.71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158</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调换检查井井盖座</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调换模压树脂复合井盖、座(重型)（Φ700） ，井四周采用C20砼坞膀，包含拆除的井盖等建筑垃圾外运，运距自行考虑</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618.05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159</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调换检查井井盖座</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调换模压树脂复合井盖、座(重型)（Φ800） ，井四周采用C20砼坞膀，包含拆除的井盖等建筑垃圾外运，运距自行考虑</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649.71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160</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调换检查井井盖座</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调换模压树脂复合井盖、座(重型)（700*700mm） ，井四周采用C20砼坞膀，包含拆除的井盖等建筑垃圾外运，运距自行考虑</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713.64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161</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调换雨水口井篦</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调换球墨铸铁雨水口井篦380*680mm ，井四周采用C20砼坞膀，包含拆除的井盖等建筑垃圾外运，运距自行考虑</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390.13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162</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调换雨水口井篦</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调换复合雨水口井篦380*680mm ，井四周采用C20砼坞膀，包含拆除的井盖等建筑垃圾外运，运距自行考虑</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216.13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163</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调换雨水口井篦</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调换复合雨水口井篦300*450mm ，井四周采用C20砼坞膀，包含拆除的井盖等建筑垃圾外运，运距自行考虑</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160.90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164</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预制井盖板</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1800*1800mm（Φ700内空）*20cm预制C25砼盖板，HRB400直径10@200双向钢筋</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块</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773.37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165</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校正检查井井盖</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校正圆形检查井井盖</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166</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校正检查井井盖</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校正方形检查井井盖</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167</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校正检查井井盖</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校正雨水口井篦</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168</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砌筑井</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Φ700圆形砖砌检查井（详参02S515P19）</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1、垫层、基础材质及厚度：100厚C15砼垫层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2、砌筑材料品种、规格、强度等级：MU10砼标准砖</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3、勾缝、抹面要求：井内外壁采用20厚1:2防水水泥砂浆抹面</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4、砂浆强度等级、配合比：砌筑M7.5水泥砂浆</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5、井盖、井圈材质及规格：：井盖采用Φ700 D400型防沉降球墨铸铁井盖，设置防坠落安全网；井圈C30砼</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6、井深：平均1.5m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7、踏步：检查井内设置塑钢踏步，踏步安装详见国标图集 06MS201-5</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2158.21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169</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砌筑井</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Φ700圆形砖砌检查井（详参02S515P19）</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6、井深：每增减10cm</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62.42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170</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砌筑井</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Φ1000圆形砖砌检查井（收口式）（详参02S515P11）</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1、垫层、基础材质及厚度：100厚C15砼垫层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2、砌筑材料品种、规格、强度等级：M7.5水泥砂浆砌MU10砼标准砖</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3、勾缝、抹面要求：内外壁采用20厚1:2防水水泥砂浆抹面</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4、井深：平均1.71m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5、井盖、井圈材质及规格:Φ700 D400型防沉降球墨铸铁井盖，C30砼井圈；井内安装8颗膨胀螺丝，并铺设一层聚乙烯防坠网</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6、踏步材质、规格：检查井内设置塑钢踏步，踏步安装详见国标图集 06MS201-6</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2309.92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171</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砌筑井</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Φ1000圆形砖砌检查井（收口式）（详参02S515P11）</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4、井深：每增减0.1m</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82.32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172</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雨水口</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380*680mm砖砌单篦雨水口</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1.井深：0.7m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2、雨水篦子及圈口材质、型号、规格：380*680mm铸铁井篦</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3、垫层、基础材质及厚度：100厚C15素砼垫层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4、砌筑材料品种、规格：MU10砼标砖,M10水泥砂浆砌体</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5、砂浆强度等级及配合比：井内外壁采用20厚1:3水泥砂浆抹面</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6、详见：图集05S518P6</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710.95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173</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雨水口</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380*680mm砖砌单篦雨水口</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1.井深：每增减0.1m</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58.99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174</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雨水口</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300*450mm砖砌单篦雨水口</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1.井深：0.7m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2、雨水篦子及圈口材质、型号、规格：380*680mm铸铁井篦</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3、垫层、基础材质及厚度：100厚C15素砼垫层</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4、砌筑材料品种、规格：MU10砼标砖,M10水泥砂浆砌体</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5、砂浆强度等级及配合比：井内外壁采用20厚1:3水泥砂浆抹面</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6、详见：图集05S518P6</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537.07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175</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雨水口</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300*450mm砖砌单篦雨水口</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1.井深：每增减0.1m</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座</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46.14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highlight w:val="none"/>
              </w:rPr>
            </w:pPr>
            <w:r>
              <w:rPr>
                <w:rFonts w:hint="eastAsia" w:ascii="宋体" w:hAnsi="宋体" w:cs="宋体"/>
                <w:kern w:val="0"/>
                <w:sz w:val="18"/>
                <w:szCs w:val="18"/>
                <w:highlight w:val="none"/>
              </w:rPr>
              <w:t>176</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复合井盖</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人行道明沟复合盖板600*400*80mm，含C20砼压顶，材质同原材质</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块</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177</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复合井盖</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人行道明沟复合盖板600*400*80mm翻铺（50%利用），材质同原材质</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块</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178</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 UPVC管（管径） φ250以下（含挖土、砂石基础、回填等全部工作）</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273.61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179</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 PE100管 1.0MPa（管径） φ225以下（含挖土、砂石基础、回填等全部工作）</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411.63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180</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 PE100管 1.0MPa（管径） φ300（含挖土、砂石基础、回填等全部工作）</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554.46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181</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 PE100管 1.0MPa（管径） φ400（含挖土、砂石基础、回填等全部工作）</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739.19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182</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 PE100管 1.0MPa（管径） φ500（含挖土、砂石基础、回填等全部工作）</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1012.22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183</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 PE100管 1.0MPa（管径） φ600（含挖土、砂石基础、回填等全部工作）</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1456.79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184</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 HDPE双壁波纹管（管径） φ225（含挖土、砂石基础、回填等全部工作）</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266.43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185</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 HDPE双壁波纹管（管径） φ300（含挖土、管道基础、回填等全部工作）</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325.56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186</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 HDPE双壁波纹管（管径） φ400（含挖土、管道基础、回填等全部工作）</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364.65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187</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 HDPE双壁波纹管（管径） φ500（含挖土、管道基础、回填等全部工作）</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416.42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188</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 HDPE双壁波纹管（管径） φ600（含挖土、管道基础、回填等全部工作）</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490.51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189</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 钢筋砼管 Φ200（含挖土、管道基础、回填等全部工作）</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190</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 钢筋砼管 Φ300（含挖土、管道基础、回填等全部工作）</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288.22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191</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 钢筋砼管 Φ400（含挖土、管道基础、回填等全部工作）</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322.88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192</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 钢筋砼管 Φ500（含挖土、管道基础、回填等全部工作）</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356.21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193</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连管维修 钢筋砼管 Φ600（含挖土、管道基础、回填等全部工作）</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382.47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194</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水平导向钻进</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1、材质及规格：Φ200PE100管，1.0MPa</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2、接口方式：热熔连接</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394.23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195</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水平导向钻进</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1、材质及规格：Φ300PE100管，1.0MPa</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2、接口方式：热熔连接</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584.26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196</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水平导向钻进</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1、材质及规格：Φ400PE100管，1.0MPa</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2、接口方式：热熔连接</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880.80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197</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水平导向钻进</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1、材质及规格：Φ500PE100管，1.0MPa</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2、接口方式：热熔连接</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1278.66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198</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水平导向钻进</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1、材质及规格：Φ600PE100管，1.0MPa</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2、接口方式：热熔连接</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m</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1948.48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199</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防坠网</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1.挂钩：304不锈钢挂钩8个，Φ10，打入井壁80mm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2.防坠网应同时满足以下要求:a.单绳拉力不小于1600N。b.耐冲击不小于1000焦耳(200Kg*0.5m)。c.承重能力不小于850Kg。 d.网目小于10cm。e.中绳直径不小于6mm,边绳不小于10mm。</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3.防坠网采用高密度低压聚乙烯或高密度尼龙材料制作,材料应满足现行国家及行业标准要求。</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个</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9" w:type="dxa"/>
            <w:gridSpan w:val="5"/>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200</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道路智慧化巡视检查</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道路巡视检查，对智慧系统录入资料整理等</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工日</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201</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应急抢险</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应急抢险，铲车，排水车、抢险车等特种车辆</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台班</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202</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应急抢险</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应急抢险，一般抢险人员</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工日</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9" w:type="dxa"/>
            <w:gridSpan w:val="5"/>
            <w:noWrap/>
            <w:vAlign w:val="center"/>
          </w:tcPr>
          <w:p>
            <w:pPr>
              <w:jc w:val="center"/>
              <w:rPr>
                <w:rFonts w:ascii="宋体" w:hAnsi="宋体" w:cs="宋体"/>
                <w:kern w:val="0"/>
                <w:sz w:val="18"/>
                <w:szCs w:val="18"/>
                <w:highlight w:val="none"/>
              </w:rPr>
            </w:pPr>
            <w:r>
              <w:rPr>
                <w:rFonts w:hint="eastAsia" w:ascii="宋体" w:hAnsi="宋体" w:cs="宋体"/>
                <w:kern w:val="0"/>
                <w:sz w:val="18"/>
                <w:szCs w:val="18"/>
                <w:highlight w:val="none"/>
              </w:rPr>
              <w:t>零星人工机械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203</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零星人工</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零星人工</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工日</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204</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零星机械</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零星机械（拖拉机）使用台班</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台班</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205</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零星机械</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零星机械（风镐）使用台班</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台班</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206</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零星机械</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零星机械（挖掘机）使用台班</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台班</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207</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零星机械</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零星机械（沥青保温车）使用台班</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台班</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208</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零星机械</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零星机械（吊车）使用台班</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台班</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9" w:type="dxa"/>
            <w:gridSpan w:val="5"/>
            <w:noWrap/>
            <w:vAlign w:val="center"/>
          </w:tcPr>
          <w:p>
            <w:pPr>
              <w:jc w:val="center"/>
              <w:rPr>
                <w:rFonts w:ascii="宋体" w:hAnsi="宋体" w:cs="宋体"/>
                <w:kern w:val="0"/>
                <w:sz w:val="18"/>
                <w:szCs w:val="18"/>
                <w:highlight w:val="none"/>
              </w:rPr>
            </w:pPr>
            <w:r>
              <w:rPr>
                <w:rFonts w:hint="eastAsia" w:ascii="宋体" w:hAnsi="宋体" w:cs="宋体"/>
                <w:kern w:val="0"/>
                <w:sz w:val="18"/>
                <w:szCs w:val="18"/>
                <w:highlight w:val="none"/>
              </w:rPr>
              <w:t>机械进出场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209</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大型机械设备进出场及安拆</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履带式推土机</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台·次</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3848.87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Arial"/>
                <w:szCs w:val="20"/>
                <w:highlight w:val="none"/>
              </w:rPr>
            </w:pPr>
            <w:r>
              <w:rPr>
                <w:rFonts w:hint="eastAsia" w:ascii="宋体" w:hAnsi="宋体" w:cs="宋体"/>
                <w:kern w:val="0"/>
                <w:sz w:val="18"/>
                <w:szCs w:val="18"/>
                <w:highlight w:val="none"/>
              </w:rPr>
              <w:t>210</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大型机械设备进出场及安拆</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沥青混凝土摊铺机</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台·次</w:t>
            </w:r>
          </w:p>
        </w:tc>
        <w:tc>
          <w:tcPr>
            <w:tcW w:w="1417"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5708.31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211</w:t>
            </w:r>
          </w:p>
        </w:tc>
        <w:tc>
          <w:tcPr>
            <w:tcW w:w="2410"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大型机械设备进出场及安拆</w:t>
            </w:r>
          </w:p>
        </w:tc>
        <w:tc>
          <w:tcPr>
            <w:tcW w:w="3861" w:type="dxa"/>
            <w:noWrap/>
            <w:vAlign w:val="center"/>
          </w:tcPr>
          <w:p>
            <w:pPr>
              <w:widowControl/>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履带式挖掘机</w:t>
            </w:r>
          </w:p>
        </w:tc>
        <w:tc>
          <w:tcPr>
            <w:tcW w:w="1276" w:type="dxa"/>
            <w:noWrap/>
            <w:vAlign w:val="center"/>
          </w:tcPr>
          <w:p>
            <w:pPr>
              <w:widowControl/>
              <w:jc w:val="center"/>
              <w:textAlignment w:val="center"/>
              <w:rPr>
                <w:rFonts w:ascii="宋体" w:hAnsi="宋体" w:cs="宋体"/>
                <w:kern w:val="0"/>
                <w:sz w:val="18"/>
                <w:szCs w:val="18"/>
                <w:highlight w:val="none"/>
              </w:rPr>
            </w:pPr>
            <w:r>
              <w:rPr>
                <w:rFonts w:hint="eastAsia" w:ascii="宋体" w:hAnsi="宋体" w:cs="宋体"/>
                <w:kern w:val="0"/>
                <w:sz w:val="18"/>
                <w:szCs w:val="18"/>
                <w:highlight w:val="none"/>
              </w:rPr>
              <w:t>台·次</w:t>
            </w:r>
          </w:p>
        </w:tc>
        <w:tc>
          <w:tcPr>
            <w:tcW w:w="1417" w:type="dxa"/>
            <w:noWrap/>
            <w:vAlign w:val="center"/>
          </w:tcPr>
          <w:p>
            <w:pPr>
              <w:widowControl/>
              <w:jc w:val="center"/>
              <w:textAlignment w:val="center"/>
              <w:rPr>
                <w:rFonts w:ascii="宋体" w:hAnsi="宋体" w:cs="宋体"/>
                <w:sz w:val="18"/>
                <w:szCs w:val="18"/>
                <w:highlight w:val="none"/>
              </w:rPr>
            </w:pPr>
            <w:r>
              <w:rPr>
                <w:rFonts w:hint="eastAsia" w:ascii="宋体" w:hAnsi="宋体" w:cs="宋体"/>
                <w:kern w:val="0"/>
                <w:sz w:val="18"/>
                <w:szCs w:val="18"/>
                <w:highlight w:val="none"/>
              </w:rPr>
              <w:t>4337.23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9" w:type="dxa"/>
            <w:gridSpan w:val="5"/>
            <w:noWrap/>
            <w:vAlign w:val="center"/>
          </w:tcPr>
          <w:p>
            <w:pPr>
              <w:widowControl/>
              <w:tabs>
                <w:tab w:val="left" w:pos="3992"/>
              </w:tabs>
              <w:jc w:val="left"/>
              <w:textAlignment w:val="center"/>
              <w:rPr>
                <w:rFonts w:ascii="宋体" w:hAnsi="宋体" w:cs="宋体"/>
                <w:kern w:val="0"/>
                <w:sz w:val="18"/>
                <w:szCs w:val="18"/>
                <w:highlight w:val="none"/>
              </w:rPr>
            </w:pPr>
            <w:r>
              <w:rPr>
                <w:rFonts w:hint="eastAsia" w:ascii="宋体" w:hAnsi="宋体" w:cs="宋体"/>
                <w:kern w:val="0"/>
                <w:sz w:val="18"/>
                <w:szCs w:val="18"/>
                <w:highlight w:val="none"/>
              </w:rPr>
              <w:tab/>
            </w:r>
            <w:r>
              <w:rPr>
                <w:rFonts w:hint="eastAsia" w:ascii="宋体" w:hAnsi="宋体" w:cs="宋体"/>
                <w:kern w:val="0"/>
                <w:sz w:val="18"/>
                <w:szCs w:val="18"/>
                <w:highlight w:val="none"/>
              </w:rPr>
              <w:t>单价合计金额上限价：：80456.63元</w:t>
            </w:r>
          </w:p>
        </w:tc>
      </w:tr>
    </w:tbl>
    <w:p>
      <w:pPr>
        <w:spacing w:beforeLines="50" w:line="276" w:lineRule="auto"/>
        <w:rPr>
          <w:rFonts w:ascii="宋体" w:hAnsi="宋体"/>
          <w:b/>
          <w:sz w:val="24"/>
          <w:highlight w:val="none"/>
        </w:rPr>
      </w:pPr>
      <w:r>
        <w:rPr>
          <w:rFonts w:hint="eastAsia" w:ascii="宋体" w:hAnsi="宋体"/>
          <w:b/>
          <w:sz w:val="24"/>
          <w:highlight w:val="none"/>
        </w:rPr>
        <w:t>▲注：1、本项目以优惠率（优惠率=（采购人合计上限价格-投标人报价）/采购人合计上限价格*100%）作为投标报价，此优惠率以采购人采购文件中提供的清单和价格为基础，只能唯一，不允许各部分单独报优惠率。</w:t>
      </w:r>
    </w:p>
    <w:p>
      <w:pPr>
        <w:spacing w:beforeLines="50" w:line="276" w:lineRule="auto"/>
        <w:rPr>
          <w:rFonts w:ascii="宋体" w:hAnsi="宋体"/>
          <w:b/>
          <w:sz w:val="24"/>
          <w:highlight w:val="none"/>
        </w:rPr>
      </w:pPr>
      <w:r>
        <w:rPr>
          <w:rFonts w:hint="eastAsia" w:ascii="宋体" w:hAnsi="宋体"/>
          <w:b/>
          <w:sz w:val="24"/>
          <w:highlight w:val="none"/>
        </w:rPr>
        <w:t>2、单价合计金额上限价=拆除工程+土方+道路+人行道+桥涵工程+排水管网+道路巡视检查+零星人工机械各子项单价上限金额之和。</w:t>
      </w:r>
    </w:p>
    <w:p>
      <w:pPr>
        <w:spacing w:beforeLines="50" w:line="276" w:lineRule="auto"/>
        <w:rPr>
          <w:rFonts w:ascii="宋体" w:hAnsi="宋体"/>
          <w:b/>
          <w:sz w:val="24"/>
          <w:highlight w:val="none"/>
        </w:rPr>
      </w:pPr>
      <w:r>
        <w:rPr>
          <w:rFonts w:hint="eastAsia" w:ascii="宋体" w:hAnsi="宋体"/>
          <w:b/>
          <w:sz w:val="24"/>
          <w:highlight w:val="none"/>
        </w:rPr>
        <w:t>3、上述清单</w:t>
      </w:r>
      <w:r>
        <w:rPr>
          <w:rFonts w:ascii="宋体" w:hAnsi="宋体"/>
          <w:b/>
          <w:sz w:val="24"/>
          <w:highlight w:val="none"/>
        </w:rPr>
        <w:t>内</w:t>
      </w:r>
      <w:r>
        <w:rPr>
          <w:rFonts w:hint="eastAsia" w:ascii="宋体" w:hAnsi="宋体"/>
          <w:b/>
          <w:sz w:val="24"/>
          <w:highlight w:val="none"/>
        </w:rPr>
        <w:t>所有</w:t>
      </w:r>
      <w:r>
        <w:rPr>
          <w:rFonts w:ascii="宋体" w:hAnsi="宋体"/>
          <w:b/>
          <w:sz w:val="24"/>
          <w:highlight w:val="none"/>
        </w:rPr>
        <w:t>子项单价上限价均为综合单价</w:t>
      </w:r>
      <w:r>
        <w:rPr>
          <w:rFonts w:hint="eastAsia" w:ascii="宋体" w:hAnsi="宋体"/>
          <w:b/>
          <w:sz w:val="24"/>
          <w:highlight w:val="none"/>
        </w:rPr>
        <w:t>（综合单价</w:t>
      </w:r>
      <w:r>
        <w:rPr>
          <w:rFonts w:ascii="宋体" w:hAnsi="宋体"/>
          <w:b/>
          <w:sz w:val="24"/>
          <w:highlight w:val="none"/>
        </w:rPr>
        <w:t>内</w:t>
      </w:r>
      <w:r>
        <w:rPr>
          <w:rFonts w:hint="eastAsia" w:ascii="宋体" w:hAnsi="宋体"/>
          <w:b/>
          <w:sz w:val="24"/>
          <w:highlight w:val="none"/>
        </w:rPr>
        <w:t>包括</w:t>
      </w:r>
      <w:r>
        <w:rPr>
          <w:rFonts w:ascii="宋体" w:hAnsi="宋体"/>
          <w:b/>
          <w:sz w:val="24"/>
          <w:highlight w:val="none"/>
        </w:rPr>
        <w:t>：</w:t>
      </w:r>
      <w:r>
        <w:rPr>
          <w:rFonts w:hint="eastAsia" w:ascii="宋体" w:hAnsi="宋体"/>
          <w:b/>
          <w:sz w:val="24"/>
          <w:highlight w:val="none"/>
        </w:rPr>
        <w:t>人工费、材料费、机械费、利润、企业管理费</w:t>
      </w:r>
      <w:r>
        <w:rPr>
          <w:rFonts w:ascii="宋体" w:hAnsi="宋体"/>
          <w:b/>
          <w:sz w:val="24"/>
          <w:highlight w:val="none"/>
        </w:rPr>
        <w:t>）</w:t>
      </w:r>
    </w:p>
    <w:p>
      <w:pPr>
        <w:spacing w:beforeLines="50" w:line="276" w:lineRule="auto"/>
        <w:rPr>
          <w:rFonts w:ascii="宋体" w:hAnsi="宋体"/>
          <w:b/>
          <w:sz w:val="24"/>
          <w:highlight w:val="none"/>
        </w:rPr>
      </w:pPr>
      <w:r>
        <w:rPr>
          <w:rFonts w:hint="eastAsia" w:ascii="宋体" w:hAnsi="宋体"/>
          <w:b/>
          <w:sz w:val="24"/>
          <w:highlight w:val="none"/>
        </w:rPr>
        <w:t>4、本项目中标人需派遣一名熟练掌握“德清县智慧市政平台”操作使用的管理人员专职服务于本项目，接受管理单位调度与管理。</w:t>
      </w:r>
    </w:p>
    <w:p>
      <w:pPr>
        <w:spacing w:beforeLines="50" w:line="276" w:lineRule="auto"/>
        <w:rPr>
          <w:rFonts w:ascii="宋体" w:hAnsi="宋体"/>
          <w:b/>
          <w:sz w:val="24"/>
          <w:highlight w:val="none"/>
        </w:rPr>
      </w:pPr>
      <w:r>
        <w:rPr>
          <w:rFonts w:hint="eastAsia" w:ascii="宋体" w:hAnsi="宋体"/>
          <w:b/>
          <w:sz w:val="24"/>
          <w:highlight w:val="none"/>
        </w:rPr>
        <w:t>5、本项目招标人需每月对中标人进行考核，具体考核办法及细则见第五章合同主要条款附件1、附件2。</w:t>
      </w:r>
    </w:p>
    <w:p>
      <w:pPr>
        <w:spacing w:beforeLines="50" w:line="360" w:lineRule="auto"/>
        <w:ind w:firstLine="480"/>
        <w:rPr>
          <w:rFonts w:ascii="宋体" w:hAnsi="宋体"/>
          <w:b/>
          <w:color w:val="000000"/>
          <w:sz w:val="24"/>
          <w:highlight w:val="none"/>
        </w:rPr>
      </w:pPr>
    </w:p>
    <w:p>
      <w:pPr>
        <w:spacing w:beforeLines="50" w:line="360" w:lineRule="auto"/>
        <w:ind w:firstLine="480"/>
        <w:rPr>
          <w:rFonts w:ascii="宋体" w:hAnsi="宋体"/>
          <w:b/>
          <w:color w:val="000000"/>
          <w:sz w:val="24"/>
          <w:highlight w:val="none"/>
        </w:rPr>
      </w:pPr>
    </w:p>
    <w:p>
      <w:pPr>
        <w:spacing w:beforeLines="50" w:line="360" w:lineRule="auto"/>
        <w:ind w:firstLine="480"/>
        <w:rPr>
          <w:rFonts w:ascii="宋体" w:hAnsi="宋体"/>
          <w:b/>
          <w:color w:val="000000"/>
          <w:sz w:val="24"/>
          <w:highlight w:val="none"/>
        </w:rPr>
      </w:pPr>
    </w:p>
    <w:p>
      <w:pPr>
        <w:spacing w:beforeLines="50" w:line="360" w:lineRule="auto"/>
        <w:ind w:firstLine="480"/>
        <w:rPr>
          <w:b/>
          <w:sz w:val="24"/>
          <w:highlight w:val="none"/>
        </w:rPr>
      </w:pPr>
    </w:p>
    <w:p>
      <w:pPr>
        <w:spacing w:beforeLines="50" w:line="360" w:lineRule="auto"/>
        <w:ind w:firstLine="480"/>
        <w:rPr>
          <w:b/>
          <w:sz w:val="24"/>
          <w:highlight w:val="none"/>
        </w:rPr>
      </w:pPr>
    </w:p>
    <w:p>
      <w:pPr>
        <w:spacing w:beforeLines="50" w:line="360" w:lineRule="auto"/>
        <w:ind w:firstLine="480"/>
        <w:rPr>
          <w:b/>
          <w:sz w:val="24"/>
          <w:highlight w:val="none"/>
        </w:rPr>
      </w:pPr>
    </w:p>
    <w:p>
      <w:pPr>
        <w:spacing w:beforeLines="50" w:line="360" w:lineRule="auto"/>
        <w:ind w:firstLine="480"/>
        <w:rPr>
          <w:b/>
          <w:sz w:val="24"/>
          <w:highlight w:val="none"/>
        </w:rPr>
      </w:pPr>
    </w:p>
    <w:p>
      <w:pPr>
        <w:spacing w:beforeLines="50" w:line="360" w:lineRule="auto"/>
        <w:ind w:firstLine="480"/>
        <w:rPr>
          <w:b/>
          <w:sz w:val="24"/>
          <w:highlight w:val="none"/>
        </w:rPr>
      </w:pPr>
    </w:p>
    <w:p>
      <w:pPr>
        <w:pStyle w:val="2"/>
        <w:rPr>
          <w:b/>
          <w:sz w:val="24"/>
          <w:highlight w:val="none"/>
        </w:rPr>
      </w:pPr>
    </w:p>
    <w:p>
      <w:pPr>
        <w:pStyle w:val="2"/>
        <w:rPr>
          <w:b/>
          <w:sz w:val="24"/>
          <w:highlight w:val="none"/>
        </w:rPr>
      </w:pPr>
    </w:p>
    <w:p>
      <w:pPr>
        <w:pStyle w:val="2"/>
        <w:rPr>
          <w:b/>
          <w:sz w:val="24"/>
          <w:highlight w:val="none"/>
        </w:rPr>
      </w:pPr>
    </w:p>
    <w:p>
      <w:pPr>
        <w:pStyle w:val="2"/>
        <w:rPr>
          <w:b/>
          <w:sz w:val="24"/>
          <w:highlight w:val="none"/>
        </w:rPr>
      </w:pPr>
    </w:p>
    <w:p>
      <w:pPr>
        <w:pStyle w:val="2"/>
        <w:rPr>
          <w:b/>
          <w:sz w:val="24"/>
          <w:highlight w:val="none"/>
        </w:rPr>
      </w:pPr>
    </w:p>
    <w:p>
      <w:pPr>
        <w:pStyle w:val="2"/>
        <w:rPr>
          <w:b/>
          <w:sz w:val="24"/>
          <w:highlight w:val="none"/>
        </w:rPr>
      </w:pPr>
    </w:p>
    <w:p>
      <w:pPr>
        <w:pStyle w:val="2"/>
        <w:rPr>
          <w:b/>
          <w:sz w:val="24"/>
          <w:highlight w:val="none"/>
        </w:rPr>
      </w:pPr>
    </w:p>
    <w:p>
      <w:pPr>
        <w:pStyle w:val="2"/>
        <w:rPr>
          <w:b/>
          <w:sz w:val="24"/>
          <w:highlight w:val="none"/>
        </w:rPr>
      </w:pPr>
    </w:p>
    <w:p>
      <w:pPr>
        <w:pStyle w:val="2"/>
        <w:rPr>
          <w:b/>
          <w:sz w:val="24"/>
          <w:highlight w:val="none"/>
        </w:rPr>
      </w:pPr>
    </w:p>
    <w:p>
      <w:pPr>
        <w:pStyle w:val="2"/>
        <w:rPr>
          <w:b/>
          <w:sz w:val="24"/>
          <w:highlight w:val="none"/>
        </w:rPr>
      </w:pPr>
    </w:p>
    <w:p>
      <w:pPr>
        <w:pStyle w:val="2"/>
        <w:rPr>
          <w:b/>
          <w:sz w:val="24"/>
          <w:highlight w:val="none"/>
        </w:rPr>
      </w:pPr>
    </w:p>
    <w:p>
      <w:pPr>
        <w:pStyle w:val="2"/>
        <w:rPr>
          <w:b/>
          <w:sz w:val="24"/>
          <w:highlight w:val="none"/>
        </w:rPr>
      </w:pPr>
    </w:p>
    <w:p>
      <w:pPr>
        <w:pStyle w:val="2"/>
        <w:rPr>
          <w:b/>
          <w:sz w:val="24"/>
          <w:highlight w:val="none"/>
        </w:rPr>
      </w:pPr>
    </w:p>
    <w:p>
      <w:pPr>
        <w:pStyle w:val="2"/>
        <w:rPr>
          <w:b/>
          <w:sz w:val="24"/>
          <w:highlight w:val="none"/>
        </w:rPr>
      </w:pPr>
    </w:p>
    <w:p>
      <w:pPr>
        <w:pStyle w:val="2"/>
        <w:rPr>
          <w:b/>
          <w:sz w:val="24"/>
          <w:highlight w:val="none"/>
        </w:rPr>
      </w:pPr>
    </w:p>
    <w:p>
      <w:pPr>
        <w:pStyle w:val="2"/>
        <w:rPr>
          <w:b/>
          <w:sz w:val="24"/>
          <w:highlight w:val="none"/>
        </w:rPr>
      </w:pPr>
    </w:p>
    <w:p>
      <w:pPr>
        <w:pStyle w:val="2"/>
        <w:rPr>
          <w:b/>
          <w:sz w:val="24"/>
          <w:highlight w:val="none"/>
        </w:rPr>
      </w:pPr>
    </w:p>
    <w:p>
      <w:pPr>
        <w:spacing w:beforeLines="50" w:line="360" w:lineRule="auto"/>
        <w:ind w:firstLine="480"/>
        <w:rPr>
          <w:b/>
          <w:sz w:val="24"/>
          <w:highlight w:val="none"/>
        </w:rPr>
      </w:pPr>
    </w:p>
    <w:p>
      <w:pPr>
        <w:spacing w:beforeLines="50" w:line="360" w:lineRule="auto"/>
        <w:ind w:firstLine="480"/>
        <w:rPr>
          <w:b/>
          <w:sz w:val="24"/>
          <w:highlight w:val="none"/>
        </w:rPr>
      </w:pPr>
    </w:p>
    <w:p>
      <w:pPr>
        <w:spacing w:beforeLines="50" w:line="360" w:lineRule="auto"/>
        <w:jc w:val="center"/>
        <w:rPr>
          <w:rFonts w:ascii="宋体" w:hAnsi="宋体"/>
          <w:b/>
          <w:color w:val="000000"/>
          <w:sz w:val="30"/>
          <w:szCs w:val="30"/>
          <w:highlight w:val="none"/>
        </w:rPr>
      </w:pPr>
      <w:r>
        <w:rPr>
          <w:rFonts w:hint="eastAsia"/>
          <w:b/>
          <w:highlight w:val="none"/>
        </w:rPr>
        <w:t>▲</w:t>
      </w:r>
      <w:r>
        <w:rPr>
          <w:rFonts w:hint="eastAsia" w:ascii="宋体" w:hAnsi="宋体"/>
          <w:b/>
          <w:color w:val="000000"/>
          <w:sz w:val="30"/>
          <w:szCs w:val="30"/>
          <w:highlight w:val="none"/>
        </w:rPr>
        <w:t>商务条款部分</w:t>
      </w:r>
    </w:p>
    <w:p>
      <w:pPr>
        <w:pStyle w:val="20"/>
        <w:spacing w:beforeLines="50"/>
        <w:ind w:firstLine="482" w:firstLineChars="200"/>
        <w:rPr>
          <w:b/>
          <w:highlight w:val="none"/>
        </w:rPr>
      </w:pPr>
      <w:r>
        <w:rPr>
          <w:rFonts w:hint="eastAsia"/>
          <w:b/>
          <w:highlight w:val="none"/>
        </w:rPr>
        <w:t>一、项目服务周期（进度）：</w:t>
      </w:r>
      <w:r>
        <w:rPr>
          <w:rFonts w:hint="eastAsia" w:ascii="宋体" w:hAnsi="宋体"/>
          <w:b/>
          <w:highlight w:val="none"/>
        </w:rPr>
        <w:t>签订合同后——2023年9月30日</w:t>
      </w:r>
    </w:p>
    <w:p>
      <w:pPr>
        <w:spacing w:line="360" w:lineRule="auto"/>
        <w:ind w:firstLine="422" w:firstLineChars="200"/>
        <w:outlineLvl w:val="0"/>
        <w:rPr>
          <w:rFonts w:ascii="宋体" w:hAnsi="宋体"/>
          <w:b/>
          <w:sz w:val="24"/>
          <w:highlight w:val="none"/>
        </w:rPr>
      </w:pPr>
      <w:r>
        <w:rPr>
          <w:rFonts w:hint="eastAsia" w:ascii="宋体" w:hAnsi="宋体"/>
          <w:b/>
          <w:color w:val="000000"/>
          <w:highlight w:val="none"/>
        </w:rPr>
        <w:t>二、服务要求：</w:t>
      </w:r>
      <w:r>
        <w:rPr>
          <w:rFonts w:hint="eastAsia" w:ascii="宋体" w:hAnsi="宋体"/>
          <w:b/>
          <w:sz w:val="24"/>
          <w:highlight w:val="none"/>
        </w:rPr>
        <w:t xml:space="preserve">按采购人要求实施，标项一：德清县市政管理处2022-2023年度辖区市政设施养护管理服务采购项目-主城区标段，每年总服务费上限不得超过400万；标项二：德清县市政管理处2022-2023年度辖区市政设施养护管理服务采购项目-城北高新园标段，每年总服务费上限不得超过360万；标项三：德清县市政管理处2022-2023年度辖区市政设施养护管理服务采购项目-地信小镇标段，每年总服务费上限不得超过315万。 </w:t>
      </w:r>
    </w:p>
    <w:p>
      <w:pPr>
        <w:pStyle w:val="20"/>
        <w:spacing w:beforeLines="50"/>
        <w:ind w:firstLine="482" w:firstLineChars="200"/>
        <w:rPr>
          <w:rFonts w:ascii="宋体" w:hAnsi="宋体"/>
          <w:b/>
          <w:highlight w:val="none"/>
        </w:rPr>
      </w:pPr>
      <w:r>
        <w:rPr>
          <w:rFonts w:hint="eastAsia" w:ascii="宋体" w:hAnsi="宋体"/>
          <w:b/>
          <w:color w:val="000000"/>
          <w:highlight w:val="none"/>
        </w:rPr>
        <w:t>三、付款方式：</w:t>
      </w:r>
      <w:r>
        <w:rPr>
          <w:rFonts w:hint="eastAsia" w:ascii="宋体" w:hAnsi="宋体"/>
          <w:b/>
          <w:highlight w:val="none"/>
        </w:rPr>
        <w:t>甲方收到履约保证金后向乙方支付标项预算金额40%的预付款；预付款不扣回，后续直接用以养护费结算。</w:t>
      </w:r>
      <w:r>
        <w:rPr>
          <w:rFonts w:ascii="宋体" w:hAnsi="宋体"/>
          <w:b/>
          <w:highlight w:val="none"/>
        </w:rPr>
        <w:t>承包方每季度末</w:t>
      </w:r>
      <w:r>
        <w:rPr>
          <w:rFonts w:hint="eastAsia" w:ascii="宋体" w:hAnsi="宋体"/>
          <w:b/>
          <w:highlight w:val="none"/>
        </w:rPr>
        <w:t>25</w:t>
      </w:r>
      <w:r>
        <w:rPr>
          <w:rFonts w:ascii="宋体" w:hAnsi="宋体"/>
          <w:b/>
          <w:highlight w:val="none"/>
        </w:rPr>
        <w:t>日前上报</w:t>
      </w:r>
      <w:r>
        <w:rPr>
          <w:rFonts w:hint="eastAsia" w:ascii="宋体" w:hAnsi="宋体"/>
          <w:b/>
          <w:highlight w:val="none"/>
        </w:rPr>
        <w:t>已</w:t>
      </w:r>
      <w:r>
        <w:rPr>
          <w:rFonts w:ascii="宋体" w:hAnsi="宋体"/>
          <w:b/>
          <w:highlight w:val="none"/>
        </w:rPr>
        <w:t>完成工程量，业主按实际工程进度、工程质量、到位率、联系单</w:t>
      </w:r>
      <w:r>
        <w:rPr>
          <w:rFonts w:hint="eastAsia" w:ascii="宋体" w:hAnsi="宋体"/>
          <w:b/>
          <w:highlight w:val="none"/>
        </w:rPr>
        <w:t>、</w:t>
      </w:r>
      <w:r>
        <w:rPr>
          <w:rFonts w:ascii="宋体" w:hAnsi="宋体"/>
          <w:b/>
          <w:highlight w:val="none"/>
        </w:rPr>
        <w:t>审定单及相关资料的情况，支付已完成工程量的</w:t>
      </w:r>
      <w:r>
        <w:rPr>
          <w:rFonts w:hint="eastAsia" w:ascii="宋体" w:hAnsi="宋体"/>
          <w:b/>
          <w:highlight w:val="none"/>
        </w:rPr>
        <w:t>8</w:t>
      </w:r>
      <w:r>
        <w:rPr>
          <w:rFonts w:ascii="宋体" w:hAnsi="宋体"/>
          <w:b/>
          <w:highlight w:val="none"/>
        </w:rPr>
        <w:t>0%，</w:t>
      </w:r>
      <w:r>
        <w:rPr>
          <w:rFonts w:hint="eastAsia" w:ascii="宋体" w:hAnsi="宋体"/>
          <w:b/>
          <w:highlight w:val="none"/>
        </w:rPr>
        <w:t>合同最后一个月25日前</w:t>
      </w:r>
      <w:r>
        <w:rPr>
          <w:rFonts w:ascii="宋体" w:hAnsi="宋体"/>
          <w:b/>
          <w:highlight w:val="none"/>
        </w:rPr>
        <w:t>上报年度最终工程量报表，结算审计完成后一个月内付清</w:t>
      </w:r>
      <w:r>
        <w:rPr>
          <w:rFonts w:hint="eastAsia" w:ascii="宋体" w:hAnsi="宋体"/>
          <w:b/>
          <w:highlight w:val="none"/>
        </w:rPr>
        <w:t>余款</w:t>
      </w:r>
      <w:r>
        <w:rPr>
          <w:rFonts w:ascii="宋体" w:hAnsi="宋体"/>
          <w:b/>
          <w:highlight w:val="none"/>
        </w:rPr>
        <w:t>。</w:t>
      </w:r>
      <w:r>
        <w:rPr>
          <w:rFonts w:hint="eastAsia" w:ascii="宋体" w:hAnsi="宋体"/>
          <w:b/>
          <w:highlight w:val="none"/>
        </w:rPr>
        <w:t>服务期间，若由于服务单位现场管理不到位或工程质量、安全存在问题时，发包人有权暂停支付，直至整改完毕。</w:t>
      </w:r>
    </w:p>
    <w:p>
      <w:pPr>
        <w:spacing w:line="360" w:lineRule="auto"/>
        <w:ind w:firstLine="482" w:firstLineChars="200"/>
        <w:outlineLvl w:val="0"/>
        <w:rPr>
          <w:rFonts w:ascii="宋体" w:hAnsi="宋体"/>
          <w:b/>
          <w:color w:val="FF0000"/>
          <w:sz w:val="24"/>
          <w:highlight w:val="none"/>
        </w:rPr>
      </w:pPr>
      <w:r>
        <w:rPr>
          <w:rFonts w:hint="eastAsia" w:ascii="宋体" w:hAnsi="宋体"/>
          <w:b/>
          <w:color w:val="FF0000"/>
          <w:sz w:val="24"/>
          <w:highlight w:val="none"/>
        </w:rPr>
        <w:t xml:space="preserve">四：履约保证金：中标人在签订合同后 </w:t>
      </w:r>
      <w:r>
        <w:rPr>
          <w:rFonts w:hint="eastAsia" w:ascii="宋体" w:hAnsi="宋体"/>
          <w:b/>
          <w:color w:val="FF0000"/>
          <w:sz w:val="24"/>
          <w:highlight w:val="none"/>
          <w:u w:val="single"/>
        </w:rPr>
        <w:t>7</w:t>
      </w:r>
      <w:r>
        <w:rPr>
          <w:rFonts w:hint="eastAsia" w:ascii="宋体" w:hAnsi="宋体"/>
          <w:b/>
          <w:color w:val="FF0000"/>
          <w:sz w:val="24"/>
          <w:highlight w:val="none"/>
        </w:rPr>
        <w:t>天内，应当向采购人提交履约保证金（金额为预算价1%，应当以支票、汇票、本票或者金融机构、担保机构出具的保函等非现金形式提交）。（推荐专业担保机构联系方式：中国建设银行德清支行，电话0572-8074678。）</w:t>
      </w:r>
    </w:p>
    <w:p>
      <w:pPr>
        <w:spacing w:line="360" w:lineRule="auto"/>
        <w:outlineLvl w:val="0"/>
        <w:rPr>
          <w:rFonts w:ascii="宋体" w:hAnsi="宋体"/>
          <w:b/>
          <w:sz w:val="24"/>
          <w:highlight w:val="none"/>
        </w:rPr>
      </w:pPr>
      <w:r>
        <w:rPr>
          <w:rFonts w:hint="eastAsia" w:ascii="宋体" w:hAnsi="宋体"/>
          <w:b/>
          <w:sz w:val="24"/>
          <w:highlight w:val="none"/>
        </w:rPr>
        <w:t xml:space="preserve">    五、工程结算及调整方式：</w:t>
      </w:r>
    </w:p>
    <w:p>
      <w:pPr>
        <w:spacing w:line="360" w:lineRule="auto"/>
        <w:outlineLvl w:val="0"/>
        <w:rPr>
          <w:rFonts w:ascii="宋体" w:hAnsi="宋体"/>
          <w:b/>
          <w:sz w:val="24"/>
          <w:highlight w:val="none"/>
        </w:rPr>
      </w:pPr>
      <w:r>
        <w:rPr>
          <w:rFonts w:hint="eastAsia" w:ascii="宋体" w:hAnsi="宋体"/>
          <w:b/>
          <w:sz w:val="24"/>
          <w:highlight w:val="none"/>
        </w:rPr>
        <w:t>1 、本项目以优惠率（优惠率=（采购人合计上限价格-投标人报价）/采购人合计上限价格*100%）作为投标报价，须包括项目实施所需的人工材料机械费、利润管理费、工时费、服务费、运输费、安装调</w:t>
      </w:r>
      <w:r>
        <w:rPr>
          <w:rFonts w:hint="eastAsia" w:ascii="宋体" w:hAnsi="宋体"/>
          <w:b/>
          <w:color w:val="auto"/>
          <w:sz w:val="24"/>
          <w:highlight w:val="none"/>
        </w:rPr>
        <w:t>试费、供水、供电、验</w:t>
      </w:r>
      <w:r>
        <w:rPr>
          <w:rFonts w:hint="eastAsia" w:ascii="宋体" w:hAnsi="宋体"/>
          <w:b/>
          <w:sz w:val="24"/>
          <w:highlight w:val="none"/>
        </w:rPr>
        <w:t>收、培训及其他一切费用及采购文件、图纸中未标明的线路正常供电所需的其他一切设备和附件辅材。应为履行合同的最终价格，其市场风险由磋商响应方承担。磋商报价为磋商响应方所能承受的最低、最终一次性报价。根据采购人提供的图纸及采购文件中所包含的内容，经供应商根据参考图纸、采购文件以及自行现场踏勘后所提供的清单及报价如有漏项，视同漏项内容已包含在其总报价中，合同单价不做调整。</w:t>
      </w:r>
    </w:p>
    <w:p>
      <w:pPr>
        <w:spacing w:line="360" w:lineRule="auto"/>
        <w:outlineLvl w:val="0"/>
        <w:rPr>
          <w:rFonts w:ascii="宋体" w:hAnsi="宋体"/>
          <w:b/>
          <w:sz w:val="24"/>
          <w:highlight w:val="none"/>
        </w:rPr>
      </w:pPr>
      <w:r>
        <w:rPr>
          <w:rFonts w:hint="eastAsia" w:ascii="宋体" w:hAnsi="宋体"/>
          <w:b/>
          <w:sz w:val="24"/>
          <w:highlight w:val="none"/>
        </w:rPr>
        <w:t>2、如服务过程中出现由图纸变更或采购人确认的工程内容和数量的增减变更，以联系单形式进行调整，如调整的工程内容与原投标内容相同的，则单价按照报价明细表中的单价同比例下浮后按实结算。如调整的工程内容与原投标内容不同的，则需根据以下规则重新组价：</w:t>
      </w:r>
    </w:p>
    <w:p>
      <w:pPr>
        <w:spacing w:line="360" w:lineRule="auto"/>
        <w:outlineLvl w:val="0"/>
        <w:rPr>
          <w:rFonts w:ascii="宋体" w:hAnsi="宋体"/>
          <w:b/>
          <w:sz w:val="24"/>
          <w:highlight w:val="none"/>
        </w:rPr>
      </w:pPr>
      <w:r>
        <w:rPr>
          <w:rFonts w:hint="eastAsia" w:ascii="宋体" w:hAnsi="宋体"/>
          <w:b/>
          <w:sz w:val="24"/>
          <w:highlight w:val="none"/>
        </w:rPr>
        <w:t>（1）编制依据、组价原则按照《浙江省建设工程计价依据》（2018 版）、《浙江省工程预算定额》（2018 版）、《湖州建设工程造价信息》、《浙江省建设工程造价信息》等根据进行组价，其中人工、材料价格按服务期间前 80%月份的平均信息价（按德清县→湖州市→浙江省信息价）的顺序确定价格，材料没有相应信息价的，则由发包人和承包人协商确定。</w:t>
      </w:r>
    </w:p>
    <w:p>
      <w:pPr>
        <w:spacing w:line="360" w:lineRule="auto"/>
        <w:outlineLvl w:val="0"/>
        <w:rPr>
          <w:rFonts w:ascii="宋体" w:hAnsi="宋体"/>
          <w:b/>
          <w:sz w:val="24"/>
          <w:highlight w:val="none"/>
        </w:rPr>
      </w:pPr>
      <w:r>
        <w:rPr>
          <w:rFonts w:hint="eastAsia" w:ascii="宋体" w:hAnsi="宋体"/>
          <w:b/>
          <w:sz w:val="24"/>
          <w:highlight w:val="none"/>
        </w:rPr>
        <w:t>（2）依据编制依据、组价原则，并按中标下浮率下浮后进行调整，经发包人审定后，作为结算的依据。承包人中标下浮率=（1-中标价/采购预算）×100%。</w:t>
      </w:r>
    </w:p>
    <w:p>
      <w:pPr>
        <w:spacing w:line="360" w:lineRule="auto"/>
        <w:outlineLvl w:val="0"/>
        <w:rPr>
          <w:rFonts w:ascii="宋体" w:hAnsi="宋体"/>
          <w:b/>
          <w:sz w:val="24"/>
          <w:highlight w:val="none"/>
        </w:rPr>
      </w:pPr>
      <w:r>
        <w:rPr>
          <w:rFonts w:hint="eastAsia" w:ascii="宋体" w:hAnsi="宋体"/>
          <w:b/>
          <w:sz w:val="24"/>
          <w:highlight w:val="none"/>
        </w:rPr>
        <w:t>3、下列情况的合同价格不能调整</w:t>
      </w:r>
    </w:p>
    <w:p>
      <w:pPr>
        <w:spacing w:line="360" w:lineRule="auto"/>
        <w:ind w:firstLine="482" w:firstLineChars="200"/>
        <w:outlineLvl w:val="0"/>
        <w:rPr>
          <w:rFonts w:ascii="宋体" w:hAnsi="宋体"/>
          <w:b/>
          <w:sz w:val="24"/>
          <w:highlight w:val="none"/>
        </w:rPr>
      </w:pPr>
      <w:r>
        <w:rPr>
          <w:rFonts w:hint="eastAsia" w:ascii="宋体" w:hAnsi="宋体"/>
          <w:b/>
          <w:sz w:val="24"/>
          <w:highlight w:val="none"/>
        </w:rPr>
        <w:t>属成交供应商为方便服务而更改服务方案或服务方法所增加的费用，一律不予调整。</w:t>
      </w:r>
    </w:p>
    <w:p>
      <w:pPr>
        <w:numPr>
          <w:ilvl w:val="0"/>
          <w:numId w:val="11"/>
        </w:numPr>
        <w:spacing w:line="360" w:lineRule="auto"/>
        <w:ind w:firstLine="472" w:firstLineChars="196"/>
        <w:outlineLvl w:val="0"/>
        <w:rPr>
          <w:rFonts w:ascii="宋体" w:hAnsi="宋体"/>
          <w:b/>
          <w:sz w:val="24"/>
          <w:highlight w:val="none"/>
        </w:rPr>
      </w:pPr>
      <w:r>
        <w:rPr>
          <w:rFonts w:hint="eastAsia" w:ascii="宋体" w:hAnsi="宋体"/>
          <w:b/>
          <w:sz w:val="24"/>
          <w:highlight w:val="none"/>
        </w:rPr>
        <w:t>质保期：</w:t>
      </w:r>
    </w:p>
    <w:p>
      <w:pPr>
        <w:spacing w:line="360" w:lineRule="auto"/>
        <w:outlineLvl w:val="0"/>
        <w:rPr>
          <w:rFonts w:ascii="宋体" w:hAnsi="宋体"/>
          <w:b/>
          <w:sz w:val="24"/>
          <w:highlight w:val="none"/>
        </w:rPr>
      </w:pPr>
      <w:r>
        <w:rPr>
          <w:rFonts w:hint="eastAsia" w:ascii="宋体" w:hAnsi="宋体"/>
          <w:b/>
          <w:sz w:val="24"/>
          <w:highlight w:val="none"/>
        </w:rPr>
        <w:t>1 、项目自服务完毕并通过验收之日起1年质保期（供应商自行延长的或标书有其他规定的除外），对交付的系统及设备进行日常巡检、维护、维修等工作。质保期内因产品本身缺陷（非人为因素）造成各种故障应由成交供应商免费技术服务和维修、更换。质保期后，如采购人要求，供货商应长期负责有偿优惠维修。</w:t>
      </w:r>
    </w:p>
    <w:p>
      <w:pPr>
        <w:spacing w:line="360" w:lineRule="auto"/>
        <w:outlineLvl w:val="0"/>
        <w:rPr>
          <w:rFonts w:ascii="宋体" w:hAnsi="宋体"/>
          <w:b/>
          <w:sz w:val="24"/>
          <w:highlight w:val="none"/>
        </w:rPr>
      </w:pPr>
      <w:r>
        <w:rPr>
          <w:rFonts w:hint="eastAsia" w:ascii="宋体" w:hAnsi="宋体"/>
          <w:b/>
          <w:sz w:val="24"/>
          <w:highlight w:val="none"/>
        </w:rPr>
        <w:t>2 、要求提供原厂商1年免费上门维修服务的，成交供应商应提供原厂商1年免费上门服务保证函，并承诺对所有产品负责终身维修；</w:t>
      </w:r>
    </w:p>
    <w:p>
      <w:pPr>
        <w:spacing w:line="360" w:lineRule="auto"/>
        <w:outlineLvl w:val="0"/>
        <w:rPr>
          <w:rFonts w:ascii="宋体" w:hAnsi="宋体"/>
          <w:b/>
          <w:sz w:val="24"/>
          <w:highlight w:val="none"/>
        </w:rPr>
      </w:pPr>
      <w:r>
        <w:rPr>
          <w:rFonts w:hint="eastAsia" w:ascii="宋体" w:hAnsi="宋体"/>
          <w:b/>
          <w:sz w:val="24"/>
          <w:highlight w:val="none"/>
        </w:rPr>
        <w:t>3 、供应商在报价文件中说明质保期内提供的服务计划。</w:t>
      </w:r>
    </w:p>
    <w:p>
      <w:pPr>
        <w:spacing w:line="360" w:lineRule="auto"/>
        <w:ind w:firstLine="482" w:firstLineChars="200"/>
        <w:outlineLvl w:val="0"/>
        <w:rPr>
          <w:rFonts w:ascii="宋体" w:hAnsi="宋体"/>
          <w:b/>
          <w:sz w:val="24"/>
          <w:highlight w:val="none"/>
        </w:rPr>
      </w:pPr>
      <w:r>
        <w:rPr>
          <w:rFonts w:hint="eastAsia" w:ascii="宋体" w:hAnsi="宋体"/>
          <w:b/>
          <w:sz w:val="24"/>
          <w:highlight w:val="none"/>
        </w:rPr>
        <w:t>七、售后服务要求：</w:t>
      </w:r>
    </w:p>
    <w:p>
      <w:pPr>
        <w:spacing w:line="360" w:lineRule="auto"/>
        <w:outlineLvl w:val="0"/>
        <w:rPr>
          <w:rFonts w:ascii="宋体" w:hAnsi="宋体"/>
          <w:b/>
          <w:sz w:val="24"/>
          <w:highlight w:val="none"/>
        </w:rPr>
      </w:pPr>
      <w:r>
        <w:rPr>
          <w:rFonts w:hint="eastAsia" w:ascii="宋体" w:hAnsi="宋体"/>
          <w:b/>
          <w:sz w:val="24"/>
          <w:highlight w:val="none"/>
        </w:rPr>
        <w:t>1.质保期内免费提供维修服务和所需的材料；质保期满后，以成本价提供维修服务和所需的材料。</w:t>
      </w:r>
    </w:p>
    <w:p>
      <w:pPr>
        <w:spacing w:line="360" w:lineRule="auto"/>
        <w:outlineLvl w:val="0"/>
        <w:rPr>
          <w:rFonts w:ascii="宋体" w:hAnsi="宋体"/>
          <w:b/>
          <w:sz w:val="24"/>
          <w:highlight w:val="none"/>
        </w:rPr>
      </w:pPr>
      <w:r>
        <w:rPr>
          <w:rFonts w:hint="eastAsia" w:ascii="宋体" w:hAnsi="宋体"/>
          <w:b/>
          <w:sz w:val="24"/>
          <w:highlight w:val="none"/>
        </w:rPr>
        <w:t>2.在质保期内，所有因服务、设备及零部件更换和维修等原因产生的费用由成交供应商承担。同时,在整个产品使用期内成交供应商应确保产品的正常使用，提供7*24小时的免费维护，在接到用户维修要求后应立即作出回应。</w:t>
      </w:r>
    </w:p>
    <w:p>
      <w:pPr>
        <w:spacing w:line="360" w:lineRule="auto"/>
        <w:outlineLvl w:val="0"/>
        <w:rPr>
          <w:rFonts w:ascii="宋体" w:hAnsi="宋体"/>
          <w:b/>
          <w:sz w:val="24"/>
          <w:highlight w:val="none"/>
        </w:rPr>
      </w:pPr>
      <w:r>
        <w:rPr>
          <w:rFonts w:hint="eastAsia" w:ascii="宋体" w:hAnsi="宋体"/>
          <w:b/>
          <w:sz w:val="24"/>
          <w:highlight w:val="none"/>
        </w:rPr>
        <w:t>3.成交供应商须自行付费负责修理和更换任何由于设备自身的质量问题造成的损坏及故障。修好后，成交供应商需一式两份报告给采购人，包括故障原因，解决措施，完成修理所需时间及恢复正常运行周期。</w:t>
      </w:r>
    </w:p>
    <w:p>
      <w:pPr>
        <w:spacing w:line="360" w:lineRule="auto"/>
        <w:outlineLvl w:val="0"/>
        <w:rPr>
          <w:rFonts w:ascii="宋体" w:hAnsi="宋体"/>
          <w:b/>
          <w:sz w:val="24"/>
          <w:highlight w:val="none"/>
        </w:rPr>
      </w:pPr>
      <w:r>
        <w:rPr>
          <w:rFonts w:hint="eastAsia" w:ascii="宋体" w:hAnsi="宋体"/>
          <w:b/>
          <w:sz w:val="24"/>
          <w:highlight w:val="none"/>
        </w:rPr>
        <w:t>4.质保期内，非人为原因损坏、失效或已达到报废标准的零部件除无偿更换外，保修期内因不能排除的故障而影响工作的情况每发生一次，其保修期相应延长60天，保质期内因产品本身缺陷造成各种故障应由供应商免费技术服务和维修。</w:t>
      </w:r>
    </w:p>
    <w:p>
      <w:pPr>
        <w:spacing w:line="360" w:lineRule="auto"/>
        <w:outlineLvl w:val="0"/>
        <w:rPr>
          <w:rFonts w:ascii="宋体" w:hAnsi="宋体"/>
          <w:b/>
          <w:sz w:val="24"/>
          <w:highlight w:val="none"/>
        </w:rPr>
      </w:pPr>
      <w:r>
        <w:rPr>
          <w:rFonts w:hint="eastAsia" w:ascii="宋体" w:hAnsi="宋体"/>
          <w:b/>
          <w:sz w:val="24"/>
          <w:highlight w:val="none"/>
        </w:rPr>
        <w:t>5.保修期结束前，须由成交供应商技术人员和采购人代表进行一次全面检查，任何缺陷必须由成交供应商负责修理，在修理之后，成交供应商应将缺陷原因、修理内容、完成修理及恢复正常的时间和日期等报告给采购人，报告一式两份。</w:t>
      </w:r>
    </w:p>
    <w:p>
      <w:pPr>
        <w:spacing w:line="360" w:lineRule="auto"/>
        <w:ind w:firstLine="482" w:firstLineChars="200"/>
        <w:outlineLvl w:val="0"/>
        <w:rPr>
          <w:rFonts w:ascii="宋体" w:hAnsi="宋体"/>
          <w:b/>
          <w:sz w:val="24"/>
          <w:highlight w:val="none"/>
        </w:rPr>
      </w:pPr>
    </w:p>
    <w:p>
      <w:pPr>
        <w:spacing w:line="360" w:lineRule="auto"/>
        <w:outlineLvl w:val="0"/>
        <w:rPr>
          <w:rFonts w:ascii="宋体" w:hAnsi="宋体"/>
          <w:b/>
          <w:color w:val="FF0000"/>
          <w:sz w:val="24"/>
          <w:highlight w:val="none"/>
        </w:rPr>
      </w:pPr>
    </w:p>
    <w:p>
      <w:pPr>
        <w:pStyle w:val="20"/>
        <w:spacing w:beforeLines="50"/>
        <w:rPr>
          <w:rFonts w:ascii="宋体" w:hAnsi="宋体"/>
          <w:b/>
          <w:highlight w:val="none"/>
        </w:rPr>
      </w:pPr>
    </w:p>
    <w:p>
      <w:pPr>
        <w:pStyle w:val="20"/>
        <w:spacing w:beforeLines="50"/>
        <w:rPr>
          <w:rFonts w:ascii="宋体" w:hAnsi="宋体"/>
          <w:b/>
          <w:color w:val="000000"/>
          <w:highlight w:val="none"/>
        </w:rPr>
      </w:pPr>
    </w:p>
    <w:p>
      <w:pPr>
        <w:pStyle w:val="20"/>
        <w:spacing w:beforeLines="50"/>
        <w:rPr>
          <w:rFonts w:ascii="宋体" w:hAnsi="宋体"/>
          <w:b/>
          <w:color w:val="000000"/>
          <w:highlight w:val="none"/>
        </w:rPr>
      </w:pPr>
    </w:p>
    <w:p>
      <w:pPr>
        <w:pStyle w:val="20"/>
        <w:spacing w:beforeLines="50"/>
        <w:rPr>
          <w:rFonts w:ascii="宋体" w:hAnsi="宋体"/>
          <w:b/>
          <w:color w:val="000000"/>
          <w:highlight w:val="none"/>
        </w:rPr>
      </w:pPr>
    </w:p>
    <w:p>
      <w:pPr>
        <w:pStyle w:val="20"/>
        <w:spacing w:beforeLines="50"/>
        <w:rPr>
          <w:rFonts w:ascii="宋体" w:hAnsi="宋体"/>
          <w:b/>
          <w:color w:val="000000"/>
          <w:highlight w:val="none"/>
        </w:rPr>
      </w:pPr>
    </w:p>
    <w:p>
      <w:pPr>
        <w:pStyle w:val="20"/>
        <w:spacing w:beforeLines="50"/>
        <w:rPr>
          <w:rFonts w:ascii="宋体" w:hAnsi="宋体"/>
          <w:b/>
          <w:color w:val="000000"/>
          <w:highlight w:val="none"/>
        </w:rPr>
      </w:pPr>
    </w:p>
    <w:p>
      <w:pPr>
        <w:spacing w:line="360" w:lineRule="auto"/>
        <w:ind w:firstLine="460" w:firstLineChars="192"/>
        <w:rPr>
          <w:rFonts w:ascii="宋体" w:hAnsi="宋体"/>
          <w:color w:val="000000"/>
          <w:sz w:val="24"/>
          <w:highlight w:val="none"/>
        </w:rPr>
      </w:pPr>
    </w:p>
    <w:p>
      <w:pPr>
        <w:spacing w:line="360" w:lineRule="auto"/>
        <w:ind w:firstLine="460" w:firstLineChars="192"/>
        <w:rPr>
          <w:rFonts w:ascii="宋体" w:hAnsi="宋体"/>
          <w:color w:val="000000"/>
          <w:sz w:val="24"/>
          <w:highlight w:val="none"/>
        </w:rPr>
      </w:pPr>
    </w:p>
    <w:p>
      <w:pPr>
        <w:spacing w:line="360" w:lineRule="auto"/>
        <w:ind w:firstLine="460" w:firstLineChars="192"/>
        <w:rPr>
          <w:rFonts w:ascii="宋体" w:hAnsi="宋体"/>
          <w:color w:val="000000"/>
          <w:sz w:val="24"/>
          <w:highlight w:val="none"/>
        </w:rPr>
      </w:pPr>
    </w:p>
    <w:p>
      <w:pPr>
        <w:spacing w:line="360" w:lineRule="auto"/>
        <w:ind w:firstLine="460" w:firstLineChars="192"/>
        <w:rPr>
          <w:rFonts w:ascii="宋体" w:hAnsi="宋体"/>
          <w:color w:val="000000"/>
          <w:sz w:val="24"/>
          <w:highlight w:val="none"/>
        </w:rPr>
      </w:pPr>
    </w:p>
    <w:p>
      <w:pPr>
        <w:spacing w:line="360" w:lineRule="auto"/>
        <w:ind w:firstLine="460" w:firstLineChars="192"/>
        <w:rPr>
          <w:rFonts w:ascii="宋体" w:hAnsi="宋体"/>
          <w:color w:val="000000"/>
          <w:sz w:val="24"/>
          <w:highlight w:val="none"/>
        </w:rPr>
      </w:pPr>
    </w:p>
    <w:p>
      <w:pPr>
        <w:spacing w:line="360" w:lineRule="auto"/>
        <w:ind w:firstLine="460" w:firstLineChars="192"/>
        <w:rPr>
          <w:rFonts w:ascii="宋体" w:hAnsi="宋体"/>
          <w:color w:val="000000"/>
          <w:sz w:val="24"/>
          <w:highlight w:val="none"/>
        </w:rPr>
      </w:pPr>
    </w:p>
    <w:p>
      <w:pPr>
        <w:spacing w:line="360" w:lineRule="auto"/>
        <w:ind w:firstLine="460" w:firstLineChars="192"/>
        <w:rPr>
          <w:rFonts w:ascii="宋体" w:hAnsi="宋体"/>
          <w:color w:val="000000"/>
          <w:sz w:val="24"/>
          <w:highlight w:val="none"/>
        </w:rPr>
      </w:pPr>
    </w:p>
    <w:p>
      <w:pPr>
        <w:spacing w:line="360" w:lineRule="auto"/>
        <w:ind w:firstLine="460" w:firstLineChars="192"/>
        <w:rPr>
          <w:rFonts w:ascii="宋体" w:hAnsi="宋体"/>
          <w:color w:val="000000"/>
          <w:sz w:val="24"/>
          <w:highlight w:val="none"/>
        </w:rPr>
      </w:pPr>
    </w:p>
    <w:p>
      <w:pPr>
        <w:spacing w:line="360" w:lineRule="auto"/>
        <w:ind w:firstLine="460" w:firstLineChars="192"/>
        <w:rPr>
          <w:rFonts w:ascii="宋体" w:hAnsi="宋体"/>
          <w:color w:val="000000"/>
          <w:sz w:val="24"/>
          <w:highlight w:val="none"/>
        </w:rPr>
      </w:pPr>
    </w:p>
    <w:p>
      <w:pPr>
        <w:pStyle w:val="2"/>
        <w:rPr>
          <w:rFonts w:ascii="宋体" w:hAnsi="宋体"/>
          <w:color w:val="000000"/>
          <w:sz w:val="24"/>
          <w:highlight w:val="none"/>
        </w:rPr>
      </w:pPr>
    </w:p>
    <w:p>
      <w:pPr>
        <w:pStyle w:val="2"/>
        <w:rPr>
          <w:rFonts w:ascii="宋体" w:hAnsi="宋体"/>
          <w:color w:val="000000"/>
          <w:sz w:val="24"/>
          <w:highlight w:val="none"/>
        </w:rPr>
      </w:pPr>
    </w:p>
    <w:p>
      <w:pPr>
        <w:spacing w:line="360" w:lineRule="auto"/>
        <w:ind w:firstLine="460" w:firstLineChars="192"/>
        <w:rPr>
          <w:rFonts w:ascii="宋体" w:hAnsi="宋体"/>
          <w:color w:val="000000"/>
          <w:sz w:val="24"/>
          <w:highlight w:val="none"/>
        </w:rPr>
      </w:pPr>
    </w:p>
    <w:p>
      <w:pPr>
        <w:pStyle w:val="20"/>
        <w:spacing w:beforeLines="50"/>
        <w:rPr>
          <w:rFonts w:ascii="宋体" w:hAnsi="宋体"/>
          <w:b/>
          <w:color w:val="000000"/>
          <w:sz w:val="18"/>
          <w:szCs w:val="18"/>
          <w:highlight w:val="none"/>
        </w:rPr>
      </w:pPr>
    </w:p>
    <w:p>
      <w:pPr>
        <w:snapToGrid w:val="0"/>
        <w:jc w:val="center"/>
        <w:outlineLvl w:val="0"/>
        <w:rPr>
          <w:rFonts w:ascii="宋体" w:hAnsi="宋体"/>
          <w:color w:val="000000"/>
          <w:sz w:val="30"/>
          <w:szCs w:val="30"/>
          <w:highlight w:val="none"/>
        </w:rPr>
      </w:pPr>
      <w:r>
        <w:rPr>
          <w:rFonts w:hint="eastAsia" w:ascii="宋体" w:hAnsi="宋体"/>
          <w:color w:val="000000"/>
          <w:sz w:val="30"/>
          <w:szCs w:val="30"/>
          <w:highlight w:val="none"/>
        </w:rPr>
        <w:t>第三章投标人须知</w:t>
      </w:r>
    </w:p>
    <w:p>
      <w:pPr>
        <w:snapToGrid w:val="0"/>
        <w:spacing w:beforeLines="50" w:afterLines="50"/>
        <w:ind w:left="238"/>
        <w:jc w:val="center"/>
        <w:outlineLvl w:val="1"/>
        <w:rPr>
          <w:rFonts w:ascii="宋体" w:hAnsi="宋体"/>
          <w:b/>
          <w:color w:val="000000"/>
          <w:sz w:val="28"/>
          <w:szCs w:val="28"/>
          <w:highlight w:val="none"/>
        </w:rPr>
      </w:pPr>
      <w:r>
        <w:rPr>
          <w:rFonts w:hint="eastAsia" w:ascii="宋体" w:hAnsi="宋体"/>
          <w:b/>
          <w:color w:val="000000"/>
          <w:sz w:val="28"/>
          <w:szCs w:val="28"/>
          <w:highlight w:val="none"/>
        </w:rPr>
        <w:t>前附表</w:t>
      </w:r>
    </w:p>
    <w:tbl>
      <w:tblPr>
        <w:tblStyle w:val="48"/>
        <w:tblW w:w="9743"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1"/>
        <w:gridCol w:w="91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0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highlight w:val="none"/>
              </w:rPr>
            </w:pPr>
            <w:r>
              <w:rPr>
                <w:rFonts w:hint="eastAsia" w:ascii="宋体" w:hAnsi="宋体"/>
                <w:color w:val="000000"/>
                <w:sz w:val="24"/>
                <w:szCs w:val="20"/>
                <w:highlight w:val="none"/>
              </w:rPr>
              <w:t>序号</w:t>
            </w:r>
          </w:p>
        </w:tc>
        <w:tc>
          <w:tcPr>
            <w:tcW w:w="9142"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highlight w:val="none"/>
              </w:rPr>
            </w:pPr>
            <w:r>
              <w:rPr>
                <w:rFonts w:hint="eastAsia" w:ascii="宋体" w:hAnsi="宋体"/>
                <w:color w:val="000000"/>
                <w:sz w:val="24"/>
                <w:szCs w:val="20"/>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0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highlight w:val="none"/>
              </w:rPr>
            </w:pPr>
            <w:r>
              <w:rPr>
                <w:rFonts w:ascii="宋体" w:hAnsi="宋体"/>
                <w:color w:val="000000"/>
                <w:sz w:val="24"/>
                <w:szCs w:val="20"/>
                <w:highlight w:val="none"/>
              </w:rPr>
              <w:t>1</w:t>
            </w:r>
          </w:p>
        </w:tc>
        <w:tc>
          <w:tcPr>
            <w:tcW w:w="9142"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olor w:val="000000"/>
                <w:sz w:val="24"/>
                <w:szCs w:val="20"/>
                <w:highlight w:val="none"/>
              </w:rPr>
            </w:pPr>
            <w:r>
              <w:rPr>
                <w:rFonts w:hint="eastAsia" w:ascii="宋体" w:hAnsi="宋体"/>
                <w:color w:val="000000"/>
                <w:sz w:val="24"/>
                <w:szCs w:val="20"/>
                <w:highlight w:val="none"/>
              </w:rPr>
              <w:t>项目名称：</w:t>
            </w:r>
            <w:r>
              <w:rPr>
                <w:rFonts w:hint="eastAsia" w:ascii="宋体" w:hAnsi="宋体"/>
                <w:color w:val="FF0000"/>
                <w:sz w:val="24"/>
                <w:highlight w:val="none"/>
              </w:rPr>
              <w:t>2022-2023年度辖区市政设施养护管理服务采购项目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60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highlight w:val="none"/>
              </w:rPr>
            </w:pPr>
            <w:r>
              <w:rPr>
                <w:rFonts w:ascii="宋体" w:hAnsi="宋体"/>
                <w:color w:val="000000"/>
                <w:sz w:val="24"/>
                <w:szCs w:val="20"/>
                <w:highlight w:val="none"/>
              </w:rPr>
              <w:t>2</w:t>
            </w:r>
          </w:p>
        </w:tc>
        <w:tc>
          <w:tcPr>
            <w:tcW w:w="9142"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olor w:val="000000"/>
                <w:sz w:val="24"/>
                <w:szCs w:val="20"/>
                <w:highlight w:val="none"/>
              </w:rPr>
            </w:pPr>
            <w:r>
              <w:rPr>
                <w:rFonts w:hint="eastAsia" w:ascii="宋体" w:hAnsi="宋体"/>
                <w:color w:val="000000"/>
                <w:sz w:val="24"/>
                <w:szCs w:val="20"/>
                <w:highlight w:val="none"/>
              </w:rPr>
              <w:t>采购数量及单位：</w:t>
            </w:r>
            <w:r>
              <w:rPr>
                <w:rFonts w:hint="eastAsia" w:ascii="宋体" w:hAnsi="宋体" w:cs="宋体"/>
                <w:b/>
                <w:bCs/>
                <w:color w:val="000000"/>
                <w:szCs w:val="21"/>
                <w:highlight w:val="none"/>
                <w:lang w:val="zh-CN"/>
              </w:rPr>
              <w:t>详见第二章内容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60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highlight w:val="none"/>
              </w:rPr>
            </w:pPr>
            <w:r>
              <w:rPr>
                <w:rFonts w:ascii="宋体" w:hAnsi="宋体"/>
                <w:color w:val="000000"/>
                <w:sz w:val="24"/>
                <w:szCs w:val="20"/>
                <w:highlight w:val="none"/>
              </w:rPr>
              <w:t>3</w:t>
            </w:r>
          </w:p>
        </w:tc>
        <w:tc>
          <w:tcPr>
            <w:tcW w:w="9142"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olor w:val="000000"/>
                <w:sz w:val="24"/>
                <w:szCs w:val="20"/>
                <w:highlight w:val="none"/>
              </w:rPr>
            </w:pPr>
            <w:r>
              <w:rPr>
                <w:rFonts w:hint="eastAsia" w:ascii="宋体" w:hAnsi="宋体"/>
                <w:color w:val="000000"/>
                <w:sz w:val="24"/>
                <w:szCs w:val="20"/>
                <w:highlight w:val="none"/>
              </w:rPr>
              <w:t>投标报价及费用：</w:t>
            </w:r>
            <w:r>
              <w:rPr>
                <w:rFonts w:ascii="宋体" w:hAnsi="宋体"/>
                <w:color w:val="000000"/>
                <w:sz w:val="24"/>
                <w:szCs w:val="20"/>
                <w:highlight w:val="none"/>
              </w:rPr>
              <w:t>1</w:t>
            </w:r>
            <w:r>
              <w:rPr>
                <w:rFonts w:hint="eastAsia" w:ascii="宋体" w:hAnsi="宋体"/>
                <w:color w:val="000000"/>
                <w:sz w:val="24"/>
                <w:szCs w:val="20"/>
                <w:highlight w:val="none"/>
              </w:rPr>
              <w:t>、本项目投标应以人民币报价</w:t>
            </w:r>
          </w:p>
          <w:p>
            <w:pPr>
              <w:snapToGrid w:val="0"/>
              <w:rPr>
                <w:rFonts w:ascii="宋体" w:hAnsi="宋体"/>
                <w:color w:val="000000"/>
                <w:sz w:val="24"/>
                <w:szCs w:val="20"/>
                <w:highlight w:val="none"/>
              </w:rPr>
            </w:pPr>
            <w:r>
              <w:rPr>
                <w:rFonts w:ascii="宋体" w:hAnsi="宋体"/>
                <w:color w:val="000000"/>
                <w:sz w:val="24"/>
                <w:szCs w:val="20"/>
                <w:highlight w:val="none"/>
              </w:rPr>
              <w:t>2</w:t>
            </w:r>
            <w:r>
              <w:rPr>
                <w:rFonts w:hint="eastAsia" w:ascii="宋体" w:hAnsi="宋体"/>
                <w:color w:val="000000"/>
                <w:sz w:val="24"/>
                <w:szCs w:val="20"/>
                <w:highlight w:val="none"/>
              </w:rPr>
              <w:t>、不论投标结果如何，投标人均应自行承担所有与投标有关的全部费用</w:t>
            </w:r>
          </w:p>
          <w:p>
            <w:pPr>
              <w:snapToGrid w:val="0"/>
              <w:rPr>
                <w:rFonts w:ascii="宋体" w:hAnsi="宋体"/>
                <w:color w:val="000000"/>
                <w:sz w:val="24"/>
                <w:szCs w:val="20"/>
                <w:highlight w:val="none"/>
              </w:rPr>
            </w:pPr>
            <w:r>
              <w:rPr>
                <w:rFonts w:ascii="宋体" w:hAnsi="宋体"/>
                <w:color w:val="000000"/>
                <w:sz w:val="24"/>
                <w:szCs w:val="20"/>
                <w:highlight w:val="none"/>
              </w:rPr>
              <w:t>3</w:t>
            </w:r>
            <w:r>
              <w:rPr>
                <w:rFonts w:hint="eastAsia" w:ascii="宋体" w:hAnsi="宋体"/>
                <w:color w:val="000000"/>
                <w:sz w:val="24"/>
                <w:szCs w:val="20"/>
                <w:highlight w:val="none"/>
              </w:rPr>
              <w:t>、本项目免收代理服务费。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60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highlight w:val="none"/>
              </w:rPr>
            </w:pPr>
            <w:r>
              <w:rPr>
                <w:rFonts w:ascii="宋体" w:hAnsi="宋体"/>
                <w:color w:val="000000"/>
                <w:sz w:val="24"/>
                <w:szCs w:val="20"/>
                <w:highlight w:val="none"/>
              </w:rPr>
              <w:t>4</w:t>
            </w:r>
          </w:p>
        </w:tc>
        <w:tc>
          <w:tcPr>
            <w:tcW w:w="9142"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olor w:val="000000"/>
                <w:sz w:val="24"/>
                <w:szCs w:val="20"/>
                <w:highlight w:val="none"/>
              </w:rPr>
            </w:pPr>
            <w:r>
              <w:rPr>
                <w:rFonts w:hint="eastAsia" w:ascii="宋体" w:hAnsi="宋体"/>
                <w:color w:val="000000"/>
                <w:sz w:val="24"/>
                <w:szCs w:val="20"/>
                <w:highlight w:val="none"/>
              </w:rPr>
              <w:t>投标保证金：参见招标公告第十条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60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highlight w:val="none"/>
              </w:rPr>
            </w:pPr>
            <w:r>
              <w:rPr>
                <w:rFonts w:hint="eastAsia" w:ascii="宋体" w:hAnsi="宋体"/>
                <w:color w:val="000000"/>
                <w:sz w:val="24"/>
                <w:szCs w:val="20"/>
                <w:highlight w:val="none"/>
              </w:rPr>
              <w:t>5</w:t>
            </w:r>
          </w:p>
        </w:tc>
        <w:tc>
          <w:tcPr>
            <w:tcW w:w="9142"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olor w:val="000000"/>
                <w:sz w:val="24"/>
                <w:szCs w:val="20"/>
                <w:highlight w:val="none"/>
              </w:rPr>
            </w:pPr>
            <w:r>
              <w:rPr>
                <w:rFonts w:hint="eastAsia" w:ascii="宋体" w:hAnsi="宋体"/>
                <w:color w:val="000000"/>
                <w:sz w:val="24"/>
                <w:szCs w:val="20"/>
                <w:highlight w:val="none"/>
              </w:rPr>
              <w:t>答疑与澄清：供应商认为采购文件使自己的权益受到损害的，可以自收到采购文件之日（发售截止日之后收到采购文件的，以发售截止日为准）或者采购文件公告期限届满之日（公告发布后的第6个工作日）起7个工作日内</w:t>
            </w:r>
            <w:r>
              <w:rPr>
                <w:rFonts w:hint="eastAsia" w:ascii="宋体" w:hAnsi="宋体"/>
                <w:b/>
                <w:color w:val="000000"/>
                <w:sz w:val="24"/>
                <w:szCs w:val="20"/>
                <w:highlight w:val="none"/>
              </w:rPr>
              <w:t>（逾期将不再受理）</w:t>
            </w:r>
            <w:r>
              <w:rPr>
                <w:rFonts w:hint="eastAsia" w:ascii="宋体" w:hAnsi="宋体"/>
                <w:color w:val="000000"/>
                <w:sz w:val="24"/>
                <w:szCs w:val="20"/>
                <w:highlight w:val="none"/>
              </w:rPr>
              <w:t>，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采购人和采购代理机构将于</w:t>
            </w:r>
            <w:r>
              <w:rPr>
                <w:rFonts w:hint="eastAsia" w:ascii="宋体" w:hAnsi="宋体"/>
                <w:sz w:val="24"/>
                <w:szCs w:val="20"/>
                <w:highlight w:val="none"/>
              </w:rPr>
              <w:t>提交投标截止时间15日前进行</w:t>
            </w:r>
            <w:r>
              <w:rPr>
                <w:rFonts w:hint="eastAsia" w:ascii="宋体" w:hAnsi="宋体"/>
                <w:color w:val="000000"/>
                <w:sz w:val="24"/>
                <w:szCs w:val="20"/>
                <w:highlight w:val="none"/>
              </w:rPr>
              <w:t>可能影响投标文件编制的澄清或修改；澄清或修改内容是采购文件的组成部份，并将以书面形式送达所有已报名的投标人。因其他紧急情况影响本项目正常招标活动的，采购人和采购代理机构将于投标截止日期一天前书面通知所有已报名的投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60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highlight w:val="none"/>
              </w:rPr>
            </w:pPr>
            <w:r>
              <w:rPr>
                <w:rFonts w:hint="eastAsia" w:ascii="宋体" w:hAnsi="宋体"/>
                <w:color w:val="000000"/>
                <w:sz w:val="24"/>
                <w:szCs w:val="20"/>
                <w:highlight w:val="none"/>
              </w:rPr>
              <w:t>6</w:t>
            </w:r>
          </w:p>
        </w:tc>
        <w:tc>
          <w:tcPr>
            <w:tcW w:w="9142"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276" w:lineRule="auto"/>
              <w:textAlignment w:val="bottom"/>
              <w:rPr>
                <w:rFonts w:ascii="宋体" w:hAnsi="宋体"/>
                <w:sz w:val="24"/>
                <w:szCs w:val="20"/>
                <w:highlight w:val="none"/>
              </w:rPr>
            </w:pPr>
            <w:r>
              <w:rPr>
                <w:rFonts w:hint="eastAsia" w:ascii="宋体" w:hAnsi="宋体" w:cs="Arial"/>
                <w:b/>
                <w:sz w:val="24"/>
                <w:szCs w:val="20"/>
                <w:highlight w:val="none"/>
              </w:rPr>
              <w:t>本项目实行政采云在线投标。</w:t>
            </w:r>
            <w:r>
              <w:rPr>
                <w:rFonts w:hint="eastAsia" w:ascii="宋体" w:hAnsi="宋体"/>
                <w:b/>
                <w:sz w:val="24"/>
                <w:szCs w:val="20"/>
                <w:highlight w:val="none"/>
              </w:rPr>
              <w:t>投标文件组成：</w:t>
            </w:r>
          </w:p>
          <w:p>
            <w:pPr>
              <w:wordWrap w:val="0"/>
              <w:spacing w:line="500" w:lineRule="exact"/>
              <w:ind w:firstLine="463" w:firstLineChars="192"/>
              <w:rPr>
                <w:rFonts w:ascii="宋体" w:hAnsi="宋体" w:cs="Arial"/>
                <w:b/>
                <w:sz w:val="24"/>
                <w:szCs w:val="20"/>
                <w:highlight w:val="none"/>
              </w:rPr>
            </w:pPr>
            <w:r>
              <w:rPr>
                <w:rFonts w:hint="eastAsia" w:ascii="宋体" w:hAnsi="宋体" w:cs="Arial"/>
                <w:b/>
                <w:sz w:val="24"/>
                <w:szCs w:val="20"/>
                <w:highlight w:val="none"/>
              </w:rPr>
              <w:t>（1）电子投标文件：按政采云平台供应商项目采购-电子交易操作指南（网址：</w:t>
            </w:r>
            <w:r>
              <w:rPr>
                <w:rFonts w:ascii="宋体" w:hAnsi="宋体"/>
                <w:b/>
                <w:sz w:val="24"/>
                <w:highlight w:val="none"/>
              </w:rPr>
              <w:t>https://help.zcygov.cn/web/site_2/2018/12-28/2573.html</w:t>
            </w:r>
            <w:r>
              <w:rPr>
                <w:rFonts w:hint="eastAsia" w:ascii="宋体" w:hAnsi="宋体" w:cs="Arial"/>
                <w:b/>
                <w:sz w:val="24"/>
                <w:szCs w:val="20"/>
                <w:highlight w:val="none"/>
              </w:rPr>
              <w:t>）及本招标文件要求递交。</w:t>
            </w:r>
          </w:p>
          <w:p>
            <w:pPr>
              <w:wordWrap w:val="0"/>
              <w:spacing w:line="500" w:lineRule="exact"/>
              <w:ind w:firstLine="463" w:firstLineChars="192"/>
              <w:rPr>
                <w:rFonts w:ascii="宋体" w:hAnsi="宋体" w:cs="Arial"/>
                <w:b/>
                <w:sz w:val="24"/>
                <w:szCs w:val="20"/>
                <w:highlight w:val="none"/>
              </w:rPr>
            </w:pPr>
            <w:r>
              <w:rPr>
                <w:rFonts w:hint="eastAsia" w:ascii="宋体" w:hAnsi="宋体" w:cs="Arial"/>
                <w:b/>
                <w:sz w:val="24"/>
                <w:szCs w:val="20"/>
                <w:highlight w:val="none"/>
              </w:rPr>
              <w:t>（2）备份电子投标文件，按政采云平台项目采购-电子招投标操作指南中上传的电子投标文件格式，以光盘或U盘形式提供。内容与电子投标文件保持一致。数量为1份。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60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highlight w:val="none"/>
              </w:rPr>
            </w:pPr>
            <w:r>
              <w:rPr>
                <w:rFonts w:hint="eastAsia" w:ascii="宋体" w:hAnsi="宋体"/>
                <w:color w:val="000000"/>
                <w:sz w:val="24"/>
                <w:szCs w:val="20"/>
                <w:highlight w:val="none"/>
              </w:rPr>
              <w:t>7</w:t>
            </w:r>
          </w:p>
        </w:tc>
        <w:tc>
          <w:tcPr>
            <w:tcW w:w="9142"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olor w:val="000000"/>
                <w:sz w:val="24"/>
                <w:szCs w:val="20"/>
                <w:highlight w:val="none"/>
              </w:rPr>
            </w:pPr>
            <w:r>
              <w:rPr>
                <w:rFonts w:hint="eastAsia" w:ascii="宋体" w:hAnsi="宋体"/>
                <w:color w:val="000000"/>
                <w:sz w:val="24"/>
                <w:szCs w:val="20"/>
                <w:highlight w:val="none"/>
              </w:rPr>
              <w:t>投标截止时间及地点：</w:t>
            </w:r>
            <w:r>
              <w:rPr>
                <w:rFonts w:hint="eastAsia" w:ascii="宋体" w:hAnsi="宋体"/>
                <w:color w:val="FF0000"/>
                <w:sz w:val="24"/>
                <w:szCs w:val="20"/>
                <w:highlight w:val="none"/>
              </w:rPr>
              <w:t>202</w:t>
            </w:r>
            <w:r>
              <w:rPr>
                <w:rFonts w:hint="eastAsia" w:ascii="宋体" w:hAnsi="宋体"/>
                <w:color w:val="FF0000"/>
                <w:sz w:val="24"/>
                <w:szCs w:val="20"/>
                <w:highlight w:val="none"/>
                <w:lang w:val="en-US" w:eastAsia="zh-CN"/>
              </w:rPr>
              <w:t>2</w:t>
            </w:r>
            <w:r>
              <w:rPr>
                <w:rFonts w:hint="eastAsia" w:ascii="宋体" w:hAnsi="宋体"/>
                <w:color w:val="FF0000"/>
                <w:sz w:val="24"/>
                <w:szCs w:val="20"/>
                <w:highlight w:val="none"/>
              </w:rPr>
              <w:t>年</w:t>
            </w:r>
            <w:r>
              <w:rPr>
                <w:rFonts w:hint="eastAsia" w:ascii="宋体" w:hAnsi="宋体"/>
                <w:color w:val="FF0000"/>
                <w:sz w:val="24"/>
                <w:szCs w:val="20"/>
                <w:highlight w:val="none"/>
                <w:lang w:val="en-US" w:eastAsia="zh-CN"/>
              </w:rPr>
              <w:t>09</w:t>
            </w:r>
            <w:r>
              <w:rPr>
                <w:rFonts w:hint="eastAsia" w:ascii="宋体" w:hAnsi="宋体"/>
                <w:color w:val="FF0000"/>
                <w:sz w:val="24"/>
                <w:szCs w:val="20"/>
                <w:highlight w:val="none"/>
              </w:rPr>
              <w:t>月</w:t>
            </w:r>
            <w:r>
              <w:rPr>
                <w:rFonts w:hint="eastAsia" w:ascii="宋体" w:hAnsi="宋体"/>
                <w:color w:val="FF0000"/>
                <w:sz w:val="24"/>
                <w:szCs w:val="20"/>
                <w:highlight w:val="none"/>
                <w:lang w:val="en-US" w:eastAsia="zh-CN"/>
              </w:rPr>
              <w:t>23</w:t>
            </w:r>
            <w:r>
              <w:rPr>
                <w:rFonts w:hint="eastAsia" w:ascii="宋体" w:hAnsi="宋体"/>
                <w:color w:val="FF0000"/>
                <w:sz w:val="24"/>
                <w:szCs w:val="20"/>
                <w:highlight w:val="none"/>
              </w:rPr>
              <w:t>日</w:t>
            </w:r>
            <w:r>
              <w:rPr>
                <w:rFonts w:hint="eastAsia" w:ascii="宋体" w:hAnsi="宋体"/>
                <w:color w:val="000000"/>
                <w:sz w:val="24"/>
                <w:szCs w:val="20"/>
                <w:highlight w:val="none"/>
              </w:rPr>
              <w:t>上午9时0分德清县公共资源交易中心二楼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highlight w:val="none"/>
              </w:rPr>
            </w:pPr>
            <w:r>
              <w:rPr>
                <w:rFonts w:hint="eastAsia" w:ascii="宋体" w:hAnsi="宋体"/>
                <w:color w:val="000000"/>
                <w:sz w:val="24"/>
                <w:szCs w:val="20"/>
                <w:highlight w:val="none"/>
              </w:rPr>
              <w:t>8</w:t>
            </w:r>
          </w:p>
        </w:tc>
        <w:tc>
          <w:tcPr>
            <w:tcW w:w="9142"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olor w:val="000000"/>
                <w:sz w:val="24"/>
                <w:szCs w:val="20"/>
                <w:highlight w:val="none"/>
              </w:rPr>
            </w:pPr>
            <w:r>
              <w:rPr>
                <w:rFonts w:hint="eastAsia" w:ascii="宋体" w:hAnsi="宋体"/>
                <w:color w:val="000000"/>
                <w:sz w:val="24"/>
                <w:szCs w:val="20"/>
                <w:highlight w:val="none"/>
              </w:rPr>
              <w:t>开标时间及地点：</w:t>
            </w:r>
            <w:r>
              <w:rPr>
                <w:rFonts w:hint="eastAsia" w:ascii="宋体" w:hAnsi="宋体"/>
                <w:color w:val="FF0000"/>
                <w:sz w:val="24"/>
                <w:szCs w:val="20"/>
                <w:highlight w:val="none"/>
              </w:rPr>
              <w:t>202</w:t>
            </w:r>
            <w:r>
              <w:rPr>
                <w:rFonts w:hint="eastAsia" w:ascii="宋体" w:hAnsi="宋体"/>
                <w:color w:val="FF0000"/>
                <w:sz w:val="24"/>
                <w:szCs w:val="20"/>
                <w:highlight w:val="none"/>
                <w:lang w:val="en-US" w:eastAsia="zh-CN"/>
              </w:rPr>
              <w:t>2</w:t>
            </w:r>
            <w:r>
              <w:rPr>
                <w:rFonts w:hint="eastAsia" w:ascii="宋体" w:hAnsi="宋体"/>
                <w:color w:val="FF0000"/>
                <w:sz w:val="24"/>
                <w:szCs w:val="20"/>
                <w:highlight w:val="none"/>
              </w:rPr>
              <w:t>年</w:t>
            </w:r>
            <w:r>
              <w:rPr>
                <w:rFonts w:hint="eastAsia" w:ascii="宋体" w:hAnsi="宋体"/>
                <w:color w:val="FF0000"/>
                <w:sz w:val="24"/>
                <w:szCs w:val="20"/>
                <w:highlight w:val="none"/>
                <w:lang w:val="en-US" w:eastAsia="zh-CN"/>
              </w:rPr>
              <w:t>09</w:t>
            </w:r>
            <w:r>
              <w:rPr>
                <w:rFonts w:hint="eastAsia" w:ascii="宋体" w:hAnsi="宋体"/>
                <w:color w:val="FF0000"/>
                <w:sz w:val="24"/>
                <w:szCs w:val="20"/>
                <w:highlight w:val="none"/>
              </w:rPr>
              <w:t>月</w:t>
            </w:r>
            <w:r>
              <w:rPr>
                <w:rFonts w:hint="eastAsia" w:ascii="宋体" w:hAnsi="宋体"/>
                <w:color w:val="FF0000"/>
                <w:sz w:val="24"/>
                <w:szCs w:val="20"/>
                <w:highlight w:val="none"/>
                <w:lang w:val="en-US" w:eastAsia="zh-CN"/>
              </w:rPr>
              <w:t>23</w:t>
            </w:r>
            <w:r>
              <w:rPr>
                <w:rFonts w:hint="eastAsia" w:ascii="宋体" w:hAnsi="宋体"/>
                <w:color w:val="FF0000"/>
                <w:sz w:val="24"/>
                <w:szCs w:val="20"/>
                <w:highlight w:val="none"/>
              </w:rPr>
              <w:t>日</w:t>
            </w:r>
            <w:r>
              <w:rPr>
                <w:rFonts w:hint="eastAsia" w:ascii="宋体" w:hAnsi="宋体"/>
                <w:color w:val="000000"/>
                <w:sz w:val="24"/>
                <w:szCs w:val="20"/>
                <w:highlight w:val="none"/>
              </w:rPr>
              <w:t>上午9时0分德清县公共资源交易中心二楼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highlight w:val="none"/>
              </w:rPr>
            </w:pPr>
            <w:r>
              <w:rPr>
                <w:rFonts w:hint="eastAsia" w:ascii="宋体" w:hAnsi="宋体"/>
                <w:color w:val="000000"/>
                <w:sz w:val="24"/>
                <w:szCs w:val="20"/>
                <w:highlight w:val="none"/>
              </w:rPr>
              <w:t>9</w:t>
            </w:r>
          </w:p>
        </w:tc>
        <w:tc>
          <w:tcPr>
            <w:tcW w:w="9142"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Arial"/>
                <w:b/>
                <w:sz w:val="24"/>
                <w:szCs w:val="20"/>
                <w:highlight w:val="none"/>
              </w:rPr>
            </w:pPr>
            <w:r>
              <w:rPr>
                <w:rFonts w:hint="eastAsia" w:ascii="宋体" w:hAnsi="宋体"/>
                <w:b/>
                <w:sz w:val="24"/>
                <w:highlight w:val="none"/>
              </w:rPr>
              <w:t>投标文件的接收：</w:t>
            </w:r>
          </w:p>
          <w:p>
            <w:pPr>
              <w:spacing w:line="360" w:lineRule="auto"/>
              <w:ind w:firstLine="463" w:firstLineChars="192"/>
              <w:rPr>
                <w:rFonts w:ascii="宋体" w:hAnsi="宋体" w:cs="Arial"/>
                <w:b/>
                <w:sz w:val="24"/>
                <w:szCs w:val="20"/>
                <w:highlight w:val="none"/>
              </w:rPr>
            </w:pPr>
            <w:r>
              <w:rPr>
                <w:rFonts w:hint="eastAsia" w:ascii="宋体" w:hAnsi="宋体" w:cs="Arial"/>
                <w:b/>
                <w:sz w:val="24"/>
                <w:szCs w:val="20"/>
                <w:highlight w:val="none"/>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pacing w:line="360" w:lineRule="auto"/>
              <w:ind w:firstLine="463" w:firstLineChars="192"/>
              <w:rPr>
                <w:rFonts w:ascii="宋体" w:hAnsi="宋体" w:cs="Arial"/>
                <w:b/>
                <w:sz w:val="24"/>
                <w:szCs w:val="20"/>
                <w:highlight w:val="none"/>
              </w:rPr>
            </w:pPr>
            <w:r>
              <w:rPr>
                <w:rFonts w:hint="eastAsia" w:ascii="宋体" w:hAnsi="宋体" w:cs="Arial"/>
                <w:b/>
                <w:sz w:val="24"/>
                <w:szCs w:val="20"/>
                <w:highlight w:val="none"/>
              </w:rPr>
              <w:t>投标人应当在投标截止时间前将备份电子投标文件密封送交到德清县公共资源交易中心</w:t>
            </w:r>
            <w:r>
              <w:rPr>
                <w:rFonts w:hint="eastAsia" w:ascii="宋体" w:hAnsi="宋体" w:cs="Arial"/>
                <w:b/>
                <w:sz w:val="24"/>
                <w:szCs w:val="20"/>
                <w:highlight w:val="none"/>
                <w:u w:val="single"/>
              </w:rPr>
              <w:t>201</w:t>
            </w:r>
            <w:r>
              <w:rPr>
                <w:rFonts w:ascii="宋体" w:hAnsi="宋体" w:cs="Arial"/>
                <w:b/>
                <w:sz w:val="24"/>
                <w:szCs w:val="20"/>
                <w:highlight w:val="none"/>
              </w:rPr>
              <w:t>开标室</w:t>
            </w:r>
            <w:r>
              <w:rPr>
                <w:rFonts w:hint="eastAsia" w:ascii="宋体" w:hAnsi="宋体" w:cs="Arial"/>
                <w:b/>
                <w:sz w:val="24"/>
                <w:szCs w:val="20"/>
                <w:highlight w:val="none"/>
              </w:rPr>
              <w:t>，逾期送达或未密封将被拒收。未</w:t>
            </w:r>
            <w:r>
              <w:rPr>
                <w:rFonts w:hint="eastAsia" w:cs="Arial"/>
                <w:b/>
                <w:sz w:val="24"/>
                <w:szCs w:val="20"/>
                <w:highlight w:val="none"/>
              </w:rPr>
              <w:t>完成电子投标文件传输提交、</w:t>
            </w:r>
            <w:r>
              <w:rPr>
                <w:rFonts w:hint="eastAsia" w:ascii="宋体" w:hAnsi="宋体" w:cs="Arial"/>
                <w:b/>
                <w:sz w:val="24"/>
                <w:szCs w:val="20"/>
                <w:highlight w:val="none"/>
              </w:rPr>
              <w:t>仅提供备份投标文件的，其提供的备份投标文件无效。</w:t>
            </w:r>
          </w:p>
          <w:p>
            <w:pPr>
              <w:spacing w:line="360" w:lineRule="auto"/>
              <w:ind w:firstLine="463" w:firstLineChars="192"/>
              <w:rPr>
                <w:rFonts w:ascii="宋体" w:hAnsi="宋体" w:cs="Arial"/>
                <w:b/>
                <w:sz w:val="24"/>
                <w:szCs w:val="20"/>
                <w:highlight w:val="none"/>
              </w:rPr>
            </w:pPr>
            <w:r>
              <w:rPr>
                <w:rFonts w:hint="eastAsia" w:ascii="宋体" w:hAnsi="宋体" w:cs="Arial"/>
                <w:b/>
                <w:sz w:val="24"/>
                <w:szCs w:val="20"/>
                <w:highlight w:val="none"/>
              </w:rPr>
              <w:t>2、投标人递交备份电子投标文件时，如出现下列情况之一的，将被拒收：</w:t>
            </w:r>
          </w:p>
          <w:p>
            <w:pPr>
              <w:spacing w:line="360" w:lineRule="auto"/>
              <w:ind w:firstLine="463" w:firstLineChars="192"/>
              <w:rPr>
                <w:rFonts w:ascii="宋体" w:hAnsi="宋体" w:cs="Arial"/>
                <w:b/>
                <w:sz w:val="24"/>
                <w:szCs w:val="20"/>
                <w:highlight w:val="none"/>
              </w:rPr>
            </w:pPr>
            <w:r>
              <w:rPr>
                <w:rFonts w:hint="eastAsia" w:ascii="宋体" w:hAnsi="宋体" w:cs="Arial"/>
                <w:b/>
                <w:sz w:val="24"/>
                <w:szCs w:val="20"/>
                <w:highlight w:val="none"/>
              </w:rPr>
              <w:t>（1）未按规定密封或标记的投标文件；</w:t>
            </w:r>
          </w:p>
          <w:p>
            <w:pPr>
              <w:spacing w:line="360" w:lineRule="auto"/>
              <w:ind w:firstLine="463" w:firstLineChars="192"/>
              <w:rPr>
                <w:rFonts w:ascii="宋体" w:hAnsi="宋体" w:cs="Arial"/>
                <w:b/>
                <w:sz w:val="24"/>
                <w:szCs w:val="20"/>
                <w:highlight w:val="none"/>
              </w:rPr>
            </w:pPr>
            <w:r>
              <w:rPr>
                <w:rFonts w:hint="eastAsia" w:ascii="宋体" w:hAnsi="宋体" w:cs="Arial"/>
                <w:b/>
                <w:sz w:val="24"/>
                <w:szCs w:val="20"/>
                <w:highlight w:val="none"/>
              </w:rPr>
              <w:t>（2）由于包装不妥，在送交途中严重破损或失散的；</w:t>
            </w:r>
          </w:p>
          <w:p>
            <w:pPr>
              <w:spacing w:line="360" w:lineRule="auto"/>
              <w:ind w:firstLine="463" w:firstLineChars="192"/>
              <w:rPr>
                <w:rFonts w:ascii="宋体" w:hAnsi="宋体" w:cs="Arial"/>
                <w:b/>
                <w:sz w:val="24"/>
                <w:szCs w:val="20"/>
                <w:highlight w:val="none"/>
              </w:rPr>
            </w:pPr>
            <w:r>
              <w:rPr>
                <w:rFonts w:hint="eastAsia" w:ascii="宋体" w:hAnsi="宋体" w:cs="Arial"/>
                <w:b/>
                <w:sz w:val="24"/>
                <w:szCs w:val="20"/>
                <w:highlight w:val="none"/>
              </w:rPr>
              <w:t>（3）投标人未成功办理政采云报名手续的；</w:t>
            </w:r>
          </w:p>
          <w:p>
            <w:pPr>
              <w:spacing w:line="360" w:lineRule="auto"/>
              <w:ind w:firstLine="463" w:firstLineChars="192"/>
              <w:rPr>
                <w:rFonts w:ascii="宋体" w:hAnsi="宋体" w:cs="Arial"/>
                <w:b/>
                <w:sz w:val="24"/>
                <w:szCs w:val="20"/>
                <w:highlight w:val="none"/>
              </w:rPr>
            </w:pPr>
            <w:r>
              <w:rPr>
                <w:rFonts w:hint="eastAsia" w:ascii="宋体" w:hAnsi="宋体" w:cs="Arial"/>
                <w:b/>
                <w:sz w:val="24"/>
                <w:szCs w:val="20"/>
                <w:highlight w:val="none"/>
              </w:rPr>
              <w:t>（4）超过投标截止时间送达的。</w:t>
            </w:r>
          </w:p>
          <w:p>
            <w:pPr>
              <w:spacing w:line="360" w:lineRule="auto"/>
              <w:ind w:firstLine="463" w:firstLineChars="192"/>
              <w:rPr>
                <w:rFonts w:ascii="宋体" w:hAnsi="宋体" w:cs="Arial"/>
                <w:b/>
                <w:sz w:val="24"/>
                <w:szCs w:val="20"/>
                <w:highlight w:val="none"/>
              </w:rPr>
            </w:pPr>
            <w:r>
              <w:rPr>
                <w:rFonts w:hint="eastAsia" w:ascii="宋体" w:hAnsi="宋体" w:cs="Arial"/>
                <w:b/>
                <w:sz w:val="24"/>
                <w:szCs w:val="20"/>
                <w:highlight w:val="none"/>
              </w:rPr>
              <w:t>（5）仅提供备份投标文件的。</w:t>
            </w:r>
          </w:p>
          <w:p>
            <w:pPr>
              <w:snapToGrid w:val="0"/>
              <w:rPr>
                <w:rFonts w:ascii="宋体" w:hAnsi="宋体"/>
                <w:sz w:val="24"/>
                <w:szCs w:val="20"/>
                <w:highlight w:val="none"/>
              </w:rPr>
            </w:pPr>
            <w:r>
              <w:rPr>
                <w:rFonts w:hint="eastAsia" w:cs="Arial"/>
                <w:b/>
                <w:sz w:val="24"/>
                <w:szCs w:val="20"/>
                <w:highlight w:val="none"/>
              </w:rPr>
              <w:t>投标人不提供备份投标文件，电子投标文件解密未成功从而造成评审委员会对其投标文件无法评审的，其投标无效，相关风险和责任由投标人自行承担。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60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highlight w:val="none"/>
              </w:rPr>
            </w:pPr>
            <w:r>
              <w:rPr>
                <w:rFonts w:hint="eastAsia" w:ascii="宋体" w:hAnsi="宋体"/>
                <w:color w:val="000000"/>
                <w:sz w:val="24"/>
                <w:szCs w:val="20"/>
                <w:highlight w:val="none"/>
              </w:rPr>
              <w:t>10</w:t>
            </w:r>
          </w:p>
        </w:tc>
        <w:tc>
          <w:tcPr>
            <w:tcW w:w="9142"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textAlignment w:val="bottom"/>
              <w:rPr>
                <w:rFonts w:ascii="宋体" w:hAnsi="宋体"/>
                <w:color w:val="000000"/>
                <w:sz w:val="24"/>
                <w:szCs w:val="20"/>
                <w:highlight w:val="none"/>
              </w:rPr>
            </w:pPr>
            <w:r>
              <w:rPr>
                <w:rFonts w:hint="eastAsia" w:ascii="宋体" w:hAnsi="宋体"/>
                <w:color w:val="000000"/>
                <w:sz w:val="24"/>
                <w:szCs w:val="20"/>
                <w:highlight w:val="none"/>
              </w:rPr>
              <w:t>评标办法及评分标准：详见第四章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60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highlight w:val="none"/>
              </w:rPr>
            </w:pPr>
            <w:r>
              <w:rPr>
                <w:rFonts w:ascii="宋体" w:hAnsi="宋体"/>
                <w:color w:val="000000"/>
                <w:sz w:val="24"/>
                <w:szCs w:val="20"/>
                <w:highlight w:val="none"/>
              </w:rPr>
              <w:t>1</w:t>
            </w:r>
            <w:r>
              <w:rPr>
                <w:rFonts w:hint="eastAsia" w:ascii="宋体" w:hAnsi="宋体"/>
                <w:color w:val="000000"/>
                <w:sz w:val="24"/>
                <w:szCs w:val="20"/>
                <w:highlight w:val="none"/>
              </w:rPr>
              <w:t>1</w:t>
            </w:r>
          </w:p>
        </w:tc>
        <w:tc>
          <w:tcPr>
            <w:tcW w:w="9142"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ind w:firstLine="480" w:firstLineChars="200"/>
              <w:textAlignment w:val="bottom"/>
              <w:rPr>
                <w:rFonts w:ascii="宋体" w:hAnsi="宋体"/>
                <w:color w:val="000000"/>
                <w:sz w:val="24"/>
                <w:szCs w:val="20"/>
                <w:highlight w:val="none"/>
              </w:rPr>
            </w:pPr>
            <w:r>
              <w:rPr>
                <w:rFonts w:hint="eastAsia" w:ascii="宋体" w:hAnsi="宋体"/>
                <w:color w:val="000000"/>
                <w:sz w:val="24"/>
                <w:szCs w:val="20"/>
                <w:highlight w:val="none"/>
              </w:rPr>
              <w:t>评标结果公示：评标结束后</w:t>
            </w:r>
            <w:r>
              <w:rPr>
                <w:rFonts w:ascii="宋体" w:hAnsi="宋体"/>
                <w:color w:val="000000"/>
                <w:sz w:val="24"/>
                <w:szCs w:val="20"/>
                <w:highlight w:val="none"/>
              </w:rPr>
              <w:t>2</w:t>
            </w:r>
            <w:r>
              <w:rPr>
                <w:rFonts w:hint="eastAsia" w:ascii="宋体" w:hAnsi="宋体"/>
                <w:color w:val="000000"/>
                <w:sz w:val="24"/>
                <w:szCs w:val="20"/>
                <w:highlight w:val="none"/>
              </w:rPr>
              <w:t>个工作日内，评标结果公示于</w:t>
            </w:r>
            <w:r>
              <w:rPr>
                <w:rFonts w:hint="eastAsia" w:ascii="宋体" w:hAnsi="宋体" w:cs="Arial"/>
                <w:color w:val="000000"/>
                <w:sz w:val="24"/>
                <w:szCs w:val="20"/>
                <w:highlight w:val="none"/>
              </w:rPr>
              <w:t>浙江省政府采购网</w:t>
            </w:r>
            <w:r>
              <w:rPr>
                <w:rFonts w:ascii="宋体" w:hAnsi="宋体" w:cs="Arial"/>
                <w:color w:val="000000"/>
                <w:sz w:val="24"/>
                <w:szCs w:val="20"/>
                <w:highlight w:val="none"/>
              </w:rPr>
              <w:t>(</w:t>
            </w:r>
            <w:r>
              <w:rPr>
                <w:highlight w:val="none"/>
              </w:rPr>
              <w:fldChar w:fldCharType="begin"/>
            </w:r>
            <w:r>
              <w:rPr>
                <w:highlight w:val="none"/>
              </w:rPr>
              <w:instrText xml:space="preserve"> HYPERLINK "http://www.zjzfcg.gov.cn/" </w:instrText>
            </w:r>
            <w:r>
              <w:rPr>
                <w:highlight w:val="none"/>
              </w:rPr>
              <w:fldChar w:fldCharType="separate"/>
            </w:r>
            <w:r>
              <w:rPr>
                <w:rFonts w:ascii="宋体" w:hAnsi="宋体"/>
                <w:color w:val="0000FF"/>
                <w:kern w:val="0"/>
                <w:sz w:val="24"/>
                <w:highlight w:val="none"/>
                <w:u w:val="single"/>
              </w:rPr>
              <w:t>http://www.zjzfcg.gov.cn</w:t>
            </w:r>
            <w:r>
              <w:rPr>
                <w:rFonts w:ascii="宋体" w:hAnsi="宋体"/>
                <w:color w:val="0000FF"/>
                <w:kern w:val="0"/>
                <w:sz w:val="24"/>
                <w:highlight w:val="none"/>
                <w:u w:val="single"/>
              </w:rPr>
              <w:fldChar w:fldCharType="end"/>
            </w:r>
            <w:r>
              <w:rPr>
                <w:rFonts w:ascii="宋体" w:hAnsi="宋体" w:cs="Arial"/>
                <w:color w:val="000000"/>
                <w:sz w:val="24"/>
                <w:szCs w:val="20"/>
                <w:highlight w:val="none"/>
              </w:rPr>
              <w:t>)</w:t>
            </w:r>
            <w:r>
              <w:rPr>
                <w:rFonts w:hint="eastAsia" w:ascii="宋体" w:hAnsi="宋体" w:cs="Arial"/>
                <w:color w:val="000000"/>
                <w:sz w:val="24"/>
                <w:szCs w:val="20"/>
                <w:highlight w:val="none"/>
              </w:rPr>
              <w:t>、</w:t>
            </w:r>
            <w:r>
              <w:rPr>
                <w:rFonts w:hint="eastAsia" w:ascii="宋体" w:hAnsi="宋体"/>
                <w:color w:val="000000"/>
                <w:kern w:val="0"/>
                <w:sz w:val="24"/>
                <w:highlight w:val="none"/>
              </w:rPr>
              <w:t>德清县公共资源交易网（</w:t>
            </w:r>
            <w:r>
              <w:rPr>
                <w:highlight w:val="none"/>
              </w:rPr>
              <w:fldChar w:fldCharType="begin"/>
            </w:r>
            <w:r>
              <w:rPr>
                <w:highlight w:val="none"/>
              </w:rPr>
              <w:instrText xml:space="preserve"> HYPERLINK "http://www.dqztb.gov.cn" </w:instrText>
            </w:r>
            <w:r>
              <w:rPr>
                <w:highlight w:val="none"/>
              </w:rPr>
              <w:fldChar w:fldCharType="separate"/>
            </w:r>
            <w:r>
              <w:rPr>
                <w:rFonts w:ascii="宋体" w:hAnsi="宋体"/>
                <w:color w:val="0000FF"/>
                <w:kern w:val="0"/>
                <w:sz w:val="24"/>
                <w:highlight w:val="none"/>
                <w:u w:val="single"/>
              </w:rPr>
              <w:t>http://www.</w:t>
            </w:r>
            <w:r>
              <w:rPr>
                <w:rFonts w:hint="eastAsia" w:ascii="宋体" w:hAnsi="宋体"/>
                <w:color w:val="0000FF"/>
                <w:kern w:val="0"/>
                <w:sz w:val="24"/>
                <w:highlight w:val="none"/>
                <w:u w:val="single"/>
              </w:rPr>
              <w:t>deqing.gov.cn/cms/</w:t>
            </w:r>
            <w:r>
              <w:rPr>
                <w:rFonts w:hint="eastAsia" w:ascii="宋体" w:hAnsi="宋体"/>
                <w:color w:val="0000FF"/>
                <w:kern w:val="0"/>
                <w:sz w:val="24"/>
                <w:highlight w:val="none"/>
                <w:u w:val="single"/>
              </w:rPr>
              <w:fldChar w:fldCharType="end"/>
            </w:r>
            <w:r>
              <w:rPr>
                <w:rFonts w:hint="eastAsia" w:ascii="宋体" w:hAnsi="宋体"/>
                <w:color w:val="000000"/>
                <w:kern w:val="0"/>
                <w:sz w:val="24"/>
                <w:highlight w:val="none"/>
              </w:rPr>
              <w:t>）</w:t>
            </w:r>
            <w:r>
              <w:rPr>
                <w:rFonts w:hint="eastAsia" w:ascii="宋体" w:hAnsi="宋体" w:cs="Arial"/>
                <w:color w:val="000000"/>
                <w:sz w:val="24"/>
                <w:szCs w:val="20"/>
                <w:highlight w:val="none"/>
              </w:rPr>
              <w:t>等网站或媒体。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60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highlight w:val="none"/>
              </w:rPr>
            </w:pPr>
            <w:r>
              <w:rPr>
                <w:rFonts w:ascii="宋体" w:hAnsi="宋体"/>
                <w:color w:val="000000"/>
                <w:sz w:val="24"/>
                <w:szCs w:val="20"/>
                <w:highlight w:val="none"/>
              </w:rPr>
              <w:t>1</w:t>
            </w:r>
            <w:r>
              <w:rPr>
                <w:rFonts w:hint="eastAsia" w:ascii="宋体" w:hAnsi="宋体"/>
                <w:color w:val="000000"/>
                <w:sz w:val="24"/>
                <w:szCs w:val="20"/>
                <w:highlight w:val="none"/>
              </w:rPr>
              <w:t>2</w:t>
            </w:r>
          </w:p>
        </w:tc>
        <w:tc>
          <w:tcPr>
            <w:tcW w:w="9142"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textAlignment w:val="bottom"/>
              <w:rPr>
                <w:rFonts w:ascii="宋体" w:hAnsi="宋体"/>
                <w:sz w:val="24"/>
                <w:szCs w:val="20"/>
                <w:highlight w:val="none"/>
              </w:rPr>
            </w:pPr>
            <w:r>
              <w:rPr>
                <w:rFonts w:hint="eastAsia" w:ascii="宋体" w:hAnsi="宋体"/>
                <w:sz w:val="24"/>
                <w:szCs w:val="20"/>
                <w:highlight w:val="none"/>
              </w:rPr>
              <w:t>中标公告及中标通知书：评标结束后</w:t>
            </w:r>
            <w:r>
              <w:rPr>
                <w:rFonts w:ascii="宋体" w:hAnsi="宋体"/>
                <w:sz w:val="24"/>
                <w:szCs w:val="20"/>
                <w:highlight w:val="none"/>
              </w:rPr>
              <w:t>5</w:t>
            </w:r>
            <w:r>
              <w:rPr>
                <w:rFonts w:hint="eastAsia" w:ascii="宋体" w:hAnsi="宋体"/>
                <w:sz w:val="24"/>
                <w:szCs w:val="20"/>
                <w:highlight w:val="none"/>
              </w:rPr>
              <w:t>个工作日内，中标公告发布于上述媒体。采购代理机构以书面形式发出《中标通知书》，中标人应在公示发出10个工作日内前往代理机构领取通知书，若有质疑投诉的可在质疑投诉处理后领取。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0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highlight w:val="none"/>
              </w:rPr>
            </w:pPr>
            <w:r>
              <w:rPr>
                <w:rFonts w:ascii="宋体" w:hAnsi="宋体"/>
                <w:color w:val="000000"/>
                <w:sz w:val="24"/>
                <w:szCs w:val="20"/>
                <w:highlight w:val="none"/>
              </w:rPr>
              <w:t>1</w:t>
            </w:r>
            <w:r>
              <w:rPr>
                <w:rFonts w:hint="eastAsia" w:ascii="宋体" w:hAnsi="宋体"/>
                <w:color w:val="000000"/>
                <w:sz w:val="24"/>
                <w:szCs w:val="20"/>
                <w:highlight w:val="none"/>
              </w:rPr>
              <w:t>3</w:t>
            </w:r>
          </w:p>
        </w:tc>
        <w:tc>
          <w:tcPr>
            <w:tcW w:w="9142"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textAlignment w:val="bottom"/>
              <w:rPr>
                <w:rFonts w:ascii="宋体" w:hAnsi="宋体"/>
                <w:color w:val="000000"/>
                <w:sz w:val="24"/>
                <w:szCs w:val="20"/>
                <w:highlight w:val="none"/>
              </w:rPr>
            </w:pPr>
            <w:r>
              <w:rPr>
                <w:rFonts w:hint="eastAsia" w:ascii="宋体" w:hAnsi="宋体"/>
                <w:color w:val="000000"/>
                <w:sz w:val="24"/>
                <w:szCs w:val="20"/>
                <w:highlight w:val="none"/>
              </w:rPr>
              <w:t>采购资金来源：预算内资金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60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highlight w:val="none"/>
              </w:rPr>
            </w:pPr>
            <w:r>
              <w:rPr>
                <w:rFonts w:ascii="宋体" w:hAnsi="宋体"/>
                <w:color w:val="000000"/>
                <w:sz w:val="24"/>
                <w:szCs w:val="20"/>
                <w:highlight w:val="none"/>
              </w:rPr>
              <w:t>1</w:t>
            </w:r>
            <w:r>
              <w:rPr>
                <w:rFonts w:hint="eastAsia" w:ascii="宋体" w:hAnsi="宋体"/>
                <w:color w:val="000000"/>
                <w:sz w:val="24"/>
                <w:szCs w:val="20"/>
                <w:highlight w:val="none"/>
              </w:rPr>
              <w:t>4</w:t>
            </w:r>
          </w:p>
        </w:tc>
        <w:tc>
          <w:tcPr>
            <w:tcW w:w="9142" w:type="dxa"/>
            <w:tcBorders>
              <w:top w:val="single" w:color="auto" w:sz="4" w:space="0"/>
              <w:left w:val="single" w:color="auto" w:sz="4" w:space="0"/>
              <w:bottom w:val="single" w:color="auto" w:sz="4" w:space="0"/>
              <w:right w:val="single" w:color="auto" w:sz="4" w:space="0"/>
            </w:tcBorders>
            <w:noWrap/>
            <w:vAlign w:val="center"/>
          </w:tcPr>
          <w:p>
            <w:pPr>
              <w:spacing w:beforeLines="50" w:afterLines="50" w:line="400" w:lineRule="exact"/>
              <w:rPr>
                <w:rFonts w:ascii="宋体" w:hAnsi="宋体"/>
                <w:color w:val="FF0000"/>
                <w:sz w:val="24"/>
                <w:highlight w:val="none"/>
              </w:rPr>
            </w:pPr>
            <w:r>
              <w:rPr>
                <w:rFonts w:hint="eastAsia" w:ascii="宋体" w:hAnsi="宋体"/>
                <w:color w:val="FF0000"/>
                <w:sz w:val="24"/>
                <w:highlight w:val="none"/>
              </w:rPr>
              <w:t>项目服务周期（进度）：</w:t>
            </w:r>
            <w:r>
              <w:rPr>
                <w:rFonts w:hint="eastAsia" w:ascii="宋体" w:hAnsi="宋体"/>
                <w:b/>
                <w:sz w:val="24"/>
                <w:highlight w:val="none"/>
              </w:rPr>
              <w:t>签订合同后——2023年9月30日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60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highlight w:val="none"/>
              </w:rPr>
            </w:pPr>
            <w:r>
              <w:rPr>
                <w:rFonts w:ascii="宋体" w:hAnsi="宋体"/>
                <w:color w:val="000000"/>
                <w:sz w:val="24"/>
                <w:szCs w:val="20"/>
                <w:highlight w:val="none"/>
              </w:rPr>
              <w:t>1</w:t>
            </w:r>
            <w:r>
              <w:rPr>
                <w:rFonts w:hint="eastAsia" w:ascii="宋体" w:hAnsi="宋体"/>
                <w:color w:val="000000"/>
                <w:sz w:val="24"/>
                <w:szCs w:val="20"/>
                <w:highlight w:val="none"/>
              </w:rPr>
              <w:t>5</w:t>
            </w:r>
          </w:p>
        </w:tc>
        <w:tc>
          <w:tcPr>
            <w:tcW w:w="9142" w:type="dxa"/>
            <w:tcBorders>
              <w:top w:val="single" w:color="auto" w:sz="4" w:space="0"/>
              <w:left w:val="single" w:color="auto" w:sz="4" w:space="0"/>
              <w:bottom w:val="single" w:color="auto" w:sz="4" w:space="0"/>
              <w:right w:val="single" w:color="auto" w:sz="4" w:space="0"/>
            </w:tcBorders>
            <w:noWrap/>
            <w:vAlign w:val="center"/>
          </w:tcPr>
          <w:p>
            <w:pPr>
              <w:pStyle w:val="20"/>
              <w:spacing w:beforeLines="50"/>
              <w:rPr>
                <w:rFonts w:ascii="宋体" w:hAnsi="宋体"/>
                <w:b/>
                <w:color w:val="FF0000"/>
                <w:highlight w:val="none"/>
                <w:lang w:val="en-US" w:eastAsia="zh-CN"/>
              </w:rPr>
            </w:pPr>
            <w:r>
              <w:rPr>
                <w:rFonts w:hint="eastAsia" w:ascii="宋体" w:hAnsi="宋体"/>
                <w:color w:val="FF0000"/>
                <w:highlight w:val="none"/>
                <w:lang w:val="en-US" w:eastAsia="zh-CN"/>
              </w:rPr>
              <w:t>付款方式：</w:t>
            </w:r>
            <w:r>
              <w:rPr>
                <w:rFonts w:hint="eastAsia" w:ascii="宋体" w:hAnsi="宋体"/>
                <w:b/>
                <w:highlight w:val="none"/>
                <w:lang w:val="en-US" w:eastAsia="zh-CN"/>
              </w:rPr>
              <w:t>甲方收到履约保证金后向乙方支付标项预算金额40%的预付款；预付款不扣回，后续直接用以养护费结算。</w:t>
            </w:r>
            <w:r>
              <w:rPr>
                <w:rFonts w:ascii="宋体" w:hAnsi="宋体"/>
                <w:b/>
                <w:highlight w:val="none"/>
                <w:lang w:val="en-US" w:eastAsia="zh-CN"/>
              </w:rPr>
              <w:t>承包方每季度末</w:t>
            </w:r>
            <w:r>
              <w:rPr>
                <w:rFonts w:hint="eastAsia" w:ascii="宋体" w:hAnsi="宋体"/>
                <w:b/>
                <w:highlight w:val="none"/>
                <w:lang w:val="en-US" w:eastAsia="zh-CN"/>
              </w:rPr>
              <w:t>25</w:t>
            </w:r>
            <w:r>
              <w:rPr>
                <w:rFonts w:ascii="宋体" w:hAnsi="宋体"/>
                <w:b/>
                <w:highlight w:val="none"/>
                <w:lang w:val="en-US" w:eastAsia="zh-CN"/>
              </w:rPr>
              <w:t>日前上报</w:t>
            </w:r>
            <w:r>
              <w:rPr>
                <w:rFonts w:hint="eastAsia" w:ascii="宋体" w:hAnsi="宋体"/>
                <w:b/>
                <w:highlight w:val="none"/>
                <w:lang w:val="en-US" w:eastAsia="zh-CN"/>
              </w:rPr>
              <w:t>已</w:t>
            </w:r>
            <w:r>
              <w:rPr>
                <w:rFonts w:ascii="宋体" w:hAnsi="宋体"/>
                <w:b/>
                <w:highlight w:val="none"/>
                <w:lang w:val="en-US" w:eastAsia="zh-CN"/>
              </w:rPr>
              <w:t>完成工程量，业主按实际工程进度、工程质量、到位率、联系单</w:t>
            </w:r>
            <w:r>
              <w:rPr>
                <w:rFonts w:hint="eastAsia" w:ascii="宋体" w:hAnsi="宋体"/>
                <w:b/>
                <w:highlight w:val="none"/>
                <w:lang w:val="en-US" w:eastAsia="zh-CN"/>
              </w:rPr>
              <w:t>、</w:t>
            </w:r>
            <w:r>
              <w:rPr>
                <w:rFonts w:ascii="宋体" w:hAnsi="宋体"/>
                <w:b/>
                <w:highlight w:val="none"/>
                <w:lang w:val="en-US" w:eastAsia="zh-CN"/>
              </w:rPr>
              <w:t>审定单及相关资料的情况，支付已完成工程量的</w:t>
            </w:r>
            <w:r>
              <w:rPr>
                <w:rFonts w:hint="eastAsia" w:ascii="宋体" w:hAnsi="宋体"/>
                <w:b/>
                <w:highlight w:val="none"/>
                <w:lang w:val="en-US" w:eastAsia="zh-CN"/>
              </w:rPr>
              <w:t>8</w:t>
            </w:r>
            <w:r>
              <w:rPr>
                <w:rFonts w:ascii="宋体" w:hAnsi="宋体"/>
                <w:b/>
                <w:highlight w:val="none"/>
                <w:lang w:val="en-US" w:eastAsia="zh-CN"/>
              </w:rPr>
              <w:t>0%，</w:t>
            </w:r>
            <w:r>
              <w:rPr>
                <w:rFonts w:hint="eastAsia" w:ascii="宋体" w:hAnsi="宋体"/>
                <w:b/>
                <w:highlight w:val="none"/>
                <w:lang w:val="en-US" w:eastAsia="zh-CN"/>
              </w:rPr>
              <w:t>合同最后一个月25日前</w:t>
            </w:r>
            <w:r>
              <w:rPr>
                <w:rFonts w:ascii="宋体" w:hAnsi="宋体"/>
                <w:b/>
                <w:highlight w:val="none"/>
                <w:lang w:val="en-US" w:eastAsia="zh-CN"/>
              </w:rPr>
              <w:t>上报年度最终工程量报表，结算审计完成后一个月内付清</w:t>
            </w:r>
            <w:r>
              <w:rPr>
                <w:rFonts w:hint="eastAsia" w:ascii="宋体" w:hAnsi="宋体"/>
                <w:b/>
                <w:highlight w:val="none"/>
                <w:lang w:val="en-US" w:eastAsia="zh-CN"/>
              </w:rPr>
              <w:t>余款</w:t>
            </w:r>
            <w:r>
              <w:rPr>
                <w:rFonts w:ascii="宋体" w:hAnsi="宋体"/>
                <w:b/>
                <w:highlight w:val="none"/>
                <w:lang w:val="en-US" w:eastAsia="zh-CN"/>
              </w:rPr>
              <w:t>。</w:t>
            </w:r>
            <w:r>
              <w:rPr>
                <w:rFonts w:hint="eastAsia" w:ascii="宋体" w:hAnsi="宋体"/>
                <w:b/>
                <w:highlight w:val="none"/>
                <w:lang w:val="en-US" w:eastAsia="zh-CN"/>
              </w:rPr>
              <w:t>服务期间，若由于服务单位现场管理不到位或工程质量、安全存在问题时，发包人有权暂停支付，直至整改完毕。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0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highlight w:val="none"/>
              </w:rPr>
            </w:pPr>
            <w:r>
              <w:rPr>
                <w:rFonts w:ascii="宋体" w:hAnsi="宋体"/>
                <w:color w:val="000000"/>
                <w:sz w:val="24"/>
                <w:szCs w:val="20"/>
                <w:highlight w:val="none"/>
              </w:rPr>
              <w:t>1</w:t>
            </w:r>
            <w:r>
              <w:rPr>
                <w:rFonts w:hint="eastAsia" w:ascii="宋体" w:hAnsi="宋体"/>
                <w:color w:val="000000"/>
                <w:sz w:val="24"/>
                <w:szCs w:val="20"/>
                <w:highlight w:val="none"/>
              </w:rPr>
              <w:t>6</w:t>
            </w:r>
          </w:p>
        </w:tc>
        <w:tc>
          <w:tcPr>
            <w:tcW w:w="9142"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olor w:val="000000"/>
                <w:sz w:val="24"/>
                <w:szCs w:val="20"/>
                <w:highlight w:val="none"/>
              </w:rPr>
            </w:pPr>
            <w:r>
              <w:rPr>
                <w:rFonts w:hint="eastAsia" w:ascii="宋体" w:hAnsi="宋体"/>
                <w:color w:val="000000"/>
                <w:sz w:val="24"/>
                <w:szCs w:val="20"/>
                <w:highlight w:val="none"/>
              </w:rPr>
              <w:t>投标文件有效期：</w:t>
            </w:r>
            <w:r>
              <w:rPr>
                <w:rFonts w:hint="eastAsia" w:ascii="宋体" w:hAnsi="宋体" w:cs="Arial"/>
                <w:color w:val="000000"/>
                <w:sz w:val="24"/>
                <w:szCs w:val="20"/>
                <w:highlight w:val="none"/>
                <w:u w:val="single"/>
              </w:rPr>
              <w:t>120</w:t>
            </w:r>
            <w:r>
              <w:rPr>
                <w:rFonts w:hint="eastAsia" w:ascii="宋体" w:hAnsi="宋体" w:cs="Arial"/>
                <w:color w:val="000000"/>
                <w:sz w:val="24"/>
                <w:szCs w:val="20"/>
                <w:highlight w:val="none"/>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60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highlight w:val="none"/>
              </w:rPr>
            </w:pPr>
            <w:r>
              <w:rPr>
                <w:rFonts w:ascii="宋体" w:hAnsi="宋体"/>
                <w:color w:val="000000"/>
                <w:sz w:val="24"/>
                <w:szCs w:val="20"/>
                <w:highlight w:val="none"/>
              </w:rPr>
              <w:t>1</w:t>
            </w:r>
            <w:r>
              <w:rPr>
                <w:rFonts w:hint="eastAsia" w:ascii="宋体" w:hAnsi="宋体"/>
                <w:color w:val="000000"/>
                <w:sz w:val="24"/>
                <w:szCs w:val="20"/>
                <w:highlight w:val="none"/>
              </w:rPr>
              <w:t>7</w:t>
            </w:r>
          </w:p>
        </w:tc>
        <w:tc>
          <w:tcPr>
            <w:tcW w:w="9142"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olor w:val="000000"/>
                <w:sz w:val="24"/>
                <w:szCs w:val="20"/>
                <w:highlight w:val="none"/>
              </w:rPr>
            </w:pPr>
            <w:r>
              <w:rPr>
                <w:rFonts w:hint="eastAsia" w:ascii="宋体" w:hAnsi="宋体"/>
                <w:b/>
                <w:color w:val="000000"/>
                <w:sz w:val="24"/>
                <w:szCs w:val="20"/>
                <w:highlight w:val="none"/>
              </w:rPr>
              <w:t>质疑：</w:t>
            </w:r>
            <w:r>
              <w:rPr>
                <w:rFonts w:hint="eastAsia" w:ascii="宋体" w:hAnsi="宋体"/>
                <w:color w:val="000000"/>
                <w:sz w:val="24"/>
                <w:szCs w:val="20"/>
                <w:highlight w:val="none"/>
              </w:rPr>
              <w:t>根据《政府采购法》第五十二条的规定，供应商认为采购文件、采购过程和中标、成交结果使自己的权益受到损害的，可以在知道或者应知其权益受到损害之日起七个工作日内，以书面形式向采购人、采购代理机构提出质疑。同时，供应商须在法定质疑期内一次性提出针对同一采购程序环节的质疑。</w:t>
            </w:r>
          </w:p>
          <w:p>
            <w:pPr>
              <w:snapToGrid w:val="0"/>
              <w:rPr>
                <w:rFonts w:ascii="宋体" w:hAnsi="宋体"/>
                <w:color w:val="000000"/>
                <w:sz w:val="24"/>
                <w:szCs w:val="20"/>
                <w:highlight w:val="none"/>
              </w:rPr>
            </w:pPr>
            <w:r>
              <w:rPr>
                <w:rFonts w:hint="eastAsia" w:ascii="宋体" w:hAnsi="宋体"/>
                <w:color w:val="000000"/>
                <w:sz w:val="24"/>
                <w:szCs w:val="20"/>
                <w:highlight w:val="none"/>
              </w:rPr>
              <w:t>（</w:t>
            </w:r>
            <w:r>
              <w:rPr>
                <w:rFonts w:hint="eastAsia" w:ascii="宋体" w:hAnsi="宋体"/>
                <w:b/>
                <w:color w:val="000000"/>
                <w:sz w:val="24"/>
                <w:szCs w:val="20"/>
                <w:highlight w:val="none"/>
              </w:rPr>
              <w:t>质疑期限的计算</w:t>
            </w:r>
            <w:r>
              <w:rPr>
                <w:rFonts w:hint="eastAsia" w:ascii="宋体" w:hAnsi="宋体"/>
                <w:color w:val="000000"/>
                <w:sz w:val="24"/>
                <w:szCs w:val="20"/>
                <w:highlight w:val="none"/>
              </w:rPr>
              <w:t>：（一）对采购文件提出质疑的，自供应商获得采购文件之日起计算，且应当在投标截止之日或递交谈判、询价响应性文件截止之日前提出。（二）对采购过程提出质疑的，自采购程序环节结束之日起计算。（三）对中标、成交结果以及评审委员会、谈判小组、询价小组组成人员提出质疑的，自中标、成交结果公告之日起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5" w:hRule="atLeast"/>
        </w:trPr>
        <w:tc>
          <w:tcPr>
            <w:tcW w:w="60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highlight w:val="none"/>
              </w:rPr>
            </w:pPr>
            <w:r>
              <w:rPr>
                <w:rFonts w:hint="eastAsia" w:ascii="宋体" w:hAnsi="宋体"/>
                <w:color w:val="000000"/>
                <w:sz w:val="24"/>
                <w:szCs w:val="20"/>
                <w:highlight w:val="none"/>
              </w:rPr>
              <w:t>18</w:t>
            </w:r>
          </w:p>
        </w:tc>
        <w:tc>
          <w:tcPr>
            <w:tcW w:w="9142"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b/>
                <w:color w:val="000000"/>
                <w:sz w:val="24"/>
                <w:szCs w:val="20"/>
                <w:highlight w:val="none"/>
              </w:rPr>
            </w:pPr>
            <w:r>
              <w:rPr>
                <w:rFonts w:hint="eastAsia" w:ascii="宋体" w:hAnsi="宋体"/>
                <w:b/>
                <w:color w:val="000000"/>
                <w:sz w:val="24"/>
                <w:szCs w:val="20"/>
                <w:highlight w:val="none"/>
              </w:rPr>
              <w:t>投诉：</w:t>
            </w:r>
            <w:r>
              <w:rPr>
                <w:rFonts w:hint="eastAsia" w:ascii="宋体" w:hAnsi="宋体"/>
                <w:color w:val="000000"/>
                <w:sz w:val="24"/>
                <w:szCs w:val="20"/>
                <w:highlight w:val="none"/>
              </w:rPr>
              <w:t>根据《政府采购法》第五十五条的规定，质疑供应商对采购人、采购代理机构的答复不满意或者采购人、采购代理机构未在规定的时间内作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 w:hRule="atLeast"/>
        </w:trPr>
        <w:tc>
          <w:tcPr>
            <w:tcW w:w="60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highlight w:val="none"/>
              </w:rPr>
            </w:pPr>
            <w:r>
              <w:rPr>
                <w:rFonts w:hint="eastAsia" w:ascii="宋体" w:hAnsi="宋体"/>
                <w:color w:val="000000"/>
                <w:sz w:val="24"/>
                <w:szCs w:val="20"/>
                <w:highlight w:val="none"/>
              </w:rPr>
              <w:t>19</w:t>
            </w:r>
          </w:p>
        </w:tc>
        <w:tc>
          <w:tcPr>
            <w:tcW w:w="9142"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olor w:val="000000"/>
                <w:sz w:val="24"/>
                <w:szCs w:val="20"/>
                <w:highlight w:val="none"/>
              </w:rPr>
            </w:pPr>
            <w:r>
              <w:rPr>
                <w:rFonts w:hint="eastAsia" w:ascii="宋体" w:hAnsi="宋体"/>
                <w:b/>
                <w:color w:val="000000"/>
                <w:sz w:val="24"/>
                <w:szCs w:val="20"/>
                <w:highlight w:val="none"/>
              </w:rPr>
              <w:t>注意事项：</w:t>
            </w:r>
            <w:r>
              <w:rPr>
                <w:rFonts w:hint="eastAsia" w:ascii="宋体" w:hAnsi="宋体"/>
                <w:color w:val="000000"/>
                <w:sz w:val="24"/>
                <w:szCs w:val="20"/>
                <w:highlight w:val="none"/>
              </w:rPr>
              <w:t>1、投标人如发现采购文件及其评标办法中歧视性不公正条款或违法违规等内容时，请于答疑截止日期前同时向采购人、采购代理机构反映，逾期不得再对采购文件的条款提出质疑。</w:t>
            </w:r>
          </w:p>
          <w:p>
            <w:pPr>
              <w:snapToGrid w:val="0"/>
              <w:ind w:firstLine="480" w:firstLineChars="200"/>
              <w:rPr>
                <w:rFonts w:ascii="宋体" w:hAnsi="宋体"/>
                <w:color w:val="000000"/>
                <w:sz w:val="24"/>
                <w:szCs w:val="20"/>
                <w:highlight w:val="none"/>
              </w:rPr>
            </w:pPr>
            <w:r>
              <w:rPr>
                <w:rFonts w:hint="eastAsia" w:ascii="宋体" w:hAnsi="宋体"/>
                <w:color w:val="000000"/>
                <w:sz w:val="24"/>
                <w:szCs w:val="20"/>
                <w:highlight w:val="none"/>
              </w:rPr>
              <w:t>2、该项目中标公示期间，投标人不得通过非正当途径、更不得通过非正当手段获取法律法规规定评审委员会（包括其他相关人员）应当保密的相关内容。即便由此获得资料（提供来源并经查实的例外）并作为向采购人或采购代理机构或监督管理部门提出异（质）疑或投诉或法院起诉的理由，均属于非法索取的依据。</w:t>
            </w:r>
          </w:p>
          <w:p>
            <w:pPr>
              <w:snapToGrid w:val="0"/>
              <w:ind w:firstLine="480" w:firstLineChars="200"/>
              <w:rPr>
                <w:rFonts w:ascii="宋体" w:hAnsi="宋体"/>
                <w:color w:val="000000"/>
                <w:sz w:val="24"/>
                <w:szCs w:val="20"/>
                <w:highlight w:val="none"/>
              </w:rPr>
            </w:pPr>
            <w:r>
              <w:rPr>
                <w:rFonts w:hint="eastAsia" w:ascii="宋体" w:hAnsi="宋体"/>
                <w:color w:val="000000"/>
                <w:sz w:val="24"/>
                <w:szCs w:val="20"/>
                <w:highlight w:val="none"/>
              </w:rPr>
              <w:t>3、质疑、投诉人未按前列序号第17、18条规定进行质疑、投诉（申诉）、举报等，均属于扰乱政府采购市场，直至公示。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 w:hRule="atLeast"/>
        </w:trPr>
        <w:tc>
          <w:tcPr>
            <w:tcW w:w="60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highlight w:val="none"/>
              </w:rPr>
            </w:pPr>
            <w:r>
              <w:rPr>
                <w:rFonts w:hint="eastAsia" w:ascii="宋体" w:hAnsi="宋体"/>
                <w:color w:val="000000"/>
                <w:sz w:val="24"/>
                <w:szCs w:val="20"/>
                <w:highlight w:val="none"/>
              </w:rPr>
              <w:t>20</w:t>
            </w:r>
          </w:p>
        </w:tc>
        <w:tc>
          <w:tcPr>
            <w:tcW w:w="9142"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b/>
                <w:color w:val="000000"/>
                <w:sz w:val="24"/>
                <w:szCs w:val="20"/>
                <w:highlight w:val="none"/>
              </w:rPr>
            </w:pPr>
            <w:r>
              <w:rPr>
                <w:rFonts w:hint="eastAsia" w:ascii="宋体" w:hAnsi="宋体"/>
                <w:b/>
                <w:color w:val="FF0000"/>
                <w:sz w:val="24"/>
                <w:szCs w:val="20"/>
                <w:highlight w:val="none"/>
              </w:rPr>
              <w:t>注意事项：若投标人至开标现场解密投标文件的，交易中心不提供电脑及无线网络，请供应商自行解决。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60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olor w:val="000000"/>
                <w:sz w:val="24"/>
                <w:szCs w:val="20"/>
                <w:highlight w:val="none"/>
              </w:rPr>
            </w:pPr>
            <w:r>
              <w:rPr>
                <w:rFonts w:hint="eastAsia" w:ascii="宋体" w:hAnsi="宋体"/>
                <w:color w:val="000000"/>
                <w:sz w:val="24"/>
                <w:szCs w:val="20"/>
                <w:highlight w:val="none"/>
              </w:rPr>
              <w:t>21</w:t>
            </w:r>
          </w:p>
        </w:tc>
        <w:tc>
          <w:tcPr>
            <w:tcW w:w="9142" w:type="dxa"/>
            <w:tcBorders>
              <w:top w:val="single" w:color="auto" w:sz="4" w:space="0"/>
              <w:left w:val="single" w:color="auto" w:sz="4" w:space="0"/>
              <w:bottom w:val="single" w:color="auto" w:sz="4" w:space="0"/>
              <w:right w:val="single" w:color="auto" w:sz="4" w:space="0"/>
            </w:tcBorders>
            <w:noWrap/>
            <w:vAlign w:val="center"/>
          </w:tcPr>
          <w:p>
            <w:pPr>
              <w:snapToGrid w:val="0"/>
              <w:rPr>
                <w:rFonts w:ascii="宋体" w:hAnsi="宋体"/>
                <w:color w:val="000000"/>
                <w:sz w:val="24"/>
                <w:szCs w:val="20"/>
                <w:highlight w:val="none"/>
              </w:rPr>
            </w:pPr>
            <w:r>
              <w:rPr>
                <w:rFonts w:hint="eastAsia" w:ascii="宋体" w:hAnsi="宋体"/>
                <w:color w:val="000000"/>
                <w:sz w:val="24"/>
                <w:szCs w:val="20"/>
                <w:highlight w:val="none"/>
              </w:rPr>
              <w:t>解释：本采购文件的解释权属于采购人和采购代理机构。</w:t>
            </w:r>
          </w:p>
        </w:tc>
      </w:tr>
    </w:tbl>
    <w:p>
      <w:pPr>
        <w:snapToGrid w:val="0"/>
        <w:spacing w:beforeLines="50" w:afterLines="50"/>
        <w:rPr>
          <w:rFonts w:ascii="宋体" w:hAnsi="宋体"/>
          <w:b/>
          <w:color w:val="000000"/>
          <w:sz w:val="28"/>
          <w:szCs w:val="28"/>
          <w:highlight w:val="none"/>
        </w:rPr>
      </w:pPr>
    </w:p>
    <w:p>
      <w:pPr>
        <w:snapToGrid w:val="0"/>
        <w:spacing w:beforeLines="50" w:afterLines="50"/>
        <w:rPr>
          <w:rFonts w:ascii="宋体" w:hAnsi="宋体"/>
          <w:b/>
          <w:color w:val="000000"/>
          <w:sz w:val="28"/>
          <w:szCs w:val="28"/>
          <w:highlight w:val="none"/>
        </w:rPr>
      </w:pPr>
      <w:r>
        <w:rPr>
          <w:rFonts w:hint="eastAsia" w:ascii="宋体" w:hAnsi="宋体"/>
          <w:b/>
          <w:color w:val="000000"/>
          <w:sz w:val="28"/>
          <w:szCs w:val="28"/>
          <w:highlight w:val="none"/>
        </w:rPr>
        <w:t>一、总则</w:t>
      </w:r>
    </w:p>
    <w:p>
      <w:pPr>
        <w:snapToGrid w:val="0"/>
        <w:ind w:firstLine="472" w:firstLineChars="196"/>
        <w:jc w:val="left"/>
        <w:outlineLvl w:val="1"/>
        <w:rPr>
          <w:rFonts w:ascii="宋体" w:hAnsi="宋体"/>
          <w:b/>
          <w:color w:val="000000"/>
          <w:sz w:val="24"/>
          <w:szCs w:val="20"/>
          <w:highlight w:val="none"/>
        </w:rPr>
      </w:pPr>
      <w:r>
        <w:rPr>
          <w:rFonts w:hint="eastAsia" w:ascii="宋体" w:hAnsi="宋体"/>
          <w:b/>
          <w:color w:val="000000"/>
          <w:sz w:val="24"/>
          <w:szCs w:val="20"/>
          <w:highlight w:val="none"/>
        </w:rPr>
        <w:t>（一）</w:t>
      </w:r>
      <w:r>
        <w:rPr>
          <w:rFonts w:ascii="宋体" w:hAnsi="宋体"/>
          <w:b/>
          <w:color w:val="000000"/>
          <w:sz w:val="24"/>
          <w:szCs w:val="20"/>
          <w:highlight w:val="none"/>
        </w:rPr>
        <w:t>适用范围</w:t>
      </w:r>
    </w:p>
    <w:p>
      <w:pPr>
        <w:snapToGrid w:val="0"/>
        <w:ind w:firstLine="480" w:firstLineChars="200"/>
        <w:jc w:val="left"/>
        <w:rPr>
          <w:rFonts w:ascii="宋体" w:hAnsi="宋体"/>
          <w:color w:val="000000"/>
          <w:sz w:val="24"/>
          <w:szCs w:val="20"/>
          <w:highlight w:val="none"/>
        </w:rPr>
      </w:pPr>
      <w:r>
        <w:rPr>
          <w:rFonts w:hint="eastAsia" w:ascii="宋体" w:hAnsi="宋体"/>
          <w:color w:val="000000"/>
          <w:sz w:val="24"/>
          <w:szCs w:val="20"/>
          <w:highlight w:val="none"/>
        </w:rPr>
        <w:t>本采购文件适用于</w:t>
      </w:r>
      <w:r>
        <w:rPr>
          <w:rFonts w:hint="eastAsia" w:ascii="宋体" w:hAnsi="宋体"/>
          <w:b/>
          <w:color w:val="FF0000"/>
          <w:sz w:val="24"/>
          <w:highlight w:val="none"/>
        </w:rPr>
        <w:t>德清县市政管理处的2022-2023年度辖区市政设施养护管理服务采购项目</w:t>
      </w:r>
      <w:r>
        <w:rPr>
          <w:rFonts w:hint="eastAsia" w:ascii="宋体" w:hAnsi="宋体"/>
          <w:color w:val="000000"/>
          <w:sz w:val="24"/>
          <w:szCs w:val="20"/>
          <w:highlight w:val="none"/>
        </w:rPr>
        <w:t>的招标、投标、评标、定标、验收、合同履约、付款等行为（法律、法规另有规定的，从其规定）。</w:t>
      </w:r>
    </w:p>
    <w:p>
      <w:pPr>
        <w:snapToGrid w:val="0"/>
        <w:spacing w:beforeLines="50"/>
        <w:ind w:firstLine="354" w:firstLineChars="147"/>
        <w:jc w:val="left"/>
        <w:outlineLvl w:val="1"/>
        <w:rPr>
          <w:rFonts w:ascii="宋体" w:hAnsi="宋体"/>
          <w:b/>
          <w:color w:val="000000"/>
          <w:sz w:val="24"/>
          <w:szCs w:val="20"/>
          <w:highlight w:val="none"/>
        </w:rPr>
      </w:pPr>
      <w:r>
        <w:rPr>
          <w:rFonts w:hint="eastAsia" w:ascii="宋体" w:hAnsi="宋体"/>
          <w:b/>
          <w:color w:val="000000"/>
          <w:sz w:val="24"/>
          <w:szCs w:val="20"/>
          <w:highlight w:val="none"/>
        </w:rPr>
        <w:t>（二）定义</w:t>
      </w:r>
    </w:p>
    <w:p>
      <w:pPr>
        <w:snapToGrid w:val="0"/>
        <w:ind w:firstLine="480" w:firstLineChars="200"/>
        <w:jc w:val="left"/>
        <w:rPr>
          <w:rFonts w:ascii="宋体" w:hAnsi="宋体"/>
          <w:color w:val="000000"/>
          <w:sz w:val="24"/>
          <w:szCs w:val="20"/>
          <w:highlight w:val="none"/>
        </w:rPr>
      </w:pPr>
      <w:r>
        <w:rPr>
          <w:rFonts w:hint="eastAsia" w:ascii="宋体" w:hAnsi="宋体"/>
          <w:color w:val="000000"/>
          <w:sz w:val="24"/>
          <w:szCs w:val="20"/>
          <w:highlight w:val="none"/>
        </w:rPr>
        <w:t>1.“</w:t>
      </w:r>
      <w:r>
        <w:rPr>
          <w:rFonts w:ascii="宋体" w:hAnsi="宋体"/>
          <w:color w:val="000000"/>
          <w:sz w:val="24"/>
          <w:szCs w:val="20"/>
          <w:highlight w:val="none"/>
        </w:rPr>
        <w:t>投标人”系指向招标方提交投标文件的单位或个人。</w:t>
      </w:r>
    </w:p>
    <w:p>
      <w:pPr>
        <w:snapToGrid w:val="0"/>
        <w:ind w:firstLine="480" w:firstLineChars="200"/>
        <w:jc w:val="left"/>
        <w:rPr>
          <w:rFonts w:ascii="宋体" w:hAnsi="宋体"/>
          <w:color w:val="000000"/>
          <w:sz w:val="24"/>
          <w:szCs w:val="20"/>
          <w:highlight w:val="none"/>
        </w:rPr>
      </w:pPr>
      <w:r>
        <w:rPr>
          <w:rFonts w:hint="eastAsia" w:ascii="宋体" w:hAnsi="宋体"/>
          <w:color w:val="000000"/>
          <w:sz w:val="24"/>
          <w:szCs w:val="20"/>
          <w:highlight w:val="none"/>
        </w:rPr>
        <w:t>2.</w:t>
      </w:r>
      <w:r>
        <w:rPr>
          <w:rFonts w:ascii="宋体" w:hAnsi="宋体"/>
          <w:color w:val="000000"/>
          <w:sz w:val="24"/>
          <w:szCs w:val="20"/>
          <w:highlight w:val="none"/>
        </w:rPr>
        <w:t xml:space="preserve"> “服务”系指采购文件规定投标人须承担的安装、调试、技术协助、校准、培训、技术指导以及其他类似的义务。</w:t>
      </w:r>
    </w:p>
    <w:p>
      <w:pPr>
        <w:snapToGrid w:val="0"/>
        <w:ind w:firstLine="480" w:firstLineChars="200"/>
        <w:jc w:val="left"/>
        <w:rPr>
          <w:rFonts w:ascii="宋体" w:hAnsi="宋体"/>
          <w:color w:val="000000"/>
          <w:sz w:val="24"/>
          <w:szCs w:val="20"/>
          <w:highlight w:val="none"/>
        </w:rPr>
      </w:pPr>
      <w:r>
        <w:rPr>
          <w:rFonts w:hint="eastAsia" w:ascii="宋体" w:hAnsi="宋体"/>
          <w:color w:val="000000"/>
          <w:sz w:val="24"/>
          <w:szCs w:val="20"/>
          <w:highlight w:val="none"/>
        </w:rPr>
        <w:t>3.</w:t>
      </w:r>
      <w:r>
        <w:rPr>
          <w:rFonts w:ascii="宋体" w:hAnsi="宋体"/>
          <w:color w:val="000000"/>
          <w:sz w:val="24"/>
          <w:szCs w:val="20"/>
          <w:highlight w:val="none"/>
        </w:rPr>
        <w:t xml:space="preserve"> “项目”系指投标人按采购文件规定向采购人提供的产品和服务。</w:t>
      </w:r>
    </w:p>
    <w:p>
      <w:pPr>
        <w:snapToGrid w:val="0"/>
        <w:ind w:firstLine="480" w:firstLineChars="200"/>
        <w:jc w:val="left"/>
        <w:rPr>
          <w:rFonts w:ascii="宋体" w:hAnsi="宋体"/>
          <w:color w:val="000000"/>
          <w:sz w:val="24"/>
          <w:szCs w:val="20"/>
          <w:highlight w:val="none"/>
        </w:rPr>
      </w:pPr>
      <w:r>
        <w:rPr>
          <w:rFonts w:hint="eastAsia" w:ascii="宋体" w:hAnsi="宋体"/>
          <w:color w:val="000000"/>
          <w:sz w:val="24"/>
          <w:szCs w:val="20"/>
          <w:highlight w:val="none"/>
        </w:rPr>
        <w:t>4.</w:t>
      </w:r>
      <w:r>
        <w:rPr>
          <w:rFonts w:ascii="宋体" w:hAnsi="宋体"/>
          <w:color w:val="000000"/>
          <w:sz w:val="24"/>
          <w:szCs w:val="20"/>
          <w:highlight w:val="none"/>
        </w:rPr>
        <w:t xml:space="preserve"> “书面形式”包括信函、传真、电报</w:t>
      </w:r>
      <w:r>
        <w:rPr>
          <w:rFonts w:hint="eastAsia" w:ascii="宋体" w:hAnsi="宋体"/>
          <w:color w:val="000000"/>
          <w:sz w:val="24"/>
          <w:szCs w:val="20"/>
          <w:highlight w:val="none"/>
        </w:rPr>
        <w:t>、电子邮件</w:t>
      </w:r>
      <w:r>
        <w:rPr>
          <w:rFonts w:ascii="宋体" w:hAnsi="宋体"/>
          <w:color w:val="000000"/>
          <w:sz w:val="24"/>
          <w:szCs w:val="20"/>
          <w:highlight w:val="none"/>
        </w:rPr>
        <w:t>等。</w:t>
      </w:r>
    </w:p>
    <w:p>
      <w:pPr>
        <w:snapToGrid w:val="0"/>
        <w:ind w:firstLine="480" w:firstLineChars="200"/>
        <w:jc w:val="left"/>
        <w:rPr>
          <w:rFonts w:ascii="宋体" w:hAnsi="宋体"/>
          <w:color w:val="000000"/>
          <w:sz w:val="24"/>
          <w:szCs w:val="20"/>
          <w:highlight w:val="none"/>
        </w:rPr>
      </w:pPr>
      <w:r>
        <w:rPr>
          <w:rFonts w:hint="eastAsia" w:ascii="宋体" w:hAnsi="宋体"/>
          <w:color w:val="000000"/>
          <w:sz w:val="24"/>
          <w:szCs w:val="20"/>
          <w:highlight w:val="none"/>
        </w:rPr>
        <w:t>5. 带“</w:t>
      </w:r>
      <w:r>
        <w:rPr>
          <w:rFonts w:hint="eastAsia" w:ascii="宋体" w:hAnsi="宋体"/>
          <w:color w:val="000000"/>
          <w:kern w:val="0"/>
          <w:szCs w:val="21"/>
          <w:highlight w:val="none"/>
        </w:rPr>
        <w:t>▲</w:t>
      </w:r>
      <w:r>
        <w:rPr>
          <w:rFonts w:hint="eastAsia" w:ascii="宋体" w:hAnsi="宋体"/>
          <w:color w:val="000000"/>
          <w:sz w:val="24"/>
          <w:szCs w:val="20"/>
          <w:highlight w:val="none"/>
        </w:rPr>
        <w:t>”条款为实质性响应条款，必须响应。</w:t>
      </w:r>
    </w:p>
    <w:p>
      <w:pPr>
        <w:snapToGrid w:val="0"/>
        <w:spacing w:beforeLines="50"/>
        <w:ind w:firstLine="472" w:firstLineChars="196"/>
        <w:jc w:val="left"/>
        <w:outlineLvl w:val="1"/>
        <w:rPr>
          <w:rFonts w:ascii="宋体" w:hAnsi="宋体"/>
          <w:b/>
          <w:color w:val="000000"/>
          <w:sz w:val="24"/>
          <w:szCs w:val="20"/>
          <w:highlight w:val="none"/>
        </w:rPr>
      </w:pPr>
      <w:r>
        <w:rPr>
          <w:rFonts w:hint="eastAsia" w:ascii="宋体" w:hAnsi="宋体"/>
          <w:b/>
          <w:color w:val="000000"/>
          <w:sz w:val="24"/>
          <w:szCs w:val="20"/>
          <w:highlight w:val="none"/>
        </w:rPr>
        <w:t>（三）招标方式</w:t>
      </w:r>
    </w:p>
    <w:p>
      <w:pPr>
        <w:snapToGrid w:val="0"/>
        <w:ind w:firstLine="480" w:firstLineChars="200"/>
        <w:jc w:val="left"/>
        <w:rPr>
          <w:rFonts w:ascii="宋体" w:hAnsi="宋体"/>
          <w:color w:val="000000"/>
          <w:sz w:val="24"/>
          <w:szCs w:val="20"/>
          <w:highlight w:val="none"/>
        </w:rPr>
      </w:pPr>
      <w:r>
        <w:rPr>
          <w:rFonts w:ascii="宋体" w:hAnsi="宋体"/>
          <w:color w:val="000000"/>
          <w:sz w:val="24"/>
          <w:szCs w:val="20"/>
          <w:highlight w:val="none"/>
        </w:rPr>
        <w:t>本次招标采用公开招标方式进行。</w:t>
      </w:r>
    </w:p>
    <w:p>
      <w:pPr>
        <w:snapToGrid w:val="0"/>
        <w:spacing w:beforeLines="50"/>
        <w:ind w:firstLine="472" w:firstLineChars="196"/>
        <w:jc w:val="left"/>
        <w:outlineLvl w:val="1"/>
        <w:rPr>
          <w:rFonts w:ascii="宋体" w:hAnsi="宋体"/>
          <w:b/>
          <w:color w:val="000000"/>
          <w:sz w:val="24"/>
          <w:szCs w:val="20"/>
          <w:highlight w:val="none"/>
        </w:rPr>
      </w:pPr>
      <w:r>
        <w:rPr>
          <w:rFonts w:hint="eastAsia" w:ascii="宋体" w:hAnsi="宋体"/>
          <w:b/>
          <w:color w:val="000000"/>
          <w:sz w:val="24"/>
          <w:szCs w:val="20"/>
          <w:highlight w:val="none"/>
        </w:rPr>
        <w:t>（四）投标委托</w:t>
      </w:r>
    </w:p>
    <w:p>
      <w:pPr>
        <w:snapToGrid w:val="0"/>
        <w:ind w:firstLine="466" w:firstLineChars="200"/>
        <w:jc w:val="left"/>
        <w:rPr>
          <w:rFonts w:ascii="宋体" w:hAnsi="宋体"/>
          <w:color w:val="FF0000"/>
          <w:spacing w:val="-4"/>
          <w:sz w:val="24"/>
          <w:highlight w:val="none"/>
          <w:u w:val="single"/>
        </w:rPr>
      </w:pPr>
      <w:r>
        <w:rPr>
          <w:rFonts w:ascii="宋体" w:hAnsi="宋体"/>
          <w:b/>
          <w:spacing w:val="-4"/>
          <w:sz w:val="24"/>
          <w:highlight w:val="none"/>
        </w:rPr>
        <w:t>投标人代表</w:t>
      </w:r>
      <w:r>
        <w:rPr>
          <w:rFonts w:hint="eastAsia" w:ascii="宋体" w:hAnsi="宋体"/>
          <w:b/>
          <w:spacing w:val="-4"/>
          <w:sz w:val="24"/>
          <w:highlight w:val="none"/>
        </w:rPr>
        <w:t>若出席开标会，</w:t>
      </w:r>
      <w:r>
        <w:rPr>
          <w:rFonts w:ascii="宋体" w:hAnsi="宋体"/>
          <w:b/>
          <w:spacing w:val="-4"/>
          <w:sz w:val="24"/>
          <w:highlight w:val="none"/>
        </w:rPr>
        <w:t>须携带身份证。如投标人代表不是法定代表人</w:t>
      </w:r>
      <w:r>
        <w:rPr>
          <w:rFonts w:hint="eastAsia" w:ascii="宋体" w:hAnsi="宋体"/>
          <w:b/>
          <w:spacing w:val="-4"/>
          <w:sz w:val="24"/>
          <w:highlight w:val="none"/>
        </w:rPr>
        <w:t>（含分支机构负责人，下同）</w:t>
      </w:r>
      <w:r>
        <w:rPr>
          <w:rFonts w:ascii="宋体" w:hAnsi="宋体"/>
          <w:b/>
          <w:spacing w:val="-4"/>
          <w:sz w:val="24"/>
          <w:highlight w:val="none"/>
        </w:rPr>
        <w:t>，须</w:t>
      </w:r>
      <w:r>
        <w:rPr>
          <w:rFonts w:hint="eastAsia" w:ascii="宋体" w:hAnsi="宋体"/>
          <w:b/>
          <w:spacing w:val="-4"/>
          <w:sz w:val="24"/>
          <w:highlight w:val="none"/>
        </w:rPr>
        <w:t>同时具</w:t>
      </w:r>
      <w:r>
        <w:rPr>
          <w:rFonts w:ascii="宋体" w:hAnsi="宋体"/>
          <w:b/>
          <w:spacing w:val="-4"/>
          <w:sz w:val="24"/>
          <w:highlight w:val="none"/>
        </w:rPr>
        <w:t>有法定代表人出具的授权委托书（格式见第四部分）。</w:t>
      </w:r>
      <w:r>
        <w:rPr>
          <w:rFonts w:hint="eastAsia" w:ascii="宋体" w:hAnsi="宋体"/>
          <w:b/>
          <w:bCs/>
          <w:color w:val="000000"/>
          <w:spacing w:val="-4"/>
          <w:sz w:val="24"/>
          <w:highlight w:val="none"/>
          <w:u w:val="single"/>
        </w:rPr>
        <w:t>未提供或提供材料不符的，将被拒绝参加开标会，同时提交的备份电子投标文件将被拒绝。</w:t>
      </w:r>
    </w:p>
    <w:p>
      <w:pPr>
        <w:snapToGrid w:val="0"/>
        <w:spacing w:beforeLines="50"/>
        <w:ind w:firstLine="472" w:firstLineChars="196"/>
        <w:jc w:val="left"/>
        <w:outlineLvl w:val="1"/>
        <w:rPr>
          <w:rFonts w:ascii="宋体" w:hAnsi="宋体"/>
          <w:b/>
          <w:color w:val="000000"/>
          <w:sz w:val="24"/>
          <w:szCs w:val="20"/>
          <w:highlight w:val="none"/>
        </w:rPr>
      </w:pPr>
      <w:r>
        <w:rPr>
          <w:rFonts w:hint="eastAsia" w:ascii="宋体" w:hAnsi="宋体"/>
          <w:b/>
          <w:color w:val="000000"/>
          <w:sz w:val="24"/>
          <w:szCs w:val="20"/>
          <w:highlight w:val="none"/>
        </w:rPr>
        <w:t>（五）投标费用</w:t>
      </w:r>
    </w:p>
    <w:p>
      <w:pPr>
        <w:snapToGrid w:val="0"/>
        <w:ind w:firstLine="480" w:firstLineChars="200"/>
        <w:jc w:val="left"/>
        <w:rPr>
          <w:rFonts w:ascii="宋体" w:hAnsi="宋体"/>
          <w:color w:val="000000"/>
          <w:sz w:val="24"/>
          <w:szCs w:val="20"/>
          <w:highlight w:val="none"/>
        </w:rPr>
      </w:pPr>
      <w:r>
        <w:rPr>
          <w:rFonts w:hint="eastAsia" w:ascii="宋体" w:hAnsi="宋体"/>
          <w:color w:val="000000"/>
          <w:sz w:val="24"/>
          <w:szCs w:val="20"/>
          <w:highlight w:val="none"/>
        </w:rPr>
        <w:t>不论投标结果如何，投标人均应自行承担所有与投标有关的全部费用（采购文件有相反规定除外）。</w:t>
      </w:r>
    </w:p>
    <w:p>
      <w:pPr>
        <w:snapToGrid w:val="0"/>
        <w:spacing w:beforeLines="50"/>
        <w:ind w:firstLine="472" w:firstLineChars="196"/>
        <w:jc w:val="left"/>
        <w:rPr>
          <w:rFonts w:ascii="宋体" w:hAnsi="宋体"/>
          <w:b/>
          <w:color w:val="000000"/>
          <w:sz w:val="24"/>
          <w:szCs w:val="20"/>
          <w:highlight w:val="none"/>
        </w:rPr>
      </w:pPr>
      <w:r>
        <w:rPr>
          <w:rFonts w:hint="eastAsia" w:ascii="宋体" w:hAnsi="宋体"/>
          <w:b/>
          <w:color w:val="000000"/>
          <w:sz w:val="24"/>
          <w:szCs w:val="20"/>
          <w:highlight w:val="none"/>
        </w:rPr>
        <w:t>（六）联合体投标</w:t>
      </w:r>
    </w:p>
    <w:p>
      <w:pPr>
        <w:snapToGrid w:val="0"/>
        <w:ind w:firstLine="720" w:firstLineChars="300"/>
        <w:jc w:val="left"/>
        <w:rPr>
          <w:rFonts w:ascii="宋体" w:hAnsi="宋体" w:cs="Arial"/>
          <w:color w:val="000000"/>
          <w:sz w:val="24"/>
          <w:szCs w:val="20"/>
          <w:highlight w:val="none"/>
        </w:rPr>
      </w:pPr>
      <w:r>
        <w:rPr>
          <w:rFonts w:hint="eastAsia" w:ascii="宋体" w:hAnsi="宋体" w:cs="Arial"/>
          <w:color w:val="000000"/>
          <w:sz w:val="24"/>
          <w:szCs w:val="20"/>
          <w:highlight w:val="none"/>
        </w:rPr>
        <w:t>本项目不接受联合体投标。</w:t>
      </w:r>
    </w:p>
    <w:p>
      <w:pPr>
        <w:snapToGrid w:val="0"/>
        <w:spacing w:beforeLines="50"/>
        <w:ind w:firstLine="472" w:firstLineChars="196"/>
        <w:rPr>
          <w:rFonts w:ascii="宋体" w:hAnsi="宋体" w:cs="宋体"/>
          <w:b/>
          <w:color w:val="000000"/>
          <w:kern w:val="0"/>
          <w:sz w:val="24"/>
          <w:szCs w:val="20"/>
          <w:highlight w:val="none"/>
        </w:rPr>
      </w:pPr>
      <w:r>
        <w:rPr>
          <w:rFonts w:hint="eastAsia" w:ascii="宋体" w:hAnsi="宋体"/>
          <w:b/>
          <w:color w:val="000000"/>
          <w:sz w:val="24"/>
          <w:szCs w:val="20"/>
          <w:highlight w:val="none"/>
        </w:rPr>
        <w:t>（七）</w:t>
      </w:r>
      <w:r>
        <w:rPr>
          <w:rFonts w:hint="eastAsia" w:ascii="宋体" w:hAnsi="宋体" w:cs="宋体"/>
          <w:b/>
          <w:color w:val="000000"/>
          <w:kern w:val="0"/>
          <w:sz w:val="24"/>
          <w:szCs w:val="20"/>
          <w:highlight w:val="none"/>
        </w:rPr>
        <w:t>转包与分包</w:t>
      </w:r>
    </w:p>
    <w:p>
      <w:pPr>
        <w:snapToGrid w:val="0"/>
        <w:ind w:firstLine="480" w:firstLineChars="200"/>
        <w:rPr>
          <w:rFonts w:ascii="宋体" w:hAnsi="宋体" w:cs="宋体"/>
          <w:color w:val="000000"/>
          <w:kern w:val="0"/>
          <w:sz w:val="24"/>
          <w:szCs w:val="20"/>
          <w:highlight w:val="none"/>
        </w:rPr>
      </w:pPr>
      <w:r>
        <w:rPr>
          <w:rFonts w:ascii="宋体" w:hAnsi="宋体" w:cs="宋体"/>
          <w:color w:val="000000"/>
          <w:kern w:val="0"/>
          <w:sz w:val="24"/>
          <w:szCs w:val="20"/>
          <w:highlight w:val="none"/>
        </w:rPr>
        <w:t>1</w:t>
      </w:r>
      <w:r>
        <w:rPr>
          <w:rFonts w:hint="eastAsia" w:ascii="宋体" w:hAnsi="宋体" w:cs="宋体"/>
          <w:color w:val="000000"/>
          <w:kern w:val="0"/>
          <w:sz w:val="24"/>
          <w:szCs w:val="20"/>
          <w:highlight w:val="none"/>
        </w:rPr>
        <w:t>.</w:t>
      </w:r>
      <w:r>
        <w:rPr>
          <w:rFonts w:ascii="宋体" w:hAnsi="宋体" w:cs="宋体"/>
          <w:color w:val="000000"/>
          <w:kern w:val="0"/>
          <w:sz w:val="24"/>
          <w:szCs w:val="20"/>
          <w:highlight w:val="none"/>
        </w:rPr>
        <w:t>本项目不允许转包。</w:t>
      </w:r>
    </w:p>
    <w:p>
      <w:pPr>
        <w:snapToGrid w:val="0"/>
        <w:ind w:firstLine="482" w:firstLineChars="200"/>
        <w:rPr>
          <w:rFonts w:hint="eastAsia" w:ascii="宋体" w:hAnsi="宋体"/>
          <w:b/>
          <w:bCs/>
          <w:color w:val="FF0000"/>
          <w:sz w:val="24"/>
          <w:highlight w:val="none"/>
        </w:rPr>
      </w:pPr>
      <w:r>
        <w:rPr>
          <w:rFonts w:ascii="宋体" w:hAnsi="宋体" w:cs="宋体"/>
          <w:b/>
          <w:bCs/>
          <w:color w:val="FF0000"/>
          <w:kern w:val="0"/>
          <w:sz w:val="24"/>
          <w:szCs w:val="20"/>
          <w:highlight w:val="none"/>
        </w:rPr>
        <w:t>2</w:t>
      </w:r>
      <w:r>
        <w:rPr>
          <w:rFonts w:hint="eastAsia" w:ascii="宋体" w:hAnsi="宋体" w:cs="宋体"/>
          <w:b/>
          <w:bCs/>
          <w:color w:val="FF0000"/>
          <w:kern w:val="0"/>
          <w:sz w:val="24"/>
          <w:szCs w:val="20"/>
          <w:highlight w:val="none"/>
        </w:rPr>
        <w:t>.</w:t>
      </w:r>
      <w:r>
        <w:rPr>
          <w:rFonts w:hint="eastAsia" w:ascii="宋体" w:hAnsi="宋体"/>
          <w:b/>
          <w:bCs/>
          <w:color w:val="FF0000"/>
          <w:sz w:val="24"/>
          <w:highlight w:val="none"/>
        </w:rPr>
        <w:t>本项目属于预留份额专门面向中小企业采购的项目。若投标人为大中型企业，须向小微企业进行分包（接受分包的小微企业与分包企业之间不得存在直接控股、管理关系），且分包意向协议中小微企业合同份额不得低于合同总金额的30%；若投标人是小微企业的，</w:t>
      </w:r>
      <w:r>
        <w:rPr>
          <w:rFonts w:hint="eastAsia" w:ascii="宋体" w:hAnsi="宋体"/>
          <w:b/>
          <w:bCs/>
          <w:color w:val="FF0000"/>
          <w:sz w:val="24"/>
          <w:highlight w:val="none"/>
          <w:lang w:eastAsia="zh-CN"/>
        </w:rPr>
        <w:t>则</w:t>
      </w:r>
      <w:r>
        <w:rPr>
          <w:rFonts w:hint="eastAsia" w:ascii="宋体" w:hAnsi="宋体"/>
          <w:b/>
          <w:bCs/>
          <w:color w:val="FF0000"/>
          <w:sz w:val="24"/>
          <w:highlight w:val="none"/>
        </w:rPr>
        <w:t>视同符合了资格条件，无需再向小微企业分包。本项目不得进行二次分包。</w:t>
      </w:r>
    </w:p>
    <w:p>
      <w:pPr>
        <w:snapToGrid w:val="0"/>
        <w:spacing w:beforeLines="50"/>
        <w:ind w:firstLine="472" w:firstLineChars="196"/>
        <w:jc w:val="left"/>
        <w:outlineLvl w:val="1"/>
        <w:rPr>
          <w:rFonts w:ascii="宋体" w:hAnsi="宋体"/>
          <w:b/>
          <w:color w:val="000000"/>
          <w:sz w:val="24"/>
          <w:szCs w:val="20"/>
          <w:highlight w:val="none"/>
        </w:rPr>
      </w:pPr>
      <w:r>
        <w:rPr>
          <w:rFonts w:hint="eastAsia" w:ascii="宋体" w:hAnsi="宋体"/>
          <w:b/>
          <w:color w:val="000000"/>
          <w:sz w:val="24"/>
          <w:szCs w:val="20"/>
          <w:highlight w:val="none"/>
        </w:rPr>
        <w:t>（八）特别说明：</w:t>
      </w:r>
    </w:p>
    <w:p>
      <w:pPr>
        <w:snapToGrid w:val="0"/>
        <w:ind w:left="2" w:leftChars="1" w:firstLine="482" w:firstLineChars="200"/>
        <w:rPr>
          <w:rFonts w:ascii="宋体" w:hAnsi="宋体"/>
          <w:color w:val="000000"/>
          <w:sz w:val="24"/>
          <w:highlight w:val="none"/>
        </w:rPr>
      </w:pPr>
      <w:r>
        <w:rPr>
          <w:rFonts w:hint="eastAsia" w:ascii="宋体" w:hAnsi="宋体"/>
          <w:b/>
          <w:color w:val="000000"/>
          <w:sz w:val="24"/>
          <w:szCs w:val="20"/>
          <w:highlight w:val="none"/>
        </w:rPr>
        <w:t>1.</w:t>
      </w:r>
      <w:r>
        <w:rPr>
          <w:rFonts w:ascii="宋体" w:hAnsi="宋体"/>
          <w:color w:val="000000"/>
          <w:sz w:val="24"/>
          <w:highlight w:val="none"/>
        </w:rPr>
        <w:t>投标人投标所使用的资格、信誉、荣誉、业绩与企业认证必须为本</w:t>
      </w:r>
      <w:r>
        <w:rPr>
          <w:rFonts w:hint="eastAsia" w:ascii="宋体" w:hAnsi="宋体"/>
          <w:color w:val="000000"/>
          <w:sz w:val="24"/>
          <w:highlight w:val="none"/>
        </w:rPr>
        <w:t>企业</w:t>
      </w:r>
      <w:r>
        <w:rPr>
          <w:rFonts w:ascii="宋体" w:hAnsi="宋体"/>
          <w:color w:val="000000"/>
          <w:sz w:val="24"/>
          <w:highlight w:val="none"/>
        </w:rPr>
        <w:t>所拥有。</w:t>
      </w:r>
      <w:r>
        <w:rPr>
          <w:rFonts w:hint="eastAsia" w:ascii="宋体" w:hAnsi="宋体"/>
          <w:color w:val="000000"/>
          <w:sz w:val="24"/>
          <w:highlight w:val="none"/>
        </w:rPr>
        <w:t>在组织商务、技术评审或资格性审查时，不得将属于供应商母公司或者同一母公司下属的其他子公司（以分支机构参与投标的不得将属于供应商总机构或同一总机构下属的其他分支机构）的人员、业绩、荣誉、知识产权、项目案例等，作为该供应商的资信文件予以确认或审查通过。</w:t>
      </w:r>
    </w:p>
    <w:p>
      <w:pPr>
        <w:snapToGrid w:val="0"/>
        <w:ind w:left="2" w:leftChars="1" w:firstLine="480" w:firstLineChars="200"/>
        <w:rPr>
          <w:rFonts w:ascii="宋体" w:hAnsi="宋体"/>
          <w:color w:val="000000"/>
          <w:sz w:val="24"/>
          <w:highlight w:val="none"/>
        </w:rPr>
      </w:pPr>
      <w:r>
        <w:rPr>
          <w:rFonts w:hint="eastAsia" w:ascii="宋体" w:hAnsi="宋体"/>
          <w:color w:val="000000"/>
          <w:sz w:val="24"/>
          <w:highlight w:val="none"/>
        </w:rPr>
        <w:t>2.</w:t>
      </w:r>
      <w:r>
        <w:rPr>
          <w:rFonts w:ascii="宋体" w:hAnsi="宋体"/>
          <w:color w:val="000000"/>
          <w:sz w:val="24"/>
          <w:highlight w:val="none"/>
        </w:rPr>
        <w:t>投标人应仔细阅读采购文件的所有内容，按照采购文件的要求提交投标文件，并对所提供的全部资料的真实性承担法律责任。</w:t>
      </w:r>
    </w:p>
    <w:p>
      <w:pPr>
        <w:snapToGrid w:val="0"/>
        <w:ind w:left="2" w:leftChars="1" w:firstLine="480" w:firstLineChars="200"/>
        <w:rPr>
          <w:rFonts w:ascii="宋体" w:hAnsi="宋体"/>
          <w:color w:val="000000"/>
          <w:sz w:val="24"/>
          <w:highlight w:val="none"/>
        </w:rPr>
      </w:pPr>
      <w:r>
        <w:rPr>
          <w:rFonts w:hint="eastAsia" w:ascii="宋体" w:hAnsi="宋体"/>
          <w:color w:val="000000"/>
          <w:sz w:val="24"/>
          <w:highlight w:val="none"/>
        </w:rPr>
        <w:t>3.</w:t>
      </w:r>
      <w:r>
        <w:rPr>
          <w:rFonts w:ascii="宋体" w:hAnsi="宋体"/>
          <w:color w:val="000000"/>
          <w:sz w:val="24"/>
          <w:highlight w:val="none"/>
        </w:rPr>
        <w:t>投标人在投标活动中提供任何虚假材料,其投标无效，并报监管部门查处</w:t>
      </w:r>
      <w:r>
        <w:rPr>
          <w:rFonts w:hint="eastAsia" w:ascii="宋体" w:hAnsi="宋体"/>
          <w:color w:val="000000"/>
          <w:sz w:val="24"/>
          <w:highlight w:val="none"/>
        </w:rPr>
        <w:t>。</w:t>
      </w:r>
      <w:r>
        <w:rPr>
          <w:rFonts w:ascii="宋体" w:hAnsi="宋体"/>
          <w:color w:val="000000"/>
          <w:sz w:val="24"/>
          <w:highlight w:val="none"/>
        </w:rPr>
        <w:t>中标后发现的,</w:t>
      </w:r>
      <w:r>
        <w:rPr>
          <w:rFonts w:hint="eastAsia" w:ascii="宋体" w:hAnsi="宋体"/>
          <w:color w:val="000000"/>
          <w:sz w:val="24"/>
          <w:highlight w:val="none"/>
        </w:rPr>
        <w:t>中标人保证金将不予退还，造成其他损失的须赔偿相应损失，</w:t>
      </w:r>
      <w:r>
        <w:rPr>
          <w:rFonts w:ascii="宋体" w:hAnsi="宋体"/>
          <w:color w:val="000000"/>
          <w:sz w:val="24"/>
          <w:highlight w:val="none"/>
        </w:rPr>
        <w:t>且民事赔偿并不免除违法投标人的行政与刑事责任。</w:t>
      </w:r>
    </w:p>
    <w:p>
      <w:pPr>
        <w:snapToGrid w:val="0"/>
        <w:ind w:left="2" w:leftChars="1" w:firstLine="480" w:firstLineChars="200"/>
        <w:rPr>
          <w:rFonts w:ascii="宋体" w:hAnsi="宋体"/>
          <w:color w:val="000000"/>
          <w:sz w:val="24"/>
          <w:highlight w:val="none"/>
        </w:rPr>
      </w:pPr>
      <w:r>
        <w:rPr>
          <w:rFonts w:hint="eastAsia" w:ascii="宋体" w:hAnsi="宋体"/>
          <w:color w:val="000000"/>
          <w:sz w:val="24"/>
          <w:highlight w:val="none"/>
        </w:rPr>
        <w:t>4.根据《政府采购非招标采购方式管理办法》（财政部令第74号）规定，公开招标的货物、服务采购项目，招标过程中提交投标文件或者经评审实质性响应采购文件要求的供应商只有两家时，采购人、采购代理机构按照该办法第四条经本级财政部门批准后可以与该两家供应商进行竞争性谈判采购，采购人、采购代理机构应当根据采购文件中的采购需求编制谈判文件。</w:t>
      </w:r>
    </w:p>
    <w:p>
      <w:pPr>
        <w:widowControl/>
        <w:spacing w:line="320" w:lineRule="atLeast"/>
        <w:ind w:firstLine="480" w:firstLineChars="200"/>
        <w:jc w:val="left"/>
        <w:rPr>
          <w:rFonts w:ascii="宋体" w:hAnsi="宋体"/>
          <w:color w:val="000000"/>
          <w:sz w:val="24"/>
          <w:highlight w:val="none"/>
        </w:rPr>
      </w:pPr>
      <w:r>
        <w:rPr>
          <w:rFonts w:hint="eastAsia" w:ascii="宋体" w:hAnsi="宋体"/>
          <w:color w:val="000000"/>
          <w:sz w:val="24"/>
          <w:highlight w:val="none"/>
        </w:rPr>
        <w:t>5.</w:t>
      </w:r>
      <w:r>
        <w:rPr>
          <w:rFonts w:hint="eastAsia" w:ascii="宋体" w:hAnsi="宋体"/>
          <w:b/>
          <w:color w:val="000000"/>
          <w:sz w:val="24"/>
          <w:szCs w:val="20"/>
          <w:highlight w:val="none"/>
        </w:rPr>
        <w:t>根据《中华人民共和国政府采购法实施条例》（国务院令第658号）和浙江省财政厅、省监察厅《关于进一步规范政府采购活动的若干意见》（浙财采监字〔2007〕2号）的规定。</w:t>
      </w:r>
      <w:r>
        <w:rPr>
          <w:rFonts w:hint="eastAsia" w:ascii="宋体" w:hAnsi="宋体"/>
          <w:color w:val="000000"/>
          <w:sz w:val="24"/>
          <w:highlight w:val="none"/>
        </w:rPr>
        <w:t>多家供应商参加采购响应，如其中两家或两家以上供应商的法定代表人为同一人或相互之间存在投资关系且达到控股的，按一个供应商认定。评审时，取其中通过资格审查后的报价最低一家为有效供应商；当报价相同时，则以技术标最优一家为有效供应商；均相同时，由评审委员会（或谈判、询价小组，以下统称评审小组）集体决定。</w:t>
      </w:r>
    </w:p>
    <w:p>
      <w:pPr>
        <w:widowControl/>
        <w:spacing w:line="320" w:lineRule="atLeast"/>
        <w:ind w:firstLine="480" w:firstLineChars="200"/>
        <w:jc w:val="left"/>
        <w:rPr>
          <w:rFonts w:ascii="宋体" w:hAnsi="宋体"/>
          <w:b/>
          <w:color w:val="000000"/>
          <w:sz w:val="24"/>
          <w:highlight w:val="none"/>
        </w:rPr>
      </w:pPr>
      <w:r>
        <w:rPr>
          <w:rFonts w:hint="eastAsia" w:ascii="宋体" w:hAnsi="宋体"/>
          <w:color w:val="000000"/>
          <w:sz w:val="24"/>
          <w:highlight w:val="none"/>
        </w:rPr>
        <w:t>6.</w:t>
      </w:r>
      <w:r>
        <w:rPr>
          <w:rFonts w:hint="eastAsia" w:ascii="宋体" w:hAnsi="宋体" w:eastAsia="Calibri"/>
          <w:b/>
          <w:color w:val="0000FF"/>
          <w:sz w:val="24"/>
          <w:highlight w:val="none"/>
        </w:rPr>
        <w:t>本项目采购标的对应的中小企业划分标准所属行业为</w:t>
      </w:r>
      <w:r>
        <w:rPr>
          <w:rFonts w:hint="eastAsia" w:ascii="宋体" w:hAnsi="宋体"/>
          <w:b/>
          <w:color w:val="FF0000"/>
          <w:sz w:val="24"/>
          <w:highlight w:val="none"/>
        </w:rPr>
        <w:t>服务业</w:t>
      </w:r>
      <w:r>
        <w:rPr>
          <w:rFonts w:hint="eastAsia" w:ascii="宋体" w:hAnsi="宋体"/>
          <w:b/>
          <w:color w:val="0000FF"/>
          <w:sz w:val="24"/>
          <w:highlight w:val="none"/>
        </w:rPr>
        <w:t>。</w:t>
      </w:r>
    </w:p>
    <w:p>
      <w:pPr>
        <w:pStyle w:val="3"/>
        <w:keepNext w:val="0"/>
        <w:keepLines w:val="0"/>
        <w:widowControl/>
        <w:shd w:val="clear" w:color="auto" w:fill="FFFFFF"/>
        <w:spacing w:before="0" w:after="0" w:line="240" w:lineRule="auto"/>
        <w:rPr>
          <w:rFonts w:ascii="宋体" w:hAnsi="宋体"/>
          <w:color w:val="FF0000"/>
          <w:sz w:val="24"/>
          <w:highlight w:val="none"/>
        </w:rPr>
      </w:pPr>
      <w:r>
        <w:rPr>
          <w:rFonts w:hint="eastAsia" w:ascii="宋体" w:hAnsi="宋体"/>
          <w:color w:val="000000"/>
          <w:sz w:val="24"/>
          <w:highlight w:val="none"/>
        </w:rPr>
        <w:t>小微企业价格扣除的有关政策：根据</w:t>
      </w:r>
      <w:r>
        <w:rPr>
          <w:rFonts w:hint="eastAsia" w:ascii="宋体" w:hAnsi="宋体"/>
          <w:bCs w:val="0"/>
          <w:color w:val="000000"/>
          <w:kern w:val="2"/>
          <w:sz w:val="24"/>
          <w:szCs w:val="24"/>
          <w:highlight w:val="none"/>
        </w:rPr>
        <w:t>浙财采</w:t>
      </w:r>
      <w:r>
        <w:rPr>
          <w:rFonts w:hint="eastAsia" w:ascii="宋体" w:hAnsi="宋体"/>
          <w:color w:val="000000"/>
          <w:sz w:val="24"/>
          <w:highlight w:val="none"/>
        </w:rPr>
        <w:t>监[2022]8号的相关规定，货物和服务项目中未预留份额专门面向中小企业采购的，以及预留份额项目中的非预留部分采购包，采购单位、采购代理机构应结合项目实际，对符合规定的小微企业报价原则上按最高优惠幅度20%给予扣除，用扣除后的价格参加评审;对于联合协议或者分包意向协议约定小微企业的合同份额占到合同总金额30%以上的，采购单位、采购代理机构应结合项目实际，对大中型企业的报价按最高优惠幅度6%给予扣除，用扣除后的价格参加评审。</w:t>
      </w:r>
      <w:r>
        <w:rPr>
          <w:rFonts w:hint="eastAsia" w:ascii="宋体" w:hAnsi="宋体"/>
          <w:color w:val="0000FF"/>
          <w:sz w:val="24"/>
          <w:highlight w:val="none"/>
        </w:rPr>
        <w:t>并且，享受</w:t>
      </w:r>
      <w:r>
        <w:rPr>
          <w:rFonts w:hint="eastAsia" w:ascii="宋体" w:hAnsi="宋体" w:eastAsia="Calibri"/>
          <w:color w:val="0000FF"/>
          <w:sz w:val="24"/>
          <w:highlight w:val="none"/>
        </w:rPr>
        <w:t>扶持政策获得政府采购合同的，小微企业不得将合同分包给大中型企业，中型企业不得将合同分包给大型企业。</w:t>
      </w:r>
      <w:r>
        <w:rPr>
          <w:rFonts w:hint="eastAsia" w:ascii="宋体" w:hAnsi="宋体"/>
          <w:color w:val="000000"/>
          <w:sz w:val="24"/>
          <w:highlight w:val="none"/>
        </w:rPr>
        <w:t>(注：未按要求提供材料的，均不给予价格扣除，符合价格扣除政策的成交人的中小企业声明函在采购结果公示中予以公示，若供应商在采购响应文件中作出虚假承诺将上报财政部门予以处理 。）</w:t>
      </w:r>
      <w:r>
        <w:rPr>
          <w:rFonts w:hint="eastAsia" w:ascii="宋体" w:hAnsi="宋体"/>
          <w:color w:val="FF0000"/>
          <w:sz w:val="24"/>
          <w:highlight w:val="none"/>
        </w:rPr>
        <w:t>（本项目30%以上份额专门面向小微企业）</w:t>
      </w:r>
    </w:p>
    <w:p>
      <w:pPr>
        <w:widowControl/>
        <w:spacing w:line="320" w:lineRule="atLeast"/>
        <w:ind w:firstLine="482" w:firstLineChars="200"/>
        <w:jc w:val="left"/>
        <w:rPr>
          <w:rFonts w:ascii="宋体" w:hAnsi="宋体"/>
          <w:b/>
          <w:color w:val="000000"/>
          <w:sz w:val="24"/>
          <w:szCs w:val="20"/>
          <w:highlight w:val="none"/>
        </w:rPr>
      </w:pPr>
      <w:r>
        <w:rPr>
          <w:rFonts w:hint="eastAsia" w:ascii="宋体" w:hAnsi="宋体"/>
          <w:b/>
          <w:color w:val="000000"/>
          <w:sz w:val="24"/>
          <w:szCs w:val="20"/>
          <w:highlight w:val="none"/>
        </w:rPr>
        <w:t>●提供以下证明材料的供应商被认定为小型、微型企业：</w:t>
      </w:r>
    </w:p>
    <w:p>
      <w:pPr>
        <w:widowControl/>
        <w:spacing w:line="320" w:lineRule="atLeast"/>
        <w:ind w:firstLine="482" w:firstLineChars="200"/>
        <w:jc w:val="left"/>
        <w:rPr>
          <w:rFonts w:ascii="宋体" w:hAnsi="宋体"/>
          <w:b/>
          <w:color w:val="000000"/>
          <w:sz w:val="24"/>
          <w:szCs w:val="20"/>
          <w:highlight w:val="none"/>
        </w:rPr>
      </w:pPr>
      <w:r>
        <w:rPr>
          <w:rFonts w:hint="eastAsia" w:ascii="宋体" w:hAnsi="宋体"/>
          <w:b/>
          <w:color w:val="000000"/>
          <w:sz w:val="24"/>
          <w:szCs w:val="20"/>
          <w:highlight w:val="none"/>
        </w:rPr>
        <w:t>供应商及所投产品生产企业按照《关于印发中小企业划型标准规定的通知》（工信部联企业〔2011〕300号）的所属行业规定为小型、微型企业。投标文件中必须提供《中小企业声明函》；</w:t>
      </w:r>
    </w:p>
    <w:p>
      <w:pPr>
        <w:widowControl/>
        <w:spacing w:line="320" w:lineRule="atLeast"/>
        <w:ind w:firstLine="482" w:firstLineChars="200"/>
        <w:jc w:val="left"/>
        <w:rPr>
          <w:rFonts w:ascii="宋体" w:hAnsi="宋体"/>
          <w:b/>
          <w:color w:val="000000"/>
          <w:sz w:val="24"/>
          <w:szCs w:val="20"/>
          <w:highlight w:val="none"/>
        </w:rPr>
      </w:pPr>
      <w:r>
        <w:rPr>
          <w:rFonts w:hint="eastAsia" w:ascii="宋体" w:hAnsi="宋体"/>
          <w:b/>
          <w:color w:val="000000"/>
          <w:sz w:val="24"/>
          <w:szCs w:val="20"/>
          <w:highlight w:val="none"/>
        </w:rPr>
        <w:t>●</w:t>
      </w:r>
      <w:r>
        <w:rPr>
          <w:rFonts w:hint="eastAsia" w:ascii="宋体" w:hAnsi="宋体"/>
          <w:b/>
          <w:color w:val="000000"/>
          <w:sz w:val="24"/>
          <w:highlight w:val="none"/>
        </w:rPr>
        <w:t>根据2017〕141号的相关规定，</w:t>
      </w:r>
      <w:r>
        <w:rPr>
          <w:rFonts w:hint="eastAsia" w:ascii="宋体" w:hAnsi="宋体"/>
          <w:b/>
          <w:color w:val="000000"/>
          <w:sz w:val="24"/>
          <w:szCs w:val="20"/>
          <w:highlight w:val="none"/>
        </w:rPr>
        <w:t>残疾人福利性单位视同小微企业，其产品参加本项目投标的，享受小微企业同等的价格扣除。</w:t>
      </w:r>
    </w:p>
    <w:p>
      <w:pPr>
        <w:widowControl/>
        <w:spacing w:line="320" w:lineRule="atLeast"/>
        <w:ind w:firstLine="482" w:firstLineChars="200"/>
        <w:jc w:val="left"/>
        <w:rPr>
          <w:rFonts w:ascii="宋体" w:hAnsi="宋体"/>
          <w:b/>
          <w:color w:val="000000"/>
          <w:sz w:val="24"/>
          <w:szCs w:val="20"/>
          <w:highlight w:val="none"/>
        </w:rPr>
      </w:pPr>
      <w:r>
        <w:rPr>
          <w:rFonts w:hint="eastAsia" w:ascii="宋体" w:hAnsi="宋体"/>
          <w:b/>
          <w:color w:val="000000"/>
          <w:sz w:val="24"/>
          <w:szCs w:val="20"/>
          <w:highlight w:val="none"/>
        </w:rPr>
        <w:t>残疾人福利性单位应当同时满足以下条件：</w:t>
      </w:r>
    </w:p>
    <w:p>
      <w:pPr>
        <w:widowControl/>
        <w:spacing w:line="320" w:lineRule="atLeast"/>
        <w:ind w:firstLine="482" w:firstLineChars="200"/>
        <w:jc w:val="left"/>
        <w:rPr>
          <w:rFonts w:ascii="宋体" w:hAnsi="宋体"/>
          <w:b/>
          <w:color w:val="000000"/>
          <w:sz w:val="24"/>
          <w:szCs w:val="20"/>
          <w:highlight w:val="none"/>
        </w:rPr>
      </w:pPr>
      <w:r>
        <w:rPr>
          <w:rFonts w:hint="eastAsia" w:ascii="宋体" w:hAnsi="宋体"/>
          <w:b/>
          <w:color w:val="000000"/>
          <w:sz w:val="24"/>
          <w:szCs w:val="20"/>
          <w:highlight w:val="none"/>
        </w:rPr>
        <w:t>① 安置的残疾人占本单位在职职工人数的比例不低于25%（含25%），并且安置的残疾人人数不少于10人（含10人）；</w:t>
      </w:r>
    </w:p>
    <w:p>
      <w:pPr>
        <w:widowControl/>
        <w:spacing w:line="320" w:lineRule="atLeast"/>
        <w:ind w:firstLine="482" w:firstLineChars="200"/>
        <w:jc w:val="left"/>
        <w:rPr>
          <w:rFonts w:ascii="宋体" w:hAnsi="宋体"/>
          <w:b/>
          <w:color w:val="000000"/>
          <w:sz w:val="24"/>
          <w:szCs w:val="20"/>
          <w:highlight w:val="none"/>
        </w:rPr>
      </w:pPr>
      <w:r>
        <w:rPr>
          <w:rFonts w:hint="eastAsia" w:ascii="宋体" w:hAnsi="宋体"/>
          <w:b/>
          <w:color w:val="000000"/>
          <w:sz w:val="24"/>
          <w:szCs w:val="20"/>
          <w:highlight w:val="none"/>
        </w:rPr>
        <w:t>② 依法与安置的每位残疾人签订了一年以上（含一年）的劳动合同或服务协议；</w:t>
      </w:r>
    </w:p>
    <w:p>
      <w:pPr>
        <w:widowControl/>
        <w:spacing w:line="320" w:lineRule="atLeast"/>
        <w:ind w:firstLine="482" w:firstLineChars="200"/>
        <w:jc w:val="left"/>
        <w:rPr>
          <w:rFonts w:ascii="宋体" w:hAnsi="宋体"/>
          <w:b/>
          <w:color w:val="000000"/>
          <w:sz w:val="24"/>
          <w:szCs w:val="20"/>
          <w:highlight w:val="none"/>
        </w:rPr>
      </w:pPr>
      <w:r>
        <w:rPr>
          <w:rFonts w:hint="eastAsia" w:ascii="宋体" w:hAnsi="宋体"/>
          <w:b/>
          <w:color w:val="000000"/>
          <w:sz w:val="24"/>
          <w:szCs w:val="20"/>
          <w:highlight w:val="none"/>
        </w:rPr>
        <w:t>③ 为安置的每位残疾人按月足额缴纳了基本养老保险、基本医疗保险、失业保险、工伤保险和生育保险等社会保险费；</w:t>
      </w:r>
    </w:p>
    <w:p>
      <w:pPr>
        <w:widowControl/>
        <w:spacing w:line="320" w:lineRule="atLeast"/>
        <w:ind w:firstLine="482" w:firstLineChars="200"/>
        <w:jc w:val="left"/>
        <w:rPr>
          <w:rFonts w:ascii="宋体" w:hAnsi="宋体"/>
          <w:b/>
          <w:color w:val="000000"/>
          <w:sz w:val="24"/>
          <w:szCs w:val="20"/>
          <w:highlight w:val="none"/>
        </w:rPr>
      </w:pPr>
      <w:r>
        <w:rPr>
          <w:rFonts w:hint="eastAsia" w:ascii="宋体" w:hAnsi="宋体"/>
          <w:b/>
          <w:color w:val="000000"/>
          <w:sz w:val="24"/>
          <w:szCs w:val="20"/>
          <w:highlight w:val="none"/>
        </w:rPr>
        <w:t>④ 通过银行等金融机构向安置的每位残疾人，按月支付了不低于单位所在区县适用的经省级人民政府批准的月最低工资标准的工资；</w:t>
      </w:r>
    </w:p>
    <w:p>
      <w:pPr>
        <w:widowControl/>
        <w:spacing w:line="320" w:lineRule="atLeast"/>
        <w:ind w:firstLine="482" w:firstLineChars="200"/>
        <w:jc w:val="left"/>
        <w:rPr>
          <w:rFonts w:ascii="宋体" w:hAnsi="宋体"/>
          <w:b/>
          <w:color w:val="000000"/>
          <w:sz w:val="24"/>
          <w:szCs w:val="20"/>
          <w:highlight w:val="none"/>
        </w:rPr>
      </w:pPr>
      <w:r>
        <w:rPr>
          <w:rFonts w:hint="eastAsia" w:ascii="宋体" w:hAnsi="宋体"/>
          <w:b/>
          <w:color w:val="000000"/>
          <w:sz w:val="24"/>
          <w:szCs w:val="20"/>
          <w:highlight w:val="none"/>
        </w:rPr>
        <w:t>⑤ 提供本单位制造的货物、承担的工程或者服务（以下简称产品），或者提供其他残疾人福利性单位制造的货物（不包括使用非残疾人福利性单位注册商标的货物）。</w:t>
      </w:r>
    </w:p>
    <w:p>
      <w:pPr>
        <w:widowControl/>
        <w:spacing w:line="320" w:lineRule="atLeast"/>
        <w:ind w:firstLine="482" w:firstLineChars="200"/>
        <w:jc w:val="left"/>
        <w:rPr>
          <w:rFonts w:ascii="宋体" w:hAnsi="宋体"/>
          <w:b/>
          <w:color w:val="000000"/>
          <w:sz w:val="24"/>
          <w:szCs w:val="20"/>
          <w:highlight w:val="none"/>
        </w:rPr>
      </w:pPr>
      <w:r>
        <w:rPr>
          <w:rFonts w:hint="eastAsia" w:ascii="宋体" w:hAnsi="宋体"/>
          <w:b/>
          <w:color w:val="000000"/>
          <w:sz w:val="24"/>
          <w:szCs w:val="20"/>
          <w:highlight w:val="none"/>
        </w:rPr>
        <w:t>残疾人福利性单位需提供《残疾人福利性单位声明函》。</w:t>
      </w:r>
    </w:p>
    <w:p>
      <w:pPr>
        <w:widowControl/>
        <w:spacing w:line="320" w:lineRule="atLeast"/>
        <w:ind w:firstLine="482" w:firstLineChars="200"/>
        <w:jc w:val="left"/>
        <w:rPr>
          <w:rFonts w:ascii="宋体" w:hAnsi="宋体"/>
          <w:b/>
          <w:color w:val="000000"/>
          <w:sz w:val="24"/>
          <w:szCs w:val="20"/>
          <w:highlight w:val="none"/>
        </w:rPr>
      </w:pPr>
      <w:r>
        <w:rPr>
          <w:rFonts w:hint="eastAsia" w:ascii="宋体" w:hAnsi="宋体"/>
          <w:b/>
          <w:color w:val="000000"/>
          <w:sz w:val="24"/>
          <w:szCs w:val="20"/>
          <w:highlight w:val="none"/>
        </w:rPr>
        <w:t>●</w:t>
      </w:r>
      <w:r>
        <w:rPr>
          <w:rFonts w:hint="eastAsia" w:ascii="宋体" w:hAnsi="宋体"/>
          <w:b/>
          <w:color w:val="000000"/>
          <w:sz w:val="24"/>
          <w:highlight w:val="none"/>
        </w:rPr>
        <w:t>根据2017〕141号的相关规定，</w:t>
      </w:r>
      <w:r>
        <w:rPr>
          <w:rFonts w:hint="eastAsia" w:ascii="宋体" w:hAnsi="宋体"/>
          <w:b/>
          <w:color w:val="000000"/>
          <w:sz w:val="24"/>
          <w:szCs w:val="20"/>
          <w:highlight w:val="none"/>
        </w:rPr>
        <w:t>监狱企业视同小微企业，其产品参加本项目投标的，享受小微企业同等的价格扣除。</w:t>
      </w:r>
    </w:p>
    <w:p>
      <w:pPr>
        <w:widowControl/>
        <w:spacing w:line="320" w:lineRule="atLeast"/>
        <w:ind w:firstLine="482" w:firstLineChars="200"/>
        <w:jc w:val="left"/>
        <w:rPr>
          <w:rFonts w:ascii="宋体" w:hAnsi="宋体"/>
          <w:b/>
          <w:color w:val="000000"/>
          <w:sz w:val="24"/>
          <w:szCs w:val="20"/>
          <w:highlight w:val="none"/>
        </w:rPr>
      </w:pPr>
      <w:r>
        <w:rPr>
          <w:rFonts w:hint="eastAsia" w:ascii="宋体" w:hAnsi="宋体"/>
          <w:b/>
          <w:color w:val="000000"/>
          <w:sz w:val="24"/>
          <w:szCs w:val="20"/>
          <w:highlight w:val="none"/>
        </w:rPr>
        <w:t>提供以下证明材料的供应商被认定为监狱企业：</w:t>
      </w:r>
    </w:p>
    <w:p>
      <w:pPr>
        <w:widowControl/>
        <w:spacing w:line="320" w:lineRule="atLeast"/>
        <w:ind w:firstLine="482" w:firstLineChars="200"/>
        <w:jc w:val="left"/>
        <w:rPr>
          <w:rFonts w:ascii="宋体" w:hAnsi="宋体"/>
          <w:b/>
          <w:color w:val="000000"/>
          <w:sz w:val="24"/>
          <w:szCs w:val="20"/>
          <w:highlight w:val="none"/>
        </w:rPr>
      </w:pPr>
      <w:r>
        <w:rPr>
          <w:rFonts w:hint="eastAsia" w:ascii="宋体" w:hAnsi="宋体"/>
          <w:b/>
          <w:color w:val="000000"/>
          <w:sz w:val="24"/>
          <w:szCs w:val="20"/>
          <w:highlight w:val="none"/>
        </w:rPr>
        <w:t>省级以上监狱管理局、戒毒管理局（含新疆生产建设兵团）出具的属于监狱企业的证明文件。</w:t>
      </w:r>
    </w:p>
    <w:p>
      <w:pPr>
        <w:widowControl/>
        <w:spacing w:line="320" w:lineRule="atLeast"/>
        <w:ind w:firstLine="482" w:firstLineChars="200"/>
        <w:jc w:val="left"/>
        <w:rPr>
          <w:rFonts w:ascii="宋体" w:hAnsi="宋体"/>
          <w:b/>
          <w:bCs/>
          <w:color w:val="000000"/>
          <w:sz w:val="24"/>
          <w:highlight w:val="none"/>
        </w:rPr>
      </w:pPr>
      <w:r>
        <w:rPr>
          <w:rFonts w:ascii="宋体" w:hAnsi="宋体"/>
          <w:b/>
          <w:bCs/>
          <w:color w:val="000000"/>
          <w:sz w:val="24"/>
          <w:highlight w:val="none"/>
        </w:rPr>
        <w:t>（九）质疑和投诉</w:t>
      </w:r>
    </w:p>
    <w:p>
      <w:pPr>
        <w:snapToGrid w:val="0"/>
        <w:ind w:firstLine="480" w:firstLineChars="200"/>
        <w:rPr>
          <w:rFonts w:ascii="宋体" w:hAnsi="宋体"/>
          <w:bCs/>
          <w:color w:val="000000"/>
          <w:sz w:val="24"/>
          <w:highlight w:val="none"/>
        </w:rPr>
      </w:pPr>
      <w:r>
        <w:rPr>
          <w:rFonts w:ascii="宋体" w:hAnsi="宋体"/>
          <w:bCs/>
          <w:color w:val="000000"/>
          <w:sz w:val="24"/>
          <w:highlight w:val="none"/>
        </w:rPr>
        <w:t>1</w:t>
      </w:r>
      <w:r>
        <w:rPr>
          <w:rFonts w:hint="eastAsia" w:ascii="宋体" w:hAnsi="宋体"/>
          <w:bCs/>
          <w:color w:val="000000"/>
          <w:sz w:val="24"/>
          <w:highlight w:val="none"/>
        </w:rPr>
        <w:t>.</w:t>
      </w:r>
      <w:r>
        <w:rPr>
          <w:rFonts w:ascii="宋体" w:hAnsi="宋体"/>
          <w:bCs/>
          <w:color w:val="000000"/>
          <w:sz w:val="24"/>
          <w:highlight w:val="none"/>
        </w:rPr>
        <w:t>质疑、投诉应当采用书面形式，质疑书、投诉书均应明确阐述采购文件、招标过程</w:t>
      </w:r>
      <w:r>
        <w:rPr>
          <w:rFonts w:hint="eastAsia" w:ascii="宋体" w:hAnsi="宋体"/>
          <w:bCs/>
          <w:color w:val="000000"/>
          <w:sz w:val="24"/>
          <w:highlight w:val="none"/>
        </w:rPr>
        <w:t>或</w:t>
      </w:r>
      <w:r>
        <w:rPr>
          <w:rFonts w:ascii="宋体" w:hAnsi="宋体"/>
          <w:bCs/>
          <w:color w:val="000000"/>
          <w:sz w:val="24"/>
          <w:highlight w:val="none"/>
        </w:rPr>
        <w:t>中标结果中使自己合法权益受到损害的实质性内容，提供相关事实、依据和证据及其来源或线索，便于有关单位调查、答复和处理</w:t>
      </w:r>
      <w:r>
        <w:rPr>
          <w:rFonts w:hint="eastAsia" w:ascii="宋体" w:hAnsi="宋体"/>
          <w:bCs/>
          <w:color w:val="000000"/>
          <w:sz w:val="24"/>
          <w:highlight w:val="none"/>
        </w:rPr>
        <w:t>。</w:t>
      </w:r>
    </w:p>
    <w:p>
      <w:pPr>
        <w:snapToGrid w:val="0"/>
        <w:ind w:firstLine="480" w:firstLineChars="200"/>
        <w:rPr>
          <w:rFonts w:ascii="宋体" w:hAnsi="宋体"/>
          <w:bCs/>
          <w:color w:val="000000"/>
          <w:sz w:val="24"/>
          <w:highlight w:val="none"/>
        </w:rPr>
      </w:pPr>
      <w:r>
        <w:rPr>
          <w:rFonts w:hint="eastAsia" w:ascii="宋体" w:hAnsi="宋体"/>
          <w:bCs/>
          <w:color w:val="000000"/>
          <w:sz w:val="24"/>
          <w:highlight w:val="none"/>
        </w:rPr>
        <w:t>2.供应商未按规定要求提出的，则视同认可采购文件，但法律法规及规范性文件有明确规定的除外。</w:t>
      </w:r>
    </w:p>
    <w:p>
      <w:pPr>
        <w:snapToGrid w:val="0"/>
        <w:outlineLvl w:val="0"/>
        <w:rPr>
          <w:rFonts w:ascii="宋体" w:hAnsi="宋体"/>
          <w:b/>
          <w:color w:val="000000"/>
          <w:sz w:val="28"/>
          <w:szCs w:val="28"/>
          <w:highlight w:val="none"/>
        </w:rPr>
      </w:pPr>
      <w:r>
        <w:rPr>
          <w:rFonts w:ascii="宋体" w:hAnsi="宋体"/>
          <w:b/>
          <w:color w:val="000000"/>
          <w:sz w:val="28"/>
          <w:szCs w:val="28"/>
          <w:highlight w:val="none"/>
        </w:rPr>
        <w:t>二</w:t>
      </w:r>
      <w:r>
        <w:rPr>
          <w:rFonts w:hint="eastAsia" w:ascii="宋体" w:hAnsi="宋体"/>
          <w:b/>
          <w:color w:val="000000"/>
          <w:sz w:val="28"/>
          <w:szCs w:val="28"/>
          <w:highlight w:val="none"/>
        </w:rPr>
        <w:t>、</w:t>
      </w:r>
      <w:r>
        <w:rPr>
          <w:rFonts w:ascii="宋体" w:hAnsi="宋体"/>
          <w:b/>
          <w:color w:val="000000"/>
          <w:sz w:val="28"/>
          <w:szCs w:val="28"/>
          <w:highlight w:val="none"/>
        </w:rPr>
        <w:t>采购文件</w:t>
      </w:r>
    </w:p>
    <w:p>
      <w:pPr>
        <w:snapToGrid w:val="0"/>
        <w:ind w:firstLine="472" w:firstLineChars="196"/>
        <w:jc w:val="left"/>
        <w:rPr>
          <w:rFonts w:ascii="宋体" w:hAnsi="宋体"/>
          <w:b/>
          <w:color w:val="000000"/>
          <w:sz w:val="24"/>
          <w:szCs w:val="20"/>
          <w:highlight w:val="none"/>
        </w:rPr>
      </w:pPr>
      <w:r>
        <w:rPr>
          <w:rFonts w:hint="eastAsia" w:ascii="宋体" w:hAnsi="宋体"/>
          <w:b/>
          <w:color w:val="000000"/>
          <w:sz w:val="24"/>
          <w:szCs w:val="20"/>
          <w:highlight w:val="none"/>
        </w:rPr>
        <w:t>（一）采购文件的构成。本采购文件由以下部份组成：</w:t>
      </w:r>
    </w:p>
    <w:p>
      <w:pPr>
        <w:snapToGrid w:val="0"/>
        <w:ind w:firstLine="480" w:firstLineChars="200"/>
        <w:jc w:val="left"/>
        <w:rPr>
          <w:rFonts w:ascii="宋体" w:hAnsi="宋体"/>
          <w:color w:val="000000"/>
          <w:sz w:val="24"/>
          <w:szCs w:val="20"/>
          <w:highlight w:val="none"/>
        </w:rPr>
      </w:pPr>
      <w:r>
        <w:rPr>
          <w:rFonts w:ascii="宋体" w:hAnsi="宋体"/>
          <w:color w:val="000000"/>
          <w:sz w:val="24"/>
          <w:szCs w:val="20"/>
          <w:highlight w:val="none"/>
        </w:rPr>
        <w:t>1</w:t>
      </w:r>
      <w:r>
        <w:rPr>
          <w:rFonts w:hint="eastAsia" w:ascii="宋体" w:hAnsi="宋体"/>
          <w:color w:val="000000"/>
          <w:sz w:val="24"/>
          <w:szCs w:val="20"/>
          <w:highlight w:val="none"/>
        </w:rPr>
        <w:t>.</w:t>
      </w:r>
      <w:r>
        <w:rPr>
          <w:rFonts w:ascii="宋体" w:hAnsi="宋体"/>
          <w:color w:val="000000"/>
          <w:sz w:val="24"/>
          <w:szCs w:val="20"/>
          <w:highlight w:val="none"/>
        </w:rPr>
        <w:t>招标公告</w:t>
      </w:r>
    </w:p>
    <w:p>
      <w:pPr>
        <w:snapToGrid w:val="0"/>
        <w:ind w:firstLine="480" w:firstLineChars="200"/>
        <w:jc w:val="left"/>
        <w:rPr>
          <w:rFonts w:ascii="宋体" w:hAnsi="宋体"/>
          <w:color w:val="000000"/>
          <w:sz w:val="24"/>
          <w:szCs w:val="20"/>
          <w:highlight w:val="none"/>
        </w:rPr>
      </w:pPr>
      <w:r>
        <w:rPr>
          <w:rFonts w:ascii="宋体" w:hAnsi="宋体"/>
          <w:color w:val="000000"/>
          <w:sz w:val="24"/>
          <w:szCs w:val="20"/>
          <w:highlight w:val="none"/>
        </w:rPr>
        <w:t>2</w:t>
      </w:r>
      <w:r>
        <w:rPr>
          <w:rFonts w:hint="eastAsia" w:ascii="宋体" w:hAnsi="宋体"/>
          <w:color w:val="000000"/>
          <w:sz w:val="24"/>
          <w:szCs w:val="20"/>
          <w:highlight w:val="none"/>
        </w:rPr>
        <w:t>.</w:t>
      </w:r>
      <w:r>
        <w:rPr>
          <w:rFonts w:ascii="宋体" w:hAnsi="宋体"/>
          <w:color w:val="000000"/>
          <w:sz w:val="24"/>
          <w:szCs w:val="20"/>
          <w:highlight w:val="none"/>
        </w:rPr>
        <w:t>招标需求</w:t>
      </w:r>
    </w:p>
    <w:p>
      <w:pPr>
        <w:snapToGrid w:val="0"/>
        <w:ind w:firstLine="480" w:firstLineChars="200"/>
        <w:jc w:val="left"/>
        <w:rPr>
          <w:rFonts w:ascii="宋体" w:hAnsi="宋体"/>
          <w:color w:val="000000"/>
          <w:sz w:val="24"/>
          <w:szCs w:val="20"/>
          <w:highlight w:val="none"/>
        </w:rPr>
      </w:pPr>
      <w:r>
        <w:rPr>
          <w:rFonts w:ascii="宋体" w:hAnsi="宋体"/>
          <w:color w:val="000000"/>
          <w:sz w:val="24"/>
          <w:szCs w:val="20"/>
          <w:highlight w:val="none"/>
        </w:rPr>
        <w:t>3</w:t>
      </w:r>
      <w:r>
        <w:rPr>
          <w:rFonts w:hint="eastAsia" w:ascii="宋体" w:hAnsi="宋体"/>
          <w:color w:val="000000"/>
          <w:sz w:val="24"/>
          <w:szCs w:val="20"/>
          <w:highlight w:val="none"/>
        </w:rPr>
        <w:t>.</w:t>
      </w:r>
      <w:r>
        <w:rPr>
          <w:rFonts w:ascii="宋体" w:hAnsi="宋体"/>
          <w:color w:val="000000"/>
          <w:sz w:val="24"/>
          <w:szCs w:val="20"/>
          <w:highlight w:val="none"/>
        </w:rPr>
        <w:t>投标人须知</w:t>
      </w:r>
    </w:p>
    <w:p>
      <w:pPr>
        <w:snapToGrid w:val="0"/>
        <w:ind w:firstLine="480" w:firstLineChars="200"/>
        <w:jc w:val="left"/>
        <w:rPr>
          <w:rFonts w:ascii="宋体" w:hAnsi="宋体"/>
          <w:color w:val="000000"/>
          <w:sz w:val="24"/>
          <w:szCs w:val="20"/>
          <w:highlight w:val="none"/>
        </w:rPr>
      </w:pPr>
      <w:r>
        <w:rPr>
          <w:rFonts w:ascii="宋体" w:hAnsi="宋体"/>
          <w:color w:val="000000"/>
          <w:sz w:val="24"/>
          <w:szCs w:val="20"/>
          <w:highlight w:val="none"/>
        </w:rPr>
        <w:t>4</w:t>
      </w:r>
      <w:r>
        <w:rPr>
          <w:rFonts w:hint="eastAsia" w:ascii="宋体" w:hAnsi="宋体"/>
          <w:color w:val="000000"/>
          <w:sz w:val="24"/>
          <w:szCs w:val="20"/>
          <w:highlight w:val="none"/>
        </w:rPr>
        <w:t>.</w:t>
      </w:r>
      <w:r>
        <w:rPr>
          <w:rFonts w:ascii="宋体" w:hAnsi="宋体"/>
          <w:color w:val="000000"/>
          <w:sz w:val="24"/>
          <w:szCs w:val="20"/>
          <w:highlight w:val="none"/>
        </w:rPr>
        <w:t>评标办法及标准</w:t>
      </w:r>
    </w:p>
    <w:p>
      <w:pPr>
        <w:snapToGrid w:val="0"/>
        <w:ind w:firstLine="480" w:firstLineChars="200"/>
        <w:jc w:val="left"/>
        <w:rPr>
          <w:rFonts w:ascii="宋体" w:hAnsi="宋体"/>
          <w:color w:val="000000"/>
          <w:sz w:val="24"/>
          <w:szCs w:val="20"/>
          <w:highlight w:val="none"/>
        </w:rPr>
      </w:pPr>
      <w:r>
        <w:rPr>
          <w:rFonts w:ascii="宋体" w:hAnsi="宋体"/>
          <w:color w:val="000000"/>
          <w:sz w:val="24"/>
          <w:szCs w:val="20"/>
          <w:highlight w:val="none"/>
        </w:rPr>
        <w:t>5</w:t>
      </w:r>
      <w:r>
        <w:rPr>
          <w:rFonts w:hint="eastAsia" w:ascii="宋体" w:hAnsi="宋体"/>
          <w:color w:val="000000"/>
          <w:sz w:val="24"/>
          <w:szCs w:val="20"/>
          <w:highlight w:val="none"/>
        </w:rPr>
        <w:t>.</w:t>
      </w:r>
      <w:r>
        <w:rPr>
          <w:rFonts w:ascii="宋体" w:hAnsi="宋体"/>
          <w:color w:val="000000"/>
          <w:sz w:val="24"/>
          <w:szCs w:val="20"/>
          <w:highlight w:val="none"/>
        </w:rPr>
        <w:t>合同主要条款</w:t>
      </w:r>
    </w:p>
    <w:p>
      <w:pPr>
        <w:snapToGrid w:val="0"/>
        <w:ind w:firstLine="480" w:firstLineChars="200"/>
        <w:jc w:val="left"/>
        <w:rPr>
          <w:rFonts w:ascii="宋体" w:hAnsi="宋体"/>
          <w:color w:val="000000"/>
          <w:sz w:val="24"/>
          <w:szCs w:val="20"/>
          <w:highlight w:val="none"/>
        </w:rPr>
      </w:pPr>
      <w:r>
        <w:rPr>
          <w:rFonts w:ascii="宋体" w:hAnsi="宋体"/>
          <w:color w:val="000000"/>
          <w:sz w:val="24"/>
          <w:szCs w:val="20"/>
          <w:highlight w:val="none"/>
        </w:rPr>
        <w:t>6</w:t>
      </w:r>
      <w:r>
        <w:rPr>
          <w:rFonts w:hint="eastAsia" w:ascii="宋体" w:hAnsi="宋体"/>
          <w:color w:val="000000"/>
          <w:sz w:val="24"/>
          <w:szCs w:val="20"/>
          <w:highlight w:val="none"/>
        </w:rPr>
        <w:t>.</w:t>
      </w:r>
      <w:r>
        <w:rPr>
          <w:rFonts w:ascii="宋体" w:hAnsi="宋体"/>
          <w:color w:val="000000"/>
          <w:sz w:val="24"/>
          <w:szCs w:val="20"/>
          <w:highlight w:val="none"/>
        </w:rPr>
        <w:t>投标文件格式</w:t>
      </w:r>
    </w:p>
    <w:p>
      <w:pPr>
        <w:snapToGrid w:val="0"/>
        <w:ind w:firstLine="480" w:firstLineChars="200"/>
        <w:jc w:val="left"/>
        <w:rPr>
          <w:rFonts w:ascii="宋体" w:hAnsi="宋体"/>
          <w:color w:val="000000"/>
          <w:sz w:val="24"/>
          <w:szCs w:val="20"/>
          <w:highlight w:val="none"/>
        </w:rPr>
      </w:pPr>
      <w:r>
        <w:rPr>
          <w:rFonts w:hint="eastAsia" w:ascii="宋体" w:hAnsi="宋体"/>
          <w:color w:val="000000"/>
          <w:sz w:val="24"/>
          <w:szCs w:val="20"/>
          <w:highlight w:val="none"/>
        </w:rPr>
        <w:t>7.本项目</w:t>
      </w:r>
      <w:r>
        <w:rPr>
          <w:rFonts w:ascii="宋体" w:hAnsi="宋体"/>
          <w:color w:val="000000"/>
          <w:sz w:val="24"/>
          <w:szCs w:val="20"/>
          <w:highlight w:val="none"/>
        </w:rPr>
        <w:t>采购文件</w:t>
      </w:r>
      <w:r>
        <w:rPr>
          <w:rFonts w:hint="eastAsia" w:ascii="宋体" w:hAnsi="宋体"/>
          <w:color w:val="000000"/>
          <w:sz w:val="24"/>
          <w:szCs w:val="20"/>
          <w:highlight w:val="none"/>
        </w:rPr>
        <w:t>的</w:t>
      </w:r>
      <w:r>
        <w:rPr>
          <w:rFonts w:ascii="宋体" w:hAnsi="宋体"/>
          <w:color w:val="000000"/>
          <w:sz w:val="24"/>
          <w:szCs w:val="20"/>
          <w:highlight w:val="none"/>
        </w:rPr>
        <w:t>澄清、答复、修改、补充的内容</w:t>
      </w:r>
    </w:p>
    <w:p>
      <w:pPr>
        <w:snapToGrid w:val="0"/>
        <w:spacing w:beforeLines="50"/>
        <w:ind w:firstLine="472" w:firstLineChars="196"/>
        <w:jc w:val="left"/>
        <w:rPr>
          <w:rFonts w:ascii="宋体" w:hAnsi="宋体"/>
          <w:b/>
          <w:color w:val="000000"/>
          <w:sz w:val="24"/>
          <w:szCs w:val="20"/>
          <w:highlight w:val="none"/>
        </w:rPr>
      </w:pPr>
      <w:r>
        <w:rPr>
          <w:rFonts w:hint="eastAsia" w:ascii="宋体" w:hAnsi="宋体"/>
          <w:b/>
          <w:color w:val="000000"/>
          <w:sz w:val="24"/>
          <w:szCs w:val="20"/>
          <w:highlight w:val="none"/>
        </w:rPr>
        <w:t>（二）投标人的风险</w:t>
      </w:r>
    </w:p>
    <w:p>
      <w:pPr>
        <w:snapToGrid w:val="0"/>
        <w:ind w:firstLine="480" w:firstLineChars="200"/>
        <w:jc w:val="left"/>
        <w:rPr>
          <w:rFonts w:ascii="宋体" w:hAnsi="宋体"/>
          <w:color w:val="000000"/>
          <w:sz w:val="24"/>
          <w:highlight w:val="none"/>
        </w:rPr>
      </w:pPr>
      <w:r>
        <w:rPr>
          <w:rFonts w:hint="eastAsia" w:ascii="宋体" w:hAnsi="宋体"/>
          <w:color w:val="000000"/>
          <w:sz w:val="24"/>
          <w:highlight w:val="none"/>
        </w:rPr>
        <w:t>投标人没有按照采购文件要求提供全部资料，或者投标人没有对采购文件在各方面作出实质性响应是投标人的风险，并可能导致其投标被拒绝。</w:t>
      </w:r>
    </w:p>
    <w:p>
      <w:pPr>
        <w:tabs>
          <w:tab w:val="left" w:pos="454"/>
          <w:tab w:val="left" w:pos="720"/>
        </w:tabs>
        <w:snapToGrid w:val="0"/>
        <w:spacing w:beforeLines="50"/>
        <w:ind w:firstLine="472" w:firstLineChars="196"/>
        <w:jc w:val="left"/>
        <w:rPr>
          <w:rFonts w:ascii="宋体" w:hAnsi="宋体"/>
          <w:b/>
          <w:color w:val="000000"/>
          <w:kern w:val="0"/>
          <w:sz w:val="24"/>
          <w:highlight w:val="none"/>
        </w:rPr>
      </w:pPr>
      <w:r>
        <w:rPr>
          <w:rFonts w:hint="eastAsia" w:ascii="宋体" w:hAnsi="宋体"/>
          <w:b/>
          <w:color w:val="000000"/>
          <w:kern w:val="0"/>
          <w:sz w:val="24"/>
          <w:highlight w:val="none"/>
        </w:rPr>
        <w:t>（三）采购文件的澄清与修改</w:t>
      </w:r>
    </w:p>
    <w:p>
      <w:pPr>
        <w:snapToGrid w:val="0"/>
        <w:ind w:firstLine="480" w:firstLineChars="200"/>
        <w:rPr>
          <w:rFonts w:ascii="宋体" w:hAnsi="宋体"/>
          <w:color w:val="000000"/>
          <w:sz w:val="24"/>
          <w:highlight w:val="none"/>
        </w:rPr>
      </w:pPr>
      <w:r>
        <w:rPr>
          <w:rFonts w:hint="eastAsia" w:ascii="宋体" w:hAnsi="宋体"/>
          <w:color w:val="000000"/>
          <w:sz w:val="24"/>
          <w:highlight w:val="none"/>
        </w:rPr>
        <w:t>1.在投标截止时间前，采购代理机构对已发出的采购文件进行必要澄清或者修改时，将依法在财政部门指定的政府采购信息发布媒体上发布更正公告，并以书面形式通知所有采购文件收受人，</w:t>
      </w:r>
      <w:r>
        <w:rPr>
          <w:rFonts w:ascii="宋体" w:hAnsi="宋体"/>
          <w:color w:val="000000"/>
          <w:sz w:val="24"/>
          <w:highlight w:val="none"/>
        </w:rPr>
        <w:t>除书面答复以外的其他澄清方式及澄清内容均无效。</w:t>
      </w:r>
      <w:r>
        <w:rPr>
          <w:rFonts w:hint="eastAsia" w:ascii="宋体" w:hAnsi="宋体"/>
          <w:color w:val="000000"/>
          <w:sz w:val="24"/>
          <w:highlight w:val="none"/>
        </w:rPr>
        <w:t>该澄清或者修改的内容为采购文件的组成部分，对所有投标人有约束力。投标人在收到采购文件的澄清修改函后，应以书面形式予以确认。</w:t>
      </w:r>
    </w:p>
    <w:p>
      <w:pPr>
        <w:snapToGrid w:val="0"/>
        <w:ind w:firstLine="480" w:firstLineChars="200"/>
        <w:rPr>
          <w:rFonts w:ascii="宋体" w:hAnsi="宋体"/>
          <w:color w:val="000000"/>
          <w:sz w:val="24"/>
          <w:highlight w:val="none"/>
        </w:rPr>
      </w:pPr>
      <w:r>
        <w:rPr>
          <w:rFonts w:hint="eastAsia" w:ascii="宋体" w:hAnsi="宋体"/>
          <w:color w:val="000000"/>
          <w:sz w:val="24"/>
          <w:highlight w:val="none"/>
        </w:rPr>
        <w:t>2.采购代理机构可以视采购具体情况，延长投标截止时间和开标时间，并依法在采购文件要求提交投标文件的截至时间三日前，将变更时间书面通知所有采购文件收受人，并在财政部门指定的政府采购信息发布媒体上发布变更公告。</w:t>
      </w:r>
    </w:p>
    <w:p>
      <w:pPr>
        <w:snapToGrid w:val="0"/>
        <w:ind w:firstLine="480" w:firstLineChars="200"/>
        <w:rPr>
          <w:rFonts w:ascii="宋体" w:hAnsi="宋体"/>
          <w:color w:val="000000"/>
          <w:sz w:val="24"/>
          <w:highlight w:val="none"/>
        </w:rPr>
      </w:pPr>
      <w:r>
        <w:rPr>
          <w:rFonts w:hint="eastAsia" w:ascii="宋体" w:hAnsi="宋体"/>
          <w:color w:val="000000"/>
          <w:sz w:val="24"/>
          <w:highlight w:val="none"/>
        </w:rPr>
        <w:t>3.</w:t>
      </w:r>
      <w:r>
        <w:rPr>
          <w:rFonts w:ascii="宋体" w:hAnsi="宋体"/>
          <w:color w:val="000000"/>
          <w:sz w:val="24"/>
          <w:highlight w:val="none"/>
        </w:rPr>
        <w:t>采购文件澄清、答复、修改、补充的内容为采购文件的组成部分。当采购文件与采购文件的答复、澄清、修改、补充通知就同一内容的表述不一致时，以最后发出的书面文件为准。</w:t>
      </w:r>
    </w:p>
    <w:p>
      <w:pPr>
        <w:snapToGrid w:val="0"/>
        <w:ind w:firstLine="480" w:firstLineChars="200"/>
        <w:rPr>
          <w:rFonts w:ascii="宋体" w:hAnsi="宋体"/>
          <w:sz w:val="24"/>
          <w:highlight w:val="none"/>
        </w:rPr>
      </w:pPr>
      <w:r>
        <w:rPr>
          <w:rFonts w:hint="eastAsia" w:ascii="宋体" w:hAnsi="宋体"/>
          <w:color w:val="000000"/>
          <w:sz w:val="24"/>
          <w:highlight w:val="none"/>
        </w:rPr>
        <w:t>4.</w:t>
      </w:r>
      <w:r>
        <w:rPr>
          <w:rFonts w:ascii="宋体" w:hAnsi="宋体"/>
          <w:color w:val="000000"/>
          <w:sz w:val="24"/>
          <w:highlight w:val="none"/>
        </w:rPr>
        <w:t>采购文件的澄清、答复、修改或补充都应该通过本代理机构以法定形式发布，采购人非通过本机</w:t>
      </w:r>
      <w:r>
        <w:rPr>
          <w:rFonts w:ascii="宋体" w:hAnsi="宋体"/>
          <w:sz w:val="24"/>
          <w:highlight w:val="none"/>
        </w:rPr>
        <w:t>构，不得擅自澄清、答复、修改或补充采购文件。</w:t>
      </w:r>
    </w:p>
    <w:p>
      <w:pPr>
        <w:snapToGrid w:val="0"/>
        <w:ind w:firstLine="551" w:firstLineChars="196"/>
        <w:outlineLvl w:val="1"/>
        <w:rPr>
          <w:rFonts w:ascii="宋体" w:hAnsi="宋体"/>
          <w:b/>
          <w:sz w:val="28"/>
          <w:szCs w:val="28"/>
          <w:highlight w:val="none"/>
        </w:rPr>
      </w:pPr>
      <w:r>
        <w:rPr>
          <w:rFonts w:ascii="宋体" w:hAnsi="宋体"/>
          <w:b/>
          <w:sz w:val="28"/>
          <w:szCs w:val="28"/>
          <w:highlight w:val="none"/>
        </w:rPr>
        <w:t>三、投标文件的编制</w:t>
      </w:r>
    </w:p>
    <w:p>
      <w:pPr>
        <w:snapToGrid w:val="0"/>
        <w:ind w:firstLine="482" w:firstLineChars="200"/>
        <w:jc w:val="left"/>
        <w:rPr>
          <w:rFonts w:ascii="宋体" w:hAnsi="宋体"/>
          <w:b/>
          <w:sz w:val="24"/>
          <w:highlight w:val="none"/>
        </w:rPr>
      </w:pPr>
      <w:r>
        <w:rPr>
          <w:rFonts w:hint="eastAsia" w:ascii="宋体" w:hAnsi="宋体"/>
          <w:b/>
          <w:sz w:val="24"/>
          <w:highlight w:val="none"/>
        </w:rPr>
        <w:t>注：投标人应保证所提供文件资料的真实性，所有文件资料必须是针对本次投标的。如发现投标人提供了虚假文件资料，其投标将被拒绝，并自行承担相应的法律责任。</w:t>
      </w:r>
    </w:p>
    <w:p>
      <w:pPr>
        <w:snapToGrid w:val="0"/>
        <w:ind w:firstLine="472" w:firstLineChars="196"/>
        <w:jc w:val="left"/>
        <w:outlineLvl w:val="0"/>
        <w:rPr>
          <w:rFonts w:ascii="宋体" w:hAnsi="宋体"/>
          <w:b/>
          <w:sz w:val="24"/>
          <w:highlight w:val="none"/>
        </w:rPr>
      </w:pPr>
      <w:r>
        <w:rPr>
          <w:rFonts w:hint="eastAsia" w:ascii="宋体" w:hAnsi="宋体"/>
          <w:b/>
          <w:sz w:val="24"/>
          <w:highlight w:val="none"/>
        </w:rPr>
        <w:t>（一）投标文件的形式和效力</w:t>
      </w:r>
    </w:p>
    <w:p>
      <w:pPr>
        <w:snapToGrid w:val="0"/>
        <w:ind w:firstLine="472" w:firstLineChars="196"/>
        <w:jc w:val="left"/>
        <w:outlineLvl w:val="0"/>
        <w:rPr>
          <w:rFonts w:ascii="宋体" w:hAnsi="宋体"/>
          <w:b/>
          <w:sz w:val="24"/>
          <w:highlight w:val="none"/>
        </w:rPr>
      </w:pPr>
      <w:r>
        <w:rPr>
          <w:rFonts w:hint="eastAsia" w:ascii="宋体" w:hAnsi="宋体"/>
          <w:b/>
          <w:sz w:val="24"/>
          <w:highlight w:val="none"/>
        </w:rPr>
        <w:t>1. 投标文件分为电子投标文件以及备份电子投标文件两部分。</w:t>
      </w:r>
    </w:p>
    <w:p>
      <w:pPr>
        <w:snapToGrid w:val="0"/>
        <w:ind w:firstLine="472" w:firstLineChars="196"/>
        <w:outlineLvl w:val="0"/>
        <w:rPr>
          <w:rFonts w:ascii="宋体" w:hAnsi="宋体"/>
          <w:b/>
          <w:sz w:val="24"/>
          <w:highlight w:val="none"/>
        </w:rPr>
      </w:pPr>
      <w:r>
        <w:rPr>
          <w:rFonts w:hint="eastAsia" w:ascii="宋体" w:hAnsi="宋体"/>
          <w:b/>
          <w:sz w:val="24"/>
          <w:highlight w:val="none"/>
        </w:rPr>
        <w:t>1.1电子投标文件：电子投标文件按政采云平台供应商项目采购-电子交易操作指南（https://help.zcygov.cn/web/site_2/2018/12-28/2573.html）及本招标文件要求制作、加密并递交；</w:t>
      </w:r>
    </w:p>
    <w:p>
      <w:pPr>
        <w:snapToGrid w:val="0"/>
        <w:ind w:firstLine="472" w:firstLineChars="196"/>
        <w:jc w:val="left"/>
        <w:outlineLvl w:val="0"/>
        <w:rPr>
          <w:rFonts w:ascii="宋体" w:hAnsi="宋体"/>
          <w:b/>
          <w:sz w:val="24"/>
          <w:highlight w:val="none"/>
        </w:rPr>
      </w:pPr>
      <w:r>
        <w:rPr>
          <w:rFonts w:hint="eastAsia" w:ascii="宋体" w:hAnsi="宋体"/>
          <w:b/>
          <w:sz w:val="24"/>
          <w:highlight w:val="none"/>
        </w:rPr>
        <w:t>1.2 备份电子投标文件：即电子投标文件按“政采云供应商项目采购-电子招投标操作指南”制作的备份文件。</w:t>
      </w:r>
    </w:p>
    <w:p>
      <w:pPr>
        <w:snapToGrid w:val="0"/>
        <w:ind w:firstLine="472" w:firstLineChars="196"/>
        <w:jc w:val="left"/>
        <w:outlineLvl w:val="0"/>
        <w:rPr>
          <w:rFonts w:ascii="宋体" w:hAnsi="宋体"/>
          <w:b/>
          <w:sz w:val="24"/>
          <w:highlight w:val="none"/>
        </w:rPr>
      </w:pPr>
      <w:r>
        <w:rPr>
          <w:rFonts w:hint="eastAsia" w:ascii="宋体" w:hAnsi="宋体"/>
          <w:b/>
          <w:sz w:val="24"/>
          <w:highlight w:val="none"/>
        </w:rPr>
        <w:t>2.投标文件的效力</w:t>
      </w:r>
    </w:p>
    <w:p>
      <w:pPr>
        <w:snapToGrid w:val="0"/>
        <w:ind w:firstLine="424" w:firstLineChars="176"/>
        <w:jc w:val="left"/>
        <w:outlineLvl w:val="0"/>
        <w:rPr>
          <w:rFonts w:ascii="宋体" w:hAnsi="宋体"/>
          <w:b/>
          <w:sz w:val="24"/>
          <w:highlight w:val="none"/>
        </w:rPr>
      </w:pPr>
      <w:r>
        <w:rPr>
          <w:rFonts w:hint="eastAsia" w:ascii="宋体" w:hAnsi="宋体"/>
          <w:b/>
          <w:sz w:val="24"/>
          <w:highlight w:val="none"/>
        </w:rPr>
        <w:t>投标文件的启用，按先后顺位分别为电子投标文件、备份电子投标文件。电子投标文件无法正常解密的，方可启用备份电子投标文件。若正常解密成功，则备份电子投标文件不予以开启。在下一顺位的投标文件启用时，前一顺位的投标文件自动失效。备份电子投标文件一经上交不予退回。</w:t>
      </w:r>
    </w:p>
    <w:p>
      <w:pPr>
        <w:snapToGrid w:val="0"/>
        <w:ind w:firstLine="472" w:firstLineChars="196"/>
        <w:jc w:val="left"/>
        <w:outlineLvl w:val="0"/>
        <w:rPr>
          <w:rFonts w:ascii="宋体" w:hAnsi="宋体"/>
          <w:b/>
          <w:sz w:val="24"/>
          <w:highlight w:val="none"/>
        </w:rPr>
      </w:pPr>
      <w:r>
        <w:rPr>
          <w:rFonts w:hint="eastAsia" w:ascii="宋体" w:hAnsi="宋体"/>
          <w:b/>
          <w:sz w:val="24"/>
          <w:highlight w:val="none"/>
        </w:rPr>
        <w:t>（二）投标文件的组成</w:t>
      </w:r>
    </w:p>
    <w:p>
      <w:pPr>
        <w:snapToGrid w:val="0"/>
        <w:ind w:firstLine="472" w:firstLineChars="196"/>
        <w:jc w:val="left"/>
        <w:outlineLvl w:val="0"/>
        <w:rPr>
          <w:rFonts w:ascii="宋体" w:hAnsi="宋体"/>
          <w:b/>
          <w:sz w:val="24"/>
          <w:highlight w:val="none"/>
        </w:rPr>
      </w:pPr>
      <w:r>
        <w:rPr>
          <w:rFonts w:hint="eastAsia" w:ascii="宋体" w:hAnsi="宋体"/>
          <w:b/>
          <w:sz w:val="24"/>
          <w:highlight w:val="none"/>
        </w:rPr>
        <w:t>投标文件（包括电子投标文件和备份投标文件）由资格文件、商务技术文件、投标报价文件三部份组成。</w:t>
      </w:r>
    </w:p>
    <w:p>
      <w:pPr>
        <w:snapToGrid w:val="0"/>
        <w:ind w:firstLine="472" w:firstLineChars="196"/>
        <w:jc w:val="left"/>
        <w:outlineLvl w:val="0"/>
        <w:rPr>
          <w:rFonts w:ascii="宋体" w:hAnsi="宋体"/>
          <w:b/>
          <w:sz w:val="24"/>
          <w:highlight w:val="none"/>
        </w:rPr>
      </w:pPr>
      <w:r>
        <w:rPr>
          <w:rFonts w:hint="eastAsia" w:ascii="宋体" w:hAnsi="宋体"/>
          <w:b/>
          <w:sz w:val="24"/>
          <w:highlight w:val="none"/>
        </w:rPr>
        <w:t>其中电子投标文件中所须加盖公章部分均采用CA签章。</w:t>
      </w:r>
    </w:p>
    <w:p>
      <w:pPr>
        <w:snapToGrid w:val="0"/>
        <w:ind w:firstLine="472" w:firstLineChars="196"/>
        <w:jc w:val="left"/>
        <w:outlineLvl w:val="0"/>
        <w:rPr>
          <w:rFonts w:ascii="宋体" w:hAnsi="宋体"/>
          <w:b/>
          <w:sz w:val="24"/>
          <w:highlight w:val="none"/>
        </w:rPr>
      </w:pPr>
      <w:r>
        <w:rPr>
          <w:rFonts w:hint="eastAsia" w:ascii="宋体" w:hAnsi="宋体"/>
          <w:b/>
          <w:sz w:val="24"/>
          <w:highlight w:val="none"/>
        </w:rPr>
        <w:t>备份电子投标文件，按政采云平台项目采购-电子招投标操作指南中上传的电子投标文件格式，以光盘或U盘形式提供。数量为1份。</w:t>
      </w:r>
    </w:p>
    <w:p>
      <w:pPr>
        <w:snapToGrid w:val="0"/>
        <w:ind w:firstLine="482" w:firstLineChars="200"/>
        <w:jc w:val="left"/>
        <w:rPr>
          <w:rFonts w:ascii="宋体" w:hAnsi="宋体"/>
          <w:b/>
          <w:sz w:val="24"/>
          <w:szCs w:val="20"/>
          <w:highlight w:val="none"/>
          <w:u w:val="single"/>
        </w:rPr>
      </w:pPr>
      <w:r>
        <w:rPr>
          <w:rFonts w:hint="eastAsia" w:ascii="宋体" w:hAnsi="宋体"/>
          <w:b/>
          <w:sz w:val="24"/>
          <w:szCs w:val="20"/>
          <w:highlight w:val="none"/>
          <w:u w:val="single"/>
        </w:rPr>
        <w:t>关于本项目投标价格的信息只允许出现在“报价文件”中，不得出现在技术标及商务标中。</w:t>
      </w:r>
    </w:p>
    <w:p>
      <w:pPr>
        <w:snapToGrid w:val="0"/>
        <w:ind w:firstLine="482" w:firstLineChars="200"/>
        <w:jc w:val="left"/>
        <w:rPr>
          <w:rFonts w:ascii="宋体" w:hAnsi="宋体"/>
          <w:b/>
          <w:sz w:val="24"/>
          <w:szCs w:val="20"/>
          <w:highlight w:val="none"/>
          <w:u w:val="single"/>
        </w:rPr>
      </w:pPr>
    </w:p>
    <w:p>
      <w:pPr>
        <w:snapToGrid w:val="0"/>
        <w:ind w:firstLine="424" w:firstLineChars="176"/>
        <w:jc w:val="left"/>
        <w:rPr>
          <w:rFonts w:ascii="宋体" w:hAnsi="宋体"/>
          <w:b/>
          <w:sz w:val="24"/>
          <w:szCs w:val="20"/>
          <w:highlight w:val="none"/>
          <w:u w:val="single"/>
        </w:rPr>
      </w:pPr>
      <w:r>
        <w:rPr>
          <w:rFonts w:hint="eastAsia" w:ascii="宋体" w:hAnsi="宋体"/>
          <w:b/>
          <w:sz w:val="24"/>
          <w:szCs w:val="20"/>
          <w:highlight w:val="none"/>
          <w:u w:val="single"/>
        </w:rPr>
        <w:t>温馨提醒：若投标人派代表现场参与投标的，可携带以下相应材料原件以备核实；若因投标文件模糊不清、资料不完整等原因影响评标的，一切后果由投标人自行承担。</w:t>
      </w:r>
    </w:p>
    <w:p>
      <w:pPr>
        <w:numPr>
          <w:ilvl w:val="3"/>
          <w:numId w:val="12"/>
        </w:numPr>
        <w:tabs>
          <w:tab w:val="left" w:pos="426"/>
          <w:tab w:val="left" w:pos="704"/>
          <w:tab w:val="clear" w:pos="600"/>
        </w:tabs>
        <w:snapToGrid w:val="0"/>
        <w:spacing w:beforeLines="50"/>
        <w:ind w:left="426" w:hanging="426"/>
        <w:jc w:val="left"/>
        <w:rPr>
          <w:rFonts w:ascii="宋体" w:hAnsi="宋体"/>
          <w:b/>
          <w:sz w:val="24"/>
          <w:szCs w:val="20"/>
          <w:highlight w:val="none"/>
        </w:rPr>
      </w:pPr>
      <w:r>
        <w:rPr>
          <w:rFonts w:ascii="宋体" w:hAnsi="宋体"/>
          <w:b/>
          <w:sz w:val="24"/>
          <w:szCs w:val="20"/>
          <w:highlight w:val="none"/>
        </w:rPr>
        <w:t>资</w:t>
      </w:r>
      <w:r>
        <w:rPr>
          <w:rFonts w:hint="eastAsia" w:ascii="宋体" w:hAnsi="宋体"/>
          <w:b/>
          <w:sz w:val="24"/>
          <w:highlight w:val="none"/>
        </w:rPr>
        <w:t>格文件</w:t>
      </w:r>
      <w:r>
        <w:rPr>
          <w:rFonts w:ascii="宋体" w:hAnsi="宋体"/>
          <w:b/>
          <w:sz w:val="24"/>
          <w:szCs w:val="20"/>
          <w:highlight w:val="none"/>
        </w:rPr>
        <w:t>：</w:t>
      </w:r>
    </w:p>
    <w:p>
      <w:pPr>
        <w:tabs>
          <w:tab w:val="left" w:pos="600"/>
        </w:tabs>
        <w:snapToGrid w:val="0"/>
        <w:spacing w:beforeLines="50"/>
        <w:ind w:firstLine="424" w:firstLineChars="176"/>
        <w:jc w:val="left"/>
        <w:rPr>
          <w:rFonts w:ascii="宋体" w:hAnsi="宋体"/>
          <w:b/>
          <w:sz w:val="24"/>
          <w:szCs w:val="20"/>
          <w:highlight w:val="none"/>
        </w:rPr>
      </w:pPr>
      <w:r>
        <w:rPr>
          <w:rFonts w:hint="eastAsia" w:ascii="宋体" w:hAnsi="宋体"/>
          <w:b/>
          <w:sz w:val="24"/>
          <w:szCs w:val="20"/>
          <w:highlight w:val="none"/>
        </w:rPr>
        <w:t>（根据《浙江省财政厅关于印发浙江省政府采购供应商注册及诚信管理暂行办法的通知》（浙财采监字[2009]28号），凡浙江省政府采购注册供应商，且本项目规定所需的资格审查文件已在注册供应商库中上传的。则在制作投标文件时，可凭网上打印且每一页都经法定代表人签字和加盖公章后的“浙江省政府采购注册供应商信息登记表”等证明材料，代替相应的投标资格证明原件，在投标文件中免于提供相关的书面资格材料原件，但应当对其网上注册信息的真实性和有效性等承担责任。</w:t>
      </w:r>
      <w:r>
        <w:rPr>
          <w:rFonts w:hint="eastAsia" w:ascii="宋体" w:hAnsi="宋体"/>
          <w:b/>
          <w:sz w:val="24"/>
          <w:highlight w:val="none"/>
        </w:rPr>
        <w:t>如审查中发现该供应商提供的“供应商信息登记表”及其网上注册登记的信息与采购文件规定的资格条件不符的，除该供应商已在投标文件中说明并已补充提供相关书面资格证明材料外，应按无效响应文件处理。对于明显属于供应商信息录入失误的内容，评审时可允许其进行澄清、补正，但评审小组应视情况给予一定的扣分或评标加价，其中如是评分因素项的，该项因素应不得予以计分。</w:t>
      </w:r>
      <w:r>
        <w:rPr>
          <w:rFonts w:hint="eastAsia" w:ascii="宋体" w:hAnsi="宋体"/>
          <w:b/>
          <w:sz w:val="24"/>
          <w:szCs w:val="20"/>
          <w:highlight w:val="none"/>
        </w:rPr>
        <w:t>）</w:t>
      </w:r>
    </w:p>
    <w:p>
      <w:pPr>
        <w:widowControl/>
        <w:spacing w:line="340" w:lineRule="exact"/>
        <w:ind w:firstLine="542" w:firstLineChars="225"/>
        <w:jc w:val="left"/>
        <w:rPr>
          <w:rFonts w:ascii="宋体" w:hAnsi="宋体"/>
          <w:b/>
          <w:sz w:val="24"/>
          <w:highlight w:val="none"/>
        </w:rPr>
      </w:pPr>
      <w:r>
        <w:rPr>
          <w:rFonts w:hint="eastAsia" w:ascii="宋体" w:hAnsi="宋体"/>
          <w:b/>
          <w:sz w:val="24"/>
          <w:highlight w:val="none"/>
        </w:rPr>
        <w:t>a.投标单位的有效工商营业执照或法人证书</w:t>
      </w:r>
      <w:r>
        <w:rPr>
          <w:rFonts w:hint="eastAsia" w:ascii="宋体" w:hAnsi="宋体"/>
          <w:b/>
          <w:bCs/>
          <w:sz w:val="24"/>
          <w:highlight w:val="none"/>
        </w:rPr>
        <w:t>复印件加盖公章；</w:t>
      </w:r>
    </w:p>
    <w:p>
      <w:pPr>
        <w:widowControl/>
        <w:spacing w:line="360" w:lineRule="exact"/>
        <w:ind w:firstLine="540" w:firstLineChars="224"/>
        <w:jc w:val="left"/>
        <w:rPr>
          <w:rFonts w:ascii="宋体" w:hAnsi="宋体"/>
          <w:b/>
          <w:sz w:val="24"/>
          <w:highlight w:val="none"/>
        </w:rPr>
      </w:pPr>
      <w:r>
        <w:rPr>
          <w:rFonts w:hint="eastAsia" w:ascii="宋体" w:hAnsi="宋体"/>
          <w:b/>
          <w:sz w:val="24"/>
          <w:highlight w:val="none"/>
        </w:rPr>
        <w:t>b. 投标单位的依法缴纳税收和社会保障资金的承诺函（格式见附件《承诺函》）</w:t>
      </w:r>
      <w:r>
        <w:rPr>
          <w:rFonts w:hint="eastAsia" w:ascii="宋体" w:hAnsi="宋体"/>
          <w:b/>
          <w:sz w:val="24"/>
          <w:highlight w:val="none"/>
          <w:u w:val="single"/>
        </w:rPr>
        <w:t>（采购人或采购代理机构在评审时会当场通过“信用中国”网站、中国政府采购网等渠道进行查询，对不符合政府采购法相关规定资格条件的供应商，拒绝其参与政府采购活动）</w:t>
      </w:r>
    </w:p>
    <w:p>
      <w:pPr>
        <w:widowControl/>
        <w:spacing w:line="340" w:lineRule="exact"/>
        <w:ind w:firstLine="540" w:firstLineChars="224"/>
        <w:jc w:val="left"/>
        <w:rPr>
          <w:rFonts w:ascii="宋体" w:hAnsi="宋体"/>
          <w:b/>
          <w:color w:val="FF0000"/>
          <w:sz w:val="24"/>
          <w:highlight w:val="none"/>
        </w:rPr>
      </w:pPr>
      <w:r>
        <w:rPr>
          <w:rFonts w:hint="eastAsia" w:ascii="宋体" w:hAnsi="宋体"/>
          <w:b/>
          <w:sz w:val="24"/>
          <w:highlight w:val="none"/>
        </w:rPr>
        <w:t>c</w:t>
      </w:r>
      <w:r>
        <w:rPr>
          <w:rFonts w:hint="eastAsia" w:ascii="宋体" w:hAnsi="宋体"/>
          <w:b/>
          <w:color w:val="FF0000"/>
          <w:sz w:val="24"/>
          <w:highlight w:val="none"/>
        </w:rPr>
        <w:t>.投标单位的安全生产许可证资质证书</w:t>
      </w:r>
      <w:r>
        <w:rPr>
          <w:rFonts w:hint="eastAsia" w:ascii="宋体" w:hAnsi="宋体"/>
          <w:b/>
          <w:bCs/>
          <w:color w:val="FF0000"/>
          <w:sz w:val="24"/>
          <w:highlight w:val="none"/>
        </w:rPr>
        <w:t>复印件加盖公章；</w:t>
      </w:r>
    </w:p>
    <w:p>
      <w:pPr>
        <w:widowControl/>
        <w:spacing w:line="340" w:lineRule="exact"/>
        <w:ind w:firstLine="540" w:firstLineChars="224"/>
        <w:jc w:val="left"/>
        <w:rPr>
          <w:rFonts w:ascii="宋体" w:hAnsi="宋体"/>
          <w:b/>
          <w:sz w:val="24"/>
          <w:highlight w:val="none"/>
        </w:rPr>
      </w:pPr>
      <w:r>
        <w:rPr>
          <w:rFonts w:hint="eastAsia" w:ascii="宋体" w:hAnsi="宋体"/>
          <w:b/>
          <w:sz w:val="24"/>
          <w:highlight w:val="none"/>
        </w:rPr>
        <w:t>d.法定代表人授权书原件、被授权人身份证（原件查看）复印件一份；</w:t>
      </w:r>
    </w:p>
    <w:p>
      <w:pPr>
        <w:widowControl/>
        <w:spacing w:line="340" w:lineRule="exact"/>
        <w:ind w:firstLine="482" w:firstLineChars="200"/>
        <w:jc w:val="left"/>
        <w:rPr>
          <w:rFonts w:ascii="宋体" w:hAnsi="宋体"/>
          <w:b/>
          <w:sz w:val="24"/>
          <w:highlight w:val="none"/>
        </w:rPr>
      </w:pPr>
      <w:r>
        <w:rPr>
          <w:rFonts w:hint="eastAsia" w:ascii="宋体" w:hAnsi="宋体"/>
          <w:b/>
          <w:sz w:val="24"/>
          <w:highlight w:val="none"/>
        </w:rPr>
        <w:t>e.</w:t>
      </w:r>
      <w:r>
        <w:rPr>
          <w:rFonts w:hint="eastAsia" w:ascii="宋体" w:hAnsi="宋体"/>
          <w:b/>
          <w:color w:val="FF0000"/>
          <w:sz w:val="24"/>
          <w:highlight w:val="none"/>
        </w:rPr>
        <w:t>若投标人为大中型企业的，须向小微企业进行分包（接受分包的小微企业与分包企业之间不得存在直接控股、管理关系），须提供分包协议（格式自拟），分包协议中须明确分包内容</w:t>
      </w:r>
      <w:r>
        <w:rPr>
          <w:rFonts w:hint="eastAsia" w:ascii="宋体" w:hAnsi="宋体"/>
          <w:b/>
          <w:color w:val="FF0000"/>
          <w:sz w:val="24"/>
          <w:highlight w:val="none"/>
          <w:lang w:eastAsia="zh-CN"/>
        </w:rPr>
        <w:t>、分包金额、法律责任等详细内容</w:t>
      </w:r>
      <w:r>
        <w:rPr>
          <w:rFonts w:hint="eastAsia" w:ascii="宋体" w:hAnsi="宋体"/>
          <w:b/>
          <w:color w:val="FF0000"/>
          <w:sz w:val="24"/>
          <w:highlight w:val="none"/>
        </w:rPr>
        <w:t>，且中小微企业合同份额不得低于合同总金额的30%；若投标人是小微企业的，须提供中小企业声明函（详见附件）；</w:t>
      </w:r>
    </w:p>
    <w:p>
      <w:pPr>
        <w:widowControl/>
        <w:spacing w:line="340" w:lineRule="exact"/>
        <w:ind w:firstLine="540" w:firstLineChars="224"/>
        <w:jc w:val="left"/>
        <w:rPr>
          <w:rFonts w:ascii="宋体" w:hAnsi="宋体"/>
          <w:b/>
          <w:sz w:val="24"/>
          <w:highlight w:val="none"/>
        </w:rPr>
      </w:pPr>
      <w:r>
        <w:rPr>
          <w:rFonts w:hint="eastAsia" w:ascii="宋体" w:hAnsi="宋体"/>
          <w:b/>
          <w:sz w:val="24"/>
          <w:highlight w:val="none"/>
        </w:rPr>
        <w:t>f.投标单位的其他投标资格证明文件</w:t>
      </w:r>
      <w:r>
        <w:rPr>
          <w:rFonts w:hint="eastAsia" w:ascii="宋体" w:hAnsi="宋体"/>
          <w:b/>
          <w:bCs/>
          <w:sz w:val="24"/>
          <w:highlight w:val="none"/>
        </w:rPr>
        <w:t>复印件加盖公章</w:t>
      </w:r>
      <w:r>
        <w:rPr>
          <w:rFonts w:hint="eastAsia" w:ascii="宋体" w:hAnsi="宋体"/>
          <w:b/>
          <w:sz w:val="24"/>
          <w:highlight w:val="none"/>
        </w:rPr>
        <w:t>（若供应商为总公司所设立的区域性分支机构（分公司），以及个体工商户、个人独资企业、合伙企业需提供房产权证、车辆行驶证或其他固定资产等有效财产证明材料</w:t>
      </w:r>
      <w:r>
        <w:rPr>
          <w:rFonts w:hint="eastAsia" w:ascii="宋体" w:hAnsi="宋体"/>
          <w:b/>
          <w:bCs/>
          <w:sz w:val="24"/>
          <w:highlight w:val="none"/>
        </w:rPr>
        <w:t>复印件加盖公章</w:t>
      </w:r>
      <w:r>
        <w:rPr>
          <w:rFonts w:hint="eastAsia" w:ascii="宋体" w:hAnsi="宋体"/>
          <w:b/>
          <w:sz w:val="24"/>
          <w:highlight w:val="none"/>
        </w:rPr>
        <w:t>）</w:t>
      </w:r>
      <w:r>
        <w:rPr>
          <w:rFonts w:hint="eastAsia" w:ascii="宋体" w:hAnsi="宋体"/>
          <w:b/>
          <w:bCs/>
          <w:sz w:val="24"/>
          <w:highlight w:val="none"/>
        </w:rPr>
        <w:t>。</w:t>
      </w:r>
    </w:p>
    <w:p>
      <w:pPr>
        <w:widowControl/>
        <w:spacing w:line="340" w:lineRule="exact"/>
        <w:ind w:firstLine="540" w:firstLineChars="224"/>
        <w:jc w:val="left"/>
        <w:rPr>
          <w:rFonts w:ascii="宋体" w:hAnsi="宋体"/>
          <w:b/>
          <w:sz w:val="24"/>
          <w:highlight w:val="none"/>
        </w:rPr>
      </w:pPr>
    </w:p>
    <w:p>
      <w:pPr>
        <w:numPr>
          <w:ilvl w:val="3"/>
          <w:numId w:val="12"/>
        </w:numPr>
        <w:tabs>
          <w:tab w:val="left" w:pos="426"/>
          <w:tab w:val="left" w:pos="704"/>
          <w:tab w:val="clear" w:pos="600"/>
        </w:tabs>
        <w:snapToGrid w:val="0"/>
        <w:spacing w:beforeLines="50"/>
        <w:ind w:left="426" w:hanging="426"/>
        <w:jc w:val="left"/>
        <w:rPr>
          <w:rFonts w:ascii="宋体" w:hAnsi="宋体"/>
          <w:b/>
          <w:sz w:val="24"/>
          <w:szCs w:val="20"/>
          <w:highlight w:val="none"/>
        </w:rPr>
      </w:pPr>
      <w:r>
        <w:rPr>
          <w:rFonts w:hint="eastAsia" w:ascii="宋体" w:hAnsi="宋体"/>
          <w:b/>
          <w:sz w:val="24"/>
          <w:szCs w:val="20"/>
          <w:highlight w:val="none"/>
        </w:rPr>
        <w:t>商务技术文件</w:t>
      </w:r>
      <w:r>
        <w:rPr>
          <w:rFonts w:ascii="宋体" w:hAnsi="宋体"/>
          <w:b/>
          <w:sz w:val="24"/>
          <w:szCs w:val="20"/>
          <w:highlight w:val="none"/>
        </w:rPr>
        <w:t>：</w:t>
      </w:r>
    </w:p>
    <w:p>
      <w:pPr>
        <w:snapToGrid w:val="0"/>
        <w:spacing w:beforeLines="50"/>
        <w:ind w:left="426"/>
        <w:jc w:val="left"/>
        <w:rPr>
          <w:rFonts w:ascii="宋体" w:hAnsi="宋体"/>
          <w:b/>
          <w:sz w:val="24"/>
          <w:szCs w:val="20"/>
          <w:highlight w:val="none"/>
        </w:rPr>
      </w:pPr>
      <w:r>
        <w:rPr>
          <w:rFonts w:hint="eastAsia" w:ascii="宋体" w:hAnsi="宋体"/>
          <w:b/>
          <w:sz w:val="24"/>
          <w:szCs w:val="20"/>
          <w:highlight w:val="none"/>
        </w:rPr>
        <w:t>（1）商务部分包括但不限于以下内容</w:t>
      </w:r>
    </w:p>
    <w:p>
      <w:pPr>
        <w:numPr>
          <w:ilvl w:val="0"/>
          <w:numId w:val="13"/>
        </w:numPr>
        <w:tabs>
          <w:tab w:val="left" w:pos="0"/>
          <w:tab w:val="clear" w:pos="420"/>
        </w:tabs>
        <w:spacing w:line="400" w:lineRule="exact"/>
        <w:ind w:left="0" w:firstLine="426"/>
        <w:rPr>
          <w:rFonts w:ascii="宋体" w:hAnsi="宋体"/>
          <w:sz w:val="24"/>
          <w:highlight w:val="none"/>
        </w:rPr>
      </w:pPr>
      <w:r>
        <w:rPr>
          <w:rFonts w:hint="eastAsia" w:ascii="宋体" w:hAnsi="宋体"/>
          <w:sz w:val="24"/>
          <w:highlight w:val="none"/>
        </w:rPr>
        <w:t>供应商采购响应文件评分索引一览表（格式见附件）</w:t>
      </w:r>
    </w:p>
    <w:p>
      <w:pPr>
        <w:numPr>
          <w:ilvl w:val="0"/>
          <w:numId w:val="13"/>
        </w:numPr>
        <w:tabs>
          <w:tab w:val="left" w:pos="0"/>
          <w:tab w:val="clear" w:pos="420"/>
        </w:tabs>
        <w:spacing w:line="400" w:lineRule="exact"/>
        <w:ind w:left="0" w:firstLine="426"/>
        <w:rPr>
          <w:rFonts w:ascii="宋体" w:hAnsi="宋体"/>
          <w:sz w:val="24"/>
          <w:highlight w:val="none"/>
        </w:rPr>
      </w:pPr>
      <w:r>
        <w:rPr>
          <w:rFonts w:hint="eastAsia" w:ascii="宋体" w:hAnsi="宋体"/>
          <w:sz w:val="24"/>
          <w:highlight w:val="none"/>
        </w:rPr>
        <w:t>投标声明书（格式见附件）</w:t>
      </w:r>
    </w:p>
    <w:p>
      <w:pPr>
        <w:numPr>
          <w:ilvl w:val="0"/>
          <w:numId w:val="13"/>
        </w:numPr>
        <w:tabs>
          <w:tab w:val="left" w:pos="0"/>
          <w:tab w:val="clear" w:pos="420"/>
        </w:tabs>
        <w:spacing w:line="400" w:lineRule="exact"/>
        <w:ind w:left="0" w:firstLine="426"/>
        <w:rPr>
          <w:rFonts w:ascii="宋体" w:hAnsi="宋体"/>
          <w:sz w:val="24"/>
          <w:highlight w:val="none"/>
        </w:rPr>
      </w:pPr>
      <w:r>
        <w:rPr>
          <w:rFonts w:hint="eastAsia" w:ascii="宋体" w:hAnsi="宋体"/>
          <w:sz w:val="24"/>
          <w:highlight w:val="none"/>
        </w:rPr>
        <w:t>投标人的基本情况介绍</w:t>
      </w:r>
    </w:p>
    <w:p>
      <w:pPr>
        <w:numPr>
          <w:ilvl w:val="0"/>
          <w:numId w:val="13"/>
        </w:numPr>
        <w:tabs>
          <w:tab w:val="left" w:pos="0"/>
          <w:tab w:val="clear" w:pos="420"/>
        </w:tabs>
        <w:spacing w:line="400" w:lineRule="exact"/>
        <w:ind w:left="0" w:firstLine="426"/>
        <w:rPr>
          <w:rFonts w:ascii="宋体" w:hAnsi="宋体"/>
          <w:sz w:val="24"/>
          <w:highlight w:val="none"/>
        </w:rPr>
      </w:pPr>
      <w:r>
        <w:rPr>
          <w:rFonts w:hint="eastAsia" w:ascii="宋体" w:hAnsi="宋体"/>
          <w:sz w:val="24"/>
          <w:highlight w:val="none"/>
        </w:rPr>
        <w:t>投标人相关资质证书情况（复印件加盖公章）（原件备查）</w:t>
      </w:r>
    </w:p>
    <w:p>
      <w:pPr>
        <w:numPr>
          <w:ilvl w:val="0"/>
          <w:numId w:val="13"/>
        </w:numPr>
        <w:tabs>
          <w:tab w:val="left" w:pos="0"/>
          <w:tab w:val="clear" w:pos="420"/>
        </w:tabs>
        <w:spacing w:line="400" w:lineRule="exact"/>
        <w:ind w:left="0" w:firstLine="426"/>
        <w:rPr>
          <w:rFonts w:ascii="宋体" w:hAnsi="宋体"/>
          <w:sz w:val="24"/>
          <w:highlight w:val="none"/>
        </w:rPr>
      </w:pPr>
      <w:r>
        <w:rPr>
          <w:rFonts w:hint="eastAsia" w:ascii="宋体" w:hAnsi="宋体"/>
          <w:sz w:val="24"/>
          <w:highlight w:val="none"/>
        </w:rPr>
        <w:t>投标人三年来（</w:t>
      </w:r>
      <w:r>
        <w:rPr>
          <w:rFonts w:hint="eastAsia" w:ascii="宋体" w:hAnsi="宋体"/>
          <w:color w:val="FF0000"/>
          <w:sz w:val="24"/>
          <w:highlight w:val="none"/>
        </w:rPr>
        <w:t>2019</w:t>
      </w:r>
      <w:r>
        <w:rPr>
          <w:rFonts w:hint="eastAsia" w:ascii="宋体" w:hAnsi="宋体"/>
          <w:sz w:val="24"/>
          <w:highlight w:val="none"/>
        </w:rPr>
        <w:t>年7月1日至今）类似业绩证明（合同、业主验收证明材料等）（复印件加盖公章）（原件查验）</w:t>
      </w:r>
    </w:p>
    <w:p>
      <w:pPr>
        <w:numPr>
          <w:ilvl w:val="0"/>
          <w:numId w:val="13"/>
        </w:numPr>
        <w:tabs>
          <w:tab w:val="left" w:pos="0"/>
          <w:tab w:val="clear" w:pos="420"/>
        </w:tabs>
        <w:spacing w:line="400" w:lineRule="exact"/>
        <w:ind w:left="0" w:firstLine="426"/>
        <w:rPr>
          <w:rFonts w:ascii="宋体" w:hAnsi="宋体"/>
          <w:sz w:val="24"/>
          <w:highlight w:val="none"/>
        </w:rPr>
      </w:pPr>
      <w:r>
        <w:rPr>
          <w:rFonts w:hint="eastAsia" w:ascii="宋体" w:hAnsi="宋体"/>
          <w:sz w:val="24"/>
          <w:highlight w:val="none"/>
        </w:rPr>
        <w:t>投标供应商的荣誉、质量证书、认证证书和专利证书等能体现服务质量的证书,</w:t>
      </w:r>
      <w:r>
        <w:rPr>
          <w:rFonts w:ascii="宋体" w:hAnsi="宋体"/>
          <w:sz w:val="24"/>
          <w:highlight w:val="none"/>
        </w:rPr>
        <w:t>拟投标</w:t>
      </w:r>
      <w:r>
        <w:rPr>
          <w:rFonts w:hint="eastAsia" w:ascii="宋体" w:hAnsi="宋体"/>
          <w:sz w:val="24"/>
          <w:highlight w:val="none"/>
        </w:rPr>
        <w:t>服务</w:t>
      </w:r>
      <w:r>
        <w:rPr>
          <w:rFonts w:ascii="宋体" w:hAnsi="宋体"/>
          <w:sz w:val="24"/>
          <w:highlight w:val="none"/>
        </w:rPr>
        <w:t>符合国家及行业最新标准，并通过国家权威部门有关认证</w:t>
      </w:r>
      <w:r>
        <w:rPr>
          <w:rFonts w:hint="eastAsia" w:ascii="宋体" w:hAnsi="宋体"/>
          <w:sz w:val="24"/>
          <w:highlight w:val="none"/>
        </w:rPr>
        <w:t>的证明文件（复印件加盖公章）（如有）(参考评分标准相应评分项要求)</w:t>
      </w:r>
    </w:p>
    <w:p>
      <w:pPr>
        <w:numPr>
          <w:ilvl w:val="0"/>
          <w:numId w:val="13"/>
        </w:numPr>
        <w:tabs>
          <w:tab w:val="left" w:pos="0"/>
          <w:tab w:val="clear" w:pos="420"/>
        </w:tabs>
        <w:spacing w:line="400" w:lineRule="exact"/>
        <w:ind w:left="0" w:firstLine="426"/>
        <w:rPr>
          <w:rFonts w:ascii="宋体" w:hAnsi="宋体"/>
          <w:sz w:val="24"/>
          <w:highlight w:val="none"/>
        </w:rPr>
      </w:pPr>
      <w:r>
        <w:rPr>
          <w:rFonts w:hint="eastAsia" w:ascii="宋体" w:hAnsi="宋体"/>
          <w:sz w:val="24"/>
          <w:highlight w:val="none"/>
        </w:rPr>
        <w:t>自主创新、节能环保、环境标志等的资质证书复印件或文件（若有）（复印件加盖公章）</w:t>
      </w:r>
    </w:p>
    <w:p>
      <w:pPr>
        <w:numPr>
          <w:ilvl w:val="0"/>
          <w:numId w:val="13"/>
        </w:numPr>
        <w:tabs>
          <w:tab w:val="left" w:pos="0"/>
          <w:tab w:val="clear" w:pos="420"/>
        </w:tabs>
        <w:spacing w:line="400" w:lineRule="exact"/>
        <w:ind w:left="0" w:firstLine="426"/>
        <w:rPr>
          <w:rFonts w:ascii="宋体" w:hAnsi="宋体"/>
          <w:color w:val="000000"/>
          <w:kern w:val="0"/>
          <w:sz w:val="24"/>
          <w:highlight w:val="none"/>
        </w:rPr>
      </w:pPr>
      <w:r>
        <w:rPr>
          <w:rFonts w:hint="eastAsia" w:ascii="宋体" w:hAnsi="宋体"/>
          <w:kern w:val="0"/>
          <w:sz w:val="24"/>
          <w:highlight w:val="none"/>
        </w:rPr>
        <w:t>服务网点情况（须提供详细的全称、地址、联系人、联系方式、营业执照，若服务网点为投标人的合作单位，则需同时提供合作单位营业执照、</w:t>
      </w:r>
      <w:r>
        <w:rPr>
          <w:rFonts w:hint="eastAsia" w:ascii="宋体" w:hAnsi="宋体"/>
          <w:color w:val="000000"/>
          <w:kern w:val="0"/>
          <w:sz w:val="24"/>
          <w:highlight w:val="none"/>
        </w:rPr>
        <w:t>合作协议、合作单位人员组成、合作单位人员社保证明清单原件等）（加盖公章）</w:t>
      </w:r>
    </w:p>
    <w:p>
      <w:pPr>
        <w:numPr>
          <w:ilvl w:val="0"/>
          <w:numId w:val="13"/>
        </w:numPr>
        <w:tabs>
          <w:tab w:val="left" w:pos="0"/>
          <w:tab w:val="clear" w:pos="420"/>
        </w:tabs>
        <w:spacing w:line="400" w:lineRule="exact"/>
        <w:ind w:left="0" w:firstLine="426"/>
        <w:rPr>
          <w:rFonts w:ascii="宋体" w:hAnsi="宋体"/>
          <w:color w:val="000000"/>
          <w:kern w:val="0"/>
          <w:sz w:val="24"/>
          <w:highlight w:val="none"/>
        </w:rPr>
      </w:pPr>
      <w:r>
        <w:rPr>
          <w:rFonts w:hint="eastAsia" w:ascii="宋体" w:hAnsi="宋体"/>
          <w:color w:val="000000"/>
          <w:kern w:val="0"/>
          <w:sz w:val="24"/>
          <w:highlight w:val="none"/>
        </w:rPr>
        <w:t>投标人为中小企业，或按规定享受其他国家政策支持、扶持的相关证明材料</w:t>
      </w:r>
      <w:r>
        <w:rPr>
          <w:rFonts w:hint="eastAsia" w:ascii="宋体" w:hAnsi="宋体"/>
          <w:b/>
          <w:color w:val="000000"/>
          <w:kern w:val="0"/>
          <w:sz w:val="24"/>
          <w:highlight w:val="none"/>
        </w:rPr>
        <w:t>（中小企业声明等）（此项针对商务、资信及其他分评审）</w:t>
      </w:r>
    </w:p>
    <w:p>
      <w:pPr>
        <w:numPr>
          <w:ilvl w:val="0"/>
          <w:numId w:val="13"/>
        </w:numPr>
        <w:tabs>
          <w:tab w:val="left" w:pos="0"/>
          <w:tab w:val="clear" w:pos="420"/>
        </w:tabs>
        <w:spacing w:line="400" w:lineRule="exact"/>
        <w:ind w:left="0" w:firstLine="426"/>
        <w:rPr>
          <w:rFonts w:ascii="宋体" w:hAnsi="宋体"/>
          <w:color w:val="000000"/>
          <w:sz w:val="24"/>
          <w:highlight w:val="none"/>
        </w:rPr>
      </w:pPr>
      <w:r>
        <w:rPr>
          <w:rFonts w:hint="eastAsia" w:ascii="宋体" w:hAnsi="宋体"/>
          <w:color w:val="000000"/>
          <w:sz w:val="24"/>
          <w:highlight w:val="none"/>
        </w:rPr>
        <w:t>维护期（质保期）</w:t>
      </w:r>
    </w:p>
    <w:p>
      <w:pPr>
        <w:numPr>
          <w:ilvl w:val="0"/>
          <w:numId w:val="13"/>
        </w:numPr>
        <w:tabs>
          <w:tab w:val="left" w:pos="0"/>
          <w:tab w:val="clear" w:pos="420"/>
        </w:tabs>
        <w:spacing w:line="400" w:lineRule="exact"/>
        <w:ind w:left="0" w:firstLine="426"/>
        <w:rPr>
          <w:rFonts w:ascii="宋体" w:hAnsi="宋体"/>
          <w:color w:val="000000"/>
          <w:sz w:val="24"/>
          <w:highlight w:val="none"/>
        </w:rPr>
      </w:pPr>
      <w:r>
        <w:rPr>
          <w:rFonts w:hint="eastAsia" w:ascii="宋体" w:hAnsi="宋体"/>
          <w:color w:val="000000"/>
          <w:sz w:val="24"/>
          <w:highlight w:val="none"/>
          <w:lang w:val="zh-CN"/>
        </w:rPr>
        <w:t>投标单位维护期承诺，比如用户现场服务响应时间、问题解决时间等</w:t>
      </w:r>
    </w:p>
    <w:p>
      <w:pPr>
        <w:numPr>
          <w:ilvl w:val="0"/>
          <w:numId w:val="13"/>
        </w:numPr>
        <w:tabs>
          <w:tab w:val="left" w:pos="0"/>
          <w:tab w:val="clear" w:pos="420"/>
        </w:tabs>
        <w:spacing w:line="400" w:lineRule="exact"/>
        <w:ind w:left="0" w:firstLine="426"/>
        <w:rPr>
          <w:rFonts w:ascii="宋体" w:hAnsi="宋体"/>
          <w:color w:val="000000"/>
          <w:sz w:val="24"/>
          <w:highlight w:val="none"/>
        </w:rPr>
      </w:pPr>
      <w:r>
        <w:rPr>
          <w:rFonts w:hint="eastAsia" w:ascii="宋体" w:hAnsi="宋体"/>
          <w:color w:val="000000"/>
          <w:sz w:val="24"/>
          <w:highlight w:val="none"/>
        </w:rPr>
        <w:t>维护期（质保期）</w:t>
      </w:r>
      <w:r>
        <w:rPr>
          <w:rFonts w:hint="eastAsia" w:ascii="宋体" w:hAnsi="宋体"/>
          <w:sz w:val="24"/>
          <w:highlight w:val="none"/>
        </w:rPr>
        <w:t>外的服务价格（</w:t>
      </w:r>
      <w:r>
        <w:rPr>
          <w:rFonts w:hint="eastAsia" w:ascii="宋体" w:hAnsi="宋体"/>
          <w:b/>
          <w:sz w:val="24"/>
          <w:highlight w:val="none"/>
        </w:rPr>
        <w:t>此价格不计入本项目投标价格总价，并应放入投标文件的资信及商务文件中，供采购单位参考</w:t>
      </w:r>
      <w:r>
        <w:rPr>
          <w:rFonts w:hint="eastAsia" w:ascii="宋体" w:hAnsi="宋体"/>
          <w:sz w:val="24"/>
          <w:highlight w:val="none"/>
        </w:rPr>
        <w:t>）</w:t>
      </w:r>
    </w:p>
    <w:p>
      <w:pPr>
        <w:numPr>
          <w:ilvl w:val="0"/>
          <w:numId w:val="13"/>
        </w:numPr>
        <w:tabs>
          <w:tab w:val="left" w:pos="0"/>
          <w:tab w:val="clear" w:pos="420"/>
        </w:tabs>
        <w:spacing w:line="400" w:lineRule="exact"/>
        <w:ind w:left="0" w:firstLine="426"/>
        <w:rPr>
          <w:rFonts w:ascii="宋体" w:hAnsi="宋体"/>
          <w:color w:val="000000"/>
          <w:sz w:val="24"/>
          <w:highlight w:val="none"/>
        </w:rPr>
      </w:pPr>
      <w:r>
        <w:rPr>
          <w:rFonts w:hint="eastAsia" w:ascii="宋体" w:hAnsi="宋体"/>
          <w:color w:val="000000"/>
          <w:sz w:val="24"/>
          <w:highlight w:val="none"/>
        </w:rPr>
        <w:t>商务偏离表</w:t>
      </w:r>
      <w:r>
        <w:rPr>
          <w:rFonts w:hint="eastAsia" w:ascii="宋体" w:hAnsi="宋体"/>
          <w:color w:val="000000"/>
          <w:kern w:val="0"/>
          <w:sz w:val="24"/>
          <w:highlight w:val="none"/>
        </w:rPr>
        <w:t>（</w:t>
      </w:r>
      <w:r>
        <w:rPr>
          <w:rFonts w:hint="eastAsia" w:ascii="宋体" w:hAnsi="宋体"/>
          <w:color w:val="000000"/>
          <w:sz w:val="24"/>
          <w:highlight w:val="none"/>
        </w:rPr>
        <w:t>加盖公章）</w:t>
      </w:r>
    </w:p>
    <w:p>
      <w:pPr>
        <w:numPr>
          <w:ilvl w:val="0"/>
          <w:numId w:val="14"/>
        </w:numPr>
        <w:tabs>
          <w:tab w:val="left" w:pos="0"/>
          <w:tab w:val="left" w:pos="540"/>
          <w:tab w:val="clear" w:pos="720"/>
        </w:tabs>
        <w:spacing w:line="400" w:lineRule="exact"/>
        <w:ind w:left="0" w:firstLine="426"/>
        <w:rPr>
          <w:rFonts w:ascii="宋体" w:hAnsi="宋体"/>
          <w:color w:val="000000"/>
          <w:sz w:val="24"/>
          <w:highlight w:val="none"/>
        </w:rPr>
      </w:pPr>
      <w:r>
        <w:rPr>
          <w:rFonts w:hint="eastAsia" w:ascii="宋体" w:hAnsi="宋体"/>
          <w:color w:val="000000"/>
          <w:sz w:val="24"/>
          <w:highlight w:val="none"/>
        </w:rPr>
        <w:t>针对本项目为采购人提供的其他优惠条件</w:t>
      </w:r>
      <w:r>
        <w:rPr>
          <w:rFonts w:hint="eastAsia" w:ascii="宋体" w:hAnsi="宋体"/>
          <w:color w:val="000000"/>
          <w:kern w:val="0"/>
          <w:sz w:val="24"/>
          <w:highlight w:val="none"/>
        </w:rPr>
        <w:t>（</w:t>
      </w:r>
      <w:r>
        <w:rPr>
          <w:rFonts w:hint="eastAsia" w:ascii="宋体" w:hAnsi="宋体"/>
          <w:color w:val="000000"/>
          <w:sz w:val="24"/>
          <w:highlight w:val="none"/>
        </w:rPr>
        <w:t>加盖公章）</w:t>
      </w:r>
    </w:p>
    <w:p>
      <w:pPr>
        <w:numPr>
          <w:ilvl w:val="0"/>
          <w:numId w:val="14"/>
        </w:numPr>
        <w:tabs>
          <w:tab w:val="left" w:pos="0"/>
          <w:tab w:val="left" w:pos="540"/>
          <w:tab w:val="clear" w:pos="720"/>
        </w:tabs>
        <w:spacing w:line="400" w:lineRule="exact"/>
        <w:ind w:left="0" w:firstLine="426"/>
        <w:rPr>
          <w:rFonts w:ascii="宋体" w:hAnsi="宋体"/>
          <w:bCs/>
          <w:color w:val="000000"/>
          <w:sz w:val="24"/>
          <w:highlight w:val="none"/>
        </w:rPr>
      </w:pPr>
      <w:r>
        <w:rPr>
          <w:rFonts w:hint="eastAsia" w:ascii="宋体" w:hAnsi="宋体"/>
          <w:bCs/>
          <w:color w:val="000000"/>
          <w:sz w:val="24"/>
          <w:highlight w:val="none"/>
        </w:rPr>
        <w:t>采购文件要求的，以及投标人认为要说明的其他内容。</w:t>
      </w:r>
    </w:p>
    <w:p>
      <w:pPr>
        <w:spacing w:line="400" w:lineRule="exact"/>
        <w:ind w:left="424" w:leftChars="202"/>
        <w:rPr>
          <w:rFonts w:ascii="宋体" w:hAnsi="宋体"/>
          <w:sz w:val="24"/>
          <w:highlight w:val="none"/>
          <w:lang w:val="zh-CN"/>
        </w:rPr>
      </w:pPr>
      <w:r>
        <w:rPr>
          <w:rFonts w:hint="eastAsia" w:ascii="宋体" w:hAnsi="宋体"/>
          <w:b/>
          <w:sz w:val="24"/>
          <w:highlight w:val="none"/>
        </w:rPr>
        <w:t>（2）技术部分包括但不限于以下内容：</w:t>
      </w:r>
    </w:p>
    <w:p>
      <w:pPr>
        <w:numPr>
          <w:ilvl w:val="1"/>
          <w:numId w:val="15"/>
        </w:numPr>
        <w:tabs>
          <w:tab w:val="left" w:pos="0"/>
          <w:tab w:val="clear" w:pos="360"/>
        </w:tabs>
        <w:spacing w:line="400" w:lineRule="exact"/>
        <w:ind w:left="0" w:firstLine="426"/>
        <w:rPr>
          <w:rFonts w:ascii="宋体" w:hAnsi="宋体"/>
          <w:color w:val="000000"/>
          <w:sz w:val="24"/>
          <w:highlight w:val="none"/>
          <w:lang w:val="zh-CN"/>
        </w:rPr>
      </w:pPr>
      <w:r>
        <w:rPr>
          <w:rFonts w:hint="eastAsia" w:ascii="宋体" w:hAnsi="宋体"/>
          <w:color w:val="000000"/>
          <w:sz w:val="24"/>
          <w:highlight w:val="none"/>
          <w:lang w:val="zh-CN"/>
        </w:rPr>
        <w:t>对本项目总体要求的理解（调研报告）。</w:t>
      </w:r>
    </w:p>
    <w:p>
      <w:pPr>
        <w:numPr>
          <w:ilvl w:val="1"/>
          <w:numId w:val="15"/>
        </w:numPr>
        <w:tabs>
          <w:tab w:val="left" w:pos="0"/>
          <w:tab w:val="clear" w:pos="360"/>
        </w:tabs>
        <w:spacing w:line="400" w:lineRule="exact"/>
        <w:ind w:left="0" w:firstLine="426"/>
        <w:rPr>
          <w:rFonts w:ascii="宋体" w:hAnsi="宋体"/>
          <w:color w:val="000000"/>
          <w:sz w:val="24"/>
          <w:highlight w:val="none"/>
        </w:rPr>
      </w:pPr>
      <w:r>
        <w:rPr>
          <w:rFonts w:hint="eastAsia" w:ascii="宋体" w:hAnsi="宋体"/>
          <w:color w:val="000000"/>
          <w:sz w:val="24"/>
          <w:highlight w:val="none"/>
        </w:rPr>
        <w:t>针对本项目的完整技术解决方案和合理化建议。</w:t>
      </w:r>
    </w:p>
    <w:p>
      <w:pPr>
        <w:numPr>
          <w:ilvl w:val="1"/>
          <w:numId w:val="15"/>
        </w:numPr>
        <w:tabs>
          <w:tab w:val="left" w:pos="0"/>
          <w:tab w:val="clear" w:pos="360"/>
        </w:tabs>
        <w:spacing w:line="400" w:lineRule="exact"/>
        <w:ind w:left="0" w:firstLine="426"/>
        <w:rPr>
          <w:rFonts w:ascii="宋体" w:hAnsi="宋体"/>
          <w:color w:val="000000"/>
          <w:sz w:val="24"/>
          <w:highlight w:val="none"/>
        </w:rPr>
      </w:pPr>
      <w:r>
        <w:rPr>
          <w:rFonts w:hint="eastAsia" w:ascii="宋体" w:hAnsi="宋体"/>
          <w:color w:val="000000"/>
          <w:sz w:val="24"/>
          <w:highlight w:val="none"/>
        </w:rPr>
        <w:t>针对本项目建设的详细实施计划，包括详细的工作实施组织方案，组织机构、人员管理、内部管理制度设立等保障措施。（包括详细的项目管理方案、项目启动方案、项目实施方案、项目考核方案、组织机构、管理和协调方法、关键步骤的思路和要点等的详细说明及服务保障应急预案的详细说明）</w:t>
      </w:r>
    </w:p>
    <w:p>
      <w:pPr>
        <w:numPr>
          <w:ilvl w:val="1"/>
          <w:numId w:val="15"/>
        </w:numPr>
        <w:tabs>
          <w:tab w:val="left" w:pos="0"/>
          <w:tab w:val="clear" w:pos="360"/>
        </w:tabs>
        <w:spacing w:line="400" w:lineRule="exact"/>
        <w:ind w:left="0" w:firstLine="426"/>
        <w:rPr>
          <w:rFonts w:ascii="宋体" w:hAnsi="宋体"/>
          <w:color w:val="000000"/>
          <w:sz w:val="24"/>
          <w:highlight w:val="none"/>
        </w:rPr>
      </w:pPr>
      <w:r>
        <w:rPr>
          <w:rFonts w:hint="eastAsia"/>
          <w:kern w:val="0"/>
          <w:szCs w:val="21"/>
          <w:highlight w:val="none"/>
        </w:rPr>
        <w:t>▲</w:t>
      </w:r>
      <w:r>
        <w:rPr>
          <w:rFonts w:hint="eastAsia" w:ascii="宋体" w:hAnsi="宋体"/>
          <w:color w:val="000000"/>
          <w:sz w:val="24"/>
          <w:highlight w:val="none"/>
        </w:rPr>
        <w:t>服务项目清单（不含价格）（必须详细列明服务明细项目等）（此项必须提供）。（格式见附件）</w:t>
      </w:r>
    </w:p>
    <w:p>
      <w:pPr>
        <w:numPr>
          <w:ilvl w:val="1"/>
          <w:numId w:val="15"/>
        </w:numPr>
        <w:tabs>
          <w:tab w:val="left" w:pos="0"/>
          <w:tab w:val="clear" w:pos="360"/>
        </w:tabs>
        <w:spacing w:line="400" w:lineRule="exact"/>
        <w:ind w:left="0" w:firstLine="426"/>
        <w:rPr>
          <w:rFonts w:ascii="宋体" w:hAnsi="宋体"/>
          <w:color w:val="000000"/>
          <w:sz w:val="24"/>
          <w:highlight w:val="none"/>
        </w:rPr>
      </w:pPr>
      <w:r>
        <w:rPr>
          <w:rFonts w:hint="eastAsia" w:ascii="宋体" w:hAnsi="宋体"/>
          <w:color w:val="000000"/>
          <w:sz w:val="24"/>
          <w:highlight w:val="none"/>
          <w:lang w:val="zh-CN"/>
        </w:rPr>
        <w:t>投标单位针对本项目的相关服务承诺一览表（投标人在投标文件中，应对招标需求中所提出各项要求进行逐条逐项的答复、说明和解释。首先对实现或满足程度明确作出“满足”、“负偏离”、“部分负偏离”、“正偏离”等应答，然后作出具体、详细的说明。回答“满足”应说明如何满足，回答“部分满足”要明确哪部分满足和哪部分不满足。同时明确满足的程度。若采用“详见”、“参见”方式说明的，应指明所指文档（应是投标文件的组成部分）的具体章节及页码。任何含糊不清的表示对评标结果的影响将是投标人的责任。）</w:t>
      </w:r>
    </w:p>
    <w:p>
      <w:pPr>
        <w:numPr>
          <w:ilvl w:val="1"/>
          <w:numId w:val="15"/>
        </w:numPr>
        <w:tabs>
          <w:tab w:val="left" w:pos="0"/>
          <w:tab w:val="clear" w:pos="360"/>
        </w:tabs>
        <w:spacing w:line="400" w:lineRule="exact"/>
        <w:ind w:left="0" w:firstLine="426"/>
        <w:rPr>
          <w:rFonts w:ascii="宋体" w:hAnsi="宋体"/>
          <w:color w:val="000000"/>
          <w:sz w:val="24"/>
          <w:highlight w:val="none"/>
        </w:rPr>
      </w:pPr>
      <w:r>
        <w:rPr>
          <w:rFonts w:hint="eastAsia" w:ascii="宋体" w:hAnsi="宋体"/>
          <w:color w:val="000000"/>
          <w:sz w:val="24"/>
          <w:highlight w:val="none"/>
          <w:lang w:val="zh-CN"/>
        </w:rPr>
        <w:t>针对本项目的服务技术团队情况：包括人员组成（要求必须为本公司员工）、数量、技术实力等。提供相关协议、社保证明清单原件</w:t>
      </w:r>
      <w:r>
        <w:rPr>
          <w:rFonts w:hint="eastAsia" w:ascii="宋体" w:hAnsi="宋体"/>
          <w:b/>
          <w:color w:val="000000"/>
          <w:sz w:val="24"/>
          <w:highlight w:val="none"/>
          <w:lang w:val="zh-CN"/>
        </w:rPr>
        <w:t>（不提供不得分）</w:t>
      </w:r>
      <w:r>
        <w:rPr>
          <w:rFonts w:hint="eastAsia" w:ascii="宋体" w:hAnsi="宋体"/>
          <w:b/>
          <w:color w:val="000000"/>
          <w:kern w:val="0"/>
          <w:sz w:val="24"/>
          <w:highlight w:val="none"/>
        </w:rPr>
        <w:t>、</w:t>
      </w:r>
      <w:r>
        <w:rPr>
          <w:rFonts w:hint="eastAsia" w:ascii="宋体" w:hAnsi="宋体"/>
          <w:color w:val="000000"/>
          <w:sz w:val="24"/>
          <w:highlight w:val="none"/>
          <w:lang w:val="zh-CN"/>
        </w:rPr>
        <w:t>相关经验履历、所获证书等复印件。（加盖公章）（原件带至开标现场备查）</w:t>
      </w:r>
    </w:p>
    <w:p>
      <w:pPr>
        <w:numPr>
          <w:ilvl w:val="1"/>
          <w:numId w:val="15"/>
        </w:numPr>
        <w:tabs>
          <w:tab w:val="left" w:pos="0"/>
          <w:tab w:val="clear" w:pos="360"/>
        </w:tabs>
        <w:spacing w:line="400" w:lineRule="exact"/>
        <w:ind w:left="0" w:firstLine="426"/>
        <w:rPr>
          <w:rFonts w:ascii="宋体" w:hAnsi="宋体"/>
          <w:color w:val="000000"/>
          <w:sz w:val="24"/>
          <w:highlight w:val="none"/>
          <w:lang w:val="zh-CN"/>
        </w:rPr>
      </w:pPr>
      <w:r>
        <w:rPr>
          <w:rFonts w:hint="eastAsia" w:ascii="宋体" w:hAnsi="宋体"/>
          <w:color w:val="000000"/>
          <w:sz w:val="24"/>
          <w:highlight w:val="none"/>
        </w:rPr>
        <w:t>项目服务期的质量保障措施</w:t>
      </w:r>
      <w:r>
        <w:rPr>
          <w:rFonts w:hint="eastAsia" w:ascii="宋体" w:hAnsi="宋体"/>
          <w:color w:val="000000"/>
          <w:kern w:val="0"/>
          <w:sz w:val="24"/>
          <w:highlight w:val="none"/>
        </w:rPr>
        <w:t>（</w:t>
      </w:r>
      <w:r>
        <w:rPr>
          <w:rFonts w:hint="eastAsia" w:ascii="宋体" w:hAnsi="宋体"/>
          <w:color w:val="000000"/>
          <w:sz w:val="24"/>
          <w:highlight w:val="none"/>
        </w:rPr>
        <w:t>加盖公章）</w:t>
      </w:r>
    </w:p>
    <w:p>
      <w:pPr>
        <w:numPr>
          <w:ilvl w:val="1"/>
          <w:numId w:val="15"/>
        </w:numPr>
        <w:tabs>
          <w:tab w:val="left" w:pos="0"/>
          <w:tab w:val="clear" w:pos="360"/>
        </w:tabs>
        <w:spacing w:line="400" w:lineRule="exact"/>
        <w:ind w:left="0" w:firstLine="426"/>
        <w:rPr>
          <w:rFonts w:ascii="宋体" w:hAnsi="宋体"/>
          <w:color w:val="000000"/>
          <w:sz w:val="24"/>
          <w:highlight w:val="none"/>
        </w:rPr>
      </w:pPr>
      <w:r>
        <w:rPr>
          <w:rFonts w:ascii="宋体" w:hAnsi="宋体"/>
          <w:color w:val="000000"/>
          <w:sz w:val="24"/>
          <w:highlight w:val="none"/>
        </w:rPr>
        <w:t>公司技术力量和合作方技术支持情况</w:t>
      </w:r>
    </w:p>
    <w:p>
      <w:pPr>
        <w:numPr>
          <w:ilvl w:val="1"/>
          <w:numId w:val="15"/>
        </w:numPr>
        <w:tabs>
          <w:tab w:val="left" w:pos="0"/>
          <w:tab w:val="clear" w:pos="360"/>
        </w:tabs>
        <w:spacing w:line="400" w:lineRule="exact"/>
        <w:ind w:left="0" w:firstLine="426"/>
        <w:rPr>
          <w:rFonts w:ascii="宋体" w:hAnsi="宋体"/>
          <w:color w:val="000000"/>
          <w:sz w:val="24"/>
          <w:highlight w:val="none"/>
        </w:rPr>
      </w:pPr>
      <w:r>
        <w:rPr>
          <w:rFonts w:hint="eastAsia" w:ascii="宋体" w:hAnsi="宋体"/>
          <w:color w:val="000000"/>
          <w:sz w:val="24"/>
          <w:highlight w:val="none"/>
        </w:rPr>
        <w:t>拟投入本项目使用的设备情况（须提供设备清单、照片，同时提供发票或证明材料）</w:t>
      </w:r>
    </w:p>
    <w:p>
      <w:pPr>
        <w:numPr>
          <w:ilvl w:val="1"/>
          <w:numId w:val="15"/>
        </w:numPr>
        <w:tabs>
          <w:tab w:val="left" w:pos="0"/>
          <w:tab w:val="clear" w:pos="360"/>
        </w:tabs>
        <w:spacing w:line="400" w:lineRule="exact"/>
        <w:ind w:left="0" w:firstLine="426"/>
        <w:rPr>
          <w:rFonts w:ascii="宋体" w:hAnsi="宋体"/>
          <w:color w:val="000000"/>
          <w:sz w:val="24"/>
          <w:highlight w:val="none"/>
        </w:rPr>
      </w:pPr>
      <w:r>
        <w:rPr>
          <w:rFonts w:hint="eastAsia" w:ascii="宋体" w:hAnsi="宋体"/>
          <w:color w:val="000000"/>
          <w:sz w:val="24"/>
          <w:highlight w:val="none"/>
        </w:rPr>
        <w:t>采购文件要求的以及投标方认为可能需要的其他文件资料</w:t>
      </w:r>
    </w:p>
    <w:p>
      <w:pPr>
        <w:numPr>
          <w:ilvl w:val="0"/>
          <w:numId w:val="15"/>
        </w:numPr>
        <w:spacing w:line="400" w:lineRule="exact"/>
        <w:rPr>
          <w:rFonts w:ascii="宋体" w:hAnsi="宋体"/>
          <w:b/>
          <w:color w:val="000000"/>
          <w:sz w:val="24"/>
          <w:highlight w:val="none"/>
        </w:rPr>
      </w:pPr>
      <w:r>
        <w:rPr>
          <w:rFonts w:hint="eastAsia" w:ascii="宋体" w:hAnsi="宋体"/>
          <w:b/>
          <w:color w:val="000000"/>
          <w:sz w:val="24"/>
          <w:highlight w:val="none"/>
        </w:rPr>
        <w:t>报价文件：</w:t>
      </w:r>
    </w:p>
    <w:p>
      <w:pPr>
        <w:numPr>
          <w:ilvl w:val="0"/>
          <w:numId w:val="16"/>
        </w:numPr>
        <w:spacing w:line="400" w:lineRule="exact"/>
        <w:rPr>
          <w:rFonts w:ascii="宋体" w:hAnsi="宋体"/>
          <w:color w:val="000000"/>
          <w:sz w:val="24"/>
          <w:highlight w:val="none"/>
        </w:rPr>
      </w:pPr>
      <w:r>
        <w:rPr>
          <w:rFonts w:hint="eastAsia" w:ascii="宋体" w:hAnsi="宋体"/>
          <w:color w:val="000000"/>
          <w:sz w:val="24"/>
          <w:highlight w:val="none"/>
        </w:rPr>
        <w:t>投标函（格式见附件）</w:t>
      </w:r>
    </w:p>
    <w:p>
      <w:pPr>
        <w:numPr>
          <w:ilvl w:val="0"/>
          <w:numId w:val="16"/>
        </w:numPr>
        <w:spacing w:line="400" w:lineRule="exact"/>
        <w:rPr>
          <w:rFonts w:ascii="宋体" w:hAnsi="宋体"/>
          <w:color w:val="000000"/>
          <w:sz w:val="24"/>
          <w:highlight w:val="none"/>
        </w:rPr>
      </w:pPr>
      <w:r>
        <w:rPr>
          <w:rFonts w:hint="eastAsia" w:ascii="宋体" w:hAnsi="宋体"/>
          <w:color w:val="000000"/>
          <w:sz w:val="24"/>
          <w:highlight w:val="none"/>
        </w:rPr>
        <w:t>开标一览表（格式见附件）</w:t>
      </w:r>
    </w:p>
    <w:p>
      <w:pPr>
        <w:numPr>
          <w:ilvl w:val="0"/>
          <w:numId w:val="16"/>
        </w:numPr>
        <w:spacing w:line="400" w:lineRule="exact"/>
        <w:rPr>
          <w:rFonts w:ascii="宋体" w:hAnsi="宋体"/>
          <w:color w:val="000000"/>
          <w:sz w:val="24"/>
          <w:highlight w:val="none"/>
        </w:rPr>
      </w:pPr>
      <w:r>
        <w:rPr>
          <w:rFonts w:hint="eastAsia" w:ascii="宋体" w:hAnsi="宋体"/>
          <w:color w:val="000000"/>
          <w:sz w:val="24"/>
          <w:highlight w:val="none"/>
        </w:rPr>
        <w:t>投标项目报价明细表（格式见附件）</w:t>
      </w:r>
    </w:p>
    <w:p>
      <w:pPr>
        <w:numPr>
          <w:ilvl w:val="0"/>
          <w:numId w:val="16"/>
        </w:numPr>
        <w:spacing w:line="400" w:lineRule="exact"/>
        <w:rPr>
          <w:rFonts w:ascii="宋体" w:hAnsi="宋体"/>
          <w:color w:val="000000"/>
          <w:sz w:val="24"/>
          <w:highlight w:val="none"/>
        </w:rPr>
      </w:pPr>
      <w:r>
        <w:rPr>
          <w:rFonts w:hint="eastAsia" w:ascii="宋体" w:hAnsi="宋体"/>
          <w:color w:val="000000"/>
          <w:sz w:val="24"/>
          <w:highlight w:val="none"/>
        </w:rPr>
        <w:t>投标企业（</w:t>
      </w:r>
      <w:r>
        <w:rPr>
          <w:rFonts w:hint="eastAsia" w:ascii="宋体" w:hAnsi="宋体"/>
          <w:color w:val="000000"/>
          <w:sz w:val="24"/>
          <w:highlight w:val="none"/>
          <w:lang w:eastAsia="zh-CN"/>
        </w:rPr>
        <w:t>包括</w:t>
      </w:r>
      <w:r>
        <w:rPr>
          <w:rFonts w:hint="eastAsia" w:ascii="宋体" w:hAnsi="宋体"/>
          <w:color w:val="000000"/>
          <w:sz w:val="24"/>
          <w:highlight w:val="none"/>
        </w:rPr>
        <w:t>分包单位</w:t>
      </w:r>
      <w:r>
        <w:rPr>
          <w:rFonts w:hint="eastAsia" w:ascii="宋体" w:hAnsi="宋体"/>
          <w:color w:val="000000"/>
          <w:sz w:val="24"/>
          <w:highlight w:val="none"/>
          <w:lang w:eastAsia="zh-CN"/>
        </w:rPr>
        <w:t>的</w:t>
      </w:r>
      <w:r>
        <w:rPr>
          <w:rFonts w:hint="eastAsia" w:ascii="宋体" w:hAnsi="宋体"/>
          <w:color w:val="000000"/>
          <w:sz w:val="24"/>
          <w:highlight w:val="none"/>
        </w:rPr>
        <w:t>）的《中小企业声明函》（格式见附件）</w:t>
      </w:r>
      <w:r>
        <w:rPr>
          <w:rFonts w:hint="eastAsia" w:ascii="宋体" w:hAnsi="宋体"/>
          <w:b/>
          <w:color w:val="0000FF"/>
          <w:sz w:val="24"/>
          <w:highlight w:val="none"/>
        </w:rPr>
        <w:t>（若符合价格扣除情形的提供此项）</w:t>
      </w:r>
    </w:p>
    <w:p>
      <w:pPr>
        <w:snapToGrid w:val="0"/>
        <w:ind w:firstLine="480" w:firstLineChars="200"/>
        <w:jc w:val="left"/>
        <w:rPr>
          <w:rFonts w:ascii="宋体" w:hAnsi="宋体"/>
          <w:b/>
          <w:bCs/>
          <w:color w:val="000000"/>
          <w:sz w:val="24"/>
          <w:highlight w:val="none"/>
        </w:rPr>
      </w:pPr>
      <w:r>
        <w:rPr>
          <w:rFonts w:ascii="宋体" w:hAnsi="宋体"/>
          <w:color w:val="000000"/>
          <w:sz w:val="24"/>
          <w:highlight w:val="none"/>
        </w:rPr>
        <w:t>▲</w:t>
      </w:r>
      <w:r>
        <w:rPr>
          <w:rFonts w:ascii="宋体" w:hAnsi="宋体"/>
          <w:b/>
          <w:bCs/>
          <w:color w:val="000000"/>
          <w:sz w:val="24"/>
          <w:highlight w:val="none"/>
        </w:rPr>
        <w:t>注：投标声明书、投标函</w:t>
      </w:r>
      <w:r>
        <w:rPr>
          <w:rFonts w:hint="eastAsia" w:ascii="宋体" w:hAnsi="宋体"/>
          <w:b/>
          <w:bCs/>
          <w:color w:val="000000"/>
          <w:sz w:val="24"/>
          <w:highlight w:val="none"/>
        </w:rPr>
        <w:t>和法定代表人授权书至少</w:t>
      </w:r>
      <w:r>
        <w:rPr>
          <w:rFonts w:ascii="宋体" w:hAnsi="宋体"/>
          <w:b/>
          <w:bCs/>
          <w:color w:val="000000"/>
          <w:sz w:val="24"/>
          <w:highlight w:val="none"/>
        </w:rPr>
        <w:t>必须</w:t>
      </w:r>
      <w:r>
        <w:rPr>
          <w:rFonts w:hint="eastAsia" w:ascii="宋体" w:hAnsi="宋体"/>
          <w:b/>
          <w:bCs/>
          <w:color w:val="000000"/>
          <w:sz w:val="24"/>
          <w:highlight w:val="none"/>
        </w:rPr>
        <w:t>各</w:t>
      </w:r>
      <w:r>
        <w:rPr>
          <w:rFonts w:ascii="宋体" w:hAnsi="宋体"/>
          <w:b/>
          <w:bCs/>
          <w:color w:val="000000"/>
          <w:sz w:val="24"/>
          <w:highlight w:val="none"/>
        </w:rPr>
        <w:t>有</w:t>
      </w:r>
      <w:r>
        <w:rPr>
          <w:rFonts w:hint="eastAsia" w:ascii="宋体" w:hAnsi="宋体"/>
          <w:b/>
          <w:bCs/>
          <w:color w:val="000000"/>
          <w:sz w:val="24"/>
          <w:highlight w:val="none"/>
        </w:rPr>
        <w:t>一份原件具有</w:t>
      </w:r>
      <w:r>
        <w:rPr>
          <w:rFonts w:ascii="宋体" w:hAnsi="宋体"/>
          <w:b/>
          <w:bCs/>
          <w:color w:val="000000"/>
          <w:sz w:val="24"/>
          <w:highlight w:val="none"/>
        </w:rPr>
        <w:t>法定代表人签名</w:t>
      </w:r>
      <w:r>
        <w:rPr>
          <w:rFonts w:hint="eastAsia" w:ascii="宋体" w:hAnsi="宋体"/>
          <w:b/>
          <w:bCs/>
          <w:color w:val="000000"/>
          <w:sz w:val="24"/>
          <w:highlight w:val="none"/>
        </w:rPr>
        <w:t>(或盖</w:t>
      </w:r>
      <w:r>
        <w:rPr>
          <w:rFonts w:ascii="宋体" w:hAnsi="宋体"/>
          <w:b/>
          <w:bCs/>
          <w:color w:val="000000"/>
          <w:sz w:val="24"/>
          <w:highlight w:val="none"/>
        </w:rPr>
        <w:t>法定代表人</w:t>
      </w:r>
      <w:r>
        <w:rPr>
          <w:rFonts w:hint="eastAsia" w:ascii="宋体" w:hAnsi="宋体"/>
          <w:b/>
          <w:bCs/>
          <w:color w:val="000000"/>
          <w:sz w:val="24"/>
          <w:highlight w:val="none"/>
        </w:rPr>
        <w:t>私章)</w:t>
      </w:r>
      <w:r>
        <w:rPr>
          <w:rFonts w:ascii="宋体" w:hAnsi="宋体"/>
          <w:b/>
          <w:bCs/>
          <w:color w:val="000000"/>
          <w:sz w:val="24"/>
          <w:highlight w:val="none"/>
        </w:rPr>
        <w:t>并加盖单位公章。</w:t>
      </w:r>
      <w:r>
        <w:rPr>
          <w:rFonts w:hint="eastAsia" w:ascii="宋体" w:hAnsi="宋体"/>
          <w:b/>
          <w:bCs/>
          <w:color w:val="000000"/>
          <w:kern w:val="0"/>
          <w:sz w:val="24"/>
          <w:szCs w:val="20"/>
          <w:highlight w:val="none"/>
        </w:rPr>
        <w:t>（法定代表人亲自参加开标的不需要提供法定代表人授权委托书）</w:t>
      </w:r>
    </w:p>
    <w:p>
      <w:pPr>
        <w:spacing w:line="400" w:lineRule="exact"/>
        <w:ind w:firstLine="482" w:firstLineChars="200"/>
        <w:rPr>
          <w:rFonts w:ascii="宋体" w:hAnsi="宋体"/>
          <w:b/>
          <w:color w:val="000000"/>
          <w:sz w:val="24"/>
          <w:szCs w:val="20"/>
          <w:highlight w:val="none"/>
        </w:rPr>
      </w:pPr>
      <w:r>
        <w:rPr>
          <w:rFonts w:hint="eastAsia" w:ascii="宋体" w:hAnsi="宋体"/>
          <w:b/>
          <w:color w:val="000000"/>
          <w:sz w:val="24"/>
          <w:szCs w:val="20"/>
          <w:highlight w:val="none"/>
        </w:rPr>
        <w:t>（二）投标文件的语言及计量</w:t>
      </w:r>
    </w:p>
    <w:p>
      <w:pPr>
        <w:snapToGrid w:val="0"/>
        <w:ind w:firstLine="480" w:firstLineChars="200"/>
        <w:jc w:val="left"/>
        <w:rPr>
          <w:rFonts w:ascii="宋体" w:hAnsi="宋体"/>
          <w:color w:val="000000"/>
          <w:sz w:val="24"/>
          <w:szCs w:val="20"/>
          <w:highlight w:val="none"/>
        </w:rPr>
      </w:pPr>
      <w:r>
        <w:rPr>
          <w:rFonts w:hint="eastAsia" w:ascii="宋体" w:hAnsi="宋体"/>
          <w:color w:val="000000"/>
          <w:sz w:val="24"/>
          <w:szCs w:val="20"/>
          <w:highlight w:val="none"/>
        </w:rPr>
        <w:t>▲</w:t>
      </w:r>
      <w:r>
        <w:rPr>
          <w:rFonts w:ascii="宋体" w:hAnsi="宋体"/>
          <w:color w:val="000000"/>
          <w:sz w:val="24"/>
          <w:szCs w:val="20"/>
          <w:highlight w:val="none"/>
        </w:rPr>
        <w:t>1投标文件以及投标方与招标方就有关投标事宜的所有来往函电，均应以中文汉语书写。除签名、盖章、专用名称等特殊情形外，以中文汉语以外的文字表述的投标文件视同未提供。</w:t>
      </w:r>
    </w:p>
    <w:p>
      <w:pPr>
        <w:snapToGrid w:val="0"/>
        <w:ind w:firstLine="480" w:firstLineChars="200"/>
        <w:jc w:val="left"/>
        <w:rPr>
          <w:rFonts w:ascii="宋体" w:hAnsi="宋体"/>
          <w:color w:val="000000"/>
          <w:sz w:val="24"/>
          <w:szCs w:val="20"/>
          <w:highlight w:val="none"/>
        </w:rPr>
      </w:pPr>
      <w:r>
        <w:rPr>
          <w:rFonts w:hint="eastAsia" w:ascii="宋体" w:hAnsi="宋体"/>
          <w:color w:val="000000"/>
          <w:sz w:val="24"/>
          <w:szCs w:val="20"/>
          <w:highlight w:val="none"/>
        </w:rPr>
        <w:t>▲</w:t>
      </w:r>
      <w:r>
        <w:rPr>
          <w:rFonts w:ascii="宋体" w:hAnsi="宋体"/>
          <w:color w:val="000000"/>
          <w:sz w:val="24"/>
          <w:szCs w:val="20"/>
          <w:highlight w:val="none"/>
        </w:rPr>
        <w:t>2投标计量单位，采购文件已有明确规定的，使用采购文件规定的计量单位</w:t>
      </w:r>
      <w:r>
        <w:rPr>
          <w:rFonts w:hint="eastAsia" w:ascii="宋体" w:hAnsi="宋体"/>
          <w:color w:val="000000"/>
          <w:sz w:val="24"/>
          <w:szCs w:val="20"/>
          <w:highlight w:val="none"/>
        </w:rPr>
        <w:t>。</w:t>
      </w:r>
      <w:r>
        <w:rPr>
          <w:rFonts w:ascii="宋体" w:hAnsi="宋体"/>
          <w:color w:val="000000"/>
          <w:sz w:val="24"/>
          <w:szCs w:val="20"/>
          <w:highlight w:val="none"/>
        </w:rPr>
        <w:t>采购文件没有规定的，应采用中华人民共和国法定计量单位（货币单位：人民币元），否则视同未响应。</w:t>
      </w:r>
    </w:p>
    <w:p>
      <w:pPr>
        <w:snapToGrid w:val="0"/>
        <w:spacing w:beforeLines="50"/>
        <w:ind w:firstLine="472" w:firstLineChars="196"/>
        <w:jc w:val="left"/>
        <w:outlineLvl w:val="0"/>
        <w:rPr>
          <w:rFonts w:ascii="宋体" w:hAnsi="宋体"/>
          <w:b/>
          <w:color w:val="000000"/>
          <w:sz w:val="24"/>
          <w:szCs w:val="20"/>
          <w:highlight w:val="none"/>
        </w:rPr>
      </w:pPr>
      <w:r>
        <w:rPr>
          <w:rFonts w:hint="eastAsia" w:ascii="宋体" w:hAnsi="宋体"/>
          <w:b/>
          <w:color w:val="000000"/>
          <w:sz w:val="24"/>
          <w:szCs w:val="20"/>
          <w:highlight w:val="none"/>
        </w:rPr>
        <w:t>（三）投标报价</w:t>
      </w:r>
    </w:p>
    <w:p>
      <w:pPr>
        <w:snapToGrid w:val="0"/>
        <w:ind w:firstLine="480" w:firstLineChars="200"/>
        <w:jc w:val="left"/>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w:t>
      </w:r>
      <w:r>
        <w:rPr>
          <w:rFonts w:ascii="宋体" w:hAnsi="宋体"/>
          <w:color w:val="000000"/>
          <w:sz w:val="24"/>
          <w:highlight w:val="none"/>
        </w:rPr>
        <w:t>投标报价应按采购文件中相关附表格式填写。</w:t>
      </w:r>
    </w:p>
    <w:p>
      <w:pPr>
        <w:spacing w:line="320" w:lineRule="exact"/>
        <w:ind w:firstLine="450" w:firstLineChars="150"/>
        <w:rPr>
          <w:rFonts w:ascii="宋体" w:hAnsi="宋体"/>
          <w:b/>
          <w:color w:val="000000"/>
          <w:sz w:val="24"/>
          <w:szCs w:val="20"/>
          <w:highlight w:val="none"/>
        </w:rPr>
      </w:pPr>
      <w:r>
        <w:rPr>
          <w:rFonts w:hint="eastAsia" w:ascii="宋体" w:hAnsi="宋体" w:cs="宋体"/>
          <w:color w:val="000000"/>
          <w:sz w:val="30"/>
          <w:szCs w:val="20"/>
          <w:highlight w:val="none"/>
        </w:rPr>
        <w:t>▲</w:t>
      </w:r>
      <w:r>
        <w:rPr>
          <w:rFonts w:ascii="宋体" w:hAnsi="宋体"/>
          <w:color w:val="000000"/>
          <w:szCs w:val="20"/>
          <w:highlight w:val="none"/>
        </w:rPr>
        <w:t>2</w:t>
      </w:r>
      <w:r>
        <w:rPr>
          <w:rFonts w:hint="eastAsia" w:ascii="宋体" w:hAnsi="宋体"/>
          <w:color w:val="000000"/>
          <w:szCs w:val="20"/>
          <w:highlight w:val="none"/>
        </w:rPr>
        <w:t>.</w:t>
      </w:r>
      <w:r>
        <w:rPr>
          <w:rFonts w:ascii="宋体" w:hAnsi="宋体"/>
          <w:b/>
          <w:color w:val="000000"/>
          <w:sz w:val="24"/>
          <w:szCs w:val="20"/>
          <w:highlight w:val="none"/>
        </w:rPr>
        <w:t>投标报价是履行合同的</w:t>
      </w:r>
      <w:r>
        <w:rPr>
          <w:rFonts w:hint="eastAsia" w:ascii="宋体" w:hAnsi="宋体"/>
          <w:b/>
          <w:color w:val="000000"/>
          <w:sz w:val="24"/>
          <w:szCs w:val="20"/>
          <w:highlight w:val="none"/>
        </w:rPr>
        <w:t>服务采购</w:t>
      </w:r>
      <w:r>
        <w:rPr>
          <w:rFonts w:ascii="宋体" w:hAnsi="宋体"/>
          <w:b/>
          <w:color w:val="000000"/>
          <w:sz w:val="24"/>
          <w:szCs w:val="20"/>
          <w:highlight w:val="none"/>
        </w:rPr>
        <w:t>最终</w:t>
      </w:r>
      <w:r>
        <w:rPr>
          <w:rFonts w:hint="eastAsia" w:ascii="宋体" w:hAnsi="宋体"/>
          <w:b/>
          <w:color w:val="000000"/>
          <w:sz w:val="24"/>
          <w:szCs w:val="20"/>
          <w:highlight w:val="none"/>
        </w:rPr>
        <w:t>价格</w:t>
      </w:r>
      <w:r>
        <w:rPr>
          <w:rFonts w:ascii="宋体" w:hAnsi="宋体"/>
          <w:b/>
          <w:color w:val="000000"/>
          <w:sz w:val="24"/>
          <w:szCs w:val="20"/>
          <w:highlight w:val="none"/>
        </w:rPr>
        <w:t>，</w:t>
      </w:r>
      <w:r>
        <w:rPr>
          <w:rFonts w:hint="eastAsia" w:ascii="宋体" w:hAnsi="宋体"/>
          <w:b/>
          <w:color w:val="000000"/>
          <w:sz w:val="24"/>
          <w:szCs w:val="20"/>
          <w:highlight w:val="none"/>
        </w:rPr>
        <w:t>须包括人员住宿、所需工具、验收费、技术支持与培训费和税费等费用。投标报价为投标方所能承受的最低、最终一次性报价。投标方的投标报价为整个采购项目的总报价，如有漏项，视同漏项内容已包含在其总报价中，合同总价不做调整；在评审小组审查时，若该供应商不同意漏项内容已包含在其总报价中，并认为其合同总价需作调整的，则该供应商的投标文件将被认定为没有实质性响应采购文件需求，其投标文件将被作为无效文件。</w:t>
      </w:r>
    </w:p>
    <w:p>
      <w:pPr>
        <w:tabs>
          <w:tab w:val="left" w:pos="525"/>
        </w:tabs>
        <w:snapToGrid w:val="0"/>
        <w:ind w:firstLine="480" w:firstLineChars="200"/>
        <w:jc w:val="left"/>
        <w:rPr>
          <w:rFonts w:ascii="宋体" w:hAnsi="宋体"/>
          <w:color w:val="000000"/>
          <w:sz w:val="24"/>
          <w:szCs w:val="20"/>
          <w:highlight w:val="none"/>
        </w:rPr>
      </w:pPr>
      <w:r>
        <w:rPr>
          <w:rFonts w:hint="eastAsia" w:ascii="宋体" w:hAnsi="宋体"/>
          <w:color w:val="000000"/>
          <w:sz w:val="24"/>
          <w:szCs w:val="20"/>
          <w:highlight w:val="none"/>
        </w:rPr>
        <w:t>▲</w:t>
      </w:r>
      <w:r>
        <w:rPr>
          <w:rFonts w:ascii="宋体" w:hAnsi="宋体"/>
          <w:color w:val="000000"/>
          <w:sz w:val="24"/>
          <w:szCs w:val="20"/>
          <w:highlight w:val="none"/>
        </w:rPr>
        <w:t>3</w:t>
      </w:r>
      <w:r>
        <w:rPr>
          <w:rFonts w:hint="eastAsia" w:ascii="宋体" w:hAnsi="宋体"/>
          <w:color w:val="000000"/>
          <w:sz w:val="24"/>
          <w:szCs w:val="20"/>
          <w:highlight w:val="none"/>
        </w:rPr>
        <w:t>.</w:t>
      </w:r>
      <w:r>
        <w:rPr>
          <w:rFonts w:ascii="宋体" w:hAnsi="宋体"/>
          <w:color w:val="000000"/>
          <w:sz w:val="24"/>
          <w:szCs w:val="20"/>
          <w:highlight w:val="none"/>
        </w:rPr>
        <w:t>投标文件只允许有一个报价，有选择的</w:t>
      </w:r>
      <w:r>
        <w:rPr>
          <w:rFonts w:hint="eastAsia" w:ascii="宋体" w:hAnsi="宋体"/>
          <w:color w:val="000000"/>
          <w:sz w:val="24"/>
          <w:szCs w:val="20"/>
          <w:highlight w:val="none"/>
        </w:rPr>
        <w:t>或有条件的</w:t>
      </w:r>
      <w:r>
        <w:rPr>
          <w:rFonts w:ascii="宋体" w:hAnsi="宋体"/>
          <w:color w:val="000000"/>
          <w:sz w:val="24"/>
          <w:szCs w:val="20"/>
          <w:highlight w:val="none"/>
        </w:rPr>
        <w:t>报价将不予接受。</w:t>
      </w:r>
    </w:p>
    <w:p>
      <w:pPr>
        <w:tabs>
          <w:tab w:val="left" w:pos="525"/>
        </w:tabs>
        <w:snapToGrid w:val="0"/>
        <w:ind w:firstLine="480" w:firstLineChars="200"/>
        <w:jc w:val="left"/>
        <w:rPr>
          <w:rFonts w:ascii="宋体" w:hAnsi="宋体"/>
          <w:color w:val="000000"/>
          <w:sz w:val="24"/>
          <w:szCs w:val="20"/>
          <w:highlight w:val="none"/>
        </w:rPr>
      </w:pPr>
      <w:r>
        <w:rPr>
          <w:rFonts w:hint="eastAsia" w:ascii="宋体" w:hAnsi="宋体"/>
          <w:color w:val="000000"/>
          <w:sz w:val="24"/>
          <w:szCs w:val="20"/>
          <w:highlight w:val="none"/>
        </w:rPr>
        <w:t>▲4.投标人对同一投标货物不得同时出现可选择性品牌和一个品牌中的可选择性型号。</w:t>
      </w:r>
    </w:p>
    <w:p>
      <w:pPr>
        <w:tabs>
          <w:tab w:val="left" w:pos="525"/>
        </w:tabs>
        <w:snapToGrid w:val="0"/>
        <w:ind w:firstLine="480" w:firstLineChars="200"/>
        <w:jc w:val="left"/>
        <w:rPr>
          <w:rFonts w:ascii="宋体" w:hAnsi="宋体"/>
          <w:color w:val="000000"/>
          <w:sz w:val="24"/>
          <w:szCs w:val="20"/>
          <w:highlight w:val="none"/>
        </w:rPr>
      </w:pPr>
      <w:r>
        <w:rPr>
          <w:rFonts w:hint="eastAsia" w:ascii="宋体" w:hAnsi="宋体"/>
          <w:color w:val="000000"/>
          <w:sz w:val="24"/>
          <w:szCs w:val="20"/>
          <w:highlight w:val="none"/>
        </w:rPr>
        <w:t>5.投标文件中的单价、合价、总价全部采用人民币表示。</w:t>
      </w:r>
    </w:p>
    <w:p>
      <w:pPr>
        <w:tabs>
          <w:tab w:val="left" w:pos="454"/>
          <w:tab w:val="left" w:pos="720"/>
        </w:tabs>
        <w:snapToGrid w:val="0"/>
        <w:spacing w:beforeLines="50"/>
        <w:ind w:firstLine="472" w:firstLineChars="196"/>
        <w:jc w:val="left"/>
        <w:rPr>
          <w:rFonts w:ascii="宋体" w:hAnsi="宋体"/>
          <w:b/>
          <w:color w:val="000000"/>
          <w:kern w:val="0"/>
          <w:sz w:val="24"/>
          <w:highlight w:val="none"/>
        </w:rPr>
      </w:pPr>
      <w:r>
        <w:rPr>
          <w:rFonts w:hint="eastAsia" w:ascii="宋体" w:hAnsi="宋体"/>
          <w:b/>
          <w:color w:val="000000"/>
          <w:kern w:val="0"/>
          <w:sz w:val="24"/>
          <w:highlight w:val="none"/>
        </w:rPr>
        <w:t>（四）投标文件的有效期</w:t>
      </w:r>
    </w:p>
    <w:p>
      <w:pPr>
        <w:tabs>
          <w:tab w:val="left" w:pos="454"/>
          <w:tab w:val="left" w:pos="720"/>
        </w:tabs>
        <w:snapToGrid w:val="0"/>
        <w:ind w:firstLine="480" w:firstLineChars="200"/>
        <w:jc w:val="left"/>
        <w:rPr>
          <w:rFonts w:ascii="宋体" w:hAnsi="宋体"/>
          <w:color w:val="000000"/>
          <w:kern w:val="0"/>
          <w:sz w:val="24"/>
          <w:highlight w:val="none"/>
        </w:rPr>
      </w:pPr>
      <w:r>
        <w:rPr>
          <w:rFonts w:hint="eastAsia" w:ascii="宋体" w:hAnsi="宋体"/>
          <w:color w:val="000000"/>
          <w:kern w:val="0"/>
          <w:sz w:val="24"/>
          <w:highlight w:val="none"/>
        </w:rPr>
        <w:t>▲</w:t>
      </w:r>
      <w:r>
        <w:rPr>
          <w:rFonts w:ascii="宋体" w:hAnsi="宋体"/>
          <w:color w:val="000000"/>
          <w:kern w:val="0"/>
          <w:sz w:val="24"/>
          <w:highlight w:val="none"/>
        </w:rPr>
        <w:t>1</w:t>
      </w:r>
      <w:r>
        <w:rPr>
          <w:rFonts w:hint="eastAsia" w:ascii="宋体" w:hAnsi="宋体"/>
          <w:color w:val="000000"/>
          <w:kern w:val="0"/>
          <w:sz w:val="24"/>
          <w:highlight w:val="none"/>
        </w:rPr>
        <w:t>.</w:t>
      </w:r>
      <w:r>
        <w:rPr>
          <w:rFonts w:ascii="宋体" w:hAnsi="宋体"/>
          <w:color w:val="000000"/>
          <w:kern w:val="0"/>
          <w:sz w:val="24"/>
          <w:highlight w:val="none"/>
        </w:rPr>
        <w:t>自投标截止日起</w:t>
      </w:r>
      <w:r>
        <w:rPr>
          <w:rFonts w:hint="eastAsia" w:ascii="宋体" w:hAnsi="宋体"/>
          <w:color w:val="000000"/>
          <w:kern w:val="0"/>
          <w:sz w:val="24"/>
          <w:highlight w:val="none"/>
          <w:u w:val="single"/>
        </w:rPr>
        <w:t>120</w:t>
      </w:r>
      <w:r>
        <w:rPr>
          <w:rFonts w:hint="eastAsia" w:ascii="宋体" w:hAnsi="宋体"/>
          <w:color w:val="000000"/>
          <w:kern w:val="0"/>
          <w:sz w:val="24"/>
          <w:highlight w:val="none"/>
        </w:rPr>
        <w:t>日历</w:t>
      </w:r>
      <w:r>
        <w:rPr>
          <w:rFonts w:ascii="宋体" w:hAnsi="宋体"/>
          <w:color w:val="000000"/>
          <w:kern w:val="0"/>
          <w:sz w:val="24"/>
          <w:highlight w:val="none"/>
        </w:rPr>
        <w:t>天投标</w:t>
      </w:r>
      <w:r>
        <w:rPr>
          <w:rFonts w:hint="eastAsia" w:ascii="宋体" w:hAnsi="宋体"/>
          <w:color w:val="000000"/>
          <w:kern w:val="0"/>
          <w:sz w:val="24"/>
          <w:highlight w:val="none"/>
        </w:rPr>
        <w:t>文件</w:t>
      </w:r>
      <w:r>
        <w:rPr>
          <w:rFonts w:ascii="宋体" w:hAnsi="宋体"/>
          <w:color w:val="000000"/>
          <w:kern w:val="0"/>
          <w:sz w:val="24"/>
          <w:highlight w:val="none"/>
        </w:rPr>
        <w:t>应保持有效。有效期</w:t>
      </w:r>
      <w:r>
        <w:rPr>
          <w:rFonts w:hint="eastAsia" w:ascii="宋体" w:hAnsi="宋体"/>
          <w:color w:val="000000"/>
          <w:kern w:val="0"/>
          <w:sz w:val="24"/>
          <w:highlight w:val="none"/>
        </w:rPr>
        <w:t>不足</w:t>
      </w:r>
      <w:r>
        <w:rPr>
          <w:rFonts w:ascii="宋体" w:hAnsi="宋体"/>
          <w:color w:val="000000"/>
          <w:kern w:val="0"/>
          <w:sz w:val="24"/>
          <w:highlight w:val="none"/>
        </w:rPr>
        <w:t>的投标</w:t>
      </w:r>
      <w:r>
        <w:rPr>
          <w:rFonts w:hint="eastAsia" w:ascii="宋体" w:hAnsi="宋体"/>
          <w:color w:val="000000"/>
          <w:kern w:val="0"/>
          <w:sz w:val="24"/>
          <w:highlight w:val="none"/>
        </w:rPr>
        <w:t>文件</w:t>
      </w:r>
      <w:r>
        <w:rPr>
          <w:rFonts w:ascii="宋体" w:hAnsi="宋体"/>
          <w:color w:val="000000"/>
          <w:kern w:val="0"/>
          <w:sz w:val="24"/>
          <w:highlight w:val="none"/>
        </w:rPr>
        <w:t>将被拒绝。</w:t>
      </w:r>
    </w:p>
    <w:p>
      <w:pPr>
        <w:tabs>
          <w:tab w:val="left" w:pos="454"/>
          <w:tab w:val="left" w:pos="720"/>
        </w:tabs>
        <w:snapToGrid w:val="0"/>
        <w:ind w:firstLine="480" w:firstLineChars="200"/>
        <w:jc w:val="left"/>
        <w:rPr>
          <w:rFonts w:ascii="宋体" w:hAnsi="宋体"/>
          <w:color w:val="000000"/>
          <w:kern w:val="0"/>
          <w:sz w:val="24"/>
          <w:highlight w:val="none"/>
        </w:rPr>
      </w:pPr>
      <w:r>
        <w:rPr>
          <w:rFonts w:ascii="宋体" w:hAnsi="宋体"/>
          <w:color w:val="000000"/>
          <w:kern w:val="0"/>
          <w:sz w:val="24"/>
          <w:highlight w:val="none"/>
        </w:rPr>
        <w:t>2</w:t>
      </w:r>
      <w:r>
        <w:rPr>
          <w:rFonts w:hint="eastAsia" w:ascii="宋体" w:hAnsi="宋体"/>
          <w:color w:val="000000"/>
          <w:kern w:val="0"/>
          <w:sz w:val="24"/>
          <w:highlight w:val="none"/>
        </w:rPr>
        <w:t>.</w:t>
      </w:r>
      <w:r>
        <w:rPr>
          <w:rFonts w:ascii="宋体" w:hAnsi="宋体"/>
          <w:color w:val="000000"/>
          <w:kern w:val="0"/>
          <w:sz w:val="24"/>
          <w:highlight w:val="none"/>
        </w:rPr>
        <w:t>在特殊情况下，招标人可与投标人协商延长投标书的有效期，这种要求和答复均以书面形式进行。</w:t>
      </w:r>
    </w:p>
    <w:p>
      <w:pPr>
        <w:snapToGrid w:val="0"/>
        <w:ind w:firstLine="480" w:firstLineChars="200"/>
        <w:jc w:val="left"/>
        <w:outlineLvl w:val="0"/>
        <w:rPr>
          <w:rFonts w:ascii="宋体" w:hAnsi="宋体"/>
          <w:b/>
          <w:sz w:val="24"/>
          <w:szCs w:val="20"/>
          <w:highlight w:val="none"/>
        </w:rPr>
      </w:pPr>
      <w:r>
        <w:rPr>
          <w:rFonts w:ascii="宋体" w:hAnsi="宋体"/>
          <w:color w:val="000000"/>
          <w:sz w:val="24"/>
          <w:szCs w:val="20"/>
          <w:highlight w:val="none"/>
        </w:rPr>
        <w:t>3</w:t>
      </w:r>
      <w:r>
        <w:rPr>
          <w:rFonts w:hint="eastAsia" w:ascii="宋体" w:hAnsi="宋体"/>
          <w:color w:val="000000"/>
          <w:sz w:val="24"/>
          <w:szCs w:val="20"/>
          <w:highlight w:val="none"/>
        </w:rPr>
        <w:t>.</w:t>
      </w:r>
      <w:r>
        <w:rPr>
          <w:rFonts w:ascii="宋体" w:hAnsi="宋体"/>
          <w:color w:val="000000"/>
          <w:sz w:val="24"/>
          <w:szCs w:val="20"/>
          <w:highlight w:val="none"/>
        </w:rPr>
        <w:t>投标人可拒绝接</w:t>
      </w:r>
      <w:r>
        <w:rPr>
          <w:rFonts w:ascii="宋体" w:hAnsi="宋体"/>
          <w:sz w:val="24"/>
          <w:szCs w:val="20"/>
          <w:highlight w:val="none"/>
        </w:rPr>
        <w:t>受延期要求而不会导致投标保证金被没收。同意延长有效期的投标人需要相应延长投标保证金的有效期，但不能修改投标文件。</w:t>
      </w:r>
    </w:p>
    <w:p>
      <w:pPr>
        <w:snapToGrid w:val="0"/>
        <w:ind w:firstLine="480" w:firstLineChars="200"/>
        <w:jc w:val="left"/>
        <w:outlineLvl w:val="0"/>
        <w:rPr>
          <w:rFonts w:ascii="宋体" w:hAnsi="宋体"/>
          <w:b/>
          <w:sz w:val="24"/>
          <w:szCs w:val="20"/>
          <w:highlight w:val="none"/>
        </w:rPr>
      </w:pPr>
      <w:r>
        <w:rPr>
          <w:rFonts w:ascii="宋体" w:hAnsi="宋体"/>
          <w:sz w:val="24"/>
          <w:szCs w:val="20"/>
          <w:highlight w:val="none"/>
        </w:rPr>
        <w:t>4</w:t>
      </w:r>
      <w:r>
        <w:rPr>
          <w:rFonts w:hint="eastAsia" w:ascii="宋体" w:hAnsi="宋体"/>
          <w:sz w:val="24"/>
          <w:szCs w:val="20"/>
          <w:highlight w:val="none"/>
        </w:rPr>
        <w:t>.</w:t>
      </w:r>
      <w:r>
        <w:rPr>
          <w:rFonts w:ascii="宋体" w:hAnsi="宋体"/>
          <w:sz w:val="24"/>
          <w:szCs w:val="20"/>
          <w:highlight w:val="none"/>
        </w:rPr>
        <w:t>中标人的投标文件自开标之日起至合同履行完毕止均应保持有效。</w:t>
      </w:r>
    </w:p>
    <w:p>
      <w:pPr>
        <w:snapToGrid w:val="0"/>
        <w:spacing w:beforeLines="50"/>
        <w:ind w:firstLine="472" w:firstLineChars="196"/>
        <w:jc w:val="left"/>
        <w:outlineLvl w:val="0"/>
        <w:rPr>
          <w:rFonts w:ascii="宋体" w:hAnsi="宋体"/>
          <w:b/>
          <w:sz w:val="24"/>
          <w:szCs w:val="20"/>
          <w:highlight w:val="none"/>
        </w:rPr>
      </w:pPr>
      <w:r>
        <w:rPr>
          <w:rFonts w:hint="eastAsia" w:ascii="宋体" w:hAnsi="宋体"/>
          <w:b/>
          <w:sz w:val="24"/>
          <w:szCs w:val="20"/>
          <w:highlight w:val="none"/>
        </w:rPr>
        <w:t>（五）投标文件的装订、签署和份数</w:t>
      </w:r>
    </w:p>
    <w:p>
      <w:pPr>
        <w:spacing w:line="360" w:lineRule="auto"/>
        <w:ind w:firstLine="482" w:firstLineChars="200"/>
        <w:rPr>
          <w:rFonts w:ascii="宋体" w:hAnsi="宋体"/>
          <w:b/>
          <w:sz w:val="24"/>
          <w:highlight w:val="none"/>
        </w:rPr>
      </w:pPr>
      <w:r>
        <w:rPr>
          <w:rFonts w:hint="eastAsia" w:ascii="宋体" w:hAnsi="宋体"/>
          <w:b/>
          <w:sz w:val="24"/>
          <w:szCs w:val="20"/>
          <w:highlight w:val="none"/>
        </w:rPr>
        <w:t>1.</w:t>
      </w:r>
      <w:r>
        <w:rPr>
          <w:rFonts w:hint="eastAsia" w:ascii="宋体" w:hAnsi="宋体"/>
          <w:b/>
          <w:sz w:val="24"/>
          <w:highlight w:val="none"/>
        </w:rPr>
        <w:t>电子投标文件部分：</w:t>
      </w:r>
    </w:p>
    <w:p>
      <w:pPr>
        <w:spacing w:line="360" w:lineRule="auto"/>
        <w:ind w:firstLine="482" w:firstLineChars="200"/>
        <w:rPr>
          <w:rFonts w:ascii="宋体" w:hAnsi="宋体"/>
          <w:b/>
          <w:sz w:val="24"/>
          <w:highlight w:val="none"/>
        </w:rPr>
      </w:pPr>
      <w:r>
        <w:rPr>
          <w:rFonts w:hint="eastAsia" w:ascii="宋体" w:hAnsi="宋体"/>
          <w:b/>
          <w:sz w:val="24"/>
          <w:highlight w:val="none"/>
        </w:rPr>
        <w:t>投标人应根据“政采云供应商项目采购-电子招投标操作指南”及本招标文件规定的格式和顺序编制电子投标文件并进行关联定位。</w:t>
      </w:r>
    </w:p>
    <w:p>
      <w:pPr>
        <w:spacing w:line="360" w:lineRule="auto"/>
        <w:ind w:firstLine="482" w:firstLineChars="200"/>
        <w:rPr>
          <w:rFonts w:ascii="宋体" w:hAnsi="宋体"/>
          <w:b/>
          <w:sz w:val="24"/>
          <w:highlight w:val="none"/>
        </w:rPr>
      </w:pPr>
      <w:r>
        <w:rPr>
          <w:rFonts w:hint="eastAsia" w:ascii="宋体" w:hAnsi="宋体"/>
          <w:b/>
          <w:sz w:val="24"/>
          <w:highlight w:val="none"/>
        </w:rPr>
        <w:t>2.备份电子投标文件部分：</w:t>
      </w:r>
    </w:p>
    <w:p>
      <w:pPr>
        <w:spacing w:line="360" w:lineRule="auto"/>
        <w:ind w:firstLine="482" w:firstLineChars="200"/>
        <w:rPr>
          <w:rFonts w:ascii="宋体" w:hAnsi="宋体"/>
          <w:b/>
          <w:color w:val="FF0000"/>
          <w:sz w:val="24"/>
          <w:highlight w:val="none"/>
        </w:rPr>
      </w:pPr>
      <w:r>
        <w:rPr>
          <w:rFonts w:hint="eastAsia" w:ascii="宋体" w:hAnsi="宋体"/>
          <w:b/>
          <w:sz w:val="24"/>
          <w:highlight w:val="none"/>
        </w:rPr>
        <w:t>电子投标文件的备份文件，以光盘或U盘形式存储，并单独密封递交。数量为1份。</w:t>
      </w:r>
      <w:r>
        <w:rPr>
          <w:rFonts w:hint="eastAsia" w:ascii="宋体" w:hAnsi="宋体"/>
          <w:b/>
          <w:sz w:val="24"/>
          <w:szCs w:val="20"/>
          <w:highlight w:val="none"/>
          <w:u w:val="single"/>
        </w:rPr>
        <w:t>凡是参加两个或者以上标项投标的，投标文件必须按标项分别制作，且必须按标项分别单独密封、单独提交。</w:t>
      </w:r>
    </w:p>
    <w:p>
      <w:pPr>
        <w:snapToGrid w:val="0"/>
        <w:ind w:firstLine="480" w:firstLineChars="200"/>
        <w:jc w:val="left"/>
        <w:rPr>
          <w:rFonts w:ascii="宋体" w:hAnsi="宋体"/>
          <w:sz w:val="24"/>
          <w:szCs w:val="20"/>
          <w:highlight w:val="none"/>
        </w:rPr>
      </w:pPr>
      <w:r>
        <w:rPr>
          <w:rFonts w:hint="eastAsia" w:ascii="宋体" w:hAnsi="宋体"/>
          <w:sz w:val="24"/>
          <w:szCs w:val="20"/>
          <w:highlight w:val="none"/>
        </w:rPr>
        <w:t>3.</w:t>
      </w:r>
      <w:r>
        <w:rPr>
          <w:rFonts w:ascii="宋体" w:hAnsi="宋体"/>
          <w:sz w:val="24"/>
          <w:szCs w:val="20"/>
          <w:highlight w:val="none"/>
        </w:rPr>
        <w:t>投标人应</w:t>
      </w:r>
      <w:r>
        <w:rPr>
          <w:rFonts w:hint="eastAsia" w:ascii="宋体" w:hAnsi="宋体"/>
          <w:sz w:val="24"/>
          <w:szCs w:val="20"/>
          <w:highlight w:val="none"/>
        </w:rPr>
        <w:t>按</w:t>
      </w:r>
      <w:r>
        <w:rPr>
          <w:rFonts w:ascii="宋体" w:hAnsi="宋体"/>
          <w:sz w:val="24"/>
          <w:szCs w:val="20"/>
          <w:highlight w:val="none"/>
        </w:rPr>
        <w:t>本采购文件规定的格式和顺序编制、装订投标文件</w:t>
      </w:r>
      <w:r>
        <w:rPr>
          <w:rFonts w:hint="eastAsia" w:ascii="宋体" w:hAnsi="宋体"/>
          <w:sz w:val="24"/>
          <w:szCs w:val="20"/>
          <w:highlight w:val="none"/>
        </w:rPr>
        <w:t>并标注页码</w:t>
      </w:r>
      <w:r>
        <w:rPr>
          <w:rFonts w:ascii="宋体" w:hAnsi="宋体"/>
          <w:sz w:val="24"/>
          <w:szCs w:val="20"/>
          <w:highlight w:val="none"/>
        </w:rPr>
        <w:t>，投标文件内容不完整、编排混乱导致投标文件被误读、漏读或者查找不到相关内容的，是投标人的责任。</w:t>
      </w:r>
    </w:p>
    <w:p>
      <w:pPr>
        <w:snapToGrid w:val="0"/>
        <w:ind w:firstLine="480" w:firstLineChars="200"/>
        <w:jc w:val="left"/>
        <w:rPr>
          <w:rFonts w:ascii="宋体" w:hAnsi="宋体"/>
          <w:sz w:val="24"/>
          <w:szCs w:val="20"/>
          <w:highlight w:val="none"/>
        </w:rPr>
      </w:pPr>
      <w:r>
        <w:rPr>
          <w:rFonts w:hint="eastAsia" w:ascii="宋体" w:hAnsi="宋体"/>
          <w:sz w:val="24"/>
          <w:szCs w:val="20"/>
          <w:highlight w:val="none"/>
        </w:rPr>
        <w:t>4.</w:t>
      </w:r>
      <w:r>
        <w:rPr>
          <w:rFonts w:ascii="宋体" w:hAnsi="宋体"/>
          <w:sz w:val="24"/>
          <w:szCs w:val="20"/>
          <w:highlight w:val="none"/>
        </w:rPr>
        <w:t>投标文件须由投标人在规定位置盖章并由法定代表人或法定代表</w:t>
      </w:r>
      <w:r>
        <w:rPr>
          <w:rFonts w:hint="eastAsia" w:ascii="宋体" w:hAnsi="宋体"/>
          <w:sz w:val="24"/>
          <w:szCs w:val="20"/>
          <w:highlight w:val="none"/>
        </w:rPr>
        <w:t>人的</w:t>
      </w:r>
      <w:r>
        <w:rPr>
          <w:rFonts w:ascii="宋体" w:hAnsi="宋体"/>
          <w:sz w:val="24"/>
          <w:szCs w:val="20"/>
          <w:highlight w:val="none"/>
        </w:rPr>
        <w:t>授权</w:t>
      </w:r>
      <w:r>
        <w:rPr>
          <w:rFonts w:hint="eastAsia" w:ascii="宋体" w:hAnsi="宋体"/>
          <w:sz w:val="24"/>
          <w:szCs w:val="20"/>
          <w:highlight w:val="none"/>
        </w:rPr>
        <w:t>委托</w:t>
      </w:r>
      <w:r>
        <w:rPr>
          <w:rFonts w:ascii="宋体" w:hAnsi="宋体"/>
          <w:sz w:val="24"/>
          <w:szCs w:val="20"/>
          <w:highlight w:val="none"/>
        </w:rPr>
        <w:t>人签署，投标人应写全称。</w:t>
      </w:r>
    </w:p>
    <w:p>
      <w:pPr>
        <w:snapToGrid w:val="0"/>
        <w:ind w:firstLine="480" w:firstLineChars="200"/>
        <w:jc w:val="left"/>
        <w:rPr>
          <w:rFonts w:ascii="宋体" w:hAnsi="宋体"/>
          <w:sz w:val="24"/>
          <w:szCs w:val="20"/>
          <w:highlight w:val="none"/>
        </w:rPr>
      </w:pPr>
      <w:r>
        <w:rPr>
          <w:rFonts w:hint="eastAsia" w:ascii="宋体" w:hAnsi="宋体"/>
          <w:sz w:val="24"/>
          <w:szCs w:val="20"/>
          <w:highlight w:val="none"/>
        </w:rPr>
        <w:t>5.</w:t>
      </w:r>
      <w:r>
        <w:rPr>
          <w:rFonts w:ascii="宋体" w:hAnsi="宋体"/>
          <w:sz w:val="24"/>
          <w:szCs w:val="20"/>
          <w:highlight w:val="none"/>
        </w:rPr>
        <w:t>投标文件不得涂改，若有修改错漏处，须加盖单位公章或者法定代表人或授权委托人签字或盖章。投标文件因字迹潦草或表达不清所引起的后果由投标人负责。</w:t>
      </w:r>
    </w:p>
    <w:p>
      <w:pPr>
        <w:snapToGrid w:val="0"/>
        <w:spacing w:beforeLines="50"/>
        <w:ind w:firstLine="354" w:firstLineChars="147"/>
        <w:jc w:val="left"/>
        <w:rPr>
          <w:rFonts w:ascii="宋体" w:hAnsi="宋体"/>
          <w:b/>
          <w:sz w:val="24"/>
          <w:szCs w:val="20"/>
          <w:highlight w:val="none"/>
        </w:rPr>
      </w:pPr>
      <w:r>
        <w:rPr>
          <w:rFonts w:hint="eastAsia" w:ascii="宋体" w:hAnsi="宋体"/>
          <w:b/>
          <w:sz w:val="24"/>
          <w:szCs w:val="20"/>
          <w:highlight w:val="none"/>
        </w:rPr>
        <w:t>（六）备份投标文件的包装、递交、修改和撤回</w:t>
      </w:r>
    </w:p>
    <w:p>
      <w:pPr>
        <w:snapToGrid w:val="0"/>
        <w:ind w:firstLine="472" w:firstLineChars="196"/>
        <w:jc w:val="left"/>
        <w:outlineLvl w:val="0"/>
        <w:rPr>
          <w:rFonts w:ascii="宋体" w:hAnsi="宋体"/>
          <w:b/>
          <w:sz w:val="24"/>
          <w:highlight w:val="none"/>
        </w:rPr>
      </w:pPr>
      <w:r>
        <w:rPr>
          <w:rFonts w:hint="eastAsia" w:ascii="宋体" w:hAnsi="宋体"/>
          <w:b/>
          <w:sz w:val="24"/>
          <w:szCs w:val="20"/>
          <w:highlight w:val="none"/>
        </w:rPr>
        <w:t>1.</w:t>
      </w:r>
      <w:r>
        <w:rPr>
          <w:rFonts w:hint="eastAsia" w:ascii="宋体" w:hAnsi="宋体"/>
          <w:b/>
          <w:sz w:val="24"/>
          <w:highlight w:val="none"/>
        </w:rPr>
        <w:t>备份电子投标文件，按政采云平台项目采购-电子招投标操作指南中上传的电子投标文件格式，以光盘或U盘形式提供。数量为1份,密封包装。</w:t>
      </w:r>
      <w:r>
        <w:rPr>
          <w:rFonts w:hint="eastAsia" w:ascii="宋体" w:hAnsi="宋体"/>
          <w:b/>
          <w:sz w:val="24"/>
          <w:szCs w:val="20"/>
          <w:highlight w:val="none"/>
        </w:rPr>
        <w:t>包装封面上应注明投标人名称、投标人地址、投标文件名称（备份电子投标文件）、投标项目名称、项目编号、标项及“开标时启封”字样。</w:t>
      </w:r>
    </w:p>
    <w:p>
      <w:pPr>
        <w:snapToGrid w:val="0"/>
        <w:ind w:firstLine="420"/>
        <w:jc w:val="left"/>
        <w:rPr>
          <w:rFonts w:ascii="宋体" w:hAnsi="宋体"/>
          <w:b/>
          <w:sz w:val="24"/>
          <w:szCs w:val="20"/>
          <w:highlight w:val="none"/>
        </w:rPr>
      </w:pPr>
      <w:r>
        <w:rPr>
          <w:rFonts w:hint="eastAsia" w:ascii="宋体" w:hAnsi="宋体"/>
          <w:b/>
          <w:sz w:val="24"/>
          <w:szCs w:val="20"/>
          <w:highlight w:val="none"/>
        </w:rPr>
        <w:t>2.如果投标文件密封袋未按规定密封或未加盖公章，采购代理机构有权予以拒绝此投标文件，并退回投标人。同时，由此造成投标文件被误投或提前拆封的风险由投标人承担。</w:t>
      </w:r>
    </w:p>
    <w:p>
      <w:pPr>
        <w:snapToGrid w:val="0"/>
        <w:ind w:firstLine="420"/>
        <w:jc w:val="left"/>
        <w:rPr>
          <w:rFonts w:ascii="宋体" w:hAnsi="宋体"/>
          <w:sz w:val="24"/>
          <w:szCs w:val="20"/>
          <w:highlight w:val="none"/>
        </w:rPr>
      </w:pPr>
      <w:r>
        <w:rPr>
          <w:rFonts w:hint="eastAsia" w:ascii="宋体" w:hAnsi="宋体"/>
          <w:sz w:val="24"/>
          <w:szCs w:val="20"/>
          <w:highlight w:val="none"/>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pPr>
        <w:snapToGrid w:val="0"/>
        <w:ind w:firstLine="420"/>
        <w:jc w:val="left"/>
        <w:rPr>
          <w:rFonts w:ascii="宋体" w:hAnsi="宋体"/>
          <w:sz w:val="24"/>
          <w:szCs w:val="20"/>
          <w:highlight w:val="none"/>
        </w:rPr>
      </w:pPr>
      <w:r>
        <w:rPr>
          <w:rFonts w:hint="eastAsia" w:ascii="宋体" w:hAnsi="宋体"/>
          <w:sz w:val="24"/>
          <w:szCs w:val="20"/>
          <w:highlight w:val="none"/>
        </w:rPr>
        <w:t>4.如果因投标文件密封不严、标记不明而造成过早启封、失密等情况，采购代理机构概不负责。</w:t>
      </w:r>
    </w:p>
    <w:p>
      <w:pPr>
        <w:snapToGrid w:val="0"/>
        <w:ind w:firstLine="420"/>
        <w:jc w:val="left"/>
        <w:rPr>
          <w:rFonts w:ascii="宋体" w:hAnsi="宋体"/>
          <w:sz w:val="24"/>
          <w:szCs w:val="20"/>
          <w:highlight w:val="none"/>
        </w:rPr>
      </w:pPr>
      <w:r>
        <w:rPr>
          <w:rFonts w:hint="eastAsia" w:ascii="宋体" w:hAnsi="宋体"/>
          <w:sz w:val="24"/>
          <w:szCs w:val="20"/>
          <w:highlight w:val="none"/>
        </w:rPr>
        <w:t>5.在投标截止时间之后递交的投标文件将被拒绝。</w:t>
      </w:r>
    </w:p>
    <w:p>
      <w:pPr>
        <w:snapToGrid w:val="0"/>
        <w:ind w:firstLine="420"/>
        <w:jc w:val="left"/>
        <w:rPr>
          <w:rFonts w:ascii="宋体" w:hAnsi="宋体"/>
          <w:b/>
          <w:sz w:val="24"/>
          <w:szCs w:val="20"/>
          <w:highlight w:val="none"/>
        </w:rPr>
      </w:pPr>
      <w:r>
        <w:rPr>
          <w:rFonts w:hint="eastAsia" w:ascii="宋体" w:hAnsi="宋体"/>
          <w:b/>
          <w:sz w:val="24"/>
          <w:szCs w:val="20"/>
          <w:highlight w:val="none"/>
        </w:rPr>
        <w:t>6. 未在投标截止时间前进行政采云报名程序的供应商的投标文件将被拒绝。</w:t>
      </w:r>
    </w:p>
    <w:p>
      <w:pPr>
        <w:snapToGrid w:val="0"/>
        <w:spacing w:beforeLines="50"/>
        <w:ind w:firstLine="472" w:firstLineChars="196"/>
        <w:outlineLvl w:val="2"/>
        <w:rPr>
          <w:rFonts w:ascii="宋体" w:hAnsi="宋体"/>
          <w:b/>
          <w:sz w:val="24"/>
          <w:szCs w:val="20"/>
          <w:highlight w:val="none"/>
        </w:rPr>
      </w:pPr>
      <w:r>
        <w:rPr>
          <w:rFonts w:hint="eastAsia" w:ascii="宋体" w:hAnsi="宋体"/>
          <w:b/>
          <w:sz w:val="24"/>
          <w:szCs w:val="20"/>
          <w:highlight w:val="none"/>
        </w:rPr>
        <w:t>（七）投标无效的情形</w:t>
      </w:r>
    </w:p>
    <w:p>
      <w:pPr>
        <w:snapToGrid w:val="0"/>
        <w:ind w:firstLine="480" w:firstLineChars="200"/>
        <w:rPr>
          <w:rFonts w:ascii="宋体" w:hAnsi="宋体"/>
          <w:bCs/>
          <w:sz w:val="24"/>
          <w:szCs w:val="20"/>
          <w:highlight w:val="none"/>
        </w:rPr>
      </w:pPr>
      <w:r>
        <w:rPr>
          <w:rFonts w:hint="eastAsia" w:ascii="宋体" w:hAnsi="宋体"/>
          <w:bCs/>
          <w:sz w:val="24"/>
          <w:szCs w:val="20"/>
          <w:highlight w:val="none"/>
        </w:rPr>
        <w:t>实质上没有响应采购文件要求的投标将被视为无效投标。对于投标文件中含义不明确、同类问题表述不一致或者有明显文字和计算错误的内容，评标委员会应当以书面形式要求投标人在评标结束之前作出必要的澄清、说明或者补正（可以是复印件、传真件等）。投标人的澄清、说明或者补正应当采用书面形式，并加盖公章，或者由法定代表人或其授权的代表签字。投标人的澄清、说明或者补正不得超出投标文件的范围或者改变投标文件的实质性内容，并应在中标结果公告之前查核原件。限期内不补正或经补正后仍不符合采购文件要求的，应认定其投标无效。</w:t>
      </w:r>
    </w:p>
    <w:p>
      <w:pPr>
        <w:snapToGrid w:val="0"/>
        <w:ind w:firstLine="472" w:firstLineChars="196"/>
        <w:rPr>
          <w:rFonts w:ascii="宋体" w:hAnsi="宋体"/>
          <w:b/>
          <w:bCs/>
          <w:sz w:val="24"/>
          <w:szCs w:val="20"/>
          <w:highlight w:val="none"/>
        </w:rPr>
      </w:pPr>
      <w:r>
        <w:rPr>
          <w:rFonts w:ascii="宋体" w:hAnsi="宋体"/>
          <w:b/>
          <w:bCs/>
          <w:sz w:val="24"/>
          <w:szCs w:val="20"/>
          <w:highlight w:val="none"/>
        </w:rPr>
        <w:t>1</w:t>
      </w:r>
      <w:r>
        <w:rPr>
          <w:rFonts w:hint="eastAsia" w:ascii="宋体" w:hAnsi="宋体"/>
          <w:b/>
          <w:bCs/>
          <w:sz w:val="24"/>
          <w:szCs w:val="20"/>
          <w:highlight w:val="none"/>
        </w:rPr>
        <w:t>.</w:t>
      </w:r>
      <w:r>
        <w:rPr>
          <w:rFonts w:ascii="宋体" w:hAnsi="宋体"/>
          <w:b/>
          <w:bCs/>
          <w:sz w:val="24"/>
          <w:szCs w:val="20"/>
          <w:highlight w:val="none"/>
        </w:rPr>
        <w:t>在</w:t>
      </w:r>
      <w:r>
        <w:rPr>
          <w:rFonts w:hint="eastAsia" w:ascii="宋体" w:hAnsi="宋体"/>
          <w:b/>
          <w:bCs/>
          <w:sz w:val="24"/>
          <w:szCs w:val="20"/>
          <w:highlight w:val="none"/>
        </w:rPr>
        <w:t>符合性</w:t>
      </w:r>
      <w:r>
        <w:rPr>
          <w:rFonts w:ascii="宋体" w:hAnsi="宋体"/>
          <w:b/>
          <w:bCs/>
          <w:sz w:val="24"/>
          <w:szCs w:val="20"/>
          <w:highlight w:val="none"/>
        </w:rPr>
        <w:t>审查和商务评审时，如发现下列情形之一的，</w:t>
      </w:r>
      <w:r>
        <w:rPr>
          <w:rFonts w:hint="eastAsia" w:ascii="宋体" w:hAnsi="宋体"/>
          <w:b/>
          <w:bCs/>
          <w:sz w:val="24"/>
          <w:szCs w:val="20"/>
          <w:highlight w:val="none"/>
        </w:rPr>
        <w:t>相应的</w:t>
      </w:r>
      <w:r>
        <w:rPr>
          <w:rFonts w:ascii="宋体" w:hAnsi="宋体"/>
          <w:b/>
          <w:bCs/>
          <w:sz w:val="24"/>
          <w:szCs w:val="20"/>
          <w:highlight w:val="none"/>
        </w:rPr>
        <w:t>投标文件将被视为无效：</w:t>
      </w:r>
    </w:p>
    <w:p>
      <w:pPr>
        <w:snapToGrid w:val="0"/>
        <w:ind w:firstLine="472" w:firstLineChars="196"/>
        <w:rPr>
          <w:rFonts w:ascii="宋体" w:hAnsi="宋体"/>
          <w:sz w:val="24"/>
          <w:szCs w:val="20"/>
          <w:highlight w:val="none"/>
        </w:rPr>
      </w:pPr>
      <w:r>
        <w:rPr>
          <w:rFonts w:hint="eastAsia" w:ascii="宋体" w:hAnsi="宋体"/>
          <w:b/>
          <w:sz w:val="24"/>
          <w:szCs w:val="20"/>
          <w:highlight w:val="none"/>
        </w:rPr>
        <w:t>（</w:t>
      </w:r>
      <w:r>
        <w:rPr>
          <w:rFonts w:hint="eastAsia" w:ascii="宋体" w:hAnsi="宋体"/>
          <w:sz w:val="24"/>
          <w:szCs w:val="20"/>
          <w:highlight w:val="none"/>
        </w:rPr>
        <w:t>1</w:t>
      </w:r>
      <w:r>
        <w:rPr>
          <w:rFonts w:ascii="宋体" w:hAnsi="宋体"/>
          <w:sz w:val="24"/>
          <w:szCs w:val="20"/>
          <w:highlight w:val="none"/>
        </w:rPr>
        <w:t>）超出经营范围投标</w:t>
      </w:r>
      <w:r>
        <w:rPr>
          <w:rFonts w:hint="eastAsia" w:ascii="宋体" w:hAnsi="宋体"/>
          <w:sz w:val="24"/>
          <w:szCs w:val="20"/>
          <w:highlight w:val="none"/>
        </w:rPr>
        <w:t>且法律法规规定属于限制经营或需前置性经营许可的；</w:t>
      </w:r>
    </w:p>
    <w:p>
      <w:pPr>
        <w:snapToGrid w:val="0"/>
        <w:ind w:firstLine="472" w:firstLineChars="196"/>
        <w:rPr>
          <w:rFonts w:ascii="宋体" w:hAnsi="宋体"/>
          <w:sz w:val="24"/>
          <w:szCs w:val="20"/>
          <w:highlight w:val="none"/>
        </w:rPr>
      </w:pPr>
      <w:r>
        <w:rPr>
          <w:rFonts w:hint="eastAsia" w:ascii="宋体" w:hAnsi="宋体"/>
          <w:b/>
          <w:sz w:val="24"/>
          <w:szCs w:val="20"/>
          <w:highlight w:val="none"/>
        </w:rPr>
        <w:t>（</w:t>
      </w:r>
      <w:r>
        <w:rPr>
          <w:rFonts w:hint="eastAsia" w:ascii="宋体" w:hAnsi="宋体"/>
          <w:sz w:val="24"/>
          <w:szCs w:val="20"/>
          <w:highlight w:val="none"/>
        </w:rPr>
        <w:t>2</w:t>
      </w:r>
      <w:r>
        <w:rPr>
          <w:rFonts w:ascii="宋体" w:hAnsi="宋体"/>
          <w:sz w:val="24"/>
          <w:szCs w:val="20"/>
          <w:highlight w:val="none"/>
        </w:rPr>
        <w:t>）</w:t>
      </w:r>
      <w:r>
        <w:rPr>
          <w:rFonts w:hint="eastAsia" w:ascii="宋体" w:hAnsi="宋体"/>
          <w:spacing w:val="-4"/>
          <w:sz w:val="24"/>
          <w:szCs w:val="20"/>
          <w:highlight w:val="none"/>
        </w:rPr>
        <w:t>开标时不能按采购文件要求提供相应的投标资格证明文件</w:t>
      </w:r>
      <w:r>
        <w:rPr>
          <w:rFonts w:hint="eastAsia" w:ascii="宋体" w:hAnsi="宋体"/>
          <w:sz w:val="24"/>
          <w:highlight w:val="none"/>
        </w:rPr>
        <w:t>进行资格审查的</w:t>
      </w:r>
      <w:r>
        <w:rPr>
          <w:rFonts w:ascii="宋体" w:hAnsi="宋体"/>
          <w:sz w:val="24"/>
          <w:szCs w:val="20"/>
          <w:highlight w:val="none"/>
        </w:rPr>
        <w:t>，或者不符合采购文件标明的资格要求的</w:t>
      </w:r>
      <w:r>
        <w:rPr>
          <w:rFonts w:hint="eastAsia" w:ascii="宋体" w:hAnsi="宋体"/>
          <w:sz w:val="24"/>
          <w:szCs w:val="20"/>
          <w:highlight w:val="none"/>
        </w:rPr>
        <w:t>；</w:t>
      </w:r>
    </w:p>
    <w:p>
      <w:pPr>
        <w:snapToGrid w:val="0"/>
        <w:ind w:firstLine="472" w:firstLineChars="196"/>
        <w:rPr>
          <w:rFonts w:ascii="宋体" w:hAnsi="宋体"/>
          <w:b/>
          <w:bCs/>
          <w:kern w:val="0"/>
          <w:sz w:val="24"/>
          <w:szCs w:val="20"/>
          <w:highlight w:val="none"/>
        </w:rPr>
      </w:pPr>
      <w:r>
        <w:rPr>
          <w:rFonts w:hint="eastAsia" w:ascii="宋体" w:hAnsi="宋体"/>
          <w:b/>
          <w:sz w:val="24"/>
          <w:szCs w:val="20"/>
          <w:highlight w:val="none"/>
        </w:rPr>
        <w:t>（</w:t>
      </w:r>
      <w:r>
        <w:rPr>
          <w:rFonts w:hint="eastAsia" w:ascii="宋体" w:hAnsi="宋体"/>
          <w:sz w:val="24"/>
          <w:szCs w:val="20"/>
          <w:highlight w:val="none"/>
        </w:rPr>
        <w:t>3</w:t>
      </w:r>
      <w:r>
        <w:rPr>
          <w:rFonts w:ascii="宋体" w:hAnsi="宋体"/>
          <w:sz w:val="24"/>
          <w:szCs w:val="20"/>
          <w:highlight w:val="none"/>
        </w:rPr>
        <w:t>）投标文件</w:t>
      </w:r>
      <w:r>
        <w:rPr>
          <w:rFonts w:hint="eastAsia" w:ascii="宋体" w:hAnsi="宋体"/>
          <w:sz w:val="24"/>
          <w:szCs w:val="20"/>
          <w:highlight w:val="none"/>
        </w:rPr>
        <w:t>所有的投标声明书、投标函和法定代表人授权书原件均</w:t>
      </w:r>
      <w:r>
        <w:rPr>
          <w:rFonts w:ascii="宋体" w:hAnsi="宋体"/>
          <w:sz w:val="24"/>
          <w:szCs w:val="20"/>
          <w:highlight w:val="none"/>
        </w:rPr>
        <w:t>无</w:t>
      </w:r>
      <w:r>
        <w:rPr>
          <w:rFonts w:hint="eastAsia" w:ascii="宋体" w:hAnsi="宋体"/>
          <w:sz w:val="24"/>
          <w:szCs w:val="20"/>
          <w:highlight w:val="none"/>
        </w:rPr>
        <w:t>法定代表人签名(或盖法定代表人私章)、没有盖单位公章的</w:t>
      </w:r>
      <w:r>
        <w:rPr>
          <w:rFonts w:ascii="宋体" w:hAnsi="宋体"/>
          <w:sz w:val="24"/>
          <w:szCs w:val="20"/>
          <w:highlight w:val="none"/>
        </w:rPr>
        <w:t>,或未</w:t>
      </w:r>
      <w:r>
        <w:rPr>
          <w:rFonts w:hint="eastAsia" w:ascii="宋体" w:hAnsi="宋体"/>
          <w:sz w:val="24"/>
          <w:szCs w:val="20"/>
          <w:highlight w:val="none"/>
        </w:rPr>
        <w:t>按采购文件要求</w:t>
      </w:r>
      <w:r>
        <w:rPr>
          <w:rFonts w:hint="eastAsia" w:ascii="宋体" w:hAnsi="宋体"/>
          <w:bCs/>
          <w:kern w:val="0"/>
          <w:sz w:val="24"/>
          <w:szCs w:val="20"/>
          <w:highlight w:val="none"/>
        </w:rPr>
        <w:t>提供投标声明书、投标函和</w:t>
      </w:r>
      <w:r>
        <w:rPr>
          <w:rFonts w:hint="eastAsia" w:ascii="宋体" w:hAnsi="宋体"/>
          <w:sz w:val="24"/>
          <w:szCs w:val="20"/>
          <w:highlight w:val="none"/>
        </w:rPr>
        <w:t>法定代表人授权书原件</w:t>
      </w:r>
      <w:r>
        <w:rPr>
          <w:rFonts w:hint="eastAsia" w:ascii="宋体" w:hAnsi="宋体"/>
          <w:bCs/>
          <w:kern w:val="0"/>
          <w:sz w:val="24"/>
          <w:szCs w:val="20"/>
          <w:highlight w:val="none"/>
        </w:rPr>
        <w:t>的；</w:t>
      </w:r>
      <w:r>
        <w:rPr>
          <w:rFonts w:hint="eastAsia" w:ascii="宋体" w:hAnsi="宋体"/>
          <w:b/>
          <w:bCs/>
          <w:kern w:val="0"/>
          <w:sz w:val="24"/>
          <w:szCs w:val="20"/>
          <w:highlight w:val="none"/>
        </w:rPr>
        <w:t>（法定代表人亲自参加开标的，或者</w:t>
      </w:r>
      <w:r>
        <w:rPr>
          <w:rFonts w:hint="eastAsia" w:ascii="宋体" w:hAnsi="宋体"/>
          <w:b/>
          <w:bCs/>
          <w:sz w:val="24"/>
          <w:highlight w:val="none"/>
        </w:rPr>
        <w:t>法定代表人及其授权代理人均未参加</w:t>
      </w:r>
      <w:r>
        <w:rPr>
          <w:rFonts w:hint="eastAsia" w:ascii="宋体" w:hAnsi="宋体"/>
          <w:b/>
          <w:bCs/>
          <w:kern w:val="0"/>
          <w:sz w:val="24"/>
          <w:szCs w:val="20"/>
          <w:highlight w:val="none"/>
        </w:rPr>
        <w:t>开标的不需要提供法定代表人授权委托书）</w:t>
      </w:r>
    </w:p>
    <w:p>
      <w:pPr>
        <w:snapToGrid w:val="0"/>
        <w:ind w:firstLine="457" w:firstLineChars="196"/>
        <w:rPr>
          <w:rFonts w:ascii="宋体" w:hAnsi="宋体"/>
          <w:sz w:val="24"/>
          <w:szCs w:val="20"/>
          <w:highlight w:val="none"/>
        </w:rPr>
      </w:pPr>
      <w:r>
        <w:rPr>
          <w:rFonts w:ascii="宋体" w:hAnsi="宋体"/>
          <w:b/>
          <w:spacing w:val="-4"/>
          <w:sz w:val="24"/>
          <w:szCs w:val="20"/>
          <w:highlight w:val="none"/>
        </w:rPr>
        <w:t>（</w:t>
      </w:r>
      <w:r>
        <w:rPr>
          <w:rFonts w:hint="eastAsia" w:ascii="宋体" w:hAnsi="宋体"/>
          <w:spacing w:val="-4"/>
          <w:sz w:val="24"/>
          <w:szCs w:val="20"/>
          <w:highlight w:val="none"/>
        </w:rPr>
        <w:t>4</w:t>
      </w:r>
      <w:r>
        <w:rPr>
          <w:rFonts w:ascii="宋体" w:hAnsi="宋体"/>
          <w:spacing w:val="-4"/>
          <w:sz w:val="24"/>
          <w:szCs w:val="20"/>
          <w:highlight w:val="none"/>
        </w:rPr>
        <w:t>）投标文件内容</w:t>
      </w:r>
      <w:r>
        <w:rPr>
          <w:rFonts w:hint="eastAsia" w:ascii="宋体" w:hAnsi="宋体"/>
          <w:spacing w:val="-4"/>
          <w:sz w:val="24"/>
          <w:szCs w:val="20"/>
          <w:highlight w:val="none"/>
        </w:rPr>
        <w:t>不真实</w:t>
      </w:r>
      <w:r>
        <w:rPr>
          <w:rFonts w:ascii="宋体" w:hAnsi="宋体"/>
          <w:spacing w:val="-4"/>
          <w:sz w:val="24"/>
          <w:szCs w:val="20"/>
          <w:highlight w:val="none"/>
        </w:rPr>
        <w:t>的</w:t>
      </w:r>
      <w:r>
        <w:rPr>
          <w:rFonts w:hint="eastAsia" w:ascii="宋体" w:hAnsi="宋体"/>
          <w:spacing w:val="-4"/>
          <w:sz w:val="24"/>
          <w:szCs w:val="20"/>
          <w:highlight w:val="none"/>
        </w:rPr>
        <w:t>；</w:t>
      </w:r>
    </w:p>
    <w:p>
      <w:pPr>
        <w:snapToGrid w:val="0"/>
        <w:ind w:firstLine="470" w:firstLineChars="196"/>
        <w:rPr>
          <w:rFonts w:ascii="宋体" w:hAnsi="宋体"/>
          <w:snapToGrid w:val="0"/>
          <w:spacing w:val="-4"/>
          <w:sz w:val="24"/>
          <w:highlight w:val="none"/>
        </w:rPr>
      </w:pPr>
      <w:r>
        <w:rPr>
          <w:rFonts w:ascii="宋体" w:hAnsi="宋体"/>
          <w:sz w:val="24"/>
          <w:highlight w:val="none"/>
        </w:rPr>
        <w:t>（</w:t>
      </w:r>
      <w:r>
        <w:rPr>
          <w:rFonts w:hint="eastAsia" w:ascii="宋体" w:hAnsi="宋体"/>
          <w:sz w:val="24"/>
          <w:highlight w:val="none"/>
        </w:rPr>
        <w:t>5</w:t>
      </w:r>
      <w:r>
        <w:rPr>
          <w:rFonts w:ascii="宋体" w:hAnsi="宋体"/>
          <w:sz w:val="24"/>
          <w:highlight w:val="none"/>
        </w:rPr>
        <w:t>）</w:t>
      </w:r>
      <w:r>
        <w:rPr>
          <w:rFonts w:ascii="宋体" w:hAnsi="宋体"/>
          <w:spacing w:val="-4"/>
          <w:sz w:val="24"/>
          <w:szCs w:val="20"/>
          <w:highlight w:val="none"/>
        </w:rPr>
        <w:t>投标文件的实质性内容</w:t>
      </w:r>
      <w:r>
        <w:rPr>
          <w:rFonts w:hint="eastAsia" w:ascii="宋体" w:hAnsi="宋体"/>
          <w:spacing w:val="-4"/>
          <w:sz w:val="24"/>
          <w:szCs w:val="20"/>
          <w:highlight w:val="none"/>
        </w:rPr>
        <w:t>含义不明确、同类问题表述不一致或者有明显文字和计算错误，</w:t>
      </w:r>
      <w:r>
        <w:rPr>
          <w:rFonts w:ascii="宋体" w:hAnsi="宋体"/>
          <w:spacing w:val="-4"/>
          <w:sz w:val="24"/>
          <w:szCs w:val="20"/>
          <w:highlight w:val="none"/>
        </w:rPr>
        <w:t>或者使用计量单位不符合采购文件要求的（经评审委员会认定</w:t>
      </w:r>
      <w:r>
        <w:rPr>
          <w:rFonts w:hint="eastAsia" w:ascii="宋体" w:hAnsi="宋体"/>
          <w:spacing w:val="-4"/>
          <w:sz w:val="24"/>
          <w:szCs w:val="20"/>
          <w:highlight w:val="none"/>
        </w:rPr>
        <w:t>并</w:t>
      </w:r>
      <w:r>
        <w:rPr>
          <w:rFonts w:ascii="宋体" w:hAnsi="宋体"/>
          <w:spacing w:val="-4"/>
          <w:sz w:val="24"/>
          <w:szCs w:val="20"/>
          <w:highlight w:val="none"/>
        </w:rPr>
        <w:t>允许其当场更正的笔误除外）</w:t>
      </w:r>
      <w:r>
        <w:rPr>
          <w:rFonts w:hint="eastAsia" w:ascii="宋体" w:hAnsi="宋体"/>
          <w:spacing w:val="-4"/>
          <w:sz w:val="24"/>
          <w:szCs w:val="20"/>
          <w:highlight w:val="none"/>
        </w:rPr>
        <w:t>；</w:t>
      </w:r>
    </w:p>
    <w:p>
      <w:pPr>
        <w:snapToGrid w:val="0"/>
        <w:ind w:firstLine="470" w:firstLineChars="196"/>
        <w:rPr>
          <w:rFonts w:ascii="宋体" w:hAnsi="宋体"/>
          <w:snapToGrid w:val="0"/>
          <w:spacing w:val="-4"/>
          <w:sz w:val="24"/>
          <w:highlight w:val="none"/>
        </w:rPr>
      </w:pPr>
      <w:r>
        <w:rPr>
          <w:rFonts w:ascii="宋体" w:hAnsi="宋体"/>
          <w:sz w:val="24"/>
          <w:highlight w:val="none"/>
        </w:rPr>
        <w:t>（</w:t>
      </w:r>
      <w:r>
        <w:rPr>
          <w:rFonts w:hint="eastAsia" w:ascii="宋体" w:hAnsi="宋体"/>
          <w:sz w:val="24"/>
          <w:highlight w:val="none"/>
        </w:rPr>
        <w:t>6</w:t>
      </w:r>
      <w:r>
        <w:rPr>
          <w:rFonts w:ascii="宋体" w:hAnsi="宋体"/>
          <w:sz w:val="24"/>
          <w:highlight w:val="none"/>
        </w:rPr>
        <w:t>）</w:t>
      </w:r>
      <w:r>
        <w:rPr>
          <w:rFonts w:ascii="宋体" w:hAnsi="宋体"/>
          <w:snapToGrid w:val="0"/>
          <w:spacing w:val="-4"/>
          <w:sz w:val="24"/>
          <w:highlight w:val="none"/>
        </w:rPr>
        <w:t>投标有效期、交货时间、质保期</w:t>
      </w:r>
      <w:r>
        <w:rPr>
          <w:rFonts w:hint="eastAsia" w:ascii="宋体" w:hAnsi="宋体"/>
          <w:snapToGrid w:val="0"/>
          <w:spacing w:val="-4"/>
          <w:sz w:val="24"/>
          <w:highlight w:val="none"/>
        </w:rPr>
        <w:t>、付款方式、验收方法</w:t>
      </w:r>
      <w:r>
        <w:rPr>
          <w:rFonts w:ascii="宋体" w:hAnsi="宋体"/>
          <w:snapToGrid w:val="0"/>
          <w:spacing w:val="-4"/>
          <w:sz w:val="24"/>
          <w:highlight w:val="none"/>
        </w:rPr>
        <w:t>等商务条款不能满足采购文件要求的</w:t>
      </w:r>
      <w:r>
        <w:rPr>
          <w:rFonts w:hint="eastAsia" w:ascii="宋体" w:hAnsi="宋体"/>
          <w:snapToGrid w:val="0"/>
          <w:spacing w:val="-4"/>
          <w:sz w:val="24"/>
          <w:highlight w:val="none"/>
        </w:rPr>
        <w:t>；</w:t>
      </w:r>
    </w:p>
    <w:p>
      <w:pPr>
        <w:snapToGrid w:val="0"/>
        <w:ind w:firstLine="457" w:firstLineChars="196"/>
        <w:rPr>
          <w:rFonts w:ascii="宋体" w:hAnsi="宋体"/>
          <w:spacing w:val="-4"/>
          <w:sz w:val="24"/>
          <w:szCs w:val="20"/>
          <w:highlight w:val="none"/>
        </w:rPr>
      </w:pPr>
      <w:r>
        <w:rPr>
          <w:rFonts w:ascii="宋体" w:hAnsi="宋体"/>
          <w:b/>
          <w:spacing w:val="-4"/>
          <w:sz w:val="24"/>
          <w:szCs w:val="20"/>
          <w:highlight w:val="none"/>
        </w:rPr>
        <w:t>（</w:t>
      </w:r>
      <w:r>
        <w:rPr>
          <w:rFonts w:hint="eastAsia" w:ascii="宋体" w:hAnsi="宋体"/>
          <w:spacing w:val="-4"/>
          <w:sz w:val="24"/>
          <w:szCs w:val="20"/>
          <w:highlight w:val="none"/>
        </w:rPr>
        <w:t>7</w:t>
      </w:r>
      <w:r>
        <w:rPr>
          <w:rFonts w:ascii="宋体" w:hAnsi="宋体"/>
          <w:spacing w:val="-4"/>
          <w:sz w:val="24"/>
          <w:szCs w:val="20"/>
          <w:highlight w:val="none"/>
        </w:rPr>
        <w:t>）在“资信</w:t>
      </w:r>
      <w:r>
        <w:rPr>
          <w:rFonts w:hint="eastAsia" w:ascii="宋体" w:hAnsi="宋体"/>
          <w:spacing w:val="-4"/>
          <w:sz w:val="24"/>
          <w:szCs w:val="20"/>
          <w:highlight w:val="none"/>
        </w:rPr>
        <w:t>商务</w:t>
      </w:r>
      <w:r>
        <w:rPr>
          <w:rFonts w:ascii="宋体" w:hAnsi="宋体"/>
          <w:spacing w:val="-4"/>
          <w:sz w:val="24"/>
          <w:szCs w:val="20"/>
          <w:highlight w:val="none"/>
        </w:rPr>
        <w:t>、技术”标中出现投标报价的</w:t>
      </w:r>
      <w:r>
        <w:rPr>
          <w:rFonts w:hint="eastAsia" w:ascii="宋体" w:hAnsi="宋体"/>
          <w:spacing w:val="-4"/>
          <w:sz w:val="24"/>
          <w:szCs w:val="20"/>
          <w:highlight w:val="none"/>
        </w:rPr>
        <w:t>；</w:t>
      </w:r>
    </w:p>
    <w:p>
      <w:pPr>
        <w:snapToGrid w:val="0"/>
        <w:ind w:firstLine="454" w:firstLineChars="196"/>
        <w:rPr>
          <w:rFonts w:ascii="宋体" w:hAnsi="宋体"/>
          <w:spacing w:val="-4"/>
          <w:sz w:val="24"/>
          <w:szCs w:val="20"/>
          <w:highlight w:val="none"/>
        </w:rPr>
      </w:pPr>
      <w:r>
        <w:rPr>
          <w:rFonts w:hint="eastAsia" w:ascii="宋体" w:hAnsi="宋体"/>
          <w:spacing w:val="-4"/>
          <w:sz w:val="24"/>
          <w:szCs w:val="20"/>
          <w:highlight w:val="none"/>
        </w:rPr>
        <w:t>（8）未实质性</w:t>
      </w:r>
      <w:r>
        <w:rPr>
          <w:rFonts w:ascii="宋体" w:hAnsi="宋体"/>
          <w:spacing w:val="-4"/>
          <w:sz w:val="24"/>
          <w:szCs w:val="20"/>
          <w:highlight w:val="none"/>
        </w:rPr>
        <w:t>响应采购文件要求或者投标文件有招标方不能接受的附加条件的</w:t>
      </w:r>
      <w:r>
        <w:rPr>
          <w:rFonts w:hint="eastAsia" w:ascii="宋体" w:hAnsi="宋体"/>
          <w:spacing w:val="-4"/>
          <w:sz w:val="24"/>
          <w:szCs w:val="20"/>
          <w:highlight w:val="none"/>
        </w:rPr>
        <w:t>；</w:t>
      </w:r>
    </w:p>
    <w:p>
      <w:pPr>
        <w:snapToGrid w:val="0"/>
        <w:ind w:firstLine="454" w:firstLineChars="196"/>
        <w:rPr>
          <w:rFonts w:ascii="宋体" w:hAnsi="宋体"/>
          <w:spacing w:val="-4"/>
          <w:sz w:val="24"/>
          <w:szCs w:val="20"/>
          <w:highlight w:val="none"/>
        </w:rPr>
      </w:pPr>
      <w:r>
        <w:rPr>
          <w:rFonts w:hint="eastAsia" w:ascii="宋体" w:hAnsi="宋体"/>
          <w:spacing w:val="-4"/>
          <w:sz w:val="24"/>
          <w:szCs w:val="20"/>
          <w:highlight w:val="none"/>
        </w:rPr>
        <w:t>（9）</w:t>
      </w:r>
      <w:r>
        <w:rPr>
          <w:rFonts w:hint="eastAsia" w:ascii="宋体" w:hAnsi="宋体"/>
          <w:sz w:val="24"/>
          <w:highlight w:val="none"/>
        </w:rPr>
        <w:t>未在</w:t>
      </w:r>
      <w:r>
        <w:rPr>
          <w:rFonts w:hint="eastAsia" w:ascii="宋体" w:hAnsi="宋体"/>
          <w:spacing w:val="-4"/>
          <w:sz w:val="24"/>
          <w:szCs w:val="20"/>
          <w:highlight w:val="none"/>
        </w:rPr>
        <w:t>浙江政府采购网（政采云平台）完成本项目网上报名的；</w:t>
      </w:r>
    </w:p>
    <w:p>
      <w:pPr>
        <w:snapToGrid w:val="0"/>
        <w:ind w:firstLine="470" w:firstLineChars="196"/>
        <w:rPr>
          <w:rFonts w:ascii="宋体" w:hAnsi="宋体"/>
          <w:sz w:val="24"/>
          <w:highlight w:val="none"/>
        </w:rPr>
      </w:pPr>
      <w:r>
        <w:rPr>
          <w:rFonts w:hint="eastAsia" w:ascii="宋体" w:hAnsi="宋体"/>
          <w:sz w:val="24"/>
          <w:highlight w:val="none"/>
        </w:rPr>
        <w:t>（10）</w:t>
      </w:r>
      <w:r>
        <w:rPr>
          <w:rFonts w:hint="eastAsia" w:ascii="宋体" w:hAnsi="宋体"/>
          <w:snapToGrid w:val="0"/>
          <w:spacing w:val="-4"/>
          <w:sz w:val="24"/>
          <w:szCs w:val="20"/>
          <w:highlight w:val="none"/>
        </w:rPr>
        <w:t>与采购文件中标“▲”的商务条款及采购文件其他要求发生实质性负偏离的</w:t>
      </w:r>
      <w:r>
        <w:rPr>
          <w:rFonts w:hint="eastAsia" w:ascii="宋体" w:hAnsi="宋体"/>
          <w:sz w:val="24"/>
          <w:highlight w:val="none"/>
        </w:rPr>
        <w:t>；</w:t>
      </w:r>
    </w:p>
    <w:p>
      <w:pPr>
        <w:snapToGrid w:val="0"/>
        <w:ind w:firstLine="464" w:firstLineChars="200"/>
        <w:rPr>
          <w:rFonts w:ascii="宋体" w:hAnsi="宋体"/>
          <w:snapToGrid w:val="0"/>
          <w:spacing w:val="-4"/>
          <w:sz w:val="24"/>
          <w:szCs w:val="20"/>
          <w:highlight w:val="none"/>
        </w:rPr>
      </w:pPr>
      <w:r>
        <w:rPr>
          <w:rFonts w:hint="eastAsia" w:ascii="宋体" w:hAnsi="宋体"/>
          <w:snapToGrid w:val="0"/>
          <w:spacing w:val="-4"/>
          <w:sz w:val="24"/>
          <w:szCs w:val="20"/>
          <w:highlight w:val="none"/>
        </w:rPr>
        <w:t>（11）投标人提交两份或两份以上内容不同的投标文件；</w:t>
      </w:r>
    </w:p>
    <w:p>
      <w:pPr>
        <w:snapToGrid w:val="0"/>
        <w:ind w:firstLine="464" w:firstLineChars="200"/>
        <w:rPr>
          <w:rFonts w:ascii="宋体" w:hAnsi="宋体"/>
          <w:snapToGrid w:val="0"/>
          <w:spacing w:val="-4"/>
          <w:sz w:val="24"/>
          <w:szCs w:val="20"/>
          <w:highlight w:val="none"/>
        </w:rPr>
      </w:pPr>
      <w:r>
        <w:rPr>
          <w:rFonts w:hint="eastAsia" w:ascii="宋体" w:hAnsi="宋体"/>
          <w:snapToGrid w:val="0"/>
          <w:spacing w:val="-4"/>
          <w:sz w:val="24"/>
          <w:szCs w:val="20"/>
          <w:highlight w:val="none"/>
        </w:rPr>
        <w:t>（12）投标文件字迹模糊辨认不清的（评审委员会一致认为难以确认）；</w:t>
      </w:r>
    </w:p>
    <w:p>
      <w:pPr>
        <w:snapToGrid w:val="0"/>
        <w:ind w:firstLine="464" w:firstLineChars="200"/>
        <w:rPr>
          <w:rFonts w:ascii="宋体" w:hAnsi="宋体"/>
          <w:sz w:val="24"/>
          <w:highlight w:val="none"/>
        </w:rPr>
      </w:pPr>
      <w:r>
        <w:rPr>
          <w:rFonts w:hint="eastAsia" w:ascii="宋体" w:hAnsi="宋体"/>
          <w:snapToGrid w:val="0"/>
          <w:spacing w:val="-4"/>
          <w:sz w:val="24"/>
          <w:szCs w:val="20"/>
          <w:highlight w:val="none"/>
        </w:rPr>
        <w:t>（13）</w:t>
      </w:r>
      <w:r>
        <w:rPr>
          <w:rFonts w:hint="eastAsia" w:ascii="宋体" w:hAnsi="宋体"/>
          <w:sz w:val="24"/>
          <w:highlight w:val="none"/>
        </w:rPr>
        <w:t>投标产品载明的验收标准和方法等不符合国家规定的；</w:t>
      </w:r>
    </w:p>
    <w:p>
      <w:pPr>
        <w:snapToGrid w:val="0"/>
        <w:ind w:firstLine="480" w:firstLineChars="200"/>
        <w:rPr>
          <w:rFonts w:ascii="宋体" w:hAnsi="宋体"/>
          <w:sz w:val="24"/>
          <w:highlight w:val="none"/>
        </w:rPr>
      </w:pPr>
      <w:r>
        <w:rPr>
          <w:rFonts w:hint="eastAsia" w:ascii="宋体" w:hAnsi="宋体"/>
          <w:sz w:val="24"/>
          <w:highlight w:val="none"/>
        </w:rPr>
        <w:t>（14）</w:t>
      </w:r>
      <w:r>
        <w:rPr>
          <w:rFonts w:hint="eastAsia" w:ascii="宋体" w:hAnsi="宋体"/>
          <w:spacing w:val="-4"/>
          <w:sz w:val="24"/>
          <w:szCs w:val="20"/>
          <w:highlight w:val="none"/>
        </w:rPr>
        <w:t>不符合法律、法规和采购文件规定的其他实质性要求（评审委员会一致认定）的；</w:t>
      </w:r>
    </w:p>
    <w:p>
      <w:pPr>
        <w:snapToGrid w:val="0"/>
        <w:ind w:firstLine="480" w:firstLineChars="200"/>
        <w:rPr>
          <w:rFonts w:ascii="宋体" w:hAnsi="宋体"/>
          <w:sz w:val="24"/>
          <w:highlight w:val="none"/>
        </w:rPr>
      </w:pPr>
      <w:r>
        <w:rPr>
          <w:rFonts w:hint="eastAsia" w:ascii="宋体" w:hAnsi="宋体"/>
          <w:sz w:val="24"/>
          <w:highlight w:val="none"/>
        </w:rPr>
        <w:t>（15）在投标截止时间以后传送的电子投标文件；</w:t>
      </w:r>
    </w:p>
    <w:p>
      <w:pPr>
        <w:snapToGrid w:val="0"/>
        <w:ind w:firstLine="480" w:firstLineChars="200"/>
        <w:rPr>
          <w:rFonts w:ascii="宋体" w:hAnsi="宋体"/>
          <w:sz w:val="24"/>
          <w:highlight w:val="none"/>
        </w:rPr>
      </w:pPr>
      <w:r>
        <w:rPr>
          <w:rFonts w:hint="eastAsia" w:ascii="宋体" w:hAnsi="宋体"/>
          <w:sz w:val="24"/>
          <w:highlight w:val="none"/>
        </w:rPr>
        <w:t>（16）投标文件未按照采购文件规定的要求盖章、密封和分标项（如有多个标项）的；</w:t>
      </w:r>
    </w:p>
    <w:p>
      <w:pPr>
        <w:snapToGrid w:val="0"/>
        <w:ind w:firstLine="600" w:firstLineChars="250"/>
        <w:rPr>
          <w:rFonts w:ascii="宋体" w:hAnsi="宋体"/>
          <w:sz w:val="24"/>
          <w:highlight w:val="none"/>
        </w:rPr>
      </w:pPr>
      <w:r>
        <w:rPr>
          <w:rFonts w:hint="eastAsia" w:ascii="宋体" w:hAnsi="宋体"/>
          <w:sz w:val="24"/>
          <w:highlight w:val="none"/>
        </w:rPr>
        <w:t>（17）电子投标文件未在规定时间内解密，或解密失败的且未在投标截止时间前提交备份投标文件的，或备份投标文件均无法评审使用的；</w:t>
      </w:r>
    </w:p>
    <w:p>
      <w:pPr>
        <w:snapToGrid w:val="0"/>
        <w:ind w:firstLine="600" w:firstLineChars="250"/>
        <w:rPr>
          <w:rFonts w:ascii="宋体" w:hAnsi="宋体"/>
          <w:spacing w:val="-4"/>
          <w:sz w:val="24"/>
          <w:szCs w:val="20"/>
          <w:highlight w:val="none"/>
        </w:rPr>
      </w:pPr>
      <w:r>
        <w:rPr>
          <w:rFonts w:hint="eastAsia" w:ascii="宋体" w:hAnsi="宋体"/>
          <w:sz w:val="24"/>
          <w:highlight w:val="none"/>
        </w:rPr>
        <w:t>(18)</w:t>
      </w:r>
      <w:r>
        <w:rPr>
          <w:rFonts w:hint="eastAsia" w:ascii="宋体" w:hAnsi="宋体"/>
          <w:spacing w:val="-4"/>
          <w:sz w:val="24"/>
          <w:szCs w:val="20"/>
          <w:highlight w:val="none"/>
        </w:rPr>
        <w:t>法律、法规和</w:t>
      </w:r>
      <w:r>
        <w:rPr>
          <w:rFonts w:hint="eastAsia" w:ascii="宋体" w:hAnsi="宋体"/>
          <w:sz w:val="24"/>
          <w:highlight w:val="none"/>
        </w:rPr>
        <w:t>本采购文件中其他规定投标文件无效的情形。</w:t>
      </w:r>
    </w:p>
    <w:p>
      <w:pPr>
        <w:snapToGrid w:val="0"/>
        <w:ind w:firstLine="466" w:firstLineChars="200"/>
        <w:rPr>
          <w:rFonts w:ascii="宋体" w:hAnsi="宋体"/>
          <w:b/>
          <w:bCs/>
          <w:spacing w:val="-4"/>
          <w:sz w:val="24"/>
          <w:szCs w:val="20"/>
          <w:highlight w:val="none"/>
        </w:rPr>
      </w:pPr>
      <w:r>
        <w:rPr>
          <w:rFonts w:ascii="宋体" w:hAnsi="宋体"/>
          <w:b/>
          <w:bCs/>
          <w:spacing w:val="-4"/>
          <w:sz w:val="24"/>
          <w:szCs w:val="20"/>
          <w:highlight w:val="none"/>
        </w:rPr>
        <w:t>2</w:t>
      </w:r>
      <w:r>
        <w:rPr>
          <w:rFonts w:hint="eastAsia" w:ascii="宋体" w:hAnsi="宋体"/>
          <w:b/>
          <w:bCs/>
          <w:spacing w:val="-4"/>
          <w:sz w:val="24"/>
          <w:szCs w:val="20"/>
          <w:highlight w:val="none"/>
        </w:rPr>
        <w:t>.</w:t>
      </w:r>
      <w:r>
        <w:rPr>
          <w:rFonts w:ascii="宋体" w:hAnsi="宋体"/>
          <w:b/>
          <w:bCs/>
          <w:spacing w:val="-4"/>
          <w:sz w:val="24"/>
          <w:szCs w:val="20"/>
          <w:highlight w:val="none"/>
        </w:rPr>
        <w:t>在技术评审时，如发现下列情形之一的，投标文件将被视为无效：</w:t>
      </w:r>
    </w:p>
    <w:p>
      <w:pPr>
        <w:snapToGrid w:val="0"/>
        <w:ind w:firstLine="457" w:firstLineChars="196"/>
        <w:rPr>
          <w:rFonts w:ascii="宋体" w:hAnsi="宋体"/>
          <w:spacing w:val="-4"/>
          <w:sz w:val="24"/>
          <w:szCs w:val="20"/>
          <w:highlight w:val="none"/>
        </w:rPr>
      </w:pPr>
      <w:r>
        <w:rPr>
          <w:rFonts w:ascii="宋体" w:hAnsi="宋体"/>
          <w:b/>
          <w:spacing w:val="-4"/>
          <w:sz w:val="24"/>
          <w:szCs w:val="20"/>
          <w:highlight w:val="none"/>
        </w:rPr>
        <w:t>（</w:t>
      </w:r>
      <w:r>
        <w:rPr>
          <w:rFonts w:ascii="宋体" w:hAnsi="宋体"/>
          <w:spacing w:val="-4"/>
          <w:sz w:val="24"/>
          <w:szCs w:val="20"/>
          <w:highlight w:val="none"/>
        </w:rPr>
        <w:t>1）未提供或未如实提供投标货物的技术参数，或者投标文件标明的响应或偏离与事实不符或虚假投标的</w:t>
      </w:r>
      <w:r>
        <w:rPr>
          <w:rFonts w:hint="eastAsia" w:ascii="宋体" w:hAnsi="宋体"/>
          <w:spacing w:val="-4"/>
          <w:sz w:val="24"/>
          <w:szCs w:val="20"/>
          <w:highlight w:val="none"/>
        </w:rPr>
        <w:t>；</w:t>
      </w:r>
    </w:p>
    <w:p>
      <w:pPr>
        <w:snapToGrid w:val="0"/>
        <w:ind w:firstLine="457" w:firstLineChars="196"/>
        <w:rPr>
          <w:rFonts w:ascii="宋体" w:hAnsi="宋体"/>
          <w:snapToGrid w:val="0"/>
          <w:spacing w:val="-4"/>
          <w:sz w:val="24"/>
          <w:szCs w:val="20"/>
          <w:highlight w:val="none"/>
        </w:rPr>
      </w:pPr>
      <w:r>
        <w:rPr>
          <w:rFonts w:ascii="宋体" w:hAnsi="宋体"/>
          <w:b/>
          <w:spacing w:val="-4"/>
          <w:sz w:val="24"/>
          <w:szCs w:val="20"/>
          <w:highlight w:val="none"/>
        </w:rPr>
        <w:t>（</w:t>
      </w:r>
      <w:r>
        <w:rPr>
          <w:rFonts w:ascii="宋体" w:hAnsi="宋体"/>
          <w:spacing w:val="-4"/>
          <w:sz w:val="24"/>
          <w:szCs w:val="20"/>
          <w:highlight w:val="none"/>
        </w:rPr>
        <w:t>2）</w:t>
      </w:r>
      <w:r>
        <w:rPr>
          <w:rFonts w:hint="eastAsia" w:ascii="宋体" w:hAnsi="宋体"/>
          <w:snapToGrid w:val="0"/>
          <w:spacing w:val="-4"/>
          <w:sz w:val="24"/>
          <w:szCs w:val="20"/>
          <w:highlight w:val="none"/>
        </w:rPr>
        <w:t>明显不符合采购文件要求的规格型号、质量标准，或者与采购文件中标“▲”的参数指标要求发生实质性负偏离的（评审委员会一致认定）；</w:t>
      </w:r>
    </w:p>
    <w:p>
      <w:pPr>
        <w:snapToGrid w:val="0"/>
        <w:ind w:firstLine="457" w:firstLineChars="196"/>
        <w:rPr>
          <w:rFonts w:ascii="宋体" w:hAnsi="宋体"/>
          <w:spacing w:val="-4"/>
          <w:sz w:val="24"/>
          <w:szCs w:val="20"/>
          <w:highlight w:val="none"/>
        </w:rPr>
      </w:pPr>
      <w:r>
        <w:rPr>
          <w:rFonts w:ascii="宋体" w:hAnsi="宋体"/>
          <w:b/>
          <w:spacing w:val="-4"/>
          <w:sz w:val="24"/>
          <w:szCs w:val="20"/>
          <w:highlight w:val="none"/>
        </w:rPr>
        <w:t>（</w:t>
      </w:r>
      <w:r>
        <w:rPr>
          <w:rFonts w:hint="eastAsia" w:ascii="宋体" w:hAnsi="宋体"/>
          <w:spacing w:val="-4"/>
          <w:sz w:val="24"/>
          <w:szCs w:val="20"/>
          <w:highlight w:val="none"/>
        </w:rPr>
        <w:t>3</w:t>
      </w:r>
      <w:r>
        <w:rPr>
          <w:rFonts w:ascii="宋体" w:hAnsi="宋体"/>
          <w:spacing w:val="-4"/>
          <w:sz w:val="24"/>
          <w:szCs w:val="20"/>
          <w:highlight w:val="none"/>
        </w:rPr>
        <w:t>）</w:t>
      </w:r>
      <w:r>
        <w:rPr>
          <w:rFonts w:hint="eastAsia" w:ascii="宋体" w:hAnsi="宋体"/>
          <w:spacing w:val="-4"/>
          <w:sz w:val="24"/>
          <w:szCs w:val="20"/>
          <w:highlight w:val="none"/>
        </w:rPr>
        <w:t>投标货物的技术规范、技术标准明显不符合国家强制性要求的；</w:t>
      </w:r>
    </w:p>
    <w:p>
      <w:pPr>
        <w:snapToGrid w:val="0"/>
        <w:ind w:firstLine="454" w:firstLineChars="196"/>
        <w:rPr>
          <w:rFonts w:ascii="宋体" w:hAnsi="宋体"/>
          <w:color w:val="000000"/>
          <w:spacing w:val="-4"/>
          <w:sz w:val="24"/>
          <w:szCs w:val="20"/>
          <w:highlight w:val="none"/>
        </w:rPr>
      </w:pPr>
      <w:r>
        <w:rPr>
          <w:rFonts w:hint="eastAsia" w:ascii="宋体" w:hAnsi="宋体"/>
          <w:color w:val="000000"/>
          <w:spacing w:val="-4"/>
          <w:sz w:val="24"/>
          <w:szCs w:val="20"/>
          <w:highlight w:val="none"/>
        </w:rPr>
        <w:t>（4）</w:t>
      </w:r>
      <w:r>
        <w:rPr>
          <w:rFonts w:ascii="宋体" w:hAnsi="宋体"/>
          <w:color w:val="000000"/>
          <w:spacing w:val="-4"/>
          <w:sz w:val="24"/>
          <w:szCs w:val="20"/>
          <w:highlight w:val="none"/>
        </w:rPr>
        <w:t>投标技术方案不明确，存在一个或一个以上备选（替代）投标方案的</w:t>
      </w:r>
      <w:r>
        <w:rPr>
          <w:rFonts w:hint="eastAsia" w:ascii="宋体" w:hAnsi="宋体"/>
          <w:color w:val="000000"/>
          <w:spacing w:val="-4"/>
          <w:sz w:val="24"/>
          <w:szCs w:val="20"/>
          <w:highlight w:val="none"/>
        </w:rPr>
        <w:t>；</w:t>
      </w:r>
    </w:p>
    <w:p>
      <w:pPr>
        <w:snapToGrid w:val="0"/>
        <w:ind w:firstLine="480" w:firstLineChars="200"/>
        <w:rPr>
          <w:rFonts w:ascii="宋体" w:hAnsi="宋体"/>
          <w:color w:val="000000"/>
          <w:spacing w:val="-4"/>
          <w:sz w:val="24"/>
          <w:szCs w:val="20"/>
          <w:highlight w:val="none"/>
        </w:rPr>
      </w:pPr>
      <w:r>
        <w:rPr>
          <w:rFonts w:hint="eastAsia" w:ascii="宋体" w:hAnsi="宋体"/>
          <w:color w:val="000000"/>
          <w:sz w:val="24"/>
          <w:highlight w:val="none"/>
        </w:rPr>
        <w:t>(5)</w:t>
      </w:r>
      <w:r>
        <w:rPr>
          <w:rFonts w:hint="eastAsia" w:ascii="宋体" w:hAnsi="宋体"/>
          <w:color w:val="000000"/>
          <w:spacing w:val="-4"/>
          <w:sz w:val="24"/>
          <w:szCs w:val="20"/>
          <w:highlight w:val="none"/>
        </w:rPr>
        <w:t>与其他参加本次投标供应商的投标文件（技术文件）的文字表述内容相同连续20行以上或者差错相同2处以上的；</w:t>
      </w:r>
    </w:p>
    <w:p>
      <w:pPr>
        <w:snapToGrid w:val="0"/>
        <w:ind w:firstLine="457" w:firstLineChars="196"/>
        <w:rPr>
          <w:rFonts w:ascii="宋体" w:hAnsi="宋体"/>
          <w:b/>
          <w:bCs/>
          <w:color w:val="000000"/>
          <w:spacing w:val="-4"/>
          <w:sz w:val="24"/>
          <w:szCs w:val="20"/>
          <w:highlight w:val="none"/>
        </w:rPr>
      </w:pPr>
      <w:r>
        <w:rPr>
          <w:rFonts w:ascii="宋体" w:hAnsi="宋体"/>
          <w:b/>
          <w:bCs/>
          <w:color w:val="000000"/>
          <w:spacing w:val="-4"/>
          <w:sz w:val="24"/>
          <w:szCs w:val="20"/>
          <w:highlight w:val="none"/>
        </w:rPr>
        <w:t>3</w:t>
      </w:r>
      <w:r>
        <w:rPr>
          <w:rFonts w:hint="eastAsia" w:ascii="宋体" w:hAnsi="宋体"/>
          <w:b/>
          <w:bCs/>
          <w:color w:val="000000"/>
          <w:spacing w:val="-4"/>
          <w:sz w:val="24"/>
          <w:szCs w:val="20"/>
          <w:highlight w:val="none"/>
        </w:rPr>
        <w:t>.</w:t>
      </w:r>
      <w:r>
        <w:rPr>
          <w:rFonts w:ascii="宋体" w:hAnsi="宋体"/>
          <w:b/>
          <w:bCs/>
          <w:color w:val="000000"/>
          <w:spacing w:val="-4"/>
          <w:sz w:val="24"/>
          <w:szCs w:val="20"/>
          <w:highlight w:val="none"/>
        </w:rPr>
        <w:t>在报价评审时，如发现下列情形之一的，投标文件将被视为无效：</w:t>
      </w:r>
    </w:p>
    <w:p>
      <w:pPr>
        <w:snapToGrid w:val="0"/>
        <w:ind w:firstLine="454" w:firstLineChars="196"/>
        <w:rPr>
          <w:rFonts w:ascii="宋体" w:hAnsi="宋体"/>
          <w:color w:val="000000"/>
          <w:spacing w:val="-4"/>
          <w:sz w:val="24"/>
          <w:szCs w:val="20"/>
          <w:highlight w:val="none"/>
        </w:rPr>
      </w:pPr>
      <w:r>
        <w:rPr>
          <w:rFonts w:ascii="宋体" w:hAnsi="宋体"/>
          <w:color w:val="000000"/>
          <w:spacing w:val="-4"/>
          <w:sz w:val="24"/>
          <w:szCs w:val="20"/>
          <w:highlight w:val="none"/>
        </w:rPr>
        <w:t>（1）未采用人民币报价或者未按照采购文件标明的币种报价的</w:t>
      </w:r>
      <w:r>
        <w:rPr>
          <w:rFonts w:hint="eastAsia" w:ascii="宋体" w:hAnsi="宋体"/>
          <w:color w:val="000000"/>
          <w:spacing w:val="-4"/>
          <w:sz w:val="24"/>
          <w:szCs w:val="20"/>
          <w:highlight w:val="none"/>
        </w:rPr>
        <w:t>；</w:t>
      </w:r>
    </w:p>
    <w:p>
      <w:pPr>
        <w:snapToGrid w:val="0"/>
        <w:ind w:firstLine="464" w:firstLineChars="200"/>
        <w:rPr>
          <w:rFonts w:ascii="宋体" w:hAnsi="宋体"/>
          <w:color w:val="000000"/>
          <w:spacing w:val="-4"/>
          <w:sz w:val="24"/>
          <w:szCs w:val="20"/>
          <w:highlight w:val="none"/>
        </w:rPr>
      </w:pPr>
      <w:r>
        <w:rPr>
          <w:rFonts w:hint="eastAsia" w:ascii="宋体" w:hAnsi="宋体"/>
          <w:color w:val="000000"/>
          <w:spacing w:val="-4"/>
          <w:sz w:val="24"/>
          <w:szCs w:val="20"/>
          <w:highlight w:val="none"/>
        </w:rPr>
        <w:t>（2）投标报价具有选择性；</w:t>
      </w:r>
    </w:p>
    <w:p>
      <w:pPr>
        <w:snapToGrid w:val="0"/>
        <w:ind w:firstLine="464" w:firstLineChars="200"/>
        <w:rPr>
          <w:rFonts w:ascii="宋体" w:hAnsi="宋体"/>
          <w:color w:val="000000"/>
          <w:spacing w:val="-4"/>
          <w:sz w:val="24"/>
          <w:szCs w:val="20"/>
          <w:highlight w:val="none"/>
        </w:rPr>
      </w:pPr>
      <w:r>
        <w:rPr>
          <w:rFonts w:hint="eastAsia" w:ascii="宋体" w:hAnsi="宋体"/>
          <w:color w:val="000000"/>
          <w:spacing w:val="-4"/>
          <w:sz w:val="24"/>
          <w:szCs w:val="20"/>
          <w:highlight w:val="none"/>
        </w:rPr>
        <w:t>（3）投标报价明细表总额与开标一览表总价不一致，且高于总价5％的；</w:t>
      </w:r>
    </w:p>
    <w:p>
      <w:pPr>
        <w:snapToGrid w:val="0"/>
        <w:ind w:firstLine="464" w:firstLineChars="200"/>
        <w:rPr>
          <w:rFonts w:ascii="宋体" w:hAnsi="宋体"/>
          <w:color w:val="000000"/>
          <w:spacing w:val="-4"/>
          <w:sz w:val="24"/>
          <w:szCs w:val="20"/>
          <w:highlight w:val="none"/>
        </w:rPr>
      </w:pPr>
      <w:r>
        <w:rPr>
          <w:rFonts w:hint="eastAsia" w:ascii="宋体" w:hAnsi="宋体"/>
          <w:color w:val="000000"/>
          <w:spacing w:val="-4"/>
          <w:sz w:val="24"/>
          <w:szCs w:val="20"/>
          <w:highlight w:val="none"/>
        </w:rPr>
        <w:t>（4）评标委员会认为投标人的报价明显低于其他通过符合性审查投标人的报价，有可能影响产品质量或者不能诚信履约的，要求其在评标现场合理的时间内提供书面说明，并提交相关证明材料，但投标人不能证明其报价合理性的；</w:t>
      </w:r>
    </w:p>
    <w:p>
      <w:pPr>
        <w:snapToGrid w:val="0"/>
        <w:ind w:firstLine="464" w:firstLineChars="200"/>
        <w:rPr>
          <w:rFonts w:ascii="宋体" w:hAnsi="宋体"/>
          <w:color w:val="000000"/>
          <w:spacing w:val="-4"/>
          <w:sz w:val="24"/>
          <w:szCs w:val="20"/>
          <w:highlight w:val="none"/>
        </w:rPr>
      </w:pPr>
      <w:r>
        <w:rPr>
          <w:rFonts w:hint="eastAsia" w:ascii="宋体" w:hAnsi="宋体"/>
          <w:color w:val="000000"/>
          <w:spacing w:val="-4"/>
          <w:sz w:val="24"/>
          <w:szCs w:val="20"/>
          <w:highlight w:val="none"/>
        </w:rPr>
        <w:t>（5）二分之一以上的评委认为供应商报价明显高于市场平均价的；</w:t>
      </w:r>
    </w:p>
    <w:p>
      <w:pPr>
        <w:snapToGrid w:val="0"/>
        <w:ind w:firstLine="582" w:firstLineChars="250"/>
        <w:rPr>
          <w:rFonts w:ascii="宋体" w:hAnsi="宋体"/>
          <w:color w:val="000000"/>
          <w:spacing w:val="-4"/>
          <w:sz w:val="24"/>
          <w:szCs w:val="20"/>
          <w:highlight w:val="none"/>
        </w:rPr>
      </w:pPr>
      <w:r>
        <w:rPr>
          <w:rFonts w:hint="eastAsia" w:ascii="宋体" w:hAnsi="宋体"/>
          <w:b/>
          <w:color w:val="000000"/>
          <w:spacing w:val="-4"/>
          <w:sz w:val="24"/>
          <w:szCs w:val="20"/>
          <w:highlight w:val="none"/>
        </w:rPr>
        <w:t>(6)</w:t>
      </w:r>
      <w:r>
        <w:rPr>
          <w:rFonts w:hint="eastAsia" w:ascii="宋体" w:hAnsi="宋体"/>
          <w:color w:val="000000"/>
          <w:spacing w:val="-4"/>
          <w:sz w:val="24"/>
          <w:szCs w:val="20"/>
          <w:highlight w:val="none"/>
        </w:rPr>
        <w:t xml:space="preserve"> 投标报价超出采购预算的（或采购文件规定的价格上限）。</w:t>
      </w:r>
    </w:p>
    <w:p>
      <w:pPr>
        <w:snapToGrid w:val="0"/>
        <w:ind w:firstLine="580" w:firstLineChars="250"/>
        <w:rPr>
          <w:rFonts w:ascii="宋体" w:hAnsi="宋体"/>
          <w:color w:val="000000"/>
          <w:spacing w:val="-4"/>
          <w:sz w:val="24"/>
          <w:szCs w:val="20"/>
          <w:highlight w:val="none"/>
        </w:rPr>
      </w:pPr>
      <w:r>
        <w:rPr>
          <w:rFonts w:hint="eastAsia" w:ascii="宋体" w:hAnsi="宋体"/>
          <w:color w:val="000000"/>
          <w:spacing w:val="-4"/>
          <w:sz w:val="24"/>
          <w:szCs w:val="20"/>
          <w:highlight w:val="none"/>
        </w:rPr>
        <w:t>(7) 法律法规和采购文件规定的其他无效情形。</w:t>
      </w:r>
    </w:p>
    <w:p>
      <w:pPr>
        <w:snapToGrid w:val="0"/>
        <w:ind w:firstLine="457" w:firstLineChars="196"/>
        <w:rPr>
          <w:rFonts w:ascii="宋体" w:hAnsi="宋体"/>
          <w:color w:val="000000"/>
          <w:spacing w:val="-4"/>
          <w:szCs w:val="21"/>
          <w:highlight w:val="none"/>
        </w:rPr>
      </w:pPr>
      <w:r>
        <w:rPr>
          <w:rFonts w:ascii="宋体" w:hAnsi="宋体"/>
          <w:b/>
          <w:color w:val="000000"/>
          <w:spacing w:val="-4"/>
          <w:sz w:val="24"/>
          <w:szCs w:val="20"/>
          <w:highlight w:val="none"/>
        </w:rPr>
        <w:t>4</w:t>
      </w:r>
      <w:r>
        <w:rPr>
          <w:rFonts w:hint="eastAsia" w:ascii="宋体" w:hAnsi="宋体"/>
          <w:b/>
          <w:color w:val="000000"/>
          <w:spacing w:val="-4"/>
          <w:sz w:val="24"/>
          <w:szCs w:val="20"/>
          <w:highlight w:val="none"/>
        </w:rPr>
        <w:t>.</w:t>
      </w:r>
      <w:r>
        <w:rPr>
          <w:rFonts w:ascii="宋体" w:hAnsi="宋体"/>
          <w:b/>
          <w:color w:val="000000"/>
          <w:spacing w:val="-4"/>
          <w:sz w:val="24"/>
          <w:szCs w:val="20"/>
          <w:highlight w:val="none"/>
        </w:rPr>
        <w:t>被拒绝的投标文件为无效。</w:t>
      </w:r>
    </w:p>
    <w:p>
      <w:pPr>
        <w:snapToGrid w:val="0"/>
        <w:outlineLvl w:val="1"/>
        <w:rPr>
          <w:rFonts w:ascii="宋体" w:hAnsi="宋体"/>
          <w:b/>
          <w:snapToGrid w:val="0"/>
          <w:color w:val="000000"/>
          <w:spacing w:val="-4"/>
          <w:sz w:val="28"/>
          <w:szCs w:val="28"/>
          <w:highlight w:val="none"/>
        </w:rPr>
      </w:pPr>
      <w:r>
        <w:rPr>
          <w:rFonts w:hint="eastAsia" w:ascii="宋体" w:hAnsi="宋体"/>
          <w:b/>
          <w:color w:val="000000"/>
          <w:spacing w:val="-4"/>
          <w:sz w:val="28"/>
          <w:szCs w:val="28"/>
          <w:highlight w:val="none"/>
        </w:rPr>
        <w:t>四、开标</w:t>
      </w:r>
    </w:p>
    <w:p>
      <w:pPr>
        <w:snapToGrid w:val="0"/>
        <w:ind w:firstLine="472" w:firstLineChars="196"/>
        <w:rPr>
          <w:rFonts w:ascii="宋体" w:hAnsi="宋体"/>
          <w:b/>
          <w:color w:val="000000"/>
          <w:sz w:val="24"/>
          <w:highlight w:val="none"/>
        </w:rPr>
      </w:pPr>
      <w:r>
        <w:rPr>
          <w:rFonts w:ascii="宋体" w:hAnsi="宋体"/>
          <w:b/>
          <w:color w:val="000000"/>
          <w:sz w:val="24"/>
          <w:highlight w:val="none"/>
        </w:rPr>
        <w:t>（一）开标准备</w:t>
      </w:r>
    </w:p>
    <w:p>
      <w:pPr>
        <w:snapToGrid w:val="0"/>
        <w:ind w:firstLine="482" w:firstLineChars="200"/>
        <w:rPr>
          <w:rFonts w:ascii="宋体" w:hAnsi="宋体"/>
          <w:b/>
          <w:bCs/>
          <w:color w:val="000000"/>
          <w:sz w:val="24"/>
          <w:highlight w:val="none"/>
        </w:rPr>
      </w:pPr>
      <w:r>
        <w:rPr>
          <w:rFonts w:hint="eastAsia" w:ascii="宋体" w:hAnsi="宋体"/>
          <w:b/>
          <w:bCs/>
          <w:color w:val="000000"/>
          <w:sz w:val="24"/>
          <w:highlight w:val="none"/>
        </w:rPr>
        <w:t>采购代理机构</w:t>
      </w:r>
      <w:r>
        <w:rPr>
          <w:rFonts w:ascii="宋体" w:hAnsi="宋体"/>
          <w:b/>
          <w:bCs/>
          <w:color w:val="000000"/>
          <w:sz w:val="24"/>
          <w:highlight w:val="none"/>
        </w:rPr>
        <w:t>将在规定的时间和地点进行开标，</w:t>
      </w:r>
      <w:r>
        <w:rPr>
          <w:rFonts w:hint="eastAsia" w:ascii="宋体" w:hAnsi="宋体"/>
          <w:b/>
          <w:bCs/>
          <w:color w:val="000000"/>
          <w:sz w:val="24"/>
          <w:highlight w:val="none"/>
        </w:rPr>
        <w:t>邀请所有投标人参加开标会。投标人的法定代表人或其授权代理人若参加开标会，应出具其有效身份证明、授权委托书，投标人的法定代表人或其授权代理人</w:t>
      </w:r>
      <w:r>
        <w:rPr>
          <w:rFonts w:hint="eastAsia" w:ascii="宋体" w:hAnsi="宋体"/>
          <w:b/>
          <w:color w:val="000000"/>
          <w:sz w:val="24"/>
          <w:szCs w:val="20"/>
          <w:highlight w:val="none"/>
        </w:rPr>
        <w:t>未能出具有效身份证明或与法定代表人授权委托人身份不符的，视同未参加开标会</w:t>
      </w:r>
      <w:r>
        <w:rPr>
          <w:rFonts w:hint="eastAsia" w:ascii="宋体" w:hAnsi="宋体"/>
          <w:b/>
          <w:bCs/>
          <w:color w:val="000000"/>
          <w:sz w:val="24"/>
          <w:highlight w:val="none"/>
        </w:rPr>
        <w:t>；投标人的法定代表人或其授权代理人参加开标会议未签到的，</w:t>
      </w:r>
      <w:r>
        <w:rPr>
          <w:rFonts w:hint="eastAsia" w:ascii="宋体" w:hAnsi="宋体"/>
          <w:b/>
          <w:color w:val="000000"/>
          <w:sz w:val="24"/>
          <w:szCs w:val="20"/>
          <w:highlight w:val="none"/>
        </w:rPr>
        <w:t>视同未参加开标会。法定代表人或其授权代理人未参加开标会的，视同认可开标结果</w:t>
      </w:r>
      <w:r>
        <w:rPr>
          <w:rFonts w:hint="eastAsia" w:ascii="宋体" w:hAnsi="宋体"/>
          <w:b/>
          <w:bCs/>
          <w:color w:val="000000"/>
          <w:sz w:val="24"/>
          <w:highlight w:val="none"/>
        </w:rPr>
        <w:t>，事后不得对采购相关人员、开标过程和评标结果提出异议。</w:t>
      </w:r>
    </w:p>
    <w:p>
      <w:pPr>
        <w:snapToGrid w:val="0"/>
        <w:ind w:firstLine="482" w:firstLineChars="200"/>
        <w:rPr>
          <w:rFonts w:ascii="宋体" w:hAnsi="宋体"/>
          <w:b/>
          <w:color w:val="000000"/>
          <w:sz w:val="24"/>
          <w:highlight w:val="none"/>
        </w:rPr>
      </w:pPr>
      <w:r>
        <w:rPr>
          <w:rFonts w:ascii="宋体" w:hAnsi="宋体"/>
          <w:b/>
          <w:color w:val="000000"/>
          <w:sz w:val="24"/>
          <w:highlight w:val="none"/>
        </w:rPr>
        <w:t>（二）开标程序：</w:t>
      </w:r>
    </w:p>
    <w:p>
      <w:pPr>
        <w:snapToGrid w:val="0"/>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w:t>
      </w:r>
      <w:r>
        <w:rPr>
          <w:rFonts w:ascii="宋体" w:hAnsi="宋体"/>
          <w:color w:val="000000"/>
          <w:sz w:val="24"/>
          <w:highlight w:val="none"/>
        </w:rPr>
        <w:t>开标会由</w:t>
      </w:r>
      <w:r>
        <w:rPr>
          <w:rFonts w:hint="eastAsia" w:ascii="宋体" w:hAnsi="宋体"/>
          <w:color w:val="000000"/>
          <w:sz w:val="24"/>
          <w:highlight w:val="none"/>
        </w:rPr>
        <w:t>采购代理机构</w:t>
      </w:r>
      <w:r>
        <w:rPr>
          <w:rFonts w:ascii="宋体" w:hAnsi="宋体"/>
          <w:color w:val="000000"/>
          <w:sz w:val="24"/>
          <w:highlight w:val="none"/>
        </w:rPr>
        <w:t>主持，主持人宣布开标会议开始</w:t>
      </w:r>
      <w:r>
        <w:rPr>
          <w:rFonts w:hint="eastAsia" w:ascii="宋体" w:hAnsi="宋体"/>
          <w:color w:val="000000"/>
          <w:sz w:val="24"/>
          <w:highlight w:val="none"/>
        </w:rPr>
        <w:t>；</w:t>
      </w:r>
    </w:p>
    <w:p>
      <w:pPr>
        <w:snapToGrid w:val="0"/>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.主持人</w:t>
      </w:r>
      <w:r>
        <w:rPr>
          <w:rFonts w:ascii="宋体" w:hAnsi="宋体"/>
          <w:sz w:val="24"/>
          <w:highlight w:val="none"/>
        </w:rPr>
        <w:t>介绍参加开标会</w:t>
      </w:r>
      <w:r>
        <w:rPr>
          <w:rFonts w:hint="eastAsia" w:ascii="宋体" w:hAnsi="宋体"/>
          <w:sz w:val="24"/>
          <w:highlight w:val="none"/>
        </w:rPr>
        <w:t>现场</w:t>
      </w:r>
      <w:r>
        <w:rPr>
          <w:rFonts w:ascii="宋体" w:hAnsi="宋体"/>
          <w:sz w:val="24"/>
          <w:highlight w:val="none"/>
        </w:rPr>
        <w:t>的人员名单</w:t>
      </w:r>
      <w:r>
        <w:rPr>
          <w:rFonts w:hint="eastAsia" w:ascii="宋体" w:hAnsi="宋体"/>
          <w:sz w:val="24"/>
          <w:highlight w:val="none"/>
        </w:rPr>
        <w:t>；</w:t>
      </w:r>
    </w:p>
    <w:p>
      <w:pPr>
        <w:snapToGrid w:val="0"/>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rPr>
        <w:t>.主持人</w:t>
      </w:r>
      <w:r>
        <w:rPr>
          <w:rFonts w:ascii="宋体" w:hAnsi="宋体"/>
          <w:sz w:val="24"/>
          <w:highlight w:val="none"/>
        </w:rPr>
        <w:t>宣读递交</w:t>
      </w:r>
      <w:r>
        <w:rPr>
          <w:rFonts w:hint="eastAsia" w:ascii="宋体" w:hAnsi="宋体"/>
          <w:sz w:val="24"/>
          <w:highlight w:val="none"/>
        </w:rPr>
        <w:t>采购响应</w:t>
      </w:r>
      <w:r>
        <w:rPr>
          <w:rFonts w:ascii="宋体" w:hAnsi="宋体"/>
          <w:sz w:val="24"/>
          <w:highlight w:val="none"/>
        </w:rPr>
        <w:t>文件的供应商名单、开标纪律、应当回避的情形等注意事项，组织到场供应商签署不存在影响公平竞争的《政府采购活动现场确认声明书》</w:t>
      </w:r>
      <w:r>
        <w:rPr>
          <w:rFonts w:hint="eastAsia" w:ascii="宋体" w:hAnsi="宋体"/>
          <w:sz w:val="24"/>
          <w:highlight w:val="none"/>
        </w:rPr>
        <w:t>；</w:t>
      </w:r>
    </w:p>
    <w:p>
      <w:pPr>
        <w:snapToGrid w:val="0"/>
        <w:ind w:firstLine="482" w:firstLineChars="200"/>
        <w:rPr>
          <w:rFonts w:ascii="宋体" w:hAnsi="宋体"/>
          <w:b/>
          <w:sz w:val="24"/>
          <w:highlight w:val="none"/>
        </w:rPr>
      </w:pPr>
      <w:r>
        <w:rPr>
          <w:rFonts w:ascii="宋体" w:hAnsi="宋体"/>
          <w:b/>
          <w:sz w:val="24"/>
          <w:highlight w:val="none"/>
        </w:rPr>
        <w:t>4</w:t>
      </w:r>
      <w:r>
        <w:rPr>
          <w:rFonts w:hint="eastAsia" w:ascii="宋体" w:hAnsi="宋体"/>
          <w:b/>
          <w:sz w:val="24"/>
          <w:highlight w:val="none"/>
        </w:rPr>
        <w:t>.电子招投标开标及评审程序</w:t>
      </w:r>
    </w:p>
    <w:p>
      <w:pPr>
        <w:pStyle w:val="27"/>
        <w:snapToGrid w:val="0"/>
        <w:spacing w:before="120" w:after="120" w:line="360" w:lineRule="auto"/>
        <w:ind w:firstLine="472" w:firstLineChars="196"/>
        <w:rPr>
          <w:b/>
          <w:bCs/>
          <w:sz w:val="24"/>
          <w:szCs w:val="24"/>
          <w:highlight w:val="none"/>
          <w:u w:val="single"/>
        </w:rPr>
      </w:pPr>
      <w:r>
        <w:rPr>
          <w:rFonts w:hint="eastAsia"/>
          <w:b/>
          <w:bCs/>
          <w:sz w:val="24"/>
          <w:szCs w:val="24"/>
          <w:highlight w:val="none"/>
        </w:rPr>
        <w:t>4.1</w:t>
      </w:r>
      <w:r>
        <w:rPr>
          <w:b/>
          <w:bCs/>
          <w:sz w:val="24"/>
          <w:szCs w:val="24"/>
          <w:highlight w:val="none"/>
        </w:rPr>
        <w:t>投标截止时间后</w:t>
      </w:r>
      <w:r>
        <w:rPr>
          <w:rFonts w:hint="eastAsia"/>
          <w:b/>
          <w:bCs/>
          <w:sz w:val="24"/>
          <w:szCs w:val="24"/>
          <w:highlight w:val="none"/>
        </w:rPr>
        <w:t>，投标人</w:t>
      </w:r>
      <w:r>
        <w:rPr>
          <w:b/>
          <w:bCs/>
          <w:sz w:val="24"/>
          <w:szCs w:val="24"/>
          <w:highlight w:val="none"/>
        </w:rPr>
        <w:t>登录</w:t>
      </w:r>
      <w:r>
        <w:rPr>
          <w:rFonts w:hint="eastAsia"/>
          <w:b/>
          <w:bCs/>
          <w:sz w:val="24"/>
          <w:szCs w:val="24"/>
          <w:highlight w:val="none"/>
        </w:rPr>
        <w:t>政采云平台</w:t>
      </w:r>
      <w:r>
        <w:rPr>
          <w:b/>
          <w:bCs/>
          <w:sz w:val="24"/>
          <w:szCs w:val="24"/>
          <w:highlight w:val="none"/>
        </w:rPr>
        <w:t>，用“</w:t>
      </w:r>
      <w:r>
        <w:rPr>
          <w:rFonts w:hint="eastAsia"/>
          <w:b/>
          <w:bCs/>
          <w:sz w:val="24"/>
          <w:szCs w:val="24"/>
          <w:highlight w:val="none"/>
        </w:rPr>
        <w:t>项目采购-开标评标</w:t>
      </w:r>
      <w:r>
        <w:rPr>
          <w:b/>
          <w:bCs/>
          <w:sz w:val="24"/>
          <w:szCs w:val="24"/>
          <w:highlight w:val="none"/>
        </w:rPr>
        <w:t>”功能</w:t>
      </w:r>
      <w:r>
        <w:rPr>
          <w:rFonts w:hint="eastAsia"/>
          <w:b/>
          <w:bCs/>
          <w:sz w:val="24"/>
          <w:szCs w:val="24"/>
          <w:highlight w:val="none"/>
        </w:rPr>
        <w:t>对电子投标文件进行在线解密</w:t>
      </w:r>
      <w:r>
        <w:rPr>
          <w:b/>
          <w:bCs/>
          <w:sz w:val="24"/>
          <w:szCs w:val="24"/>
          <w:highlight w:val="none"/>
        </w:rPr>
        <w:t>。</w:t>
      </w:r>
      <w:r>
        <w:rPr>
          <w:rFonts w:hint="eastAsia"/>
          <w:b/>
          <w:bCs/>
          <w:sz w:val="24"/>
          <w:szCs w:val="24"/>
          <w:highlight w:val="none"/>
          <w:u w:val="single"/>
        </w:rPr>
        <w:t>在线解密电子投标文件时间为开标时间起半个小时内。</w:t>
      </w:r>
    </w:p>
    <w:p>
      <w:pPr>
        <w:pStyle w:val="27"/>
        <w:snapToGrid w:val="0"/>
        <w:spacing w:before="120" w:after="120" w:line="360" w:lineRule="auto"/>
        <w:ind w:firstLine="472" w:firstLineChars="196"/>
        <w:rPr>
          <w:b/>
          <w:bCs/>
          <w:sz w:val="24"/>
          <w:szCs w:val="24"/>
          <w:highlight w:val="none"/>
        </w:rPr>
      </w:pPr>
      <w:r>
        <w:rPr>
          <w:rFonts w:hint="eastAsia"/>
          <w:b/>
          <w:sz w:val="24"/>
          <w:highlight w:val="none"/>
        </w:rPr>
        <w:t>若投标人在规定时间内无法解密或解密失败，采购代理机构将开启该投标人递交的备份电子投标文件，上传至政采云平台项目采购模块，以完成开标，原电子投标文件自动失效；备份电子投标文件</w:t>
      </w:r>
      <w:r>
        <w:rPr>
          <w:rFonts w:hint="eastAsia"/>
          <w:b/>
          <w:bCs/>
          <w:sz w:val="24"/>
          <w:szCs w:val="24"/>
          <w:highlight w:val="none"/>
        </w:rPr>
        <w:t>无法评审使用的，作无效标处理。</w:t>
      </w:r>
    </w:p>
    <w:p>
      <w:pPr>
        <w:pStyle w:val="27"/>
        <w:snapToGrid w:val="0"/>
        <w:spacing w:before="120" w:after="120" w:line="360" w:lineRule="auto"/>
        <w:ind w:firstLine="472" w:firstLineChars="196"/>
        <w:rPr>
          <w:b/>
          <w:bCs/>
          <w:sz w:val="24"/>
          <w:szCs w:val="24"/>
          <w:highlight w:val="none"/>
        </w:rPr>
      </w:pPr>
      <w:r>
        <w:rPr>
          <w:rFonts w:hint="eastAsia"/>
          <w:b/>
          <w:bCs/>
          <w:sz w:val="24"/>
          <w:szCs w:val="24"/>
          <w:highlight w:val="none"/>
        </w:rPr>
        <w:t>4.2评标委员会对资格和商务技术响应文件进行评审；</w:t>
      </w:r>
    </w:p>
    <w:p>
      <w:pPr>
        <w:pStyle w:val="27"/>
        <w:snapToGrid w:val="0"/>
        <w:spacing w:before="120" w:after="120" w:line="360" w:lineRule="auto"/>
        <w:ind w:firstLine="472" w:firstLineChars="196"/>
        <w:rPr>
          <w:b/>
          <w:bCs/>
          <w:sz w:val="24"/>
          <w:szCs w:val="24"/>
          <w:highlight w:val="none"/>
        </w:rPr>
      </w:pPr>
      <w:r>
        <w:rPr>
          <w:rFonts w:hint="eastAsia"/>
          <w:b/>
          <w:bCs/>
          <w:sz w:val="24"/>
          <w:szCs w:val="24"/>
          <w:highlight w:val="none"/>
        </w:rPr>
        <w:t>4.3在系统上公开资格和商务技术评审结果；</w:t>
      </w:r>
    </w:p>
    <w:p>
      <w:pPr>
        <w:pStyle w:val="27"/>
        <w:snapToGrid w:val="0"/>
        <w:spacing w:before="120" w:after="120" w:line="360" w:lineRule="auto"/>
        <w:ind w:firstLine="472" w:firstLineChars="196"/>
        <w:rPr>
          <w:b/>
          <w:bCs/>
          <w:sz w:val="24"/>
          <w:szCs w:val="24"/>
          <w:highlight w:val="none"/>
        </w:rPr>
      </w:pPr>
      <w:r>
        <w:rPr>
          <w:rFonts w:hint="eastAsia"/>
          <w:b/>
          <w:bCs/>
          <w:sz w:val="24"/>
          <w:szCs w:val="24"/>
          <w:highlight w:val="none"/>
        </w:rPr>
        <w:t>4.4在系统上公开报价开标情况；</w:t>
      </w:r>
    </w:p>
    <w:p>
      <w:pPr>
        <w:pStyle w:val="27"/>
        <w:snapToGrid w:val="0"/>
        <w:spacing w:before="120" w:after="120" w:line="360" w:lineRule="auto"/>
        <w:ind w:firstLine="472" w:firstLineChars="196"/>
        <w:rPr>
          <w:b/>
          <w:bCs/>
          <w:sz w:val="24"/>
          <w:szCs w:val="24"/>
          <w:highlight w:val="none"/>
        </w:rPr>
      </w:pPr>
      <w:r>
        <w:rPr>
          <w:rFonts w:hint="eastAsia"/>
          <w:b/>
          <w:bCs/>
          <w:sz w:val="24"/>
          <w:szCs w:val="24"/>
          <w:highlight w:val="none"/>
        </w:rPr>
        <w:t>4.5评标委员会对报价情况进行评审；</w:t>
      </w:r>
    </w:p>
    <w:p>
      <w:pPr>
        <w:pStyle w:val="27"/>
        <w:snapToGrid w:val="0"/>
        <w:spacing w:before="120" w:after="120" w:line="360" w:lineRule="auto"/>
        <w:ind w:firstLine="472" w:firstLineChars="196"/>
        <w:rPr>
          <w:b/>
          <w:bCs/>
          <w:sz w:val="24"/>
          <w:szCs w:val="24"/>
          <w:highlight w:val="none"/>
        </w:rPr>
      </w:pPr>
      <w:r>
        <w:rPr>
          <w:rFonts w:hint="eastAsia"/>
          <w:b/>
          <w:bCs/>
          <w:sz w:val="24"/>
          <w:szCs w:val="24"/>
          <w:highlight w:val="none"/>
        </w:rPr>
        <w:t>4.6在系统上公布评审结果。</w:t>
      </w:r>
    </w:p>
    <w:p>
      <w:pPr>
        <w:pStyle w:val="27"/>
        <w:snapToGrid w:val="0"/>
        <w:spacing w:before="120" w:after="120" w:line="360" w:lineRule="auto"/>
        <w:ind w:firstLine="472" w:firstLineChars="196"/>
        <w:rPr>
          <w:b/>
          <w:bCs/>
          <w:sz w:val="24"/>
          <w:highlight w:val="none"/>
          <w:u w:val="single"/>
        </w:rPr>
      </w:pPr>
      <w:r>
        <w:rPr>
          <w:rFonts w:hint="eastAsia"/>
          <w:b/>
          <w:bCs/>
          <w:sz w:val="24"/>
          <w:szCs w:val="24"/>
          <w:highlight w:val="none"/>
          <w:u w:val="single"/>
        </w:rPr>
        <w:t>特别说明：政采云公司如对电子化开标及评审程序有调整的，按调整后的程序操作。</w:t>
      </w:r>
    </w:p>
    <w:p>
      <w:pPr>
        <w:snapToGrid w:val="0"/>
        <w:ind w:firstLine="464" w:firstLineChars="200"/>
        <w:rPr>
          <w:rFonts w:ascii="宋体" w:hAnsi="宋体" w:eastAsia="Calibri"/>
          <w:color w:val="000000"/>
          <w:spacing w:val="-4"/>
          <w:sz w:val="24"/>
          <w:szCs w:val="20"/>
          <w:highlight w:val="none"/>
        </w:rPr>
      </w:pPr>
      <w:r>
        <w:rPr>
          <w:rFonts w:hint="eastAsia" w:ascii="宋体" w:hAnsi="宋体" w:eastAsia="Calibri"/>
          <w:color w:val="000000"/>
          <w:spacing w:val="-4"/>
          <w:sz w:val="24"/>
          <w:szCs w:val="20"/>
          <w:highlight w:val="none"/>
        </w:rPr>
        <w:t>5. 开标会议结束。</w:t>
      </w:r>
    </w:p>
    <w:p>
      <w:pPr>
        <w:snapToGrid w:val="0"/>
        <w:outlineLvl w:val="1"/>
        <w:rPr>
          <w:rFonts w:ascii="宋体" w:hAnsi="宋体"/>
          <w:b/>
          <w:color w:val="000000"/>
          <w:sz w:val="28"/>
          <w:szCs w:val="28"/>
          <w:highlight w:val="none"/>
        </w:rPr>
      </w:pPr>
      <w:r>
        <w:rPr>
          <w:rFonts w:hint="eastAsia" w:ascii="宋体" w:hAnsi="宋体"/>
          <w:b/>
          <w:color w:val="000000"/>
          <w:sz w:val="28"/>
          <w:szCs w:val="28"/>
          <w:highlight w:val="none"/>
        </w:rPr>
        <w:t>五、评标</w:t>
      </w:r>
    </w:p>
    <w:p>
      <w:pPr>
        <w:snapToGrid w:val="0"/>
        <w:ind w:left="720" w:leftChars="228" w:hanging="241" w:hangingChars="100"/>
        <w:rPr>
          <w:rFonts w:ascii="宋体" w:hAnsi="宋体"/>
          <w:b/>
          <w:color w:val="000000"/>
          <w:sz w:val="24"/>
          <w:highlight w:val="none"/>
        </w:rPr>
      </w:pPr>
      <w:r>
        <w:rPr>
          <w:rFonts w:ascii="宋体" w:hAnsi="宋体"/>
          <w:b/>
          <w:color w:val="000000"/>
          <w:sz w:val="24"/>
          <w:highlight w:val="none"/>
        </w:rPr>
        <w:t>（一）组建评审委员会</w:t>
      </w:r>
    </w:p>
    <w:p>
      <w:pPr>
        <w:pStyle w:val="27"/>
        <w:snapToGrid w:val="0"/>
        <w:ind w:firstLine="480" w:firstLineChars="200"/>
        <w:rPr>
          <w:highlight w:val="none"/>
        </w:rPr>
      </w:pPr>
      <w:r>
        <w:rPr>
          <w:color w:val="000000"/>
          <w:sz w:val="24"/>
          <w:szCs w:val="24"/>
          <w:highlight w:val="none"/>
        </w:rPr>
        <w:t>本项目评审委员会由</w:t>
      </w:r>
      <w:r>
        <w:rPr>
          <w:rFonts w:hint="eastAsia"/>
          <w:color w:val="000000"/>
          <w:sz w:val="24"/>
          <w:szCs w:val="24"/>
          <w:highlight w:val="none"/>
        </w:rPr>
        <w:t>招标人代表和有关技术、经济等方面的专家组成，成员人数为5人及以上单数，其中技术经济等方面的专家不少于成员总数的三分之二</w:t>
      </w:r>
      <w:r>
        <w:rPr>
          <w:color w:val="000000"/>
          <w:sz w:val="24"/>
          <w:szCs w:val="24"/>
          <w:highlight w:val="none"/>
        </w:rPr>
        <w:t>。</w:t>
      </w:r>
    </w:p>
    <w:p>
      <w:pPr>
        <w:snapToGrid w:val="0"/>
        <w:ind w:left="720" w:leftChars="228" w:hanging="241" w:hangingChars="100"/>
        <w:rPr>
          <w:rFonts w:ascii="宋体" w:hAnsi="宋体"/>
          <w:b/>
          <w:sz w:val="24"/>
          <w:highlight w:val="none"/>
        </w:rPr>
      </w:pPr>
      <w:r>
        <w:rPr>
          <w:rFonts w:ascii="宋体" w:hAnsi="宋体"/>
          <w:b/>
          <w:sz w:val="24"/>
          <w:highlight w:val="none"/>
        </w:rPr>
        <w:t>（二）评标的方式</w:t>
      </w:r>
    </w:p>
    <w:p>
      <w:pPr>
        <w:snapToGrid w:val="0"/>
        <w:ind w:left="719" w:leftChars="228" w:hanging="240" w:hangingChars="100"/>
        <w:rPr>
          <w:rFonts w:ascii="宋体" w:hAnsi="宋体"/>
          <w:sz w:val="24"/>
          <w:highlight w:val="none"/>
        </w:rPr>
      </w:pPr>
      <w:r>
        <w:rPr>
          <w:rFonts w:ascii="宋体" w:hAnsi="宋体"/>
          <w:sz w:val="24"/>
          <w:highlight w:val="none"/>
        </w:rPr>
        <w:t>本项目采用不公开方式评标，评标的依据为采购文件和投标文件。</w:t>
      </w:r>
    </w:p>
    <w:p>
      <w:pPr>
        <w:snapToGrid w:val="0"/>
        <w:ind w:left="720" w:leftChars="228" w:hanging="241" w:hangingChars="100"/>
        <w:rPr>
          <w:rFonts w:ascii="宋体" w:hAnsi="宋体"/>
          <w:b/>
          <w:bCs/>
          <w:sz w:val="24"/>
          <w:highlight w:val="none"/>
        </w:rPr>
      </w:pPr>
      <w:r>
        <w:rPr>
          <w:rFonts w:ascii="宋体" w:hAnsi="宋体"/>
          <w:b/>
          <w:sz w:val="24"/>
          <w:highlight w:val="none"/>
        </w:rPr>
        <w:t>（三）</w:t>
      </w:r>
      <w:r>
        <w:rPr>
          <w:rFonts w:hint="eastAsia" w:ascii="宋体" w:hAnsi="宋体"/>
          <w:b/>
          <w:sz w:val="24"/>
          <w:highlight w:val="none"/>
        </w:rPr>
        <w:t>组织</w:t>
      </w:r>
      <w:r>
        <w:rPr>
          <w:rFonts w:ascii="宋体" w:hAnsi="宋体"/>
          <w:b/>
          <w:bCs/>
          <w:sz w:val="24"/>
          <w:highlight w:val="none"/>
        </w:rPr>
        <w:t>评标程序</w:t>
      </w:r>
    </w:p>
    <w:p>
      <w:pPr>
        <w:snapToGrid w:val="0"/>
        <w:ind w:left="2" w:firstLine="475" w:firstLineChars="198"/>
        <w:rPr>
          <w:rFonts w:ascii="宋体" w:hAnsi="宋体"/>
          <w:sz w:val="24"/>
          <w:highlight w:val="none"/>
        </w:rPr>
      </w:pPr>
      <w:r>
        <w:rPr>
          <w:rFonts w:hint="eastAsia" w:ascii="宋体" w:hAnsi="宋体"/>
          <w:sz w:val="24"/>
          <w:highlight w:val="none"/>
        </w:rPr>
        <w:t>采购代理机构将按照采购文件规定的时间、地点和程序组织评标，各评审专家及相关人员应参加评审活动并接受核验、签到，无关人员不得进入评审现场。</w:t>
      </w:r>
    </w:p>
    <w:p>
      <w:pPr>
        <w:snapToGrid w:val="0"/>
        <w:ind w:left="2" w:firstLine="475" w:firstLineChars="198"/>
        <w:rPr>
          <w:rFonts w:ascii="宋体" w:hAnsi="宋体"/>
          <w:sz w:val="24"/>
          <w:highlight w:val="none"/>
        </w:rPr>
      </w:pPr>
      <w:r>
        <w:rPr>
          <w:rFonts w:hint="eastAsia" w:ascii="宋体" w:hAnsi="宋体"/>
          <w:sz w:val="24"/>
          <w:highlight w:val="none"/>
        </w:rPr>
        <w:t>1.核验出席评审活动现场的评审小组各成员和相关监督人员身份，并要求其分别登记、签到，按规定统一收缴、保存其通讯工具，无关人员一律拒绝其进入评审现场。</w:t>
      </w:r>
    </w:p>
    <w:p>
      <w:pPr>
        <w:snapToGrid w:val="0"/>
        <w:ind w:left="2" w:firstLine="475" w:firstLineChars="198"/>
        <w:rPr>
          <w:rFonts w:ascii="宋体" w:hAnsi="宋体"/>
          <w:sz w:val="24"/>
          <w:highlight w:val="none"/>
        </w:rPr>
      </w:pPr>
      <w:r>
        <w:rPr>
          <w:rFonts w:hint="eastAsia" w:ascii="宋体" w:hAnsi="宋体"/>
          <w:sz w:val="24"/>
          <w:highlight w:val="none"/>
        </w:rPr>
        <w:t>2.介绍评审现场的人员情况，宣布评审工作纪律，告知评审人员应当回避情形；组织推选评审小组组长。</w:t>
      </w:r>
    </w:p>
    <w:p>
      <w:pPr>
        <w:snapToGrid w:val="0"/>
        <w:ind w:left="2" w:firstLine="475" w:firstLineChars="198"/>
        <w:rPr>
          <w:rFonts w:ascii="宋体" w:hAnsi="宋体"/>
          <w:sz w:val="24"/>
          <w:highlight w:val="none"/>
        </w:rPr>
      </w:pPr>
      <w:r>
        <w:rPr>
          <w:rFonts w:hint="eastAsia" w:ascii="宋体" w:hAnsi="宋体"/>
          <w:sz w:val="24"/>
          <w:highlight w:val="none"/>
        </w:rPr>
        <w:t>3.宣读提交投标文件的供应商名单，组织评审小组各位成员签订《政府采购评审人员廉洁自律承诺书》。</w:t>
      </w:r>
    </w:p>
    <w:p>
      <w:pPr>
        <w:snapToGrid w:val="0"/>
        <w:ind w:left="2" w:firstLine="475" w:firstLineChars="198"/>
        <w:rPr>
          <w:rFonts w:ascii="宋体" w:hAnsi="宋体"/>
          <w:sz w:val="24"/>
          <w:highlight w:val="none"/>
        </w:rPr>
      </w:pPr>
      <w:r>
        <w:rPr>
          <w:rFonts w:hint="eastAsia" w:ascii="宋体" w:hAnsi="宋体"/>
          <w:sz w:val="24"/>
          <w:highlight w:val="none"/>
        </w:rPr>
        <w:t>4.根据需要简要介绍采购文件（含补充文件）制定及质疑答复情况、按书面陈述项目基本情况及评审工作需注意事项等，让评审专家尽快知悉和了解所评审项目的采购需求、评审依据、评审标准、工作程序等；提醒评审小组对客观评审项目应统一评审依据和评审标准，对主观评审项目应确定大致的评审要求和评审尺度；对评审人员提出的有关采购文件、投标文件的问题进行必要的说明、解释或讨论。</w:t>
      </w:r>
    </w:p>
    <w:p>
      <w:pPr>
        <w:snapToGrid w:val="0"/>
        <w:ind w:left="2" w:firstLine="475" w:firstLineChars="198"/>
        <w:rPr>
          <w:rFonts w:ascii="宋体" w:hAnsi="宋体"/>
          <w:sz w:val="24"/>
          <w:highlight w:val="none"/>
        </w:rPr>
      </w:pPr>
      <w:r>
        <w:rPr>
          <w:rFonts w:hint="eastAsia" w:ascii="宋体" w:hAnsi="宋体"/>
          <w:sz w:val="24"/>
          <w:highlight w:val="none"/>
        </w:rPr>
        <w:t>5.做好评审现场相关记录，协助评审小组组长做好评审报告起草、有关内容电脑文字录入等工作，并要求评审小组各成员签字确认。</w:t>
      </w:r>
    </w:p>
    <w:p>
      <w:pPr>
        <w:snapToGrid w:val="0"/>
        <w:ind w:left="2" w:firstLine="475" w:firstLineChars="198"/>
        <w:rPr>
          <w:rFonts w:ascii="宋体" w:hAnsi="宋体"/>
          <w:sz w:val="24"/>
          <w:highlight w:val="none"/>
        </w:rPr>
      </w:pPr>
      <w:r>
        <w:rPr>
          <w:rFonts w:hint="eastAsia" w:ascii="宋体" w:hAnsi="宋体"/>
          <w:sz w:val="24"/>
          <w:highlight w:val="none"/>
        </w:rPr>
        <w:t>6.评审结束后，采购代理机构应对评审小组各成员的专业水平、职业道德、遵纪守法等情况进行评价；同时按规定向评审专家发放评审费，并交还评审人员及其他现场相关人员的通讯工具。</w:t>
      </w:r>
    </w:p>
    <w:p>
      <w:pPr>
        <w:snapToGrid w:val="0"/>
        <w:ind w:firstLine="472" w:firstLineChars="196"/>
        <w:rPr>
          <w:rFonts w:ascii="宋体" w:hAnsi="宋体"/>
          <w:b/>
          <w:bCs/>
          <w:sz w:val="24"/>
          <w:szCs w:val="20"/>
          <w:highlight w:val="none"/>
        </w:rPr>
      </w:pPr>
      <w:r>
        <w:rPr>
          <w:rFonts w:hint="eastAsia" w:ascii="宋体" w:hAnsi="宋体"/>
          <w:b/>
          <w:bCs/>
          <w:sz w:val="24"/>
          <w:szCs w:val="20"/>
          <w:highlight w:val="none"/>
        </w:rPr>
        <w:t>（四）评标程序</w:t>
      </w:r>
    </w:p>
    <w:p>
      <w:pPr>
        <w:snapToGrid w:val="0"/>
        <w:ind w:firstLine="472" w:firstLineChars="196"/>
        <w:rPr>
          <w:rFonts w:ascii="宋体" w:hAnsi="宋体"/>
          <w:b/>
          <w:bCs/>
          <w:sz w:val="24"/>
          <w:szCs w:val="20"/>
          <w:highlight w:val="none"/>
        </w:rPr>
      </w:pPr>
      <w:r>
        <w:rPr>
          <w:rFonts w:ascii="宋体" w:hAnsi="宋体"/>
          <w:b/>
          <w:bCs/>
          <w:sz w:val="24"/>
          <w:szCs w:val="20"/>
          <w:highlight w:val="none"/>
        </w:rPr>
        <w:t>1</w:t>
      </w:r>
      <w:r>
        <w:rPr>
          <w:rFonts w:hint="eastAsia" w:ascii="宋体" w:hAnsi="宋体"/>
          <w:b/>
          <w:bCs/>
          <w:sz w:val="24"/>
          <w:szCs w:val="20"/>
          <w:highlight w:val="none"/>
        </w:rPr>
        <w:t>.</w:t>
      </w:r>
      <w:r>
        <w:rPr>
          <w:rFonts w:ascii="宋体" w:hAnsi="宋体"/>
          <w:b/>
          <w:bCs/>
          <w:sz w:val="24"/>
          <w:szCs w:val="20"/>
          <w:highlight w:val="none"/>
        </w:rPr>
        <w:t>形式审查</w:t>
      </w:r>
      <w:r>
        <w:rPr>
          <w:rFonts w:hint="eastAsia" w:ascii="宋体" w:hAnsi="宋体"/>
          <w:b/>
          <w:bCs/>
          <w:sz w:val="24"/>
          <w:szCs w:val="20"/>
          <w:highlight w:val="none"/>
        </w:rPr>
        <w:t>（资格性审查）</w:t>
      </w:r>
    </w:p>
    <w:p>
      <w:pPr>
        <w:snapToGrid w:val="0"/>
        <w:ind w:firstLine="480" w:firstLineChars="200"/>
        <w:rPr>
          <w:rFonts w:ascii="宋体" w:hAnsi="宋体"/>
          <w:b/>
          <w:color w:val="000000"/>
          <w:sz w:val="24"/>
          <w:szCs w:val="20"/>
          <w:highlight w:val="none"/>
        </w:rPr>
      </w:pPr>
      <w:r>
        <w:rPr>
          <w:rFonts w:hint="eastAsia" w:ascii="宋体" w:hAnsi="宋体"/>
          <w:color w:val="000000"/>
          <w:sz w:val="24"/>
          <w:szCs w:val="20"/>
          <w:highlight w:val="none"/>
        </w:rPr>
        <w:t>采购人对投标人的资格进行</w:t>
      </w:r>
      <w:r>
        <w:rPr>
          <w:rFonts w:ascii="宋体" w:hAnsi="宋体"/>
          <w:color w:val="000000"/>
          <w:sz w:val="24"/>
          <w:szCs w:val="20"/>
          <w:highlight w:val="none"/>
        </w:rPr>
        <w:t>审查</w:t>
      </w:r>
      <w:r>
        <w:rPr>
          <w:rFonts w:hint="eastAsia" w:ascii="宋体" w:hAnsi="宋体"/>
          <w:color w:val="000000"/>
          <w:sz w:val="24"/>
          <w:szCs w:val="20"/>
          <w:highlight w:val="none"/>
        </w:rPr>
        <w:t>[</w:t>
      </w:r>
      <w:r>
        <w:rPr>
          <w:rFonts w:ascii="宋体" w:hAnsi="宋体"/>
          <w:b/>
          <w:sz w:val="24"/>
          <w:highlight w:val="none"/>
        </w:rPr>
        <w:t>“信用中国”网站（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57"/>
          <w:rFonts w:ascii="宋体" w:hAnsi="宋体"/>
          <w:b/>
          <w:color w:val="auto"/>
          <w:sz w:val="24"/>
          <w:highlight w:val="none"/>
        </w:rPr>
        <w:t>www.creditchina.gov.cn</w:t>
      </w:r>
      <w:r>
        <w:rPr>
          <w:rStyle w:val="57"/>
          <w:rFonts w:ascii="宋体" w:hAnsi="宋体"/>
          <w:b/>
          <w:color w:val="auto"/>
          <w:sz w:val="24"/>
          <w:highlight w:val="none"/>
        </w:rPr>
        <w:fldChar w:fldCharType="end"/>
      </w:r>
      <w:r>
        <w:rPr>
          <w:rFonts w:ascii="宋体" w:hAnsi="宋体"/>
          <w:b/>
          <w:sz w:val="24"/>
          <w:highlight w:val="none"/>
        </w:rPr>
        <w:t>）</w:t>
      </w:r>
      <w:r>
        <w:rPr>
          <w:rFonts w:hint="eastAsia" w:ascii="宋体" w:hAnsi="宋体"/>
          <w:b/>
          <w:sz w:val="24"/>
          <w:highlight w:val="none"/>
        </w:rPr>
        <w:t>和</w:t>
      </w:r>
      <w:r>
        <w:rPr>
          <w:rFonts w:ascii="宋体" w:hAnsi="宋体"/>
          <w:b/>
          <w:sz w:val="24"/>
          <w:highlight w:val="none"/>
        </w:rPr>
        <w:t>中国政府采购网（</w:t>
      </w:r>
      <w:r>
        <w:rPr>
          <w:highlight w:val="none"/>
        </w:rPr>
        <w:fldChar w:fldCharType="begin"/>
      </w:r>
      <w:r>
        <w:rPr>
          <w:highlight w:val="none"/>
        </w:rPr>
        <w:instrText xml:space="preserve"> HYPERLINK "http://www.ccgp.gov.cn" </w:instrText>
      </w:r>
      <w:r>
        <w:rPr>
          <w:highlight w:val="none"/>
        </w:rPr>
        <w:fldChar w:fldCharType="separate"/>
      </w:r>
      <w:r>
        <w:rPr>
          <w:rStyle w:val="57"/>
          <w:rFonts w:ascii="宋体" w:hAnsi="宋体"/>
          <w:b/>
          <w:color w:val="auto"/>
          <w:sz w:val="24"/>
          <w:highlight w:val="none"/>
        </w:rPr>
        <w:t>www.ccgp.gov.cn</w:t>
      </w:r>
      <w:r>
        <w:rPr>
          <w:rStyle w:val="57"/>
          <w:rFonts w:ascii="宋体" w:hAnsi="宋体"/>
          <w:b/>
          <w:color w:val="auto"/>
          <w:sz w:val="24"/>
          <w:highlight w:val="none"/>
        </w:rPr>
        <w:fldChar w:fldCharType="end"/>
      </w:r>
      <w:r>
        <w:rPr>
          <w:rFonts w:ascii="宋体" w:hAnsi="宋体"/>
          <w:b/>
          <w:sz w:val="24"/>
          <w:highlight w:val="none"/>
        </w:rPr>
        <w:t>）</w:t>
      </w:r>
      <w:r>
        <w:rPr>
          <w:rFonts w:hint="eastAsia" w:ascii="宋体" w:hAnsi="宋体"/>
          <w:color w:val="000000"/>
          <w:sz w:val="24"/>
          <w:szCs w:val="20"/>
          <w:highlight w:val="none"/>
        </w:rPr>
        <w:t>]，采购人代表和代理机构工作人员协助评审委员会</w:t>
      </w:r>
      <w:r>
        <w:rPr>
          <w:rFonts w:ascii="宋体" w:hAnsi="宋体"/>
          <w:color w:val="000000"/>
          <w:sz w:val="24"/>
          <w:szCs w:val="20"/>
          <w:highlight w:val="none"/>
        </w:rPr>
        <w:t>和投标文件的完整性、合法性等进行</w:t>
      </w:r>
      <w:r>
        <w:rPr>
          <w:rFonts w:hint="eastAsia" w:ascii="宋体" w:hAnsi="宋体"/>
          <w:color w:val="000000"/>
          <w:sz w:val="24"/>
          <w:szCs w:val="20"/>
          <w:highlight w:val="none"/>
        </w:rPr>
        <w:t>审查</w:t>
      </w:r>
      <w:r>
        <w:rPr>
          <w:rFonts w:ascii="宋体" w:hAnsi="宋体"/>
          <w:color w:val="000000"/>
          <w:sz w:val="24"/>
          <w:szCs w:val="20"/>
          <w:highlight w:val="none"/>
        </w:rPr>
        <w:t>。</w:t>
      </w:r>
    </w:p>
    <w:p>
      <w:pPr>
        <w:snapToGrid w:val="0"/>
        <w:ind w:firstLine="472" w:firstLineChars="196"/>
        <w:rPr>
          <w:rFonts w:ascii="宋体" w:hAnsi="宋体"/>
          <w:b/>
          <w:bCs/>
          <w:color w:val="000000"/>
          <w:sz w:val="24"/>
          <w:szCs w:val="20"/>
          <w:highlight w:val="none"/>
        </w:rPr>
      </w:pPr>
      <w:r>
        <w:rPr>
          <w:rFonts w:ascii="宋体" w:hAnsi="宋体"/>
          <w:b/>
          <w:bCs/>
          <w:color w:val="000000"/>
          <w:sz w:val="24"/>
          <w:szCs w:val="20"/>
          <w:highlight w:val="none"/>
        </w:rPr>
        <w:t>2</w:t>
      </w:r>
      <w:r>
        <w:rPr>
          <w:rFonts w:hint="eastAsia" w:ascii="宋体" w:hAnsi="宋体"/>
          <w:b/>
          <w:bCs/>
          <w:color w:val="000000"/>
          <w:sz w:val="24"/>
          <w:szCs w:val="20"/>
          <w:highlight w:val="none"/>
        </w:rPr>
        <w:t>.</w:t>
      </w:r>
      <w:r>
        <w:rPr>
          <w:rFonts w:ascii="宋体" w:hAnsi="宋体"/>
          <w:b/>
          <w:bCs/>
          <w:color w:val="000000"/>
          <w:sz w:val="24"/>
          <w:szCs w:val="20"/>
          <w:highlight w:val="none"/>
        </w:rPr>
        <w:t>实质</w:t>
      </w:r>
      <w:r>
        <w:rPr>
          <w:rFonts w:hint="eastAsia" w:ascii="宋体" w:hAnsi="宋体"/>
          <w:b/>
          <w:bCs/>
          <w:color w:val="000000"/>
          <w:sz w:val="24"/>
          <w:szCs w:val="20"/>
          <w:highlight w:val="none"/>
        </w:rPr>
        <w:t>性</w:t>
      </w:r>
      <w:r>
        <w:rPr>
          <w:rFonts w:ascii="宋体" w:hAnsi="宋体"/>
          <w:b/>
          <w:bCs/>
          <w:color w:val="000000"/>
          <w:sz w:val="24"/>
          <w:szCs w:val="20"/>
          <w:highlight w:val="none"/>
        </w:rPr>
        <w:t>审查与比较</w:t>
      </w:r>
    </w:p>
    <w:p>
      <w:pPr>
        <w:snapToGrid w:val="0"/>
        <w:ind w:firstLine="480" w:firstLineChars="200"/>
        <w:rPr>
          <w:rFonts w:ascii="宋体" w:hAnsi="宋体"/>
          <w:sz w:val="24"/>
          <w:szCs w:val="20"/>
          <w:highlight w:val="none"/>
        </w:rPr>
      </w:pPr>
      <w:r>
        <w:rPr>
          <w:rFonts w:ascii="宋体" w:hAnsi="宋体"/>
          <w:sz w:val="24"/>
          <w:szCs w:val="20"/>
          <w:highlight w:val="none"/>
        </w:rPr>
        <w:t>评审委员会审查投标文件是否</w:t>
      </w:r>
      <w:r>
        <w:rPr>
          <w:rFonts w:hint="eastAsia" w:ascii="宋体" w:hAnsi="宋体"/>
          <w:sz w:val="24"/>
          <w:szCs w:val="20"/>
          <w:highlight w:val="none"/>
        </w:rPr>
        <w:t>实质性响应</w:t>
      </w:r>
      <w:r>
        <w:rPr>
          <w:rFonts w:ascii="宋体" w:hAnsi="宋体"/>
          <w:sz w:val="24"/>
          <w:szCs w:val="20"/>
          <w:highlight w:val="none"/>
        </w:rPr>
        <w:t>采购文件的实质性要求。</w:t>
      </w:r>
      <w:r>
        <w:rPr>
          <w:rFonts w:hint="eastAsia" w:ascii="宋体" w:hAnsi="宋体"/>
          <w:sz w:val="24"/>
          <w:szCs w:val="20"/>
          <w:highlight w:val="none"/>
        </w:rPr>
        <w:t>评审委员会组长组织评审人员独立评审。采购人拟认定为供应商资格不符合的或评审委员会拟认定为投标文件无效的，应组织相关供应商代表进行陈述、澄清或申辩。所谓实质上响应，是指投标文件应与采购文件的所有实质性条款、条件和要求相符，无显著差异或保留，或者对合同中约定的采购人的权利和投标人的义务方面造成重大的限制，纠正这些显著差异或保留将会对其他实质上响应采购文件要求的投标文件的投标人的竞争地位产生不公正的影响。</w:t>
      </w:r>
    </w:p>
    <w:p>
      <w:pPr>
        <w:snapToGrid w:val="0"/>
        <w:ind w:firstLine="482" w:firstLineChars="200"/>
        <w:rPr>
          <w:rFonts w:ascii="宋体" w:hAnsi="宋体"/>
          <w:b/>
          <w:sz w:val="24"/>
          <w:szCs w:val="20"/>
          <w:highlight w:val="none"/>
        </w:rPr>
      </w:pPr>
      <w:r>
        <w:rPr>
          <w:rFonts w:hint="eastAsia" w:ascii="宋体" w:hAnsi="宋体"/>
          <w:b/>
          <w:sz w:val="24"/>
          <w:szCs w:val="20"/>
          <w:highlight w:val="none"/>
        </w:rPr>
        <w:t>（五）澄清问题的形式</w:t>
      </w:r>
    </w:p>
    <w:p>
      <w:pPr>
        <w:snapToGrid w:val="0"/>
        <w:ind w:firstLine="480" w:firstLineChars="200"/>
        <w:rPr>
          <w:rFonts w:ascii="宋体" w:hAnsi="宋体"/>
          <w:sz w:val="24"/>
          <w:szCs w:val="20"/>
          <w:highlight w:val="none"/>
        </w:rPr>
      </w:pPr>
      <w:r>
        <w:rPr>
          <w:rFonts w:hint="eastAsia" w:ascii="宋体" w:hAnsi="宋体"/>
          <w:sz w:val="24"/>
          <w:szCs w:val="20"/>
          <w:highlight w:val="none"/>
        </w:rPr>
        <w:t>对投标文件中含义不明确、同类问题表述不一致或者有明显文字和计算错误的内容，评审委员会可要求投标人作出必要的澄清、说明或者纠正。投标人的澄清、说明或者补正应当采用书面形式，由其授权代表签字或盖章确认，并不得超出投标文件的范围或者改变投标文件的实质性内容。</w:t>
      </w:r>
    </w:p>
    <w:p>
      <w:pPr>
        <w:snapToGrid w:val="0"/>
        <w:ind w:left="719" w:leftChars="228" w:hanging="240" w:hangingChars="100"/>
        <w:rPr>
          <w:rFonts w:ascii="宋体" w:hAnsi="宋体"/>
          <w:b/>
          <w:sz w:val="24"/>
          <w:highlight w:val="none"/>
        </w:rPr>
      </w:pPr>
      <w:r>
        <w:rPr>
          <w:rFonts w:ascii="宋体" w:hAnsi="宋体"/>
          <w:sz w:val="24"/>
          <w:highlight w:val="none"/>
        </w:rPr>
        <w:t>（六）</w:t>
      </w:r>
      <w:r>
        <w:rPr>
          <w:rFonts w:ascii="宋体" w:hAnsi="宋体"/>
          <w:b/>
          <w:sz w:val="24"/>
          <w:highlight w:val="none"/>
        </w:rPr>
        <w:t>错误修正</w:t>
      </w:r>
    </w:p>
    <w:p>
      <w:pPr>
        <w:snapToGrid w:val="0"/>
        <w:ind w:left="719" w:leftChars="228" w:hanging="240" w:hangingChars="100"/>
        <w:rPr>
          <w:rFonts w:ascii="宋体" w:hAnsi="宋体"/>
          <w:sz w:val="24"/>
          <w:highlight w:val="none"/>
        </w:rPr>
      </w:pPr>
      <w:r>
        <w:rPr>
          <w:rFonts w:ascii="宋体" w:hAnsi="宋体"/>
          <w:sz w:val="24"/>
          <w:highlight w:val="none"/>
        </w:rPr>
        <w:t>投标文件如果出现计算或表达上的错误，修正错误的原则如下：</w:t>
      </w:r>
    </w:p>
    <w:p>
      <w:pPr>
        <w:snapToGrid w:val="0"/>
        <w:ind w:firstLine="480" w:firstLineChars="200"/>
        <w:rPr>
          <w:rFonts w:ascii="宋体" w:hAnsi="宋体" w:cs="Arial"/>
          <w:kern w:val="0"/>
          <w:sz w:val="24"/>
          <w:szCs w:val="20"/>
          <w:highlight w:val="none"/>
        </w:rPr>
      </w:pPr>
      <w:r>
        <w:rPr>
          <w:rFonts w:ascii="宋体" w:hAnsi="宋体"/>
          <w:sz w:val="24"/>
          <w:szCs w:val="20"/>
          <w:highlight w:val="none"/>
        </w:rPr>
        <w:t>1</w:t>
      </w:r>
      <w:r>
        <w:rPr>
          <w:rFonts w:hint="eastAsia" w:ascii="宋体" w:hAnsi="宋体"/>
          <w:sz w:val="24"/>
          <w:szCs w:val="20"/>
          <w:highlight w:val="none"/>
        </w:rPr>
        <w:t>.开标一览表总价与投标报价明细表汇总数不一致的，</w:t>
      </w:r>
      <w:r>
        <w:rPr>
          <w:rFonts w:hint="eastAsia" w:ascii="宋体" w:hAnsi="宋体" w:cs="Arial"/>
          <w:kern w:val="0"/>
          <w:sz w:val="24"/>
          <w:szCs w:val="20"/>
          <w:highlight w:val="none"/>
        </w:rPr>
        <w:t>以开标一览表为准；</w:t>
      </w:r>
    </w:p>
    <w:p>
      <w:pPr>
        <w:snapToGrid w:val="0"/>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w:t>
      </w:r>
      <w:r>
        <w:rPr>
          <w:rFonts w:ascii="宋体" w:hAnsi="宋体"/>
          <w:sz w:val="24"/>
          <w:highlight w:val="none"/>
        </w:rPr>
        <w:t>投标文件的大写金额和小写金额不一致的，以大写金额为准</w:t>
      </w:r>
      <w:r>
        <w:rPr>
          <w:rFonts w:hint="eastAsia" w:ascii="宋体" w:hAnsi="宋体"/>
          <w:sz w:val="24"/>
          <w:highlight w:val="none"/>
        </w:rPr>
        <w:t>；</w:t>
      </w:r>
    </w:p>
    <w:p>
      <w:pPr>
        <w:snapToGrid w:val="0"/>
        <w:ind w:firstLine="480" w:firstLineChars="200"/>
        <w:rPr>
          <w:rFonts w:ascii="宋体" w:hAnsi="宋体"/>
          <w:color w:val="000000"/>
          <w:sz w:val="24"/>
          <w:highlight w:val="none"/>
        </w:rPr>
      </w:pPr>
      <w:r>
        <w:rPr>
          <w:rFonts w:ascii="宋体" w:hAnsi="宋体"/>
          <w:sz w:val="24"/>
          <w:highlight w:val="none"/>
        </w:rPr>
        <w:t>3</w:t>
      </w:r>
      <w:r>
        <w:rPr>
          <w:rFonts w:hint="eastAsia" w:ascii="宋体" w:hAnsi="宋体"/>
          <w:sz w:val="24"/>
          <w:highlight w:val="none"/>
        </w:rPr>
        <w:t>.</w:t>
      </w:r>
      <w:r>
        <w:rPr>
          <w:rFonts w:hint="eastAsia" w:ascii="宋体" w:hAnsi="宋体"/>
          <w:sz w:val="24"/>
          <w:szCs w:val="20"/>
          <w:highlight w:val="none"/>
        </w:rPr>
        <w:t>报价明细表</w:t>
      </w:r>
      <w:r>
        <w:rPr>
          <w:rFonts w:ascii="宋体" w:hAnsi="宋体"/>
          <w:sz w:val="24"/>
          <w:highlight w:val="none"/>
        </w:rPr>
        <w:t>总价</w:t>
      </w:r>
      <w:r>
        <w:rPr>
          <w:rFonts w:ascii="宋体" w:hAnsi="宋体"/>
          <w:color w:val="000000"/>
          <w:sz w:val="24"/>
          <w:highlight w:val="none"/>
        </w:rPr>
        <w:t>金额与按单价汇总金额不一致的，以单价金额计算结果为准</w:t>
      </w:r>
      <w:r>
        <w:rPr>
          <w:rFonts w:hint="eastAsia" w:ascii="宋体" w:hAnsi="宋体"/>
          <w:color w:val="000000"/>
          <w:sz w:val="24"/>
          <w:highlight w:val="none"/>
        </w:rPr>
        <w:t>；</w:t>
      </w:r>
    </w:p>
    <w:p>
      <w:pPr>
        <w:snapToGrid w:val="0"/>
        <w:ind w:firstLine="480" w:firstLineChars="200"/>
        <w:rPr>
          <w:rFonts w:ascii="宋体" w:hAnsi="宋体"/>
          <w:color w:val="000000"/>
          <w:sz w:val="24"/>
          <w:highlight w:val="none"/>
        </w:rPr>
      </w:pPr>
      <w:r>
        <w:rPr>
          <w:rFonts w:ascii="宋体" w:hAnsi="宋体"/>
          <w:color w:val="000000"/>
          <w:sz w:val="24"/>
          <w:highlight w:val="none"/>
        </w:rPr>
        <w:t>4</w:t>
      </w:r>
      <w:r>
        <w:rPr>
          <w:rFonts w:hint="eastAsia" w:ascii="宋体" w:hAnsi="宋体"/>
          <w:color w:val="000000"/>
          <w:sz w:val="24"/>
          <w:highlight w:val="none"/>
        </w:rPr>
        <w:t>.单价金额小数点有明显错位的，应以总价为准，并修改单价；</w:t>
      </w:r>
    </w:p>
    <w:p>
      <w:pPr>
        <w:snapToGrid w:val="0"/>
        <w:ind w:firstLine="480" w:firstLineChars="200"/>
        <w:rPr>
          <w:rFonts w:ascii="宋体" w:hAnsi="宋体"/>
          <w:color w:val="000000"/>
          <w:sz w:val="24"/>
          <w:highlight w:val="none"/>
        </w:rPr>
      </w:pPr>
      <w:r>
        <w:rPr>
          <w:rFonts w:hint="eastAsia" w:ascii="宋体" w:hAnsi="宋体"/>
          <w:color w:val="000000"/>
          <w:sz w:val="24"/>
          <w:highlight w:val="none"/>
        </w:rPr>
        <w:t>5.</w:t>
      </w:r>
      <w:r>
        <w:rPr>
          <w:rFonts w:ascii="宋体" w:hAnsi="宋体"/>
          <w:color w:val="000000"/>
          <w:sz w:val="24"/>
          <w:highlight w:val="none"/>
        </w:rPr>
        <w:t>对不同文字文本投标文件的解释发生异议的，以中文文本为准。</w:t>
      </w:r>
    </w:p>
    <w:p>
      <w:pPr>
        <w:snapToGrid w:val="0"/>
        <w:ind w:firstLine="482" w:firstLineChars="200"/>
        <w:rPr>
          <w:rFonts w:ascii="宋体" w:hAnsi="宋体"/>
          <w:b/>
          <w:bCs/>
          <w:color w:val="000000"/>
          <w:sz w:val="24"/>
          <w:highlight w:val="none"/>
        </w:rPr>
      </w:pPr>
      <w:r>
        <w:rPr>
          <w:rFonts w:ascii="宋体" w:hAnsi="宋体"/>
          <w:b/>
          <w:bCs/>
          <w:color w:val="000000"/>
          <w:sz w:val="24"/>
          <w:highlight w:val="none"/>
        </w:rPr>
        <w:t>按上述修正错误的原则及方法调整或修正投标文件的投标报价，投标人同意</w:t>
      </w:r>
      <w:r>
        <w:rPr>
          <w:rFonts w:hint="eastAsia" w:ascii="宋体" w:hAnsi="宋体"/>
          <w:b/>
          <w:bCs/>
          <w:color w:val="000000"/>
          <w:sz w:val="24"/>
          <w:highlight w:val="none"/>
        </w:rPr>
        <w:t>并签字确认</w:t>
      </w:r>
      <w:r>
        <w:rPr>
          <w:rFonts w:ascii="宋体" w:hAnsi="宋体"/>
          <w:b/>
          <w:bCs/>
          <w:color w:val="000000"/>
          <w:sz w:val="24"/>
          <w:highlight w:val="none"/>
        </w:rPr>
        <w:t>后，调整后的投标报价对投标人具有约束作用。如果投标人不接受修正后的报价，则其投标将</w:t>
      </w:r>
      <w:r>
        <w:rPr>
          <w:rFonts w:hint="eastAsia" w:ascii="宋体" w:hAnsi="宋体"/>
          <w:b/>
          <w:bCs/>
          <w:color w:val="000000"/>
          <w:sz w:val="24"/>
          <w:highlight w:val="none"/>
        </w:rPr>
        <w:t>作为无效投标处理</w:t>
      </w:r>
      <w:r>
        <w:rPr>
          <w:rFonts w:ascii="宋体" w:hAnsi="宋体"/>
          <w:b/>
          <w:bCs/>
          <w:color w:val="000000"/>
          <w:sz w:val="24"/>
          <w:highlight w:val="none"/>
        </w:rPr>
        <w:t>。</w:t>
      </w:r>
    </w:p>
    <w:p>
      <w:pPr>
        <w:tabs>
          <w:tab w:val="left" w:pos="630"/>
        </w:tabs>
        <w:snapToGrid w:val="0"/>
        <w:ind w:firstLine="472" w:firstLineChars="196"/>
        <w:rPr>
          <w:rFonts w:ascii="宋体" w:hAnsi="宋体"/>
          <w:b/>
          <w:color w:val="000000"/>
          <w:sz w:val="24"/>
          <w:highlight w:val="none"/>
        </w:rPr>
      </w:pPr>
      <w:r>
        <w:rPr>
          <w:rFonts w:ascii="宋体" w:hAnsi="宋体"/>
          <w:b/>
          <w:color w:val="000000"/>
          <w:sz w:val="24"/>
          <w:highlight w:val="none"/>
        </w:rPr>
        <w:t>（七）评标原则和评标办法</w:t>
      </w:r>
    </w:p>
    <w:p>
      <w:pPr>
        <w:snapToGrid w:val="0"/>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w:t>
      </w:r>
      <w:r>
        <w:rPr>
          <w:rFonts w:ascii="宋体" w:hAnsi="宋体"/>
          <w:color w:val="000000"/>
          <w:sz w:val="24"/>
          <w:highlight w:val="none"/>
        </w:rPr>
        <w:t>评标原则。评审委员会必须公平、公正、客观，不带任何倾向性和启发性</w:t>
      </w:r>
      <w:r>
        <w:rPr>
          <w:rFonts w:hint="eastAsia" w:ascii="宋体" w:hAnsi="宋体"/>
          <w:color w:val="000000"/>
          <w:sz w:val="24"/>
          <w:highlight w:val="none"/>
        </w:rPr>
        <w:t>；</w:t>
      </w:r>
      <w:r>
        <w:rPr>
          <w:rFonts w:ascii="宋体" w:hAnsi="宋体"/>
          <w:color w:val="000000"/>
          <w:sz w:val="24"/>
          <w:highlight w:val="none"/>
        </w:rPr>
        <w:t>不得向外界透露任何与评标有关的内容</w:t>
      </w:r>
      <w:r>
        <w:rPr>
          <w:rFonts w:hint="eastAsia" w:ascii="宋体" w:hAnsi="宋体"/>
          <w:color w:val="000000"/>
          <w:sz w:val="24"/>
          <w:highlight w:val="none"/>
        </w:rPr>
        <w:t>；</w:t>
      </w:r>
      <w:r>
        <w:rPr>
          <w:rFonts w:ascii="宋体" w:hAnsi="宋体"/>
          <w:color w:val="000000"/>
          <w:sz w:val="24"/>
          <w:highlight w:val="none"/>
        </w:rPr>
        <w:t>任何单位和个人不得干扰、影响评标的正常进行</w:t>
      </w:r>
      <w:r>
        <w:rPr>
          <w:rFonts w:hint="eastAsia" w:ascii="宋体" w:hAnsi="宋体"/>
          <w:color w:val="000000"/>
          <w:sz w:val="24"/>
          <w:highlight w:val="none"/>
        </w:rPr>
        <w:t>；</w:t>
      </w:r>
      <w:r>
        <w:rPr>
          <w:rFonts w:ascii="宋体" w:hAnsi="宋体"/>
          <w:color w:val="000000"/>
          <w:sz w:val="24"/>
          <w:highlight w:val="none"/>
        </w:rPr>
        <w:t>评审委员会及有关工作人员不得私下与投标人接触。</w:t>
      </w:r>
    </w:p>
    <w:p>
      <w:pPr>
        <w:snapToGrid w:val="0"/>
        <w:ind w:firstLine="480" w:firstLineChars="200"/>
        <w:rPr>
          <w:rFonts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w:t>
      </w:r>
      <w:r>
        <w:rPr>
          <w:rFonts w:ascii="宋体" w:hAnsi="宋体"/>
          <w:color w:val="000000"/>
          <w:sz w:val="24"/>
          <w:highlight w:val="none"/>
        </w:rPr>
        <w:t>评标办法。本项目评标办法是</w:t>
      </w:r>
      <w:r>
        <w:rPr>
          <w:rFonts w:hint="eastAsia" w:ascii="宋体" w:hAnsi="宋体"/>
          <w:color w:val="000000"/>
          <w:sz w:val="24"/>
          <w:highlight w:val="none"/>
          <w:u w:val="single"/>
        </w:rPr>
        <w:t>综合评分法</w:t>
      </w:r>
      <w:r>
        <w:rPr>
          <w:rFonts w:ascii="宋体" w:hAnsi="宋体"/>
          <w:color w:val="000000"/>
          <w:sz w:val="24"/>
          <w:highlight w:val="none"/>
        </w:rPr>
        <w:t>，具体评标内容及评分标准等详见《第四章：评标办法及评分标准》。</w:t>
      </w:r>
    </w:p>
    <w:p>
      <w:pPr>
        <w:snapToGrid w:val="0"/>
        <w:ind w:firstLine="472" w:firstLineChars="196"/>
        <w:rPr>
          <w:rFonts w:ascii="宋体" w:hAnsi="宋体"/>
          <w:b/>
          <w:color w:val="000000"/>
          <w:sz w:val="24"/>
          <w:highlight w:val="none"/>
        </w:rPr>
      </w:pPr>
      <w:r>
        <w:rPr>
          <w:rFonts w:ascii="宋体" w:hAnsi="宋体"/>
          <w:b/>
          <w:color w:val="000000"/>
          <w:sz w:val="24"/>
          <w:highlight w:val="none"/>
        </w:rPr>
        <w:t>（八）评标过程的监控</w:t>
      </w:r>
    </w:p>
    <w:p>
      <w:pPr>
        <w:snapToGrid w:val="0"/>
        <w:ind w:firstLine="480" w:firstLineChars="200"/>
        <w:rPr>
          <w:rFonts w:ascii="宋体" w:hAnsi="宋体"/>
          <w:color w:val="000000"/>
          <w:sz w:val="24"/>
          <w:highlight w:val="none"/>
        </w:rPr>
      </w:pPr>
      <w:r>
        <w:rPr>
          <w:rFonts w:ascii="宋体" w:hAnsi="宋体"/>
          <w:color w:val="000000"/>
          <w:sz w:val="24"/>
          <w:highlight w:val="none"/>
        </w:rPr>
        <w:t>本项目评标过程实行全程录音、录像监控</w:t>
      </w:r>
      <w:r>
        <w:rPr>
          <w:rFonts w:hint="eastAsia" w:ascii="宋体" w:hAnsi="宋体"/>
          <w:color w:val="000000"/>
          <w:sz w:val="24"/>
          <w:highlight w:val="none"/>
        </w:rPr>
        <w:t>并</w:t>
      </w:r>
      <w:r>
        <w:rPr>
          <w:rFonts w:ascii="宋体" w:hAnsi="宋体"/>
          <w:color w:val="000000"/>
          <w:sz w:val="24"/>
          <w:highlight w:val="none"/>
        </w:rPr>
        <w:t>聘请</w:t>
      </w:r>
      <w:r>
        <w:rPr>
          <w:rFonts w:hint="eastAsia" w:ascii="宋体" w:hAnsi="宋体"/>
          <w:color w:val="000000"/>
          <w:sz w:val="24"/>
          <w:highlight w:val="none"/>
          <w:u w:val="single"/>
        </w:rPr>
        <w:t>德清县</w:t>
      </w:r>
      <w:r>
        <w:rPr>
          <w:rFonts w:ascii="宋体" w:hAnsi="宋体"/>
          <w:color w:val="000000"/>
          <w:sz w:val="24"/>
          <w:highlight w:val="none"/>
        </w:rPr>
        <w:t>公证处公证员进行现场监督，投标人在评标过程中所进行的</w:t>
      </w:r>
      <w:r>
        <w:rPr>
          <w:rFonts w:hint="eastAsia" w:ascii="宋体" w:hAnsi="宋体"/>
          <w:color w:val="000000"/>
          <w:sz w:val="24"/>
          <w:highlight w:val="none"/>
        </w:rPr>
        <w:t>试</w:t>
      </w:r>
      <w:r>
        <w:rPr>
          <w:rFonts w:ascii="宋体" w:hAnsi="宋体"/>
          <w:color w:val="000000"/>
          <w:sz w:val="24"/>
          <w:highlight w:val="none"/>
        </w:rPr>
        <w:t>图影响评标结果的不公正活动，可能导致其投标被拒绝。</w:t>
      </w:r>
    </w:p>
    <w:p>
      <w:pPr>
        <w:snapToGrid w:val="0"/>
        <w:ind w:firstLine="551" w:firstLineChars="196"/>
        <w:outlineLvl w:val="1"/>
        <w:rPr>
          <w:rFonts w:ascii="宋体" w:hAnsi="宋体"/>
          <w:b/>
          <w:color w:val="000000"/>
          <w:sz w:val="28"/>
          <w:szCs w:val="28"/>
          <w:highlight w:val="none"/>
        </w:rPr>
      </w:pPr>
      <w:r>
        <w:rPr>
          <w:rFonts w:hint="eastAsia" w:ascii="宋体" w:hAnsi="宋体"/>
          <w:b/>
          <w:color w:val="000000"/>
          <w:sz w:val="28"/>
          <w:szCs w:val="28"/>
          <w:highlight w:val="none"/>
        </w:rPr>
        <w:t>六、废标</w:t>
      </w:r>
    </w:p>
    <w:p>
      <w:pPr>
        <w:ind w:firstLine="482" w:firstLineChars="200"/>
        <w:rPr>
          <w:rFonts w:ascii="宋体" w:hAnsi="宋体"/>
          <w:b/>
          <w:bCs/>
          <w:color w:val="000000"/>
          <w:sz w:val="24"/>
          <w:highlight w:val="none"/>
        </w:rPr>
      </w:pPr>
      <w:r>
        <w:rPr>
          <w:rFonts w:hint="eastAsia" w:ascii="宋体" w:hAnsi="宋体"/>
          <w:b/>
          <w:bCs/>
          <w:color w:val="000000"/>
          <w:sz w:val="24"/>
          <w:highlight w:val="none"/>
        </w:rPr>
        <w:t>在招标采购中，出现下列情形之一的，应予废标（法律、法规、规章、省级及以上监管部门规定的情形除外），并由评审委员会出具废标报告：</w:t>
      </w:r>
    </w:p>
    <w:p>
      <w:pPr>
        <w:snapToGrid w:val="0"/>
        <w:ind w:firstLine="480" w:firstLineChars="200"/>
        <w:rPr>
          <w:rFonts w:ascii="宋体" w:hAnsi="宋体"/>
          <w:color w:val="000000"/>
          <w:sz w:val="24"/>
          <w:highlight w:val="none"/>
        </w:rPr>
      </w:pPr>
      <w:r>
        <w:rPr>
          <w:rFonts w:hint="eastAsia" w:ascii="宋体" w:hAnsi="宋体"/>
          <w:color w:val="000000"/>
          <w:sz w:val="24"/>
          <w:highlight w:val="none"/>
        </w:rPr>
        <w:t>1.符合专业条件的供应商或者对采购文件作实质响应的供应商不足三家的；</w:t>
      </w:r>
    </w:p>
    <w:p>
      <w:pPr>
        <w:snapToGrid w:val="0"/>
        <w:ind w:firstLine="480" w:firstLineChars="200"/>
        <w:rPr>
          <w:rFonts w:ascii="宋体" w:hAnsi="宋体"/>
          <w:color w:val="000000"/>
          <w:sz w:val="24"/>
          <w:highlight w:val="none"/>
        </w:rPr>
      </w:pPr>
      <w:r>
        <w:rPr>
          <w:rFonts w:hint="eastAsia" w:ascii="宋体" w:hAnsi="宋体"/>
          <w:color w:val="000000"/>
          <w:sz w:val="24"/>
          <w:highlight w:val="none"/>
        </w:rPr>
        <w:t>2.出现影响采购公正的违法、违规行为的；</w:t>
      </w:r>
    </w:p>
    <w:p>
      <w:pPr>
        <w:snapToGrid w:val="0"/>
        <w:ind w:firstLine="480" w:firstLineChars="200"/>
        <w:rPr>
          <w:rFonts w:ascii="宋体" w:hAnsi="宋体"/>
          <w:color w:val="000000"/>
          <w:sz w:val="24"/>
          <w:highlight w:val="none"/>
        </w:rPr>
      </w:pPr>
      <w:r>
        <w:rPr>
          <w:rFonts w:hint="eastAsia" w:ascii="宋体" w:hAnsi="宋体"/>
          <w:color w:val="000000"/>
          <w:sz w:val="24"/>
          <w:highlight w:val="none"/>
        </w:rPr>
        <w:t>3.因重大变故，采购任务取消的;</w:t>
      </w:r>
    </w:p>
    <w:p>
      <w:pPr>
        <w:snapToGrid w:val="0"/>
        <w:ind w:firstLine="480" w:firstLineChars="200"/>
        <w:rPr>
          <w:rFonts w:ascii="宋体" w:hAnsi="宋体"/>
          <w:color w:val="000000"/>
          <w:sz w:val="24"/>
          <w:highlight w:val="none"/>
        </w:rPr>
      </w:pPr>
      <w:r>
        <w:rPr>
          <w:rFonts w:hint="eastAsia" w:ascii="宋体" w:hAnsi="宋体"/>
          <w:color w:val="000000"/>
          <w:sz w:val="24"/>
          <w:highlight w:val="none"/>
        </w:rPr>
        <w:t>4.投标人的报价均超采购预算的，采购人不能支付的。</w:t>
      </w:r>
    </w:p>
    <w:p>
      <w:pPr>
        <w:snapToGrid w:val="0"/>
        <w:ind w:firstLine="551" w:firstLineChars="196"/>
        <w:outlineLvl w:val="1"/>
        <w:rPr>
          <w:rFonts w:ascii="宋体" w:hAnsi="宋体"/>
          <w:b/>
          <w:color w:val="000000"/>
          <w:sz w:val="28"/>
          <w:szCs w:val="28"/>
          <w:highlight w:val="none"/>
        </w:rPr>
      </w:pPr>
      <w:r>
        <w:rPr>
          <w:rFonts w:hint="eastAsia" w:ascii="宋体" w:hAnsi="宋体"/>
          <w:b/>
          <w:color w:val="000000"/>
          <w:sz w:val="28"/>
          <w:szCs w:val="28"/>
          <w:highlight w:val="none"/>
        </w:rPr>
        <w:t>七、定标</w:t>
      </w:r>
    </w:p>
    <w:p>
      <w:pPr>
        <w:snapToGrid w:val="0"/>
        <w:ind w:firstLine="472" w:firstLineChars="196"/>
        <w:outlineLvl w:val="1"/>
        <w:rPr>
          <w:rFonts w:ascii="宋体" w:hAnsi="宋体"/>
          <w:b/>
          <w:color w:val="000000"/>
          <w:sz w:val="24"/>
          <w:highlight w:val="none"/>
        </w:rPr>
      </w:pPr>
      <w:r>
        <w:rPr>
          <w:rFonts w:hint="eastAsia" w:ascii="宋体" w:hAnsi="宋体"/>
          <w:b/>
          <w:color w:val="000000"/>
          <w:sz w:val="24"/>
          <w:highlight w:val="none"/>
        </w:rPr>
        <w:t>本项目由经采购人授权的评审小组确定中标人，再由采购人对采购结果进行确认，但法律法规及规章、制度有其他规定的情形除外。</w:t>
      </w:r>
    </w:p>
    <w:p>
      <w:pPr>
        <w:snapToGrid w:val="0"/>
        <w:ind w:firstLine="480" w:firstLineChars="200"/>
        <w:rPr>
          <w:rFonts w:ascii="宋体" w:hAnsi="宋体"/>
          <w:color w:val="000000"/>
          <w:sz w:val="24"/>
          <w:szCs w:val="20"/>
          <w:highlight w:val="none"/>
        </w:rPr>
      </w:pPr>
      <w:r>
        <w:rPr>
          <w:rFonts w:ascii="宋体" w:hAnsi="宋体"/>
          <w:color w:val="000000"/>
          <w:sz w:val="24"/>
          <w:szCs w:val="20"/>
          <w:highlight w:val="none"/>
        </w:rPr>
        <w:t>1</w:t>
      </w:r>
      <w:r>
        <w:rPr>
          <w:rFonts w:hint="eastAsia" w:ascii="宋体" w:hAnsi="宋体"/>
          <w:color w:val="000000"/>
          <w:sz w:val="24"/>
          <w:szCs w:val="20"/>
          <w:highlight w:val="none"/>
        </w:rPr>
        <w:t>.采购代理机构</w:t>
      </w:r>
      <w:r>
        <w:rPr>
          <w:rFonts w:ascii="宋体" w:hAnsi="宋体"/>
          <w:color w:val="000000"/>
          <w:sz w:val="24"/>
          <w:szCs w:val="20"/>
          <w:highlight w:val="none"/>
        </w:rPr>
        <w:t>在评标结束后</w:t>
      </w:r>
      <w:r>
        <w:rPr>
          <w:rFonts w:hint="eastAsia" w:ascii="宋体" w:hAnsi="宋体"/>
          <w:color w:val="000000"/>
          <w:sz w:val="24"/>
          <w:szCs w:val="20"/>
          <w:highlight w:val="none"/>
        </w:rPr>
        <w:t>当场</w:t>
      </w:r>
      <w:r>
        <w:rPr>
          <w:rFonts w:ascii="宋体" w:hAnsi="宋体"/>
          <w:color w:val="000000"/>
          <w:sz w:val="24"/>
          <w:szCs w:val="20"/>
          <w:highlight w:val="none"/>
        </w:rPr>
        <w:t>将评标报告交采购人确认，同时在发布招标公告的网站上对评标结果进行公示。</w:t>
      </w:r>
    </w:p>
    <w:p>
      <w:pPr>
        <w:snapToGrid w:val="0"/>
        <w:ind w:firstLine="480" w:firstLineChars="200"/>
        <w:rPr>
          <w:rFonts w:ascii="宋体" w:hAnsi="宋体"/>
          <w:color w:val="000000"/>
          <w:sz w:val="24"/>
          <w:szCs w:val="20"/>
          <w:highlight w:val="none"/>
        </w:rPr>
      </w:pPr>
      <w:r>
        <w:rPr>
          <w:rFonts w:ascii="宋体" w:hAnsi="宋体"/>
          <w:color w:val="000000"/>
          <w:sz w:val="24"/>
          <w:szCs w:val="20"/>
          <w:highlight w:val="none"/>
        </w:rPr>
        <w:t>2</w:t>
      </w:r>
      <w:r>
        <w:rPr>
          <w:rFonts w:hint="eastAsia" w:ascii="宋体" w:hAnsi="宋体"/>
          <w:color w:val="000000"/>
          <w:sz w:val="24"/>
          <w:szCs w:val="20"/>
          <w:highlight w:val="none"/>
        </w:rPr>
        <w:t>.</w:t>
      </w:r>
      <w:r>
        <w:rPr>
          <w:rFonts w:ascii="宋体" w:hAnsi="宋体"/>
          <w:color w:val="000000"/>
          <w:sz w:val="24"/>
          <w:szCs w:val="20"/>
          <w:highlight w:val="none"/>
        </w:rPr>
        <w:t>投标人对评标结果无异议的，采购人应在收到评标报告后5个工作日内对评标结果进行确认。</w:t>
      </w:r>
      <w:r>
        <w:rPr>
          <w:rFonts w:hint="eastAsia" w:ascii="宋体" w:hAnsi="宋体"/>
          <w:color w:val="000000"/>
          <w:sz w:val="24"/>
          <w:szCs w:val="20"/>
          <w:highlight w:val="none"/>
        </w:rPr>
        <w:t>各投标人对评标结果如有异议，可在规定时间内以书面形式向招标人进行署名投诉或提出质疑，但需对投诉或质疑内容的真实性承担法律责任。</w:t>
      </w:r>
      <w:r>
        <w:rPr>
          <w:rFonts w:hint="eastAsia" w:ascii="宋体" w:hAnsi="宋体"/>
          <w:b/>
          <w:color w:val="000000"/>
          <w:sz w:val="24"/>
          <w:szCs w:val="20"/>
          <w:highlight w:val="none"/>
        </w:rPr>
        <w:t>如有恶意质疑、投诉，且导致授予合同的期限延期的，政府采购中心将没收其投标保证金，并将其列入不诚信供应商名单，在今后参加政府采购活动评标时，给予扣分处理。情节严重的将直接进入政府采购黑名单。</w:t>
      </w:r>
    </w:p>
    <w:p>
      <w:pPr>
        <w:snapToGrid w:val="0"/>
        <w:ind w:firstLine="480" w:firstLineChars="200"/>
        <w:rPr>
          <w:rFonts w:ascii="宋体" w:hAnsi="宋体"/>
          <w:color w:val="000000"/>
          <w:sz w:val="24"/>
          <w:szCs w:val="20"/>
          <w:highlight w:val="none"/>
        </w:rPr>
      </w:pPr>
      <w:r>
        <w:rPr>
          <w:rFonts w:hint="eastAsia" w:ascii="宋体" w:hAnsi="宋体"/>
          <w:color w:val="000000"/>
          <w:sz w:val="24"/>
          <w:szCs w:val="20"/>
          <w:highlight w:val="none"/>
        </w:rPr>
        <w:t>3.采购人依法确定中标人后</w:t>
      </w:r>
      <w:r>
        <w:rPr>
          <w:rFonts w:ascii="宋体" w:hAnsi="宋体"/>
          <w:color w:val="000000"/>
          <w:sz w:val="24"/>
          <w:szCs w:val="20"/>
          <w:highlight w:val="none"/>
        </w:rPr>
        <w:t>，</w:t>
      </w:r>
      <w:r>
        <w:rPr>
          <w:rFonts w:hint="eastAsia" w:ascii="宋体" w:hAnsi="宋体"/>
          <w:color w:val="000000"/>
          <w:sz w:val="24"/>
          <w:szCs w:val="20"/>
          <w:highlight w:val="none"/>
        </w:rPr>
        <w:t>评标结果公示7个工作日。同时，采购代理机构</w:t>
      </w:r>
      <w:r>
        <w:rPr>
          <w:rFonts w:ascii="宋体" w:hAnsi="宋体"/>
          <w:color w:val="000000"/>
          <w:sz w:val="24"/>
          <w:szCs w:val="20"/>
          <w:highlight w:val="none"/>
        </w:rPr>
        <w:t>以书面形式发出《中标通知书》</w:t>
      </w:r>
      <w:r>
        <w:rPr>
          <w:rFonts w:hint="eastAsia" w:ascii="宋体" w:hAnsi="宋体"/>
          <w:color w:val="000000"/>
          <w:sz w:val="24"/>
          <w:szCs w:val="20"/>
          <w:highlight w:val="none"/>
        </w:rPr>
        <w:t>，中标人应在公示发出10个工作日内前往代理机构领取通知书，若有质疑投诉的可在质疑投诉处理后领取。</w:t>
      </w:r>
    </w:p>
    <w:p>
      <w:pPr>
        <w:snapToGrid w:val="0"/>
        <w:ind w:firstLine="551" w:firstLineChars="196"/>
        <w:outlineLvl w:val="1"/>
        <w:rPr>
          <w:rFonts w:ascii="宋体" w:hAnsi="宋体"/>
          <w:b/>
          <w:color w:val="000000"/>
          <w:sz w:val="28"/>
          <w:szCs w:val="28"/>
          <w:highlight w:val="none"/>
        </w:rPr>
      </w:pPr>
      <w:r>
        <w:rPr>
          <w:rFonts w:hint="eastAsia" w:ascii="宋体" w:hAnsi="宋体"/>
          <w:b/>
          <w:color w:val="000000"/>
          <w:sz w:val="28"/>
          <w:szCs w:val="28"/>
          <w:highlight w:val="none"/>
        </w:rPr>
        <w:t>八、合同授予</w:t>
      </w:r>
    </w:p>
    <w:p>
      <w:pPr>
        <w:snapToGrid w:val="0"/>
        <w:ind w:firstLine="472" w:firstLineChars="196"/>
        <w:rPr>
          <w:rFonts w:ascii="宋体" w:hAnsi="宋体"/>
          <w:b/>
          <w:bCs/>
          <w:color w:val="000000"/>
          <w:sz w:val="24"/>
          <w:szCs w:val="20"/>
          <w:highlight w:val="none"/>
        </w:rPr>
      </w:pPr>
      <w:r>
        <w:rPr>
          <w:rFonts w:hint="eastAsia" w:ascii="宋体" w:hAnsi="宋体"/>
          <w:b/>
          <w:bCs/>
          <w:color w:val="000000"/>
          <w:sz w:val="24"/>
          <w:szCs w:val="20"/>
          <w:highlight w:val="none"/>
        </w:rPr>
        <w:t>（一）签订合同</w:t>
      </w:r>
    </w:p>
    <w:p>
      <w:pPr>
        <w:snapToGrid w:val="0"/>
        <w:ind w:firstLine="480" w:firstLineChars="200"/>
        <w:rPr>
          <w:rFonts w:ascii="宋体" w:hAnsi="宋体"/>
          <w:color w:val="000000"/>
          <w:sz w:val="24"/>
          <w:szCs w:val="20"/>
          <w:highlight w:val="none"/>
        </w:rPr>
      </w:pPr>
      <w:r>
        <w:rPr>
          <w:rFonts w:ascii="宋体" w:hAnsi="宋体"/>
          <w:color w:val="000000"/>
          <w:sz w:val="24"/>
          <w:szCs w:val="20"/>
          <w:highlight w:val="none"/>
        </w:rPr>
        <w:t>1</w:t>
      </w:r>
      <w:r>
        <w:rPr>
          <w:rFonts w:hint="eastAsia" w:ascii="宋体" w:hAnsi="宋体"/>
          <w:color w:val="000000"/>
          <w:sz w:val="24"/>
          <w:szCs w:val="20"/>
          <w:highlight w:val="none"/>
        </w:rPr>
        <w:t>.采购人与</w:t>
      </w:r>
      <w:r>
        <w:rPr>
          <w:rFonts w:ascii="宋体" w:hAnsi="宋体"/>
          <w:color w:val="000000"/>
          <w:sz w:val="24"/>
          <w:szCs w:val="20"/>
          <w:highlight w:val="none"/>
        </w:rPr>
        <w:t>中标人应</w:t>
      </w:r>
      <w:r>
        <w:rPr>
          <w:rFonts w:hint="eastAsia" w:ascii="宋体" w:hAnsi="宋体"/>
          <w:color w:val="000000"/>
          <w:sz w:val="24"/>
          <w:szCs w:val="20"/>
          <w:highlight w:val="none"/>
        </w:rPr>
        <w:t>当在《</w:t>
      </w:r>
      <w:r>
        <w:rPr>
          <w:rFonts w:ascii="宋体" w:hAnsi="宋体"/>
          <w:color w:val="000000"/>
          <w:sz w:val="24"/>
          <w:szCs w:val="20"/>
          <w:highlight w:val="none"/>
        </w:rPr>
        <w:t>中标通知书</w:t>
      </w:r>
      <w:r>
        <w:rPr>
          <w:rFonts w:hint="eastAsia" w:ascii="宋体" w:hAnsi="宋体"/>
          <w:color w:val="000000"/>
          <w:sz w:val="24"/>
          <w:szCs w:val="20"/>
          <w:highlight w:val="none"/>
        </w:rPr>
        <w:t>》发出之日起30日内签订政府采购合同。同时，采购代理机构对合同内容进行审查，如发现与采购结果和投标承诺内容不一致的，应予以纠正。</w:t>
      </w:r>
    </w:p>
    <w:p>
      <w:pPr>
        <w:snapToGrid w:val="0"/>
        <w:ind w:firstLine="482" w:firstLineChars="200"/>
        <w:rPr>
          <w:rFonts w:ascii="宋体" w:hAnsi="宋体"/>
          <w:b/>
          <w:color w:val="000000"/>
          <w:sz w:val="24"/>
          <w:szCs w:val="20"/>
          <w:highlight w:val="none"/>
        </w:rPr>
      </w:pPr>
      <w:r>
        <w:rPr>
          <w:rFonts w:hint="eastAsia" w:ascii="宋体" w:hAnsi="宋体"/>
          <w:b/>
          <w:color w:val="000000"/>
          <w:sz w:val="24"/>
          <w:szCs w:val="20"/>
          <w:highlight w:val="none"/>
        </w:rPr>
        <w:t>2.</w:t>
      </w:r>
      <w:r>
        <w:rPr>
          <w:rFonts w:ascii="宋体" w:hAnsi="宋体"/>
          <w:b/>
          <w:color w:val="000000"/>
          <w:sz w:val="24"/>
          <w:szCs w:val="20"/>
          <w:highlight w:val="none"/>
        </w:rPr>
        <w:t>合同正本</w:t>
      </w:r>
      <w:r>
        <w:rPr>
          <w:rFonts w:hint="eastAsia" w:ascii="宋体" w:hAnsi="宋体"/>
          <w:b/>
          <w:color w:val="000000"/>
          <w:sz w:val="24"/>
          <w:szCs w:val="20"/>
          <w:highlight w:val="none"/>
        </w:rPr>
        <w:t>应</w:t>
      </w:r>
      <w:r>
        <w:rPr>
          <w:rFonts w:ascii="宋体" w:hAnsi="宋体"/>
          <w:b/>
          <w:color w:val="000000"/>
          <w:sz w:val="24"/>
          <w:szCs w:val="20"/>
          <w:highlight w:val="none"/>
        </w:rPr>
        <w:t>一式</w:t>
      </w:r>
      <w:r>
        <w:rPr>
          <w:rFonts w:hint="eastAsia" w:ascii="宋体" w:hAnsi="宋体"/>
          <w:b/>
          <w:color w:val="000000"/>
          <w:sz w:val="24"/>
          <w:szCs w:val="20"/>
          <w:highlight w:val="none"/>
        </w:rPr>
        <w:t>三</w:t>
      </w:r>
      <w:r>
        <w:rPr>
          <w:rFonts w:ascii="宋体" w:hAnsi="宋体"/>
          <w:b/>
          <w:color w:val="000000"/>
          <w:sz w:val="24"/>
          <w:szCs w:val="20"/>
          <w:highlight w:val="none"/>
        </w:rPr>
        <w:t>份，</w:t>
      </w:r>
      <w:r>
        <w:rPr>
          <w:rFonts w:hint="eastAsia" w:ascii="宋体" w:hAnsi="宋体"/>
          <w:b/>
          <w:color w:val="000000"/>
          <w:sz w:val="24"/>
          <w:szCs w:val="20"/>
          <w:highlight w:val="none"/>
        </w:rPr>
        <w:t>采购单位与中标人</w:t>
      </w:r>
      <w:r>
        <w:rPr>
          <w:rFonts w:ascii="宋体" w:hAnsi="宋体"/>
          <w:b/>
          <w:color w:val="000000"/>
          <w:sz w:val="24"/>
          <w:szCs w:val="20"/>
          <w:highlight w:val="none"/>
        </w:rPr>
        <w:t>双方各执一份</w:t>
      </w:r>
      <w:r>
        <w:rPr>
          <w:rFonts w:hint="eastAsia" w:ascii="宋体" w:hAnsi="宋体"/>
          <w:b/>
          <w:color w:val="000000"/>
          <w:sz w:val="24"/>
          <w:szCs w:val="20"/>
          <w:highlight w:val="none"/>
        </w:rPr>
        <w:t>，其余一</w:t>
      </w:r>
      <w:r>
        <w:rPr>
          <w:rFonts w:ascii="宋体" w:hAnsi="宋体"/>
          <w:b/>
          <w:color w:val="000000"/>
          <w:sz w:val="24"/>
          <w:szCs w:val="20"/>
          <w:highlight w:val="none"/>
        </w:rPr>
        <w:t>份</w:t>
      </w:r>
      <w:r>
        <w:rPr>
          <w:rFonts w:hint="eastAsia" w:ascii="宋体" w:hAnsi="宋体"/>
          <w:b/>
          <w:color w:val="000000"/>
          <w:sz w:val="24"/>
          <w:szCs w:val="20"/>
          <w:highlight w:val="none"/>
        </w:rPr>
        <w:t>交由采购中心。</w:t>
      </w:r>
    </w:p>
    <w:p>
      <w:pPr>
        <w:snapToGrid w:val="0"/>
        <w:ind w:firstLine="480" w:firstLineChars="200"/>
        <w:rPr>
          <w:rFonts w:ascii="宋体" w:hAnsi="宋体"/>
          <w:color w:val="000000"/>
          <w:sz w:val="24"/>
          <w:szCs w:val="20"/>
          <w:highlight w:val="none"/>
        </w:rPr>
      </w:pPr>
      <w:r>
        <w:rPr>
          <w:rFonts w:hint="eastAsia" w:ascii="宋体" w:hAnsi="宋体"/>
          <w:color w:val="000000"/>
          <w:sz w:val="24"/>
          <w:szCs w:val="20"/>
          <w:highlight w:val="none"/>
        </w:rPr>
        <w:t>3.</w:t>
      </w:r>
      <w:r>
        <w:rPr>
          <w:rFonts w:ascii="宋体" w:hAnsi="宋体"/>
          <w:color w:val="000000"/>
          <w:sz w:val="24"/>
          <w:szCs w:val="20"/>
          <w:highlight w:val="none"/>
        </w:rPr>
        <w:t>中标人拖延、拒签合同的,将被扣罚投标保证金并取消中标资格。</w:t>
      </w:r>
    </w:p>
    <w:p>
      <w:pPr>
        <w:snapToGrid w:val="0"/>
        <w:spacing w:beforeLines="50" w:afterLines="50"/>
        <w:jc w:val="center"/>
        <w:outlineLvl w:val="0"/>
        <w:rPr>
          <w:rFonts w:ascii="宋体" w:hAnsi="宋体"/>
          <w:color w:val="000000"/>
          <w:sz w:val="30"/>
          <w:szCs w:val="30"/>
          <w:highlight w:val="none"/>
        </w:rPr>
      </w:pPr>
    </w:p>
    <w:p>
      <w:pPr>
        <w:snapToGrid w:val="0"/>
        <w:spacing w:beforeLines="50" w:afterLines="50"/>
        <w:jc w:val="center"/>
        <w:outlineLvl w:val="0"/>
        <w:rPr>
          <w:rFonts w:ascii="宋体" w:hAnsi="宋体"/>
          <w:color w:val="000000"/>
          <w:sz w:val="30"/>
          <w:szCs w:val="30"/>
          <w:highlight w:val="none"/>
        </w:rPr>
      </w:pPr>
    </w:p>
    <w:p>
      <w:pPr>
        <w:snapToGrid w:val="0"/>
        <w:spacing w:beforeLines="50" w:afterLines="50"/>
        <w:jc w:val="center"/>
        <w:outlineLvl w:val="0"/>
        <w:rPr>
          <w:rFonts w:ascii="宋体" w:hAnsi="宋体"/>
          <w:color w:val="000000"/>
          <w:sz w:val="30"/>
          <w:szCs w:val="30"/>
          <w:highlight w:val="none"/>
        </w:rPr>
      </w:pPr>
    </w:p>
    <w:p>
      <w:pPr>
        <w:snapToGrid w:val="0"/>
        <w:spacing w:beforeLines="50" w:afterLines="50"/>
        <w:jc w:val="center"/>
        <w:outlineLvl w:val="0"/>
        <w:rPr>
          <w:rFonts w:ascii="宋体" w:hAnsi="宋体"/>
          <w:color w:val="000000"/>
          <w:sz w:val="30"/>
          <w:szCs w:val="30"/>
          <w:highlight w:val="none"/>
        </w:rPr>
      </w:pPr>
    </w:p>
    <w:p>
      <w:pPr>
        <w:snapToGrid w:val="0"/>
        <w:spacing w:beforeLines="50" w:afterLines="50"/>
        <w:jc w:val="center"/>
        <w:outlineLvl w:val="0"/>
        <w:rPr>
          <w:rFonts w:ascii="宋体" w:hAnsi="宋体"/>
          <w:color w:val="000000"/>
          <w:sz w:val="30"/>
          <w:szCs w:val="30"/>
          <w:highlight w:val="none"/>
        </w:rPr>
      </w:pPr>
    </w:p>
    <w:p>
      <w:pPr>
        <w:snapToGrid w:val="0"/>
        <w:spacing w:beforeLines="50" w:afterLines="50"/>
        <w:jc w:val="center"/>
        <w:outlineLvl w:val="0"/>
        <w:rPr>
          <w:rFonts w:ascii="宋体" w:hAnsi="宋体"/>
          <w:color w:val="000000"/>
          <w:sz w:val="30"/>
          <w:szCs w:val="30"/>
          <w:highlight w:val="none"/>
        </w:rPr>
      </w:pPr>
    </w:p>
    <w:p>
      <w:pPr>
        <w:snapToGrid w:val="0"/>
        <w:spacing w:beforeLines="50" w:afterLines="50"/>
        <w:jc w:val="center"/>
        <w:outlineLvl w:val="0"/>
        <w:rPr>
          <w:rFonts w:ascii="宋体" w:hAnsi="宋体"/>
          <w:color w:val="000000"/>
          <w:sz w:val="30"/>
          <w:szCs w:val="30"/>
          <w:highlight w:val="none"/>
        </w:rPr>
      </w:pPr>
    </w:p>
    <w:p>
      <w:pPr>
        <w:snapToGrid w:val="0"/>
        <w:spacing w:beforeLines="50" w:afterLines="50"/>
        <w:jc w:val="center"/>
        <w:outlineLvl w:val="0"/>
        <w:rPr>
          <w:rFonts w:ascii="宋体" w:hAnsi="宋体"/>
          <w:color w:val="000000"/>
          <w:sz w:val="30"/>
          <w:szCs w:val="30"/>
          <w:highlight w:val="none"/>
        </w:rPr>
      </w:pPr>
    </w:p>
    <w:p>
      <w:pPr>
        <w:snapToGrid w:val="0"/>
        <w:spacing w:beforeLines="50" w:afterLines="50"/>
        <w:jc w:val="center"/>
        <w:outlineLvl w:val="0"/>
        <w:rPr>
          <w:rFonts w:ascii="宋体" w:hAnsi="宋体"/>
          <w:color w:val="000000"/>
          <w:sz w:val="30"/>
          <w:szCs w:val="30"/>
          <w:highlight w:val="none"/>
        </w:rPr>
      </w:pPr>
    </w:p>
    <w:p>
      <w:pPr>
        <w:snapToGrid w:val="0"/>
        <w:spacing w:beforeLines="50" w:afterLines="50"/>
        <w:jc w:val="center"/>
        <w:outlineLvl w:val="0"/>
        <w:rPr>
          <w:rFonts w:ascii="宋体" w:hAnsi="宋体"/>
          <w:color w:val="000000"/>
          <w:sz w:val="30"/>
          <w:szCs w:val="30"/>
          <w:highlight w:val="none"/>
        </w:rPr>
      </w:pPr>
    </w:p>
    <w:p>
      <w:pPr>
        <w:snapToGrid w:val="0"/>
        <w:spacing w:beforeLines="50" w:afterLines="50"/>
        <w:jc w:val="center"/>
        <w:outlineLvl w:val="0"/>
        <w:rPr>
          <w:rFonts w:ascii="宋体" w:hAnsi="宋体"/>
          <w:color w:val="000000"/>
          <w:sz w:val="30"/>
          <w:szCs w:val="30"/>
          <w:highlight w:val="none"/>
        </w:rPr>
      </w:pPr>
    </w:p>
    <w:p>
      <w:pPr>
        <w:snapToGrid w:val="0"/>
        <w:spacing w:beforeLines="50" w:afterLines="50"/>
        <w:jc w:val="center"/>
        <w:outlineLvl w:val="0"/>
        <w:rPr>
          <w:rFonts w:ascii="宋体" w:hAnsi="宋体"/>
          <w:color w:val="000000"/>
          <w:sz w:val="30"/>
          <w:szCs w:val="30"/>
          <w:highlight w:val="none"/>
        </w:rPr>
      </w:pPr>
    </w:p>
    <w:p>
      <w:pPr>
        <w:snapToGrid w:val="0"/>
        <w:spacing w:beforeLines="50" w:afterLines="50"/>
        <w:jc w:val="center"/>
        <w:outlineLvl w:val="0"/>
        <w:rPr>
          <w:rFonts w:ascii="宋体" w:hAnsi="宋体"/>
          <w:color w:val="000000"/>
          <w:sz w:val="30"/>
          <w:szCs w:val="30"/>
          <w:highlight w:val="none"/>
        </w:rPr>
      </w:pPr>
    </w:p>
    <w:p>
      <w:pPr>
        <w:snapToGrid w:val="0"/>
        <w:spacing w:beforeLines="50" w:afterLines="50"/>
        <w:jc w:val="center"/>
        <w:outlineLvl w:val="0"/>
        <w:rPr>
          <w:rFonts w:ascii="宋体" w:hAnsi="宋体"/>
          <w:color w:val="000000"/>
          <w:sz w:val="30"/>
          <w:szCs w:val="30"/>
          <w:highlight w:val="none"/>
        </w:rPr>
      </w:pPr>
    </w:p>
    <w:p>
      <w:pPr>
        <w:snapToGrid w:val="0"/>
        <w:spacing w:beforeLines="50" w:afterLines="50"/>
        <w:jc w:val="center"/>
        <w:outlineLvl w:val="0"/>
        <w:rPr>
          <w:rFonts w:ascii="宋体" w:hAnsi="宋体"/>
          <w:color w:val="000000"/>
          <w:sz w:val="30"/>
          <w:szCs w:val="30"/>
          <w:highlight w:val="none"/>
        </w:rPr>
      </w:pPr>
    </w:p>
    <w:p>
      <w:pPr>
        <w:snapToGrid w:val="0"/>
        <w:spacing w:beforeLines="50" w:afterLines="50"/>
        <w:jc w:val="center"/>
        <w:outlineLvl w:val="0"/>
        <w:rPr>
          <w:rFonts w:ascii="宋体" w:hAnsi="宋体"/>
          <w:color w:val="000000"/>
          <w:sz w:val="30"/>
          <w:szCs w:val="30"/>
          <w:highlight w:val="none"/>
        </w:rPr>
      </w:pPr>
    </w:p>
    <w:p>
      <w:pPr>
        <w:snapToGrid w:val="0"/>
        <w:spacing w:beforeLines="50" w:afterLines="50"/>
        <w:jc w:val="center"/>
        <w:outlineLvl w:val="0"/>
        <w:rPr>
          <w:rFonts w:ascii="宋体" w:hAnsi="宋体"/>
          <w:color w:val="000000"/>
          <w:sz w:val="30"/>
          <w:szCs w:val="30"/>
          <w:highlight w:val="none"/>
        </w:rPr>
      </w:pPr>
    </w:p>
    <w:p>
      <w:pPr>
        <w:snapToGrid w:val="0"/>
        <w:spacing w:beforeLines="50" w:afterLines="50"/>
        <w:jc w:val="center"/>
        <w:outlineLvl w:val="0"/>
        <w:rPr>
          <w:rFonts w:ascii="宋体" w:hAnsi="宋体"/>
          <w:color w:val="000000"/>
          <w:sz w:val="30"/>
          <w:szCs w:val="30"/>
          <w:highlight w:val="none"/>
        </w:rPr>
      </w:pPr>
    </w:p>
    <w:p>
      <w:pPr>
        <w:snapToGrid w:val="0"/>
        <w:spacing w:beforeLines="50" w:afterLines="50"/>
        <w:jc w:val="center"/>
        <w:outlineLvl w:val="0"/>
        <w:rPr>
          <w:rFonts w:ascii="宋体" w:hAnsi="宋体"/>
          <w:color w:val="000000"/>
          <w:sz w:val="30"/>
          <w:szCs w:val="30"/>
          <w:highlight w:val="none"/>
        </w:rPr>
      </w:pPr>
    </w:p>
    <w:p>
      <w:pPr>
        <w:snapToGrid w:val="0"/>
        <w:spacing w:beforeLines="50" w:afterLines="50"/>
        <w:jc w:val="center"/>
        <w:outlineLvl w:val="0"/>
        <w:rPr>
          <w:rFonts w:ascii="宋体" w:hAnsi="宋体"/>
          <w:color w:val="000000"/>
          <w:sz w:val="30"/>
          <w:szCs w:val="30"/>
          <w:highlight w:val="none"/>
        </w:rPr>
      </w:pPr>
    </w:p>
    <w:p>
      <w:pPr>
        <w:snapToGrid w:val="0"/>
        <w:spacing w:beforeLines="50" w:afterLines="50"/>
        <w:jc w:val="center"/>
        <w:outlineLvl w:val="0"/>
        <w:rPr>
          <w:rFonts w:ascii="宋体" w:hAnsi="宋体"/>
          <w:color w:val="000000"/>
          <w:sz w:val="30"/>
          <w:szCs w:val="30"/>
          <w:highlight w:val="none"/>
        </w:rPr>
      </w:pPr>
    </w:p>
    <w:p>
      <w:pPr>
        <w:snapToGrid w:val="0"/>
        <w:spacing w:beforeLines="50" w:afterLines="50"/>
        <w:jc w:val="center"/>
        <w:outlineLvl w:val="0"/>
        <w:rPr>
          <w:rFonts w:ascii="宋体" w:hAnsi="宋体"/>
          <w:color w:val="000000"/>
          <w:sz w:val="30"/>
          <w:szCs w:val="30"/>
          <w:highlight w:val="none"/>
        </w:rPr>
      </w:pPr>
    </w:p>
    <w:p>
      <w:pPr>
        <w:snapToGrid w:val="0"/>
        <w:spacing w:beforeLines="50" w:afterLines="50"/>
        <w:jc w:val="center"/>
        <w:outlineLvl w:val="0"/>
        <w:rPr>
          <w:rFonts w:ascii="宋体" w:hAnsi="宋体"/>
          <w:color w:val="000000"/>
          <w:sz w:val="30"/>
          <w:szCs w:val="30"/>
          <w:highlight w:val="none"/>
        </w:rPr>
      </w:pPr>
      <w:r>
        <w:rPr>
          <w:rFonts w:hint="eastAsia" w:ascii="宋体" w:hAnsi="宋体"/>
          <w:color w:val="000000"/>
          <w:sz w:val="30"/>
          <w:szCs w:val="30"/>
          <w:highlight w:val="none"/>
        </w:rPr>
        <w:t>第四章评标办法及评分标准</w:t>
      </w:r>
    </w:p>
    <w:p>
      <w:pPr>
        <w:spacing w:beforeLines="50" w:afterLines="50" w:line="400" w:lineRule="exact"/>
        <w:jc w:val="center"/>
        <w:outlineLvl w:val="0"/>
        <w:rPr>
          <w:rFonts w:ascii="宋体" w:hAnsi="宋体"/>
          <w:b/>
          <w:color w:val="000000"/>
          <w:sz w:val="32"/>
          <w:szCs w:val="32"/>
          <w:highlight w:val="none"/>
        </w:rPr>
      </w:pPr>
      <w:r>
        <w:rPr>
          <w:rFonts w:hint="eastAsia" w:ascii="宋体" w:hAnsi="宋体"/>
          <w:b/>
          <w:color w:val="000000"/>
          <w:sz w:val="32"/>
          <w:szCs w:val="32"/>
          <w:highlight w:val="none"/>
        </w:rPr>
        <w:t>2022-2023年度辖区市政设施养护管理服务采购项目</w:t>
      </w:r>
      <w:r>
        <w:rPr>
          <w:rFonts w:ascii="宋体" w:hAnsi="宋体"/>
          <w:b/>
          <w:color w:val="000000"/>
          <w:sz w:val="32"/>
          <w:szCs w:val="32"/>
          <w:highlight w:val="none"/>
        </w:rPr>
        <w:t>评标办法</w:t>
      </w:r>
    </w:p>
    <w:p>
      <w:pPr>
        <w:spacing w:line="400" w:lineRule="exact"/>
        <w:ind w:firstLine="420"/>
        <w:rPr>
          <w:rFonts w:ascii="宋体" w:hAnsi="宋体"/>
          <w:color w:val="000000"/>
          <w:sz w:val="24"/>
          <w:szCs w:val="20"/>
          <w:highlight w:val="none"/>
        </w:rPr>
      </w:pPr>
      <w:r>
        <w:rPr>
          <w:rFonts w:hint="eastAsia" w:ascii="宋体" w:hAnsi="宋体"/>
          <w:color w:val="000000"/>
          <w:sz w:val="24"/>
          <w:szCs w:val="20"/>
          <w:highlight w:val="none"/>
        </w:rPr>
        <w:t>为公正、公平、科学地选择中标人，根据《中华人民共和国政府采购法》等有关法律法规的规定，并结合本项目的实际，制定本办法。</w:t>
      </w:r>
    </w:p>
    <w:p>
      <w:pPr>
        <w:spacing w:line="400" w:lineRule="exact"/>
        <w:ind w:firstLine="420"/>
        <w:rPr>
          <w:rFonts w:ascii="宋体" w:hAnsi="宋体"/>
          <w:color w:val="000000"/>
          <w:sz w:val="24"/>
          <w:szCs w:val="20"/>
          <w:highlight w:val="none"/>
        </w:rPr>
      </w:pPr>
      <w:r>
        <w:rPr>
          <w:rFonts w:hint="eastAsia" w:ascii="宋体" w:hAnsi="宋体"/>
          <w:color w:val="000000"/>
          <w:sz w:val="24"/>
          <w:szCs w:val="20"/>
          <w:highlight w:val="none"/>
        </w:rPr>
        <w:t>本办法适用于德清县市政管理处</w:t>
      </w:r>
      <w:r>
        <w:rPr>
          <w:rFonts w:hint="eastAsia" w:hAnsi="宋体"/>
          <w:color w:val="FF0000"/>
          <w:sz w:val="24"/>
          <w:highlight w:val="none"/>
        </w:rPr>
        <w:t>的2022-2023年度辖区市政设施养护管理服务采购项目</w:t>
      </w:r>
      <w:r>
        <w:rPr>
          <w:rFonts w:hint="eastAsia" w:ascii="宋体" w:hAnsi="宋体"/>
          <w:color w:val="000000"/>
          <w:sz w:val="24"/>
          <w:szCs w:val="20"/>
          <w:highlight w:val="none"/>
        </w:rPr>
        <w:t>的评标。</w:t>
      </w:r>
    </w:p>
    <w:p>
      <w:pPr>
        <w:spacing w:line="400" w:lineRule="exact"/>
        <w:ind w:firstLine="551" w:firstLineChars="196"/>
        <w:rPr>
          <w:rFonts w:ascii="宋体" w:hAnsi="宋体"/>
          <w:b/>
          <w:color w:val="000000"/>
          <w:sz w:val="28"/>
          <w:szCs w:val="28"/>
          <w:highlight w:val="none"/>
        </w:rPr>
      </w:pPr>
      <w:r>
        <w:rPr>
          <w:rFonts w:hint="eastAsia" w:ascii="宋体" w:hAnsi="宋体"/>
          <w:b/>
          <w:color w:val="000000"/>
          <w:sz w:val="28"/>
          <w:szCs w:val="28"/>
          <w:highlight w:val="none"/>
        </w:rPr>
        <w:t>一、总则</w:t>
      </w:r>
    </w:p>
    <w:p>
      <w:pPr>
        <w:spacing w:line="400" w:lineRule="exact"/>
        <w:ind w:firstLine="480" w:firstLineChars="200"/>
        <w:rPr>
          <w:rFonts w:ascii="宋体" w:hAnsi="宋体"/>
          <w:color w:val="000000"/>
          <w:sz w:val="24"/>
          <w:szCs w:val="20"/>
          <w:highlight w:val="none"/>
        </w:rPr>
      </w:pPr>
      <w:r>
        <w:rPr>
          <w:rFonts w:hint="eastAsia" w:ascii="宋体" w:hAnsi="宋体"/>
          <w:color w:val="000000"/>
          <w:sz w:val="24"/>
          <w:szCs w:val="20"/>
          <w:highlight w:val="none"/>
        </w:rPr>
        <w:t>本次评标采用综合评分法，总分为100分，其中价格分、商务资信及其他、技术分等三部分。合格投标人的评标得分为各项目汇总得分，中标候选资格按评标得分由高到低顺序排列，得分相同的，按投标报价由低到高顺序排列,得分且投标报价相同的，按技术得分由高到低顺序排列。排名第一的的投标人为中标候选人,排名第二的投标人为候补中标候选人……其他投标人中标候选资格依此类推。</w:t>
      </w:r>
      <w:r>
        <w:rPr>
          <w:rFonts w:hint="eastAsia" w:ascii="宋体" w:hAnsi="宋体"/>
          <w:bCs/>
          <w:color w:val="000000"/>
          <w:sz w:val="24"/>
          <w:szCs w:val="20"/>
          <w:highlight w:val="none"/>
        </w:rPr>
        <w:t>评分过程中采用四舍五入法，并保留小数2位。</w:t>
      </w:r>
    </w:p>
    <w:p>
      <w:pPr>
        <w:spacing w:line="400" w:lineRule="exact"/>
        <w:ind w:firstLine="480" w:firstLineChars="200"/>
        <w:rPr>
          <w:rFonts w:ascii="宋体" w:hAnsi="宋体"/>
          <w:bCs/>
          <w:color w:val="000000"/>
          <w:sz w:val="24"/>
          <w:szCs w:val="20"/>
          <w:highlight w:val="none"/>
        </w:rPr>
      </w:pPr>
      <w:r>
        <w:rPr>
          <w:rFonts w:hint="eastAsia" w:ascii="宋体" w:hAnsi="宋体"/>
          <w:color w:val="000000"/>
          <w:sz w:val="24"/>
          <w:szCs w:val="20"/>
          <w:highlight w:val="none"/>
        </w:rPr>
        <w:t>投标人评标</w:t>
      </w:r>
      <w:r>
        <w:rPr>
          <w:rFonts w:hint="eastAsia" w:ascii="宋体" w:hAnsi="宋体"/>
          <w:bCs/>
          <w:color w:val="000000"/>
          <w:sz w:val="24"/>
          <w:szCs w:val="20"/>
          <w:highlight w:val="none"/>
        </w:rPr>
        <w:t>综合得分=价格分+(技术分+商务分+资信及其他分)</w:t>
      </w:r>
    </w:p>
    <w:p>
      <w:pPr>
        <w:spacing w:line="360" w:lineRule="auto"/>
        <w:ind w:firstLine="464" w:firstLineChars="200"/>
        <w:rPr>
          <w:rFonts w:ascii="宋体" w:hAnsi="宋体"/>
          <w:bCs/>
          <w:color w:val="000000"/>
          <w:sz w:val="24"/>
          <w:szCs w:val="20"/>
          <w:highlight w:val="none"/>
        </w:rPr>
      </w:pPr>
      <w:r>
        <w:rPr>
          <w:rFonts w:hint="eastAsia" w:ascii="宋体" w:hAnsi="宋体"/>
          <w:color w:val="000000"/>
          <w:spacing w:val="-4"/>
          <w:sz w:val="24"/>
          <w:szCs w:val="20"/>
          <w:highlight w:val="none"/>
        </w:rPr>
        <w:t>评标委员会认为投标人的报价明显低于其他通过符合性审查投标人的报价，有可能影响产品质量或者不能诚信履约的，</w:t>
      </w:r>
      <w:r>
        <w:rPr>
          <w:rFonts w:hint="eastAsia" w:ascii="宋体" w:hAnsi="宋体"/>
          <w:bCs/>
          <w:color w:val="000000"/>
          <w:sz w:val="24"/>
          <w:szCs w:val="20"/>
          <w:highlight w:val="none"/>
        </w:rPr>
        <w:t>应当要求投标人书面说明（包括货物的进货或主要原材料、部件成本，人工成本和合理利润等多种构成要素说明），必要时要求提供相关证明材料（可以传真的形式当场提供,但必须在事后提供相应的原件进行核实）。投标人不能在评审委员会提出说明要求后半小时内当场合理说明原因并提供证明材料的，评审委员会应将该投标人的投标文件作无效处理，并在评审报告中说明。</w:t>
      </w:r>
    </w:p>
    <w:p>
      <w:pPr>
        <w:spacing w:line="400" w:lineRule="exact"/>
        <w:ind w:firstLine="480" w:firstLineChars="200"/>
        <w:rPr>
          <w:rFonts w:ascii="宋体" w:hAnsi="宋体"/>
          <w:bCs/>
          <w:color w:val="000000"/>
          <w:sz w:val="24"/>
          <w:szCs w:val="20"/>
          <w:highlight w:val="none"/>
        </w:rPr>
      </w:pPr>
      <w:r>
        <w:rPr>
          <w:rFonts w:hint="eastAsia" w:ascii="宋体" w:hAnsi="宋体"/>
          <w:bCs/>
          <w:color w:val="000000"/>
          <w:sz w:val="24"/>
          <w:szCs w:val="20"/>
          <w:highlight w:val="none"/>
        </w:rPr>
        <w:t>二分之一以上的评委认为供应商报价明显高于市场平均价的将作为无效投标处理。</w:t>
      </w:r>
    </w:p>
    <w:p>
      <w:pPr>
        <w:numPr>
          <w:ilvl w:val="0"/>
          <w:numId w:val="12"/>
        </w:numPr>
        <w:spacing w:beforeLines="50" w:afterLines="50" w:line="400" w:lineRule="exact"/>
        <w:rPr>
          <w:rFonts w:ascii="宋体" w:hAnsi="宋体"/>
          <w:b/>
          <w:color w:val="000000"/>
          <w:sz w:val="28"/>
          <w:szCs w:val="28"/>
          <w:highlight w:val="none"/>
        </w:rPr>
      </w:pPr>
      <w:r>
        <w:rPr>
          <w:rFonts w:hint="eastAsia" w:ascii="宋体" w:hAnsi="宋体"/>
          <w:b/>
          <w:color w:val="000000"/>
          <w:sz w:val="28"/>
          <w:szCs w:val="28"/>
          <w:highlight w:val="none"/>
        </w:rPr>
        <w:t>评标内容及标准</w:t>
      </w:r>
      <w:r>
        <w:rPr>
          <w:rFonts w:hint="eastAsia" w:ascii="宋体" w:hAnsi="宋体"/>
          <w:b/>
          <w:color w:val="000000"/>
          <w:sz w:val="28"/>
          <w:szCs w:val="28"/>
          <w:highlight w:val="none"/>
          <w:lang w:eastAsia="zh-CN"/>
        </w:rPr>
        <w:t>（标项一、标项二、标项三</w:t>
      </w:r>
      <w:bookmarkStart w:id="2" w:name="_GoBack"/>
      <w:bookmarkEnd w:id="2"/>
      <w:r>
        <w:rPr>
          <w:rFonts w:hint="eastAsia" w:ascii="宋体" w:hAnsi="宋体"/>
          <w:b/>
          <w:color w:val="000000"/>
          <w:sz w:val="28"/>
          <w:szCs w:val="28"/>
          <w:highlight w:val="none"/>
          <w:lang w:eastAsia="zh-CN"/>
        </w:rPr>
        <w:t>）</w:t>
      </w:r>
    </w:p>
    <w:tbl>
      <w:tblPr>
        <w:tblStyle w:val="4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1165"/>
        <w:gridCol w:w="6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blHeader/>
        </w:trPr>
        <w:tc>
          <w:tcPr>
            <w:tcW w:w="1626" w:type="dxa"/>
            <w:shd w:val="clear" w:color="auto" w:fill="B3B3B3"/>
            <w:noWrap/>
            <w:vAlign w:val="center"/>
          </w:tcPr>
          <w:p>
            <w:pPr>
              <w:ind w:firstLine="525" w:firstLineChars="250"/>
              <w:jc w:val="center"/>
              <w:rPr>
                <w:rFonts w:ascii="宋体" w:hAnsi="宋体"/>
                <w:kern w:val="0"/>
                <w:szCs w:val="21"/>
                <w:highlight w:val="none"/>
              </w:rPr>
            </w:pPr>
            <w:r>
              <w:rPr>
                <w:rFonts w:hint="eastAsia" w:ascii="宋体" w:hAnsi="宋体"/>
                <w:kern w:val="0"/>
                <w:szCs w:val="21"/>
                <w:highlight w:val="none"/>
              </w:rPr>
              <w:t>评分项目</w:t>
            </w:r>
          </w:p>
        </w:tc>
        <w:tc>
          <w:tcPr>
            <w:tcW w:w="1165" w:type="dxa"/>
            <w:shd w:val="clear" w:color="auto" w:fill="B3B3B3"/>
            <w:noWrap/>
            <w:vAlign w:val="center"/>
          </w:tcPr>
          <w:p>
            <w:pPr>
              <w:jc w:val="center"/>
              <w:rPr>
                <w:rFonts w:ascii="宋体" w:hAnsi="宋体"/>
                <w:kern w:val="0"/>
                <w:szCs w:val="21"/>
                <w:highlight w:val="none"/>
              </w:rPr>
            </w:pPr>
            <w:r>
              <w:rPr>
                <w:rFonts w:hint="eastAsia" w:ascii="宋体" w:hAnsi="宋体"/>
                <w:kern w:val="0"/>
                <w:szCs w:val="21"/>
                <w:highlight w:val="none"/>
              </w:rPr>
              <w:t>分值</w:t>
            </w:r>
          </w:p>
        </w:tc>
        <w:tc>
          <w:tcPr>
            <w:tcW w:w="6497" w:type="dxa"/>
            <w:shd w:val="clear" w:color="auto" w:fill="B3B3B3"/>
            <w:noWrap/>
            <w:vAlign w:val="center"/>
          </w:tcPr>
          <w:p>
            <w:pPr>
              <w:jc w:val="center"/>
              <w:rPr>
                <w:rFonts w:ascii="宋体" w:hAnsi="宋体"/>
                <w:kern w:val="0"/>
                <w:szCs w:val="21"/>
                <w:highlight w:val="none"/>
              </w:rPr>
            </w:pPr>
            <w:r>
              <w:rPr>
                <w:rFonts w:hint="eastAsia" w:ascii="宋体" w:hAnsi="宋体"/>
                <w:kern w:val="0"/>
                <w:szCs w:val="21"/>
                <w:highlight w:val="none"/>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9" w:hRule="atLeast"/>
        </w:trPr>
        <w:tc>
          <w:tcPr>
            <w:tcW w:w="1626" w:type="dxa"/>
            <w:noWrap/>
            <w:vAlign w:val="center"/>
          </w:tcPr>
          <w:p>
            <w:pPr>
              <w:jc w:val="center"/>
              <w:rPr>
                <w:rFonts w:ascii="宋体" w:hAnsi="宋体"/>
                <w:color w:val="auto"/>
                <w:kern w:val="0"/>
                <w:szCs w:val="21"/>
                <w:highlight w:val="none"/>
              </w:rPr>
            </w:pPr>
            <w:r>
              <w:rPr>
                <w:rFonts w:hint="eastAsia" w:ascii="宋体" w:hAnsi="宋体"/>
                <w:color w:val="auto"/>
                <w:kern w:val="0"/>
                <w:szCs w:val="21"/>
                <w:highlight w:val="none"/>
              </w:rPr>
              <w:t>价格分10分</w:t>
            </w:r>
          </w:p>
        </w:tc>
        <w:tc>
          <w:tcPr>
            <w:tcW w:w="1165" w:type="dxa"/>
            <w:noWrap/>
            <w:vAlign w:val="center"/>
          </w:tcPr>
          <w:p>
            <w:pPr>
              <w:spacing w:beforeLines="50" w:afterLines="50" w:line="400" w:lineRule="exact"/>
              <w:jc w:val="center"/>
              <w:rPr>
                <w:rFonts w:ascii="宋体" w:hAnsi="宋体" w:cs="Arial"/>
                <w:snapToGrid w:val="0"/>
                <w:color w:val="auto"/>
                <w:kern w:val="0"/>
                <w:szCs w:val="21"/>
                <w:highlight w:val="none"/>
              </w:rPr>
            </w:pPr>
            <w:r>
              <w:rPr>
                <w:rFonts w:hint="eastAsia" w:ascii="宋体" w:hAnsi="宋体" w:cs="Arial"/>
                <w:snapToGrid w:val="0"/>
                <w:color w:val="auto"/>
                <w:kern w:val="0"/>
                <w:szCs w:val="21"/>
                <w:highlight w:val="none"/>
              </w:rPr>
              <w:t>10分</w:t>
            </w:r>
          </w:p>
        </w:tc>
        <w:tc>
          <w:tcPr>
            <w:tcW w:w="6497" w:type="dxa"/>
            <w:noWrap/>
            <w:vAlign w:val="center"/>
          </w:tcPr>
          <w:p>
            <w:pPr>
              <w:spacing w:beforeLines="50" w:afterLines="50" w:line="400" w:lineRule="exact"/>
              <w:ind w:firstLine="420" w:firstLineChars="200"/>
              <w:jc w:val="left"/>
              <w:rPr>
                <w:rFonts w:ascii="宋体" w:hAnsi="宋体" w:cs="Arial"/>
                <w:snapToGrid w:val="0"/>
                <w:color w:val="auto"/>
                <w:kern w:val="0"/>
                <w:szCs w:val="21"/>
                <w:highlight w:val="none"/>
              </w:rPr>
            </w:pPr>
            <w:r>
              <w:rPr>
                <w:rFonts w:hint="eastAsia" w:ascii="宋体" w:hAnsi="宋体" w:cs="Arial"/>
                <w:snapToGrid w:val="0"/>
                <w:color w:val="auto"/>
                <w:kern w:val="0"/>
                <w:szCs w:val="21"/>
                <w:highlight w:val="none"/>
              </w:rPr>
              <w:t>投标报价得分的计算方法为以所有有效优惠率的最高优惠率为基准优惠率，其最高优惠率为该项目满分，其他投标人的优惠率分统一按照[投标优惠率得分=（投标优惠率/评标基准优惠率）*10%*100]的计算公式计算。</w:t>
            </w:r>
          </w:p>
          <w:p>
            <w:pPr>
              <w:spacing w:beforeLines="50" w:afterLines="50"/>
              <w:jc w:val="left"/>
              <w:rPr>
                <w:rFonts w:ascii="宋体" w:hAnsi="宋体"/>
                <w:b/>
                <w:color w:val="auto"/>
                <w:highlight w:val="none"/>
              </w:rPr>
            </w:pPr>
            <w:r>
              <w:rPr>
                <w:rFonts w:hint="eastAsia" w:ascii="宋体" w:hAnsi="宋体"/>
                <w:b/>
                <w:color w:val="auto"/>
                <w:highlight w:val="none"/>
              </w:rPr>
              <w:t>优惠率计算</w:t>
            </w:r>
            <w:r>
              <w:rPr>
                <w:rFonts w:ascii="宋体" w:hAnsi="宋体"/>
                <w:b/>
                <w:color w:val="auto"/>
                <w:highlight w:val="none"/>
              </w:rPr>
              <w:t>公示为：</w:t>
            </w:r>
          </w:p>
          <w:p>
            <w:pPr>
              <w:spacing w:beforeLines="50" w:afterLines="50" w:line="400" w:lineRule="exact"/>
              <w:ind w:firstLine="422" w:firstLineChars="200"/>
              <w:jc w:val="left"/>
              <w:rPr>
                <w:rFonts w:ascii="宋体" w:hAnsi="宋体" w:cs="Arial"/>
                <w:snapToGrid w:val="0"/>
                <w:color w:val="auto"/>
                <w:kern w:val="0"/>
                <w:szCs w:val="21"/>
                <w:highlight w:val="none"/>
              </w:rPr>
            </w:pPr>
            <w:r>
              <w:rPr>
                <w:rFonts w:hint="eastAsia" w:ascii="宋体" w:hAnsi="宋体"/>
                <w:b/>
                <w:color w:val="auto"/>
                <w:highlight w:val="none"/>
              </w:rPr>
              <w:t>优惠率=（采购人合计上限价格-投标人报价）/采购人合计上限价格*100%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626" w:type="dxa"/>
            <w:vMerge w:val="restart"/>
            <w:noWrap/>
            <w:vAlign w:val="center"/>
          </w:tcPr>
          <w:p>
            <w:pPr>
              <w:spacing w:line="276" w:lineRule="auto"/>
              <w:jc w:val="center"/>
              <w:rPr>
                <w:color w:val="auto"/>
                <w:highlight w:val="none"/>
              </w:rPr>
            </w:pPr>
            <w:r>
              <w:rPr>
                <w:rFonts w:hint="eastAsia"/>
                <w:color w:val="auto"/>
                <w:highlight w:val="none"/>
              </w:rPr>
              <w:t>技术分</w:t>
            </w:r>
          </w:p>
          <w:p>
            <w:pPr>
              <w:spacing w:line="276" w:lineRule="auto"/>
              <w:jc w:val="center"/>
              <w:rPr>
                <w:color w:val="auto"/>
                <w:highlight w:val="none"/>
              </w:rPr>
            </w:pPr>
            <w:r>
              <w:rPr>
                <w:rFonts w:hint="eastAsia"/>
                <w:color w:val="auto"/>
                <w:highlight w:val="none"/>
              </w:rPr>
              <w:t>（</w:t>
            </w:r>
            <w:r>
              <w:rPr>
                <w:rFonts w:hint="eastAsia"/>
                <w:color w:val="auto"/>
                <w:highlight w:val="none"/>
                <w:lang w:val="en-US" w:eastAsia="zh-CN"/>
              </w:rPr>
              <w:t>70</w:t>
            </w:r>
            <w:r>
              <w:rPr>
                <w:rFonts w:hint="eastAsia"/>
                <w:color w:val="auto"/>
                <w:highlight w:val="none"/>
              </w:rPr>
              <w:t>分）</w:t>
            </w:r>
          </w:p>
        </w:tc>
        <w:tc>
          <w:tcPr>
            <w:tcW w:w="1165" w:type="dxa"/>
            <w:noWrap/>
            <w:vAlign w:val="center"/>
          </w:tcPr>
          <w:p>
            <w:pPr>
              <w:spacing w:line="276" w:lineRule="auto"/>
              <w:jc w:val="left"/>
              <w:rPr>
                <w:color w:val="auto"/>
                <w:highlight w:val="none"/>
              </w:rPr>
            </w:pPr>
            <w:r>
              <w:rPr>
                <w:rFonts w:hint="eastAsia"/>
                <w:color w:val="auto"/>
                <w:highlight w:val="none"/>
              </w:rPr>
              <w:t>服务方案</w:t>
            </w:r>
          </w:p>
          <w:p>
            <w:pPr>
              <w:spacing w:line="276" w:lineRule="auto"/>
              <w:jc w:val="center"/>
              <w:rPr>
                <w:color w:val="auto"/>
                <w:highlight w:val="none"/>
              </w:rPr>
            </w:pPr>
            <w:r>
              <w:rPr>
                <w:rFonts w:hint="eastAsia"/>
                <w:color w:val="auto"/>
                <w:highlight w:val="none"/>
              </w:rPr>
              <w:t>15分</w:t>
            </w:r>
          </w:p>
        </w:tc>
        <w:tc>
          <w:tcPr>
            <w:tcW w:w="6497" w:type="dxa"/>
            <w:noWrap/>
            <w:vAlign w:val="center"/>
          </w:tcPr>
          <w:p>
            <w:pPr>
              <w:spacing w:beforeLines="50" w:afterLines="50" w:line="276" w:lineRule="auto"/>
              <w:ind w:firstLine="420" w:firstLineChars="200"/>
              <w:rPr>
                <w:rFonts w:ascii="宋体" w:hAnsi="宋体" w:cs="Arial"/>
                <w:snapToGrid w:val="0"/>
                <w:color w:val="auto"/>
                <w:kern w:val="0"/>
                <w:szCs w:val="21"/>
                <w:highlight w:val="none"/>
              </w:rPr>
            </w:pPr>
            <w:r>
              <w:rPr>
                <w:rFonts w:hint="eastAsia"/>
                <w:color w:val="auto"/>
                <w:highlight w:val="none"/>
              </w:rPr>
              <w:t>投</w:t>
            </w:r>
            <w:r>
              <w:rPr>
                <w:rFonts w:hint="eastAsia" w:ascii="宋体" w:hAnsi="宋体" w:cs="Arial"/>
                <w:snapToGrid w:val="0"/>
                <w:color w:val="auto"/>
                <w:kern w:val="0"/>
                <w:szCs w:val="21"/>
                <w:highlight w:val="none"/>
              </w:rPr>
              <w:t>标人针对本项目的相关针对市政设施养护维修服务方案主要包括：</w:t>
            </w:r>
          </w:p>
          <w:p>
            <w:pPr>
              <w:spacing w:beforeLines="50" w:afterLines="50" w:line="276" w:lineRule="auto"/>
              <w:ind w:firstLine="420" w:firstLineChars="200"/>
              <w:rPr>
                <w:rFonts w:ascii="宋体" w:hAnsi="宋体" w:cs="Arial"/>
                <w:snapToGrid w:val="0"/>
                <w:color w:val="auto"/>
                <w:kern w:val="0"/>
                <w:szCs w:val="21"/>
                <w:highlight w:val="none"/>
              </w:rPr>
            </w:pPr>
            <w:r>
              <w:rPr>
                <w:rFonts w:hint="eastAsia" w:ascii="宋体" w:hAnsi="宋体" w:cs="Arial"/>
                <w:snapToGrid w:val="0"/>
                <w:color w:val="auto"/>
                <w:kern w:val="0"/>
                <w:szCs w:val="21"/>
                <w:highlight w:val="none"/>
              </w:rPr>
              <w:t>1、对本项目需求的理解、熟悉程度以及对智慧市政平台操作使用掌握情况。（0-</w:t>
            </w:r>
            <w:r>
              <w:rPr>
                <w:rFonts w:hint="eastAsia" w:ascii="宋体" w:hAnsi="宋体" w:cs="Arial"/>
                <w:snapToGrid w:val="0"/>
                <w:color w:val="auto"/>
                <w:kern w:val="0"/>
                <w:szCs w:val="21"/>
                <w:highlight w:val="none"/>
                <w:lang w:val="en-US" w:eastAsia="zh-CN"/>
              </w:rPr>
              <w:t>3</w:t>
            </w:r>
            <w:r>
              <w:rPr>
                <w:rFonts w:hint="eastAsia" w:ascii="宋体" w:hAnsi="宋体" w:cs="Arial"/>
                <w:snapToGrid w:val="0"/>
                <w:color w:val="auto"/>
                <w:kern w:val="0"/>
                <w:szCs w:val="21"/>
                <w:highlight w:val="none"/>
              </w:rPr>
              <w:t>分）</w:t>
            </w:r>
          </w:p>
          <w:p>
            <w:pPr>
              <w:spacing w:beforeLines="50" w:afterLines="50" w:line="276" w:lineRule="auto"/>
              <w:ind w:firstLine="420" w:firstLineChars="200"/>
              <w:rPr>
                <w:rFonts w:ascii="宋体" w:hAnsi="宋体" w:cs="Arial"/>
                <w:snapToGrid w:val="0"/>
                <w:color w:val="auto"/>
                <w:kern w:val="0"/>
                <w:szCs w:val="21"/>
                <w:highlight w:val="none"/>
              </w:rPr>
            </w:pPr>
            <w:r>
              <w:rPr>
                <w:rFonts w:hint="eastAsia" w:ascii="宋体" w:hAnsi="宋体" w:cs="Arial"/>
                <w:snapToGrid w:val="0"/>
                <w:color w:val="auto"/>
                <w:kern w:val="0"/>
                <w:szCs w:val="21"/>
                <w:highlight w:val="none"/>
              </w:rPr>
              <w:t>2、针对本项目市政设施养护维修的具体实施方案 （0-3分）</w:t>
            </w:r>
          </w:p>
          <w:p>
            <w:pPr>
              <w:spacing w:beforeLines="50" w:afterLines="50" w:line="276" w:lineRule="auto"/>
              <w:ind w:firstLine="420" w:firstLineChars="200"/>
              <w:rPr>
                <w:rFonts w:ascii="宋体" w:hAnsi="宋体" w:cs="Arial"/>
                <w:snapToGrid w:val="0"/>
                <w:color w:val="auto"/>
                <w:kern w:val="0"/>
                <w:szCs w:val="21"/>
                <w:highlight w:val="none"/>
              </w:rPr>
            </w:pPr>
            <w:r>
              <w:rPr>
                <w:rFonts w:hint="eastAsia" w:ascii="宋体" w:hAnsi="宋体" w:cs="Arial"/>
                <w:snapToGrid w:val="0"/>
                <w:color w:val="auto"/>
                <w:kern w:val="0"/>
                <w:szCs w:val="21"/>
                <w:highlight w:val="none"/>
              </w:rPr>
              <w:t>3、针对本项目交通组织管理措施（0-3分）</w:t>
            </w:r>
          </w:p>
          <w:p>
            <w:pPr>
              <w:spacing w:beforeLines="50" w:afterLines="50" w:line="276" w:lineRule="auto"/>
              <w:ind w:firstLine="420" w:firstLineChars="200"/>
              <w:rPr>
                <w:rFonts w:ascii="宋体" w:hAnsi="宋体" w:cs="Arial"/>
                <w:snapToGrid w:val="0"/>
                <w:color w:val="auto"/>
                <w:kern w:val="0"/>
                <w:szCs w:val="21"/>
                <w:highlight w:val="none"/>
              </w:rPr>
            </w:pPr>
            <w:r>
              <w:rPr>
                <w:rFonts w:hint="eastAsia" w:ascii="宋体" w:hAnsi="宋体" w:cs="Arial"/>
                <w:snapToGrid w:val="0"/>
                <w:color w:val="auto"/>
                <w:kern w:val="0"/>
                <w:szCs w:val="21"/>
                <w:highlight w:val="none"/>
              </w:rPr>
              <w:t>4、针对本项目质量保证措施。（0-3分）</w:t>
            </w:r>
          </w:p>
          <w:p>
            <w:pPr>
              <w:spacing w:beforeLines="50" w:afterLines="50" w:line="276" w:lineRule="auto"/>
              <w:ind w:firstLine="420" w:firstLineChars="200"/>
              <w:rPr>
                <w:color w:val="auto"/>
                <w:highlight w:val="none"/>
              </w:rPr>
            </w:pPr>
            <w:r>
              <w:rPr>
                <w:rFonts w:hint="eastAsia" w:ascii="宋体" w:hAnsi="宋体" w:cs="Arial"/>
                <w:snapToGrid w:val="0"/>
                <w:color w:val="auto"/>
                <w:kern w:val="0"/>
                <w:szCs w:val="21"/>
                <w:highlight w:val="none"/>
              </w:rPr>
              <w:t>5、针对本项目安全保证措施。（0-3分）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626" w:type="dxa"/>
            <w:vMerge w:val="continue"/>
            <w:noWrap/>
            <w:vAlign w:val="center"/>
          </w:tcPr>
          <w:p>
            <w:pPr>
              <w:spacing w:line="276" w:lineRule="auto"/>
              <w:jc w:val="left"/>
              <w:rPr>
                <w:color w:val="auto"/>
                <w:highlight w:val="none"/>
              </w:rPr>
            </w:pPr>
          </w:p>
        </w:tc>
        <w:tc>
          <w:tcPr>
            <w:tcW w:w="1165" w:type="dxa"/>
            <w:noWrap/>
            <w:vAlign w:val="center"/>
          </w:tcPr>
          <w:p>
            <w:pPr>
              <w:spacing w:line="276" w:lineRule="auto"/>
              <w:jc w:val="left"/>
              <w:rPr>
                <w:color w:val="auto"/>
                <w:highlight w:val="none"/>
                <w:lang w:val="en-US" w:eastAsia="zh-CN"/>
              </w:rPr>
            </w:pPr>
            <w:r>
              <w:rPr>
                <w:rFonts w:hint="eastAsia"/>
                <w:color w:val="auto"/>
                <w:highlight w:val="none"/>
              </w:rPr>
              <w:t>制度完整情况</w:t>
            </w:r>
            <w:r>
              <w:rPr>
                <w:rFonts w:hint="eastAsia"/>
                <w:b w:val="0"/>
                <w:bCs w:val="0"/>
                <w:color w:val="auto"/>
                <w:kern w:val="2"/>
                <w:sz w:val="21"/>
                <w:szCs w:val="24"/>
                <w:highlight w:val="none"/>
                <w:lang w:val="en-US" w:eastAsia="zh-CN"/>
              </w:rPr>
              <w:t>2</w:t>
            </w:r>
            <w:r>
              <w:rPr>
                <w:rFonts w:hint="eastAsia" w:eastAsia="宋体"/>
                <w:b w:val="0"/>
                <w:bCs w:val="0"/>
                <w:color w:val="auto"/>
                <w:kern w:val="2"/>
                <w:sz w:val="21"/>
                <w:szCs w:val="24"/>
                <w:highlight w:val="none"/>
                <w:lang w:val="en-US" w:eastAsia="zh-CN"/>
              </w:rPr>
              <w:t>分</w:t>
            </w:r>
          </w:p>
        </w:tc>
        <w:tc>
          <w:tcPr>
            <w:tcW w:w="6497" w:type="dxa"/>
            <w:noWrap/>
            <w:vAlign w:val="center"/>
          </w:tcPr>
          <w:p>
            <w:pPr>
              <w:spacing w:beforeLines="50" w:afterLines="50" w:line="276" w:lineRule="auto"/>
              <w:ind w:firstLine="420" w:firstLineChars="200"/>
              <w:rPr>
                <w:rFonts w:ascii="宋体" w:hAnsi="宋体" w:cs="Arial"/>
                <w:snapToGrid w:val="0"/>
                <w:color w:val="auto"/>
                <w:kern w:val="0"/>
                <w:szCs w:val="21"/>
                <w:highlight w:val="none"/>
              </w:rPr>
            </w:pPr>
            <w:r>
              <w:rPr>
                <w:rFonts w:hint="eastAsia" w:ascii="宋体" w:hAnsi="宋体" w:cs="Arial"/>
                <w:snapToGrid w:val="0"/>
                <w:color w:val="auto"/>
                <w:kern w:val="0"/>
                <w:szCs w:val="21"/>
                <w:highlight w:val="none"/>
              </w:rPr>
              <w:t>投标人内部相关制度：</w:t>
            </w:r>
          </w:p>
          <w:p>
            <w:pPr>
              <w:spacing w:beforeLines="50" w:afterLines="50" w:line="276" w:lineRule="auto"/>
              <w:ind w:firstLine="420" w:firstLineChars="200"/>
              <w:rPr>
                <w:color w:val="auto"/>
                <w:highlight w:val="none"/>
              </w:rPr>
            </w:pPr>
            <w:r>
              <w:rPr>
                <w:rFonts w:ascii="宋体" w:hAnsi="宋体" w:cs="宋体"/>
                <w:color w:val="auto"/>
                <w:kern w:val="0"/>
                <w:szCs w:val="21"/>
                <w:highlight w:val="none"/>
              </w:rPr>
              <w:t>根据投标</w:t>
            </w:r>
            <w:r>
              <w:rPr>
                <w:rFonts w:hint="eastAsia" w:ascii="宋体" w:hAnsi="宋体" w:cs="宋体"/>
                <w:color w:val="auto"/>
                <w:kern w:val="0"/>
                <w:szCs w:val="21"/>
                <w:highlight w:val="none"/>
              </w:rPr>
              <w:t>人的内部管理制度（</w:t>
            </w:r>
            <w:r>
              <w:rPr>
                <w:rFonts w:hint="eastAsia" w:ascii="宋体" w:hAnsi="宋体" w:cs="宋体"/>
                <w:color w:val="auto"/>
                <w:kern w:val="0"/>
                <w:szCs w:val="21"/>
                <w:highlight w:val="none"/>
                <w:lang w:eastAsia="zh-CN"/>
              </w:rPr>
              <w:t>如</w:t>
            </w:r>
            <w:r>
              <w:rPr>
                <w:rFonts w:hint="eastAsia" w:ascii="宋体" w:hAnsi="宋体" w:cs="宋体"/>
                <w:color w:val="auto"/>
                <w:kern w:val="0"/>
                <w:szCs w:val="21"/>
                <w:highlight w:val="none"/>
              </w:rPr>
              <w:t>考核制度、台账制度</w:t>
            </w:r>
            <w:r>
              <w:rPr>
                <w:rFonts w:hint="eastAsia" w:ascii="宋体" w:hAnsi="宋体" w:cs="宋体"/>
                <w:color w:val="auto"/>
                <w:kern w:val="0"/>
                <w:szCs w:val="21"/>
                <w:highlight w:val="none"/>
                <w:lang w:eastAsia="zh-CN"/>
              </w:rPr>
              <w:t>等</w:t>
            </w:r>
            <w:r>
              <w:rPr>
                <w:rFonts w:hint="eastAsia" w:ascii="宋体" w:hAnsi="宋体" w:cs="宋体"/>
                <w:color w:val="auto"/>
                <w:kern w:val="0"/>
                <w:szCs w:val="21"/>
                <w:highlight w:val="none"/>
              </w:rPr>
              <w:t>）的完整性、精细化进行评审。</w:t>
            </w:r>
            <w:r>
              <w:rPr>
                <w:rFonts w:hint="eastAsia" w:ascii="宋体" w:hAnsi="宋体" w:cs="宋体"/>
                <w:color w:val="auto"/>
                <w:kern w:val="0"/>
                <w:szCs w:val="21"/>
                <w:highlight w:val="none"/>
                <w:lang w:val="en-US" w:eastAsia="zh-CN"/>
              </w:rPr>
              <w:t>0-2分</w:t>
            </w:r>
            <w:r>
              <w:rPr>
                <w:rFonts w:hint="eastAsia" w:ascii="宋体" w:hAnsi="宋体" w:cs="等线"/>
                <w:bCs/>
                <w:color w:val="auto"/>
                <w:spacing w:val="-4"/>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trPr>
        <w:tc>
          <w:tcPr>
            <w:tcW w:w="1626" w:type="dxa"/>
            <w:vMerge w:val="continue"/>
            <w:noWrap/>
            <w:vAlign w:val="center"/>
          </w:tcPr>
          <w:p>
            <w:pPr>
              <w:spacing w:line="276" w:lineRule="auto"/>
              <w:jc w:val="left"/>
              <w:rPr>
                <w:color w:val="auto"/>
                <w:highlight w:val="none"/>
              </w:rPr>
            </w:pPr>
          </w:p>
        </w:tc>
        <w:tc>
          <w:tcPr>
            <w:tcW w:w="1165" w:type="dxa"/>
            <w:noWrap/>
            <w:vAlign w:val="center"/>
          </w:tcPr>
          <w:p>
            <w:pPr>
              <w:spacing w:line="276" w:lineRule="auto"/>
              <w:jc w:val="left"/>
              <w:rPr>
                <w:color w:val="auto"/>
                <w:highlight w:val="none"/>
              </w:rPr>
            </w:pPr>
            <w:r>
              <w:rPr>
                <w:rFonts w:hint="eastAsia"/>
                <w:color w:val="auto"/>
                <w:highlight w:val="none"/>
              </w:rPr>
              <w:t>应急措施</w:t>
            </w:r>
          </w:p>
          <w:p>
            <w:pPr>
              <w:spacing w:line="276" w:lineRule="auto"/>
              <w:jc w:val="center"/>
              <w:rPr>
                <w:color w:val="auto"/>
                <w:highlight w:val="none"/>
              </w:rPr>
            </w:pPr>
            <w:r>
              <w:rPr>
                <w:rFonts w:hint="eastAsia"/>
                <w:color w:val="auto"/>
                <w:highlight w:val="none"/>
                <w:lang w:val="en-US" w:eastAsia="zh-CN"/>
              </w:rPr>
              <w:t>10</w:t>
            </w:r>
            <w:r>
              <w:rPr>
                <w:rFonts w:hint="eastAsia"/>
                <w:color w:val="auto"/>
                <w:highlight w:val="none"/>
              </w:rPr>
              <w:t>分</w:t>
            </w:r>
          </w:p>
        </w:tc>
        <w:tc>
          <w:tcPr>
            <w:tcW w:w="6497" w:type="dxa"/>
            <w:noWrap/>
            <w:vAlign w:val="center"/>
          </w:tcPr>
          <w:p>
            <w:pPr>
              <w:numPr>
                <w:ilvl w:val="0"/>
                <w:numId w:val="17"/>
              </w:numPr>
              <w:spacing w:beforeLines="50" w:afterLines="50" w:line="276" w:lineRule="auto"/>
              <w:ind w:left="360" w:leftChars="0" w:firstLine="420" w:firstLineChars="0"/>
              <w:rPr>
                <w:rFonts w:hint="eastAsia"/>
                <w:color w:val="auto"/>
              </w:rPr>
            </w:pPr>
            <w:r>
              <w:rPr>
                <w:rFonts w:hint="eastAsia"/>
                <w:color w:val="auto"/>
                <w:lang w:val="en-US" w:eastAsia="zh-CN"/>
              </w:rPr>
              <w:t>针对防汛任务</w:t>
            </w:r>
            <w:r>
              <w:rPr>
                <w:rFonts w:hint="eastAsia"/>
                <w:color w:val="auto"/>
              </w:rPr>
              <w:t>的应急措施，其方案合理、科学、切实可行的，0-</w:t>
            </w:r>
            <w:r>
              <w:rPr>
                <w:rFonts w:hint="eastAsia"/>
                <w:color w:val="auto"/>
                <w:lang w:val="en-US" w:eastAsia="zh-CN"/>
              </w:rPr>
              <w:t>4</w:t>
            </w:r>
            <w:r>
              <w:rPr>
                <w:rFonts w:hint="eastAsia"/>
                <w:color w:val="auto"/>
              </w:rPr>
              <w:t>分；</w:t>
            </w:r>
          </w:p>
          <w:p>
            <w:pPr>
              <w:numPr>
                <w:ilvl w:val="0"/>
                <w:numId w:val="17"/>
              </w:numPr>
              <w:spacing w:beforeLines="50" w:afterLines="50" w:line="276" w:lineRule="auto"/>
              <w:ind w:left="360" w:leftChars="0" w:firstLine="420" w:firstLineChars="0"/>
              <w:rPr>
                <w:rFonts w:hint="eastAsia"/>
                <w:color w:val="auto"/>
                <w:lang w:val="en-US" w:eastAsia="zh-CN"/>
              </w:rPr>
            </w:pPr>
            <w:r>
              <w:rPr>
                <w:rFonts w:hint="eastAsia" w:ascii="Times New Roman" w:hAnsi="Times New Roman" w:eastAsia="宋体" w:cs="Times New Roman"/>
                <w:b w:val="0"/>
                <w:bCs w:val="0"/>
                <w:color w:val="auto"/>
                <w:kern w:val="2"/>
                <w:sz w:val="21"/>
                <w:szCs w:val="24"/>
                <w:lang w:val="en-US" w:eastAsia="zh-CN" w:bidi="ar-SA"/>
              </w:rPr>
              <w:t>针对防</w:t>
            </w:r>
            <w:r>
              <w:rPr>
                <w:rFonts w:hint="eastAsia" w:cs="Times New Roman"/>
                <w:b w:val="0"/>
                <w:bCs w:val="0"/>
                <w:color w:val="auto"/>
                <w:kern w:val="2"/>
                <w:sz w:val="21"/>
                <w:szCs w:val="24"/>
                <w:lang w:val="en-US" w:eastAsia="zh-CN" w:bidi="ar-SA"/>
              </w:rPr>
              <w:t>雪抗冻</w:t>
            </w:r>
            <w:r>
              <w:rPr>
                <w:rFonts w:hint="eastAsia" w:ascii="Times New Roman" w:hAnsi="Times New Roman" w:eastAsia="宋体" w:cs="Times New Roman"/>
                <w:b w:val="0"/>
                <w:bCs w:val="0"/>
                <w:color w:val="auto"/>
                <w:kern w:val="2"/>
                <w:sz w:val="21"/>
                <w:szCs w:val="24"/>
                <w:lang w:val="en-US" w:eastAsia="zh-CN" w:bidi="ar-SA"/>
              </w:rPr>
              <w:t>任务的应急措施，其方案合理、科学、切实可行</w:t>
            </w:r>
            <w:r>
              <w:rPr>
                <w:rFonts w:hint="eastAsia"/>
                <w:color w:val="auto"/>
                <w:lang w:val="en-US" w:eastAsia="zh-CN"/>
              </w:rPr>
              <w:t>的，0-4分；</w:t>
            </w:r>
          </w:p>
          <w:p>
            <w:pPr>
              <w:numPr>
                <w:ilvl w:val="0"/>
                <w:numId w:val="17"/>
              </w:numPr>
              <w:spacing w:beforeLines="50" w:afterLines="50" w:line="276" w:lineRule="auto"/>
              <w:ind w:left="360" w:leftChars="0" w:firstLine="420" w:firstLineChars="0"/>
              <w:rPr>
                <w:rFonts w:ascii="宋体" w:hAnsi="宋体" w:cs="Arial"/>
                <w:snapToGrid w:val="0"/>
                <w:color w:val="auto"/>
                <w:kern w:val="0"/>
                <w:szCs w:val="21"/>
                <w:highlight w:val="none"/>
              </w:rPr>
            </w:pPr>
            <w:r>
              <w:rPr>
                <w:rFonts w:hint="eastAsia"/>
                <w:color w:val="auto"/>
                <w:lang w:val="en-US" w:eastAsia="zh-CN"/>
              </w:rPr>
              <w:t>针对其它突发事件的应急措施，其方案合理、科学、切实可行的，0-2分；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1626" w:type="dxa"/>
            <w:vMerge w:val="continue"/>
            <w:noWrap/>
            <w:vAlign w:val="center"/>
          </w:tcPr>
          <w:p>
            <w:pPr>
              <w:jc w:val="center"/>
              <w:rPr>
                <w:rFonts w:ascii="宋体" w:hAnsi="宋体" w:cs="Arial"/>
                <w:snapToGrid w:val="0"/>
                <w:color w:val="auto"/>
                <w:kern w:val="0"/>
                <w:sz w:val="22"/>
                <w:szCs w:val="22"/>
                <w:highlight w:val="none"/>
              </w:rPr>
            </w:pPr>
          </w:p>
        </w:tc>
        <w:tc>
          <w:tcPr>
            <w:tcW w:w="1165" w:type="dxa"/>
            <w:noWrap/>
            <w:vAlign w:val="center"/>
          </w:tcPr>
          <w:p>
            <w:pPr>
              <w:spacing w:line="276" w:lineRule="auto"/>
              <w:jc w:val="center"/>
              <w:rPr>
                <w:rFonts w:ascii="宋体" w:hAnsi="宋体" w:cs="Arial"/>
                <w:b w:val="0"/>
                <w:bCs w:val="0"/>
                <w:snapToGrid w:val="0"/>
                <w:color w:val="auto"/>
                <w:kern w:val="0"/>
                <w:sz w:val="22"/>
                <w:highlight w:val="none"/>
              </w:rPr>
            </w:pPr>
            <w:r>
              <w:rPr>
                <w:rFonts w:hint="eastAsia" w:ascii="宋体" w:hAnsi="宋体" w:cs="Arial"/>
                <w:b w:val="0"/>
                <w:bCs w:val="0"/>
                <w:snapToGrid w:val="0"/>
                <w:color w:val="auto"/>
                <w:kern w:val="0"/>
                <w:sz w:val="22"/>
                <w:highlight w:val="none"/>
              </w:rPr>
              <w:t>设施</w:t>
            </w:r>
            <w:r>
              <w:rPr>
                <w:rFonts w:ascii="宋体" w:hAnsi="宋体" w:cs="Arial"/>
                <w:b w:val="0"/>
                <w:bCs w:val="0"/>
                <w:snapToGrid w:val="0"/>
                <w:color w:val="auto"/>
                <w:kern w:val="0"/>
                <w:sz w:val="22"/>
                <w:highlight w:val="none"/>
              </w:rPr>
              <w:t>设备</w:t>
            </w:r>
          </w:p>
          <w:p>
            <w:pPr>
              <w:spacing w:line="276" w:lineRule="auto"/>
              <w:jc w:val="center"/>
              <w:rPr>
                <w:rFonts w:ascii="宋体" w:hAnsi="宋体" w:cs="Arial"/>
                <w:b w:val="0"/>
                <w:bCs w:val="0"/>
                <w:snapToGrid w:val="0"/>
                <w:color w:val="auto"/>
                <w:kern w:val="0"/>
                <w:sz w:val="22"/>
                <w:szCs w:val="22"/>
                <w:highlight w:val="none"/>
              </w:rPr>
            </w:pPr>
            <w:r>
              <w:rPr>
                <w:rFonts w:hint="eastAsia" w:ascii="宋体" w:hAnsi="宋体" w:cs="Arial"/>
                <w:b w:val="0"/>
                <w:bCs w:val="0"/>
                <w:snapToGrid w:val="0"/>
                <w:color w:val="auto"/>
                <w:kern w:val="0"/>
                <w:sz w:val="22"/>
                <w:highlight w:val="none"/>
              </w:rPr>
              <w:t>2</w:t>
            </w:r>
            <w:r>
              <w:rPr>
                <w:rFonts w:hint="eastAsia" w:ascii="宋体" w:hAnsi="宋体" w:cs="Arial"/>
                <w:b w:val="0"/>
                <w:bCs w:val="0"/>
                <w:snapToGrid w:val="0"/>
                <w:color w:val="auto"/>
                <w:kern w:val="0"/>
                <w:sz w:val="22"/>
                <w:highlight w:val="none"/>
                <w:lang w:val="en-US" w:eastAsia="zh-CN"/>
              </w:rPr>
              <w:t>0</w:t>
            </w:r>
            <w:r>
              <w:rPr>
                <w:rFonts w:hint="eastAsia" w:ascii="宋体" w:hAnsi="宋体" w:cs="Arial"/>
                <w:b w:val="0"/>
                <w:bCs w:val="0"/>
                <w:snapToGrid w:val="0"/>
                <w:color w:val="auto"/>
                <w:kern w:val="0"/>
                <w:sz w:val="22"/>
                <w:highlight w:val="none"/>
              </w:rPr>
              <w:t>分</w:t>
            </w:r>
          </w:p>
        </w:tc>
        <w:tc>
          <w:tcPr>
            <w:tcW w:w="6497" w:type="dxa"/>
            <w:noWrap/>
            <w:vAlign w:val="center"/>
          </w:tcPr>
          <w:p>
            <w:pPr>
              <w:ind w:firstLine="420" w:firstLineChars="200"/>
              <w:rPr>
                <w:rFonts w:ascii="宋体" w:hAnsi="宋体" w:cs="Arial"/>
                <w:b w:val="0"/>
                <w:bCs w:val="0"/>
                <w:snapToGrid w:val="0"/>
                <w:color w:val="auto"/>
                <w:kern w:val="0"/>
                <w:szCs w:val="21"/>
                <w:highlight w:val="none"/>
              </w:rPr>
            </w:pPr>
            <w:r>
              <w:rPr>
                <w:rFonts w:hint="eastAsia" w:ascii="宋体" w:hAnsi="宋体" w:cs="Arial"/>
                <w:b w:val="0"/>
                <w:bCs w:val="0"/>
                <w:snapToGrid w:val="0"/>
                <w:color w:val="auto"/>
                <w:kern w:val="0"/>
                <w:szCs w:val="21"/>
                <w:highlight w:val="none"/>
              </w:rPr>
              <w:t>根据投标</w:t>
            </w:r>
            <w:r>
              <w:rPr>
                <w:rFonts w:ascii="宋体" w:hAnsi="宋体" w:cs="Arial"/>
                <w:b w:val="0"/>
                <w:bCs w:val="0"/>
                <w:snapToGrid w:val="0"/>
                <w:color w:val="auto"/>
                <w:kern w:val="0"/>
                <w:szCs w:val="21"/>
                <w:highlight w:val="none"/>
              </w:rPr>
              <w:t>单位</w:t>
            </w:r>
            <w:r>
              <w:rPr>
                <w:rFonts w:hint="eastAsia" w:ascii="宋体" w:hAnsi="宋体" w:cs="Arial"/>
                <w:b w:val="0"/>
                <w:bCs w:val="0"/>
                <w:snapToGrid w:val="0"/>
                <w:color w:val="auto"/>
                <w:kern w:val="0"/>
                <w:szCs w:val="21"/>
                <w:highlight w:val="none"/>
              </w:rPr>
              <w:t>针对</w:t>
            </w:r>
            <w:r>
              <w:rPr>
                <w:rFonts w:ascii="宋体" w:hAnsi="宋体" w:cs="Arial"/>
                <w:b w:val="0"/>
                <w:bCs w:val="0"/>
                <w:snapToGrid w:val="0"/>
                <w:color w:val="auto"/>
                <w:kern w:val="0"/>
                <w:szCs w:val="21"/>
                <w:highlight w:val="none"/>
              </w:rPr>
              <w:t>本项目拟投入的车辆设备</w:t>
            </w:r>
            <w:r>
              <w:rPr>
                <w:rFonts w:hint="eastAsia" w:ascii="宋体" w:hAnsi="宋体" w:cs="Arial"/>
                <w:b w:val="0"/>
                <w:bCs w:val="0"/>
                <w:snapToGrid w:val="0"/>
                <w:color w:val="auto"/>
                <w:kern w:val="0"/>
                <w:szCs w:val="21"/>
                <w:highlight w:val="none"/>
              </w:rPr>
              <w:t>情况进行</w:t>
            </w:r>
            <w:r>
              <w:rPr>
                <w:rFonts w:ascii="宋体" w:hAnsi="宋体" w:cs="Arial"/>
                <w:b w:val="0"/>
                <w:bCs w:val="0"/>
                <w:snapToGrid w:val="0"/>
                <w:color w:val="auto"/>
                <w:kern w:val="0"/>
                <w:szCs w:val="21"/>
                <w:highlight w:val="none"/>
              </w:rPr>
              <w:t>打分</w:t>
            </w:r>
            <w:r>
              <w:rPr>
                <w:rFonts w:hint="eastAsia" w:ascii="宋体" w:hAnsi="宋体" w:cs="Arial"/>
                <w:b w:val="0"/>
                <w:bCs w:val="0"/>
                <w:snapToGrid w:val="0"/>
                <w:color w:val="auto"/>
                <w:kern w:val="0"/>
                <w:szCs w:val="21"/>
                <w:highlight w:val="none"/>
              </w:rPr>
              <w:t>。</w:t>
            </w:r>
          </w:p>
          <w:p>
            <w:pPr>
              <w:ind w:firstLine="420" w:firstLineChars="200"/>
              <w:rPr>
                <w:rFonts w:ascii="宋体" w:hAnsi="宋体" w:cs="Arial"/>
                <w:b w:val="0"/>
                <w:bCs w:val="0"/>
                <w:snapToGrid w:val="0"/>
                <w:color w:val="auto"/>
                <w:kern w:val="0"/>
                <w:szCs w:val="21"/>
                <w:highlight w:val="none"/>
              </w:rPr>
            </w:pPr>
            <w:r>
              <w:rPr>
                <w:rFonts w:hint="eastAsia" w:ascii="宋体" w:hAnsi="宋体" w:cs="Arial"/>
                <w:b w:val="0"/>
                <w:bCs w:val="0"/>
                <w:snapToGrid w:val="0"/>
                <w:color w:val="auto"/>
                <w:kern w:val="0"/>
                <w:szCs w:val="21"/>
                <w:highlight w:val="none"/>
              </w:rPr>
              <w:t>1、投标人自有沥青搅拌厂（沥青搅拌站）, 或有沥青搅拌厂（沥青搅拌站）提供供货承诺的得3分;（提供相关证明材料，否则不得分）</w:t>
            </w:r>
          </w:p>
          <w:p>
            <w:pPr>
              <w:ind w:firstLine="420" w:firstLineChars="200"/>
              <w:rPr>
                <w:rFonts w:ascii="宋体" w:hAnsi="宋体" w:cs="Arial"/>
                <w:b w:val="0"/>
                <w:bCs w:val="0"/>
                <w:snapToGrid w:val="0"/>
                <w:color w:val="auto"/>
                <w:kern w:val="0"/>
                <w:szCs w:val="21"/>
                <w:highlight w:val="none"/>
              </w:rPr>
            </w:pPr>
            <w:r>
              <w:rPr>
                <w:rFonts w:hint="eastAsia" w:ascii="宋体" w:hAnsi="宋体" w:cs="Arial"/>
                <w:b w:val="0"/>
                <w:bCs w:val="0"/>
                <w:snapToGrid w:val="0"/>
                <w:color w:val="auto"/>
                <w:kern w:val="0"/>
                <w:szCs w:val="21"/>
                <w:highlight w:val="none"/>
              </w:rPr>
              <w:t>2、每提供养护维修设备（铲车、小型压路机、小型平板振动夯实机、手推式沥青切割机、混凝土震动棒、风镐机、路面吹风机、热熔划线机、滑移装载机、沥青灌封机）每提供1台得1分，最高得</w:t>
            </w:r>
            <w:r>
              <w:rPr>
                <w:rFonts w:hint="eastAsia" w:ascii="宋体" w:hAnsi="宋体" w:cs="Arial"/>
                <w:b w:val="0"/>
                <w:bCs w:val="0"/>
                <w:snapToGrid w:val="0"/>
                <w:color w:val="auto"/>
                <w:kern w:val="0"/>
                <w:szCs w:val="21"/>
                <w:highlight w:val="none"/>
                <w:lang w:val="en-US" w:eastAsia="zh-CN"/>
              </w:rPr>
              <w:t>9</w:t>
            </w:r>
            <w:r>
              <w:rPr>
                <w:rFonts w:hint="eastAsia" w:ascii="宋体" w:hAnsi="宋体" w:cs="Arial"/>
                <w:b w:val="0"/>
                <w:bCs w:val="0"/>
                <w:snapToGrid w:val="0"/>
                <w:color w:val="auto"/>
                <w:kern w:val="0"/>
                <w:szCs w:val="21"/>
                <w:highlight w:val="none"/>
              </w:rPr>
              <w:t>分。（每个种类最高得1分）</w:t>
            </w:r>
          </w:p>
          <w:p>
            <w:pPr>
              <w:ind w:firstLine="420" w:firstLineChars="200"/>
              <w:rPr>
                <w:rFonts w:ascii="宋体" w:hAnsi="宋体" w:cs="Arial"/>
                <w:b w:val="0"/>
                <w:bCs w:val="0"/>
                <w:snapToGrid w:val="0"/>
                <w:color w:val="auto"/>
                <w:kern w:val="0"/>
                <w:szCs w:val="21"/>
                <w:highlight w:val="none"/>
              </w:rPr>
            </w:pPr>
            <w:r>
              <w:rPr>
                <w:rFonts w:hint="eastAsia" w:ascii="宋体" w:hAnsi="宋体" w:cs="Arial"/>
                <w:b w:val="0"/>
                <w:bCs w:val="0"/>
                <w:snapToGrid w:val="0"/>
                <w:color w:val="auto"/>
                <w:kern w:val="0"/>
                <w:szCs w:val="21"/>
                <w:highlight w:val="none"/>
              </w:rPr>
              <w:t>3、提供应急抢险设备（</w:t>
            </w:r>
            <w:r>
              <w:rPr>
                <w:rFonts w:hint="eastAsia" w:ascii="宋体" w:hAnsi="宋体" w:cs="宋体"/>
                <w:b w:val="0"/>
                <w:bCs w:val="0"/>
                <w:color w:val="auto"/>
                <w:kern w:val="0"/>
                <w:szCs w:val="21"/>
                <w:highlight w:val="none"/>
              </w:rPr>
              <w:t>除雪清扫设备、排涝泵（150m³/h及以上）</w:t>
            </w:r>
            <w:r>
              <w:rPr>
                <w:rFonts w:hint="eastAsia" w:ascii="宋体" w:hAnsi="宋体" w:cs="Arial"/>
                <w:b w:val="0"/>
                <w:bCs w:val="0"/>
                <w:snapToGrid w:val="0"/>
                <w:color w:val="auto"/>
                <w:kern w:val="0"/>
                <w:szCs w:val="21"/>
                <w:highlight w:val="none"/>
              </w:rPr>
              <w:t>、挖掘机）每提供1台得1分，最高得</w:t>
            </w:r>
            <w:r>
              <w:rPr>
                <w:rFonts w:ascii="宋体" w:hAnsi="宋体" w:cs="Arial"/>
                <w:b w:val="0"/>
                <w:bCs w:val="0"/>
                <w:snapToGrid w:val="0"/>
                <w:color w:val="auto"/>
                <w:kern w:val="0"/>
                <w:szCs w:val="21"/>
                <w:highlight w:val="none"/>
              </w:rPr>
              <w:t>3</w:t>
            </w:r>
            <w:r>
              <w:rPr>
                <w:rFonts w:hint="eastAsia" w:ascii="宋体" w:hAnsi="宋体" w:cs="Arial"/>
                <w:b w:val="0"/>
                <w:bCs w:val="0"/>
                <w:snapToGrid w:val="0"/>
                <w:color w:val="auto"/>
                <w:kern w:val="0"/>
                <w:szCs w:val="21"/>
                <w:highlight w:val="none"/>
              </w:rPr>
              <w:t>分。（每个种类最高得1分）</w:t>
            </w:r>
          </w:p>
          <w:p>
            <w:pPr>
              <w:ind w:firstLine="420" w:firstLineChars="200"/>
              <w:rPr>
                <w:rFonts w:ascii="宋体" w:hAnsi="宋体" w:cs="Arial"/>
                <w:b w:val="0"/>
                <w:bCs w:val="0"/>
                <w:snapToGrid w:val="0"/>
                <w:color w:val="auto"/>
                <w:kern w:val="0"/>
                <w:szCs w:val="21"/>
                <w:highlight w:val="none"/>
              </w:rPr>
            </w:pPr>
            <w:r>
              <w:rPr>
                <w:rFonts w:hint="eastAsia" w:ascii="宋体" w:hAnsi="宋体" w:cs="Arial"/>
                <w:b w:val="0"/>
                <w:bCs w:val="0"/>
                <w:snapToGrid w:val="0"/>
                <w:color w:val="auto"/>
                <w:kern w:val="0"/>
                <w:szCs w:val="21"/>
                <w:highlight w:val="none"/>
              </w:rPr>
              <w:t>4、提供巡查设备（机动巡查车、非机动巡查车）每提供1辆得1分，最高得2分。</w:t>
            </w:r>
          </w:p>
          <w:p>
            <w:pPr>
              <w:ind w:firstLine="420" w:firstLineChars="200"/>
              <w:rPr>
                <w:rFonts w:ascii="宋体" w:hAnsi="宋体" w:cs="Arial"/>
                <w:b w:val="0"/>
                <w:bCs w:val="0"/>
                <w:snapToGrid w:val="0"/>
                <w:color w:val="auto"/>
                <w:kern w:val="0"/>
                <w:szCs w:val="21"/>
                <w:highlight w:val="none"/>
              </w:rPr>
            </w:pPr>
            <w:r>
              <w:rPr>
                <w:rFonts w:hint="eastAsia" w:ascii="宋体" w:hAnsi="宋体" w:cs="Arial"/>
                <w:b w:val="0"/>
                <w:bCs w:val="0"/>
                <w:snapToGrid w:val="0"/>
                <w:color w:val="auto"/>
                <w:kern w:val="0"/>
                <w:szCs w:val="21"/>
                <w:highlight w:val="none"/>
              </w:rPr>
              <w:t>5、每提供1吨以上货车1辆得1分，最高得</w:t>
            </w:r>
            <w:r>
              <w:rPr>
                <w:rFonts w:ascii="宋体" w:hAnsi="宋体" w:cs="Arial"/>
                <w:b w:val="0"/>
                <w:bCs w:val="0"/>
                <w:snapToGrid w:val="0"/>
                <w:color w:val="auto"/>
                <w:kern w:val="0"/>
                <w:szCs w:val="21"/>
                <w:highlight w:val="none"/>
              </w:rPr>
              <w:t>3</w:t>
            </w:r>
            <w:r>
              <w:rPr>
                <w:rFonts w:hint="eastAsia" w:ascii="宋体" w:hAnsi="宋体" w:cs="Arial"/>
                <w:b w:val="0"/>
                <w:bCs w:val="0"/>
                <w:snapToGrid w:val="0"/>
                <w:color w:val="auto"/>
                <w:kern w:val="0"/>
                <w:szCs w:val="21"/>
                <w:highlight w:val="none"/>
              </w:rPr>
              <w:t>分。</w:t>
            </w:r>
          </w:p>
          <w:p>
            <w:pPr>
              <w:spacing w:beforeLines="50" w:afterLines="50"/>
              <w:ind w:firstLine="316" w:firstLineChars="150"/>
              <w:rPr>
                <w:rFonts w:ascii="宋体" w:hAnsi="宋体" w:cs="Arial"/>
                <w:b w:val="0"/>
                <w:bCs w:val="0"/>
                <w:snapToGrid w:val="0"/>
                <w:color w:val="auto"/>
                <w:kern w:val="0"/>
                <w:szCs w:val="21"/>
                <w:highlight w:val="none"/>
              </w:rPr>
            </w:pPr>
            <w:r>
              <w:rPr>
                <w:rFonts w:hint="eastAsia" w:ascii="宋体" w:hAnsi="宋体" w:cs="Arial"/>
                <w:b/>
                <w:bCs/>
                <w:snapToGrid w:val="0"/>
                <w:color w:val="auto"/>
                <w:kern w:val="0"/>
                <w:szCs w:val="21"/>
                <w:highlight w:val="none"/>
              </w:rPr>
              <w:t>（以上车辆设备均需是投标人的自有资产并承诺中标后投入中标区域使用，提供相对应的车辆行驶证及购买发票复印件并加盖投标单位公章，不提供不得分，同一车辆或设备不重复计分）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1626" w:type="dxa"/>
            <w:vMerge w:val="continue"/>
            <w:noWrap/>
            <w:vAlign w:val="center"/>
          </w:tcPr>
          <w:p>
            <w:pPr>
              <w:jc w:val="center"/>
              <w:rPr>
                <w:rFonts w:ascii="宋体" w:hAnsi="宋体" w:cs="Arial"/>
                <w:snapToGrid w:val="0"/>
                <w:color w:val="auto"/>
                <w:kern w:val="0"/>
                <w:sz w:val="22"/>
                <w:szCs w:val="22"/>
                <w:highlight w:val="none"/>
              </w:rPr>
            </w:pPr>
          </w:p>
        </w:tc>
        <w:tc>
          <w:tcPr>
            <w:tcW w:w="1165" w:type="dxa"/>
            <w:noWrap/>
            <w:vAlign w:val="center"/>
          </w:tcPr>
          <w:p>
            <w:pPr>
              <w:spacing w:line="276" w:lineRule="auto"/>
              <w:jc w:val="center"/>
              <w:rPr>
                <w:rFonts w:ascii="宋体" w:hAnsi="宋体" w:cs="Arial"/>
                <w:snapToGrid w:val="0"/>
                <w:color w:val="auto"/>
                <w:kern w:val="0"/>
                <w:sz w:val="22"/>
                <w:highlight w:val="none"/>
              </w:rPr>
            </w:pPr>
            <w:r>
              <w:rPr>
                <w:rFonts w:hint="eastAsia" w:ascii="宋体" w:hAnsi="宋体" w:cs="Arial"/>
                <w:snapToGrid w:val="0"/>
                <w:color w:val="auto"/>
                <w:kern w:val="0"/>
                <w:sz w:val="22"/>
                <w:highlight w:val="none"/>
              </w:rPr>
              <w:t>人员</w:t>
            </w:r>
            <w:r>
              <w:rPr>
                <w:rFonts w:ascii="宋体" w:hAnsi="宋体" w:cs="Arial"/>
                <w:snapToGrid w:val="0"/>
                <w:color w:val="auto"/>
                <w:kern w:val="0"/>
                <w:sz w:val="22"/>
                <w:highlight w:val="none"/>
              </w:rPr>
              <w:t>配备</w:t>
            </w:r>
          </w:p>
          <w:p>
            <w:pPr>
              <w:spacing w:line="276" w:lineRule="auto"/>
              <w:jc w:val="center"/>
              <w:rPr>
                <w:rFonts w:ascii="宋体" w:hAnsi="宋体" w:cs="Arial"/>
                <w:snapToGrid w:val="0"/>
                <w:color w:val="auto"/>
                <w:kern w:val="0"/>
                <w:sz w:val="22"/>
                <w:szCs w:val="22"/>
                <w:highlight w:val="none"/>
              </w:rPr>
            </w:pPr>
            <w:r>
              <w:rPr>
                <w:rFonts w:hint="eastAsia" w:ascii="宋体" w:hAnsi="宋体" w:cs="Arial"/>
                <w:snapToGrid w:val="0"/>
                <w:color w:val="auto"/>
                <w:kern w:val="0"/>
                <w:sz w:val="22"/>
                <w:highlight w:val="none"/>
              </w:rPr>
              <w:t>1</w:t>
            </w:r>
            <w:r>
              <w:rPr>
                <w:rFonts w:hint="eastAsia" w:ascii="宋体" w:hAnsi="宋体" w:cs="Arial"/>
                <w:snapToGrid w:val="0"/>
                <w:color w:val="auto"/>
                <w:kern w:val="0"/>
                <w:sz w:val="22"/>
                <w:highlight w:val="none"/>
                <w:lang w:val="en-US" w:eastAsia="zh-CN"/>
              </w:rPr>
              <w:t>5</w:t>
            </w:r>
            <w:r>
              <w:rPr>
                <w:rFonts w:hint="eastAsia" w:ascii="宋体" w:hAnsi="宋体" w:cs="Arial"/>
                <w:snapToGrid w:val="0"/>
                <w:color w:val="auto"/>
                <w:kern w:val="0"/>
                <w:sz w:val="22"/>
                <w:highlight w:val="none"/>
              </w:rPr>
              <w:t>分</w:t>
            </w:r>
          </w:p>
        </w:tc>
        <w:tc>
          <w:tcPr>
            <w:tcW w:w="6497" w:type="dxa"/>
            <w:noWrap/>
            <w:vAlign w:val="center"/>
          </w:tcPr>
          <w:p>
            <w:pPr>
              <w:spacing w:beforeLines="50" w:afterLines="50"/>
              <w:ind w:firstLine="420" w:firstLineChars="200"/>
              <w:rPr>
                <w:rFonts w:ascii="宋体" w:hAnsi="宋体" w:cs="Arial"/>
                <w:snapToGrid w:val="0"/>
                <w:color w:val="auto"/>
                <w:kern w:val="0"/>
                <w:szCs w:val="21"/>
                <w:highlight w:val="none"/>
              </w:rPr>
            </w:pPr>
            <w:r>
              <w:rPr>
                <w:rFonts w:hint="eastAsia" w:ascii="宋体" w:hAnsi="宋体" w:cs="Arial"/>
                <w:snapToGrid w:val="0"/>
                <w:color w:val="auto"/>
                <w:kern w:val="0"/>
                <w:szCs w:val="21"/>
                <w:highlight w:val="none"/>
              </w:rPr>
              <w:t>根据负责本项目的服务技术团队实力情况综合给分。主要参考技术人员组成、相关经验履历情况、工程师证书等。</w:t>
            </w:r>
          </w:p>
          <w:p>
            <w:pPr>
              <w:numPr>
                <w:ilvl w:val="0"/>
                <w:numId w:val="18"/>
              </w:numPr>
              <w:spacing w:beforeLines="50" w:afterLines="50"/>
              <w:ind w:firstLine="420" w:firstLineChars="200"/>
              <w:rPr>
                <w:rFonts w:ascii="宋体" w:hAnsi="宋体"/>
                <w:color w:val="auto"/>
                <w:highlight w:val="none"/>
              </w:rPr>
            </w:pPr>
            <w:r>
              <w:rPr>
                <w:rFonts w:hint="eastAsia" w:ascii="宋体" w:hAnsi="宋体"/>
                <w:color w:val="auto"/>
                <w:highlight w:val="none"/>
              </w:rPr>
              <w:t>本项目拟派项目负责人或项目经理有一级建造师证书（市政工程专业）及安全生产考核B证的得</w:t>
            </w:r>
            <w:r>
              <w:rPr>
                <w:rFonts w:hint="eastAsia" w:ascii="宋体" w:hAnsi="宋体"/>
                <w:color w:val="auto"/>
                <w:highlight w:val="none"/>
                <w:lang w:val="en-US" w:eastAsia="zh-CN"/>
              </w:rPr>
              <w:t>4</w:t>
            </w:r>
            <w:r>
              <w:rPr>
                <w:rFonts w:hint="eastAsia" w:ascii="宋体" w:hAnsi="宋体"/>
                <w:color w:val="auto"/>
                <w:highlight w:val="none"/>
              </w:rPr>
              <w:t>分，有二级建造师证书（市政工程专业）及安全生产考核B证的得</w:t>
            </w:r>
            <w:r>
              <w:rPr>
                <w:rFonts w:hint="eastAsia" w:ascii="宋体" w:hAnsi="宋体"/>
                <w:color w:val="auto"/>
                <w:highlight w:val="none"/>
                <w:lang w:val="en-US" w:eastAsia="zh-CN"/>
              </w:rPr>
              <w:t>2</w:t>
            </w:r>
            <w:r>
              <w:rPr>
                <w:rFonts w:hint="eastAsia" w:ascii="宋体" w:hAnsi="宋体"/>
                <w:color w:val="auto"/>
                <w:highlight w:val="none"/>
              </w:rPr>
              <w:t>分。</w:t>
            </w:r>
          </w:p>
          <w:p>
            <w:pPr>
              <w:numPr>
                <w:ilvl w:val="0"/>
                <w:numId w:val="18"/>
              </w:numPr>
              <w:spacing w:beforeLines="50" w:afterLines="50"/>
              <w:ind w:firstLine="420" w:firstLineChars="200"/>
              <w:rPr>
                <w:rFonts w:ascii="宋体" w:hAnsi="宋体"/>
                <w:color w:val="auto"/>
                <w:highlight w:val="none"/>
              </w:rPr>
            </w:pPr>
            <w:r>
              <w:rPr>
                <w:rFonts w:hint="eastAsia" w:ascii="宋体" w:hAnsi="宋体"/>
                <w:color w:val="auto"/>
                <w:highlight w:val="none"/>
              </w:rPr>
              <w:t>本项目拟派技术负责人有初级职称的得1分，中级职称的得2分、高级职称得3分。</w:t>
            </w:r>
          </w:p>
          <w:p>
            <w:pPr>
              <w:numPr>
                <w:ilvl w:val="0"/>
                <w:numId w:val="18"/>
              </w:numPr>
              <w:spacing w:beforeLines="50" w:afterLines="50"/>
              <w:ind w:firstLine="420" w:firstLineChars="200"/>
              <w:rPr>
                <w:rFonts w:ascii="宋体" w:hAnsi="宋体"/>
                <w:color w:val="auto"/>
                <w:highlight w:val="none"/>
              </w:rPr>
            </w:pPr>
            <w:r>
              <w:rPr>
                <w:rFonts w:hint="eastAsia" w:ascii="宋体" w:hAnsi="宋体"/>
                <w:color w:val="auto"/>
                <w:highlight w:val="none"/>
              </w:rPr>
              <w:t>本项目拟派资料员有资料员证书的得2分。</w:t>
            </w:r>
          </w:p>
          <w:p>
            <w:pPr>
              <w:numPr>
                <w:ilvl w:val="0"/>
                <w:numId w:val="18"/>
              </w:numPr>
              <w:spacing w:beforeLines="50" w:afterLines="50"/>
              <w:ind w:firstLine="420" w:firstLineChars="200"/>
              <w:rPr>
                <w:rFonts w:ascii="宋体" w:hAnsi="宋体"/>
                <w:color w:val="auto"/>
                <w:highlight w:val="none"/>
              </w:rPr>
            </w:pPr>
            <w:r>
              <w:rPr>
                <w:rFonts w:hint="eastAsia" w:ascii="宋体" w:hAnsi="宋体"/>
                <w:color w:val="auto"/>
                <w:highlight w:val="none"/>
              </w:rPr>
              <w:t>本项目拟派安全员有生产考核C证的得</w:t>
            </w:r>
            <w:r>
              <w:rPr>
                <w:rFonts w:ascii="宋体" w:hAnsi="宋体"/>
                <w:color w:val="auto"/>
                <w:highlight w:val="none"/>
              </w:rPr>
              <w:t>3</w:t>
            </w:r>
            <w:r>
              <w:rPr>
                <w:rFonts w:hint="eastAsia" w:ascii="宋体" w:hAnsi="宋体"/>
                <w:color w:val="auto"/>
                <w:highlight w:val="none"/>
              </w:rPr>
              <w:t>分。</w:t>
            </w:r>
          </w:p>
          <w:p>
            <w:pPr>
              <w:spacing w:beforeLines="50" w:afterLines="50"/>
              <w:ind w:firstLine="420" w:firstLineChars="200"/>
              <w:rPr>
                <w:rFonts w:ascii="宋体" w:hAnsi="宋体" w:cs="Arial"/>
                <w:snapToGrid w:val="0"/>
                <w:color w:val="auto"/>
                <w:kern w:val="0"/>
                <w:szCs w:val="21"/>
                <w:highlight w:val="none"/>
              </w:rPr>
            </w:pPr>
            <w:r>
              <w:rPr>
                <w:rFonts w:hint="eastAsia" w:ascii="宋体" w:hAnsi="宋体"/>
                <w:color w:val="auto"/>
                <w:highlight w:val="none"/>
              </w:rPr>
              <w:t>5、本项目拟派作业人员有市政工程施工员证书的得</w:t>
            </w:r>
            <w:r>
              <w:rPr>
                <w:rFonts w:ascii="宋体" w:hAnsi="宋体"/>
                <w:color w:val="auto"/>
                <w:highlight w:val="none"/>
              </w:rPr>
              <w:t>3</w:t>
            </w:r>
            <w:r>
              <w:rPr>
                <w:rFonts w:hint="eastAsia" w:ascii="宋体" w:hAnsi="宋体"/>
                <w:color w:val="auto"/>
                <w:highlight w:val="none"/>
              </w:rPr>
              <w:t>分。</w:t>
            </w:r>
          </w:p>
          <w:p>
            <w:pPr>
              <w:spacing w:beforeLines="50" w:afterLines="50"/>
              <w:ind w:firstLine="422" w:firstLineChars="200"/>
              <w:rPr>
                <w:rFonts w:ascii="宋体" w:hAnsi="宋体" w:cs="Arial"/>
                <w:snapToGrid w:val="0"/>
                <w:color w:val="auto"/>
                <w:kern w:val="0"/>
                <w:szCs w:val="21"/>
                <w:highlight w:val="none"/>
              </w:rPr>
            </w:pPr>
            <w:r>
              <w:rPr>
                <w:rFonts w:hint="eastAsia" w:ascii="宋体" w:hAnsi="宋体" w:cs="Arial"/>
                <w:b/>
                <w:bCs/>
                <w:snapToGrid w:val="0"/>
                <w:color w:val="auto"/>
                <w:kern w:val="0"/>
                <w:szCs w:val="21"/>
                <w:highlight w:val="none"/>
              </w:rPr>
              <w:t>（投标文件中提供以上人员资格证书及</w:t>
            </w:r>
            <w:r>
              <w:rPr>
                <w:rFonts w:hint="eastAsia" w:ascii="宋体" w:hAnsi="宋体" w:cs="Arial"/>
                <w:b/>
                <w:bCs/>
                <w:snapToGrid w:val="0"/>
                <w:color w:val="auto"/>
                <w:kern w:val="0"/>
                <w:szCs w:val="21"/>
                <w:highlight w:val="none"/>
                <w:lang w:eastAsia="zh-CN"/>
              </w:rPr>
              <w:t>近一个月的</w:t>
            </w:r>
            <w:r>
              <w:rPr>
                <w:rFonts w:hint="eastAsia" w:ascii="宋体" w:hAnsi="宋体" w:cs="Arial"/>
                <w:b/>
                <w:bCs/>
                <w:snapToGrid w:val="0"/>
                <w:color w:val="auto"/>
                <w:kern w:val="0"/>
                <w:szCs w:val="21"/>
                <w:highlight w:val="none"/>
              </w:rPr>
              <w:t>社会保险参保证明（或股东证明、退休证明和返聘证明）复印件并加盖投标单位公章，不提供不得分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trPr>
        <w:tc>
          <w:tcPr>
            <w:tcW w:w="1626" w:type="dxa"/>
            <w:vMerge w:val="continue"/>
            <w:noWrap/>
            <w:vAlign w:val="center"/>
          </w:tcPr>
          <w:p>
            <w:pPr>
              <w:jc w:val="center"/>
              <w:rPr>
                <w:rFonts w:ascii="宋体" w:hAnsi="宋体" w:cs="Arial"/>
                <w:snapToGrid w:val="0"/>
                <w:color w:val="auto"/>
                <w:kern w:val="0"/>
                <w:sz w:val="22"/>
                <w:szCs w:val="22"/>
                <w:highlight w:val="none"/>
              </w:rPr>
            </w:pPr>
          </w:p>
        </w:tc>
        <w:tc>
          <w:tcPr>
            <w:tcW w:w="1165" w:type="dxa"/>
            <w:noWrap/>
            <w:vAlign w:val="center"/>
          </w:tcPr>
          <w:p>
            <w:pPr>
              <w:spacing w:line="276" w:lineRule="auto"/>
              <w:jc w:val="center"/>
              <w:rPr>
                <w:rFonts w:ascii="宋体" w:hAnsi="宋体" w:cs="Arial"/>
                <w:snapToGrid w:val="0"/>
                <w:color w:val="auto"/>
                <w:kern w:val="0"/>
                <w:sz w:val="22"/>
                <w:highlight w:val="none"/>
              </w:rPr>
            </w:pPr>
            <w:r>
              <w:rPr>
                <w:rFonts w:hint="eastAsia" w:ascii="Arial" w:hAnsi="宋体" w:cs="Arial"/>
                <w:bCs/>
                <w:color w:val="auto"/>
                <w:kern w:val="28"/>
                <w:highlight w:val="none"/>
              </w:rPr>
              <w:t>针对市政设施养护管理服务类项目的特点和难点分析及解决措施</w:t>
            </w:r>
            <w:r>
              <w:rPr>
                <w:rFonts w:hint="eastAsia" w:ascii="宋体" w:hAnsi="宋体" w:cs="Arial"/>
                <w:snapToGrid w:val="0"/>
                <w:color w:val="auto"/>
                <w:kern w:val="0"/>
                <w:sz w:val="22"/>
                <w:highlight w:val="none"/>
                <w:lang w:val="en-US" w:eastAsia="zh-CN"/>
              </w:rPr>
              <w:t>8</w:t>
            </w:r>
            <w:r>
              <w:rPr>
                <w:rFonts w:hint="eastAsia" w:ascii="宋体" w:hAnsi="宋体" w:cs="Arial"/>
                <w:snapToGrid w:val="0"/>
                <w:color w:val="auto"/>
                <w:kern w:val="0"/>
                <w:sz w:val="22"/>
                <w:highlight w:val="none"/>
              </w:rPr>
              <w:t>分</w:t>
            </w:r>
          </w:p>
        </w:tc>
        <w:tc>
          <w:tcPr>
            <w:tcW w:w="6497" w:type="dxa"/>
            <w:noWrap/>
            <w:vAlign w:val="center"/>
          </w:tcPr>
          <w:p>
            <w:pPr>
              <w:pStyle w:val="27"/>
              <w:numPr>
                <w:ilvl w:val="0"/>
                <w:numId w:val="19"/>
              </w:numPr>
              <w:snapToGrid w:val="0"/>
              <w:spacing w:line="360" w:lineRule="auto"/>
              <w:jc w:val="left"/>
              <w:rPr>
                <w:rFonts w:eastAsia="新宋体" w:cs="Arial"/>
                <w:color w:val="auto"/>
                <w:highlight w:val="none"/>
                <w:lang w:val="en-US" w:eastAsia="zh-CN"/>
              </w:rPr>
            </w:pPr>
            <w:r>
              <w:rPr>
                <w:rFonts w:hint="eastAsia" w:ascii="Arial" w:cs="Arial"/>
                <w:bCs/>
                <w:color w:val="auto"/>
                <w:kern w:val="28"/>
                <w:highlight w:val="none"/>
                <w:lang w:val="en-US" w:eastAsia="zh-CN"/>
              </w:rPr>
              <w:t>对市政设施养护管理服务类项目现状、存在问题的调查剖析</w:t>
            </w:r>
            <w:r>
              <w:rPr>
                <w:rFonts w:hint="eastAsia" w:ascii="Arial" w:cs="Arial"/>
                <w:color w:val="auto"/>
                <w:highlight w:val="none"/>
                <w:lang w:val="en-US" w:eastAsia="zh-CN"/>
              </w:rPr>
              <w:t>：是否</w:t>
            </w:r>
            <w:r>
              <w:rPr>
                <w:rFonts w:hint="eastAsia" w:cs="宋体"/>
                <w:color w:val="auto"/>
                <w:highlight w:val="none"/>
                <w:lang w:val="en-US" w:eastAsia="zh-CN"/>
              </w:rPr>
              <w:t>充分了解项目现状、存在的问题，调查剖析合理，比较打分：0-3分</w:t>
            </w:r>
          </w:p>
          <w:p>
            <w:pPr>
              <w:pStyle w:val="27"/>
              <w:numPr>
                <w:ilvl w:val="0"/>
                <w:numId w:val="19"/>
              </w:numPr>
              <w:snapToGrid w:val="0"/>
              <w:spacing w:line="360" w:lineRule="auto"/>
              <w:jc w:val="left"/>
              <w:rPr>
                <w:rFonts w:eastAsia="新宋体" w:cs="Arial"/>
                <w:color w:val="auto"/>
                <w:highlight w:val="none"/>
                <w:lang w:val="en-US" w:eastAsia="zh-CN"/>
              </w:rPr>
            </w:pPr>
            <w:r>
              <w:rPr>
                <w:rFonts w:hint="eastAsia" w:ascii="Arial" w:cs="Arial"/>
                <w:bCs/>
                <w:color w:val="auto"/>
                <w:kern w:val="28"/>
                <w:highlight w:val="none"/>
                <w:lang w:val="en-US" w:eastAsia="zh-CN"/>
              </w:rPr>
              <w:t>针对性的提出克服难点</w:t>
            </w:r>
            <w:r>
              <w:rPr>
                <w:rFonts w:hint="eastAsia" w:ascii="Arial" w:cs="Arial"/>
                <w:color w:val="auto"/>
                <w:highlight w:val="none"/>
                <w:lang w:val="en-US" w:eastAsia="zh-CN"/>
              </w:rPr>
              <w:t>：是否</w:t>
            </w:r>
            <w:r>
              <w:rPr>
                <w:rFonts w:hint="eastAsia" w:cs="宋体"/>
                <w:color w:val="auto"/>
                <w:highlight w:val="none"/>
                <w:lang w:val="en-US" w:eastAsia="zh-CN"/>
              </w:rPr>
              <w:t>充分了解项目的难点、要点，难点分析是否合理，比较打分：0-2分。</w:t>
            </w:r>
          </w:p>
          <w:p>
            <w:pPr>
              <w:spacing w:beforeLines="50" w:afterLines="50" w:line="276" w:lineRule="auto"/>
              <w:rPr>
                <w:rFonts w:ascii="宋体" w:hAnsi="宋体" w:cs="Arial"/>
                <w:snapToGrid w:val="0"/>
                <w:color w:val="auto"/>
                <w:kern w:val="0"/>
                <w:szCs w:val="21"/>
                <w:highlight w:val="none"/>
              </w:rPr>
            </w:pPr>
            <w:r>
              <w:rPr>
                <w:rFonts w:hint="eastAsia" w:ascii="Arial" w:hAnsi="宋体" w:cs="Arial"/>
                <w:bCs/>
                <w:color w:val="auto"/>
                <w:kern w:val="28"/>
                <w:highlight w:val="none"/>
              </w:rPr>
              <w:t>3、针对性的提出要点技术措施</w:t>
            </w:r>
            <w:r>
              <w:rPr>
                <w:rFonts w:hint="eastAsia" w:ascii="Arial" w:hAnsi="宋体" w:cs="Arial"/>
                <w:color w:val="auto"/>
                <w:highlight w:val="none"/>
              </w:rPr>
              <w:t>：</w:t>
            </w:r>
            <w:r>
              <w:rPr>
                <w:rFonts w:hint="eastAsia" w:ascii="Arial" w:hAnsi="宋体" w:cs="Arial"/>
                <w:color w:val="auto"/>
                <w:highlight w:val="none"/>
                <w:lang w:eastAsia="zh-CN"/>
              </w:rPr>
              <w:t>是否</w:t>
            </w:r>
            <w:r>
              <w:rPr>
                <w:rFonts w:hint="eastAsia" w:hAnsi="宋体" w:cs="宋体"/>
                <w:color w:val="auto"/>
                <w:szCs w:val="21"/>
                <w:highlight w:val="none"/>
              </w:rPr>
              <w:t>合理、全面</w:t>
            </w:r>
            <w:r>
              <w:rPr>
                <w:rFonts w:hint="eastAsia" w:hAnsi="宋体" w:cs="宋体"/>
                <w:color w:val="auto"/>
                <w:szCs w:val="21"/>
                <w:highlight w:val="none"/>
                <w:lang w:eastAsia="zh-CN"/>
              </w:rPr>
              <w:t>，比较打分：</w:t>
            </w:r>
            <w:r>
              <w:rPr>
                <w:rFonts w:hint="eastAsia" w:hAnsi="宋体" w:cs="宋体"/>
                <w:color w:val="auto"/>
                <w:szCs w:val="21"/>
                <w:highlight w:val="none"/>
                <w:lang w:val="en-US" w:eastAsia="zh-CN"/>
              </w:rPr>
              <w:t>0-3分</w:t>
            </w:r>
            <w:r>
              <w:rPr>
                <w:rFonts w:hint="eastAsia"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1626" w:type="dxa"/>
            <w:vMerge w:val="restart"/>
            <w:noWrap/>
            <w:vAlign w:val="center"/>
          </w:tcPr>
          <w:p>
            <w:pPr>
              <w:jc w:val="center"/>
              <w:rPr>
                <w:rFonts w:ascii="宋体" w:hAnsi="宋体"/>
                <w:color w:val="auto"/>
                <w:kern w:val="0"/>
                <w:szCs w:val="21"/>
                <w:highlight w:val="none"/>
              </w:rPr>
            </w:pPr>
            <w:r>
              <w:rPr>
                <w:rFonts w:hint="eastAsia" w:ascii="宋体" w:hAnsi="宋体" w:cs="Arial"/>
                <w:snapToGrid w:val="0"/>
                <w:color w:val="auto"/>
                <w:kern w:val="0"/>
                <w:sz w:val="22"/>
                <w:szCs w:val="22"/>
                <w:highlight w:val="none"/>
              </w:rPr>
              <w:t>商务、资信及其他分</w:t>
            </w:r>
          </w:p>
          <w:p>
            <w:pPr>
              <w:jc w:val="center"/>
              <w:rPr>
                <w:rFonts w:ascii="宋体" w:hAnsi="宋体"/>
                <w:color w:val="auto"/>
                <w:kern w:val="0"/>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20</w:t>
            </w:r>
            <w:r>
              <w:rPr>
                <w:rFonts w:hint="eastAsia" w:ascii="宋体" w:hAnsi="宋体"/>
                <w:color w:val="auto"/>
                <w:kern w:val="0"/>
                <w:szCs w:val="21"/>
                <w:highlight w:val="none"/>
              </w:rPr>
              <w:t>分）</w:t>
            </w:r>
          </w:p>
        </w:tc>
        <w:tc>
          <w:tcPr>
            <w:tcW w:w="1165" w:type="dxa"/>
            <w:noWrap/>
            <w:vAlign w:val="center"/>
          </w:tcPr>
          <w:p>
            <w:pPr>
              <w:jc w:val="center"/>
              <w:rPr>
                <w:rFonts w:ascii="宋体" w:hAnsi="宋体"/>
                <w:color w:val="auto"/>
                <w:kern w:val="0"/>
                <w:szCs w:val="21"/>
                <w:highlight w:val="none"/>
              </w:rPr>
            </w:pPr>
            <w:r>
              <w:rPr>
                <w:rFonts w:hint="eastAsia" w:ascii="宋体" w:hAnsi="宋体"/>
                <w:color w:val="auto"/>
                <w:kern w:val="0"/>
                <w:szCs w:val="21"/>
                <w:highlight w:val="none"/>
              </w:rPr>
              <w:t>投标企业总体情况3分</w:t>
            </w:r>
          </w:p>
        </w:tc>
        <w:tc>
          <w:tcPr>
            <w:tcW w:w="6497" w:type="dxa"/>
            <w:tcBorders>
              <w:bottom w:val="nil"/>
            </w:tcBorders>
            <w:noWrap/>
            <w:vAlign w:val="center"/>
          </w:tcPr>
          <w:p>
            <w:pPr>
              <w:spacing w:beforeLines="50" w:afterLines="50" w:line="400" w:lineRule="exact"/>
              <w:ind w:firstLine="420" w:firstLineChars="200"/>
              <w:jc w:val="left"/>
              <w:rPr>
                <w:rFonts w:ascii="宋体" w:hAnsi="宋体"/>
                <w:color w:val="auto"/>
                <w:kern w:val="0"/>
                <w:szCs w:val="21"/>
                <w:highlight w:val="none"/>
              </w:rPr>
            </w:pPr>
            <w:r>
              <w:rPr>
                <w:rFonts w:hint="eastAsia" w:ascii="宋体" w:hAnsi="宋体" w:cs="Arial"/>
                <w:snapToGrid w:val="0"/>
                <w:color w:val="auto"/>
                <w:kern w:val="0"/>
                <w:szCs w:val="21"/>
                <w:highlight w:val="none"/>
              </w:rPr>
              <w:t>供应商具备有效质量体系认证证书、环境体系认证证书、职业健康安全管理体系认证证书，1个得1分，最高3分；提供认证证书复印件并加盖投标单位公章。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1626" w:type="dxa"/>
            <w:vMerge w:val="continue"/>
            <w:noWrap/>
            <w:vAlign w:val="center"/>
          </w:tcPr>
          <w:p>
            <w:pPr>
              <w:jc w:val="center"/>
              <w:rPr>
                <w:rFonts w:ascii="宋体" w:hAnsi="宋体"/>
                <w:color w:val="auto"/>
                <w:kern w:val="0"/>
                <w:szCs w:val="21"/>
                <w:highlight w:val="none"/>
              </w:rPr>
            </w:pPr>
          </w:p>
        </w:tc>
        <w:tc>
          <w:tcPr>
            <w:tcW w:w="1165" w:type="dxa"/>
            <w:noWrap/>
            <w:vAlign w:val="center"/>
          </w:tcPr>
          <w:p>
            <w:pPr>
              <w:jc w:val="center"/>
              <w:rPr>
                <w:rFonts w:ascii="宋体" w:hAnsi="宋体"/>
                <w:color w:val="auto"/>
                <w:kern w:val="0"/>
                <w:szCs w:val="21"/>
                <w:highlight w:val="none"/>
              </w:rPr>
            </w:pPr>
            <w:r>
              <w:rPr>
                <w:rFonts w:hint="eastAsia" w:ascii="宋体" w:hAnsi="宋体"/>
                <w:color w:val="auto"/>
                <w:kern w:val="0"/>
                <w:szCs w:val="21"/>
                <w:highlight w:val="none"/>
              </w:rPr>
              <w:t>成功案例1分</w:t>
            </w:r>
          </w:p>
        </w:tc>
        <w:tc>
          <w:tcPr>
            <w:tcW w:w="6497" w:type="dxa"/>
            <w:noWrap/>
            <w:vAlign w:val="center"/>
          </w:tcPr>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根据</w:t>
            </w:r>
            <w:r>
              <w:rPr>
                <w:rFonts w:hint="eastAsia" w:ascii="宋体" w:hAnsi="宋体" w:cs="Arial"/>
                <w:snapToGrid w:val="0"/>
                <w:color w:val="auto"/>
                <w:kern w:val="0"/>
                <w:szCs w:val="21"/>
                <w:highlight w:val="none"/>
              </w:rPr>
              <w:t>投标人</w:t>
            </w:r>
            <w:r>
              <w:rPr>
                <w:rFonts w:hint="eastAsia" w:ascii="宋体" w:hAnsi="宋体"/>
                <w:color w:val="auto"/>
                <w:szCs w:val="21"/>
                <w:highlight w:val="none"/>
              </w:rPr>
              <w:t>提供的近三年（2019年7月1日起至本项目截标时间止）完成的类似项目业绩</w:t>
            </w:r>
            <w:r>
              <w:rPr>
                <w:rFonts w:hint="eastAsia" w:ascii="宋体" w:hAnsi="宋体"/>
                <w:b/>
                <w:color w:val="auto"/>
                <w:szCs w:val="21"/>
                <w:highlight w:val="none"/>
              </w:rPr>
              <w:t>（项目特征为市政养护）</w:t>
            </w:r>
            <w:r>
              <w:rPr>
                <w:rFonts w:hint="eastAsia" w:ascii="宋体" w:hAnsi="宋体"/>
                <w:color w:val="auto"/>
                <w:szCs w:val="21"/>
                <w:highlight w:val="none"/>
              </w:rPr>
              <w:t>的数量进行打分，每个业绩得1分。</w:t>
            </w:r>
          </w:p>
          <w:p>
            <w:pPr>
              <w:spacing w:line="360" w:lineRule="auto"/>
              <w:ind w:firstLine="422" w:firstLineChars="200"/>
              <w:jc w:val="left"/>
              <w:rPr>
                <w:rFonts w:ascii="宋体" w:hAnsi="宋体" w:cs="Arial"/>
                <w:snapToGrid w:val="0"/>
                <w:color w:val="auto"/>
                <w:kern w:val="0"/>
                <w:szCs w:val="21"/>
                <w:highlight w:val="none"/>
              </w:rPr>
            </w:pPr>
            <w:r>
              <w:rPr>
                <w:rFonts w:hint="eastAsia" w:ascii="宋体" w:hAnsi="宋体"/>
                <w:b/>
                <w:color w:val="auto"/>
                <w:szCs w:val="21"/>
                <w:highlight w:val="none"/>
              </w:rPr>
              <w:t>开标时在投标文件中必须同时提供合同复印件（应包含能够体现具体采购内容的部分）、中标通知书复印件、和项目完成验收证明材料（如业主验收报告、业主评价意见或资金结算单等证明材料）并加盖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1626" w:type="dxa"/>
            <w:vMerge w:val="continue"/>
            <w:noWrap/>
            <w:vAlign w:val="center"/>
          </w:tcPr>
          <w:p>
            <w:pPr>
              <w:jc w:val="center"/>
              <w:rPr>
                <w:rFonts w:ascii="宋体" w:hAnsi="宋体"/>
                <w:color w:val="auto"/>
                <w:kern w:val="0"/>
                <w:szCs w:val="21"/>
                <w:highlight w:val="none"/>
              </w:rPr>
            </w:pPr>
          </w:p>
        </w:tc>
        <w:tc>
          <w:tcPr>
            <w:tcW w:w="1165" w:type="dxa"/>
            <w:noWrap/>
            <w:vAlign w:val="center"/>
          </w:tcPr>
          <w:p>
            <w:pPr>
              <w:jc w:val="center"/>
              <w:rPr>
                <w:rFonts w:ascii="宋体" w:hAnsi="宋体"/>
                <w:color w:val="auto"/>
                <w:kern w:val="0"/>
                <w:szCs w:val="21"/>
                <w:highlight w:val="none"/>
              </w:rPr>
            </w:pPr>
            <w:r>
              <w:rPr>
                <w:rFonts w:hint="eastAsia" w:ascii="宋体" w:hAnsi="宋体"/>
                <w:color w:val="auto"/>
                <w:kern w:val="0"/>
                <w:szCs w:val="21"/>
                <w:highlight w:val="none"/>
              </w:rPr>
              <w:t>政策分1分</w:t>
            </w:r>
          </w:p>
        </w:tc>
        <w:tc>
          <w:tcPr>
            <w:tcW w:w="6497" w:type="dxa"/>
            <w:noWrap/>
            <w:vAlign w:val="center"/>
          </w:tcPr>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投标人按规定享受其他国家政策支持、扶持的，得1分。（以提供的相关政府部门证明资料和法律依据为准）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626" w:type="dxa"/>
            <w:vMerge w:val="continue"/>
            <w:noWrap/>
            <w:vAlign w:val="center"/>
          </w:tcPr>
          <w:p>
            <w:pPr>
              <w:jc w:val="center"/>
              <w:rPr>
                <w:rFonts w:ascii="宋体" w:hAnsi="宋体"/>
                <w:color w:val="auto"/>
                <w:kern w:val="0"/>
                <w:szCs w:val="21"/>
                <w:highlight w:val="none"/>
              </w:rPr>
            </w:pPr>
          </w:p>
        </w:tc>
        <w:tc>
          <w:tcPr>
            <w:tcW w:w="1165" w:type="dxa"/>
            <w:noWrap/>
            <w:vAlign w:val="center"/>
          </w:tcPr>
          <w:p>
            <w:pPr>
              <w:jc w:val="center"/>
              <w:rPr>
                <w:rFonts w:ascii="宋体" w:hAnsi="宋体"/>
                <w:color w:val="auto"/>
                <w:kern w:val="0"/>
                <w:szCs w:val="21"/>
                <w:highlight w:val="none"/>
              </w:rPr>
            </w:pPr>
            <w:r>
              <w:rPr>
                <w:rFonts w:hint="eastAsia" w:ascii="宋体" w:hAnsi="宋体"/>
                <w:color w:val="auto"/>
                <w:kern w:val="0"/>
                <w:szCs w:val="21"/>
                <w:highlight w:val="none"/>
              </w:rPr>
              <w:t>服务网点情况5分</w:t>
            </w:r>
          </w:p>
        </w:tc>
        <w:tc>
          <w:tcPr>
            <w:tcW w:w="6497" w:type="dxa"/>
            <w:noWrap/>
            <w:vAlign w:val="center"/>
          </w:tcPr>
          <w:p>
            <w:pPr>
              <w:spacing w:line="400" w:lineRule="exact"/>
              <w:ind w:firstLine="420" w:firstLineChars="200"/>
              <w:rPr>
                <w:rFonts w:ascii="宋体" w:hAnsi="宋体"/>
                <w:color w:val="auto"/>
                <w:kern w:val="0"/>
                <w:sz w:val="24"/>
                <w:highlight w:val="none"/>
              </w:rPr>
            </w:pPr>
            <w:r>
              <w:rPr>
                <w:rFonts w:hint="eastAsia" w:ascii="宋体" w:hAnsi="宋体"/>
                <w:color w:val="auto"/>
                <w:szCs w:val="21"/>
                <w:highlight w:val="none"/>
              </w:rPr>
              <w:t>公司、分公司或售后服务点有设在德清地区的得5分；杭州、湖州地区的得3分；省内其他地区得1分。</w:t>
            </w:r>
            <w:r>
              <w:rPr>
                <w:rFonts w:hint="eastAsia" w:ascii="宋体" w:hAnsi="宋体"/>
                <w:b/>
                <w:color w:val="auto"/>
                <w:szCs w:val="21"/>
                <w:highlight w:val="none"/>
              </w:rPr>
              <w:t>（须提供详细的全称、地址、联系人、联系方式、营业执照复印件，若服务网点为投标人的合作单位，则需同时提供合作单位营业执照复印件、合作协议、合作单位技术人员组成、合作单位技术人员社保证明清单原件、合作单位技术人员技术等级或职称证书等；或供应商承诺在中标后于相应地区设立分公司或售后服务点的，也可得分（承诺函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626" w:type="dxa"/>
            <w:vMerge w:val="continue"/>
            <w:noWrap/>
            <w:vAlign w:val="center"/>
          </w:tcPr>
          <w:p>
            <w:pPr>
              <w:jc w:val="center"/>
              <w:rPr>
                <w:rFonts w:ascii="宋体" w:hAnsi="宋体"/>
                <w:color w:val="auto"/>
                <w:kern w:val="0"/>
                <w:szCs w:val="21"/>
                <w:highlight w:val="none"/>
              </w:rPr>
            </w:pPr>
          </w:p>
        </w:tc>
        <w:tc>
          <w:tcPr>
            <w:tcW w:w="1165" w:type="dxa"/>
            <w:noWrap/>
            <w:vAlign w:val="center"/>
          </w:tcPr>
          <w:p>
            <w:pPr>
              <w:jc w:val="center"/>
              <w:rPr>
                <w:rFonts w:ascii="宋体" w:hAnsi="宋体"/>
                <w:color w:val="auto"/>
                <w:kern w:val="0"/>
                <w:szCs w:val="21"/>
                <w:highlight w:val="none"/>
              </w:rPr>
            </w:pPr>
            <w:r>
              <w:rPr>
                <w:rFonts w:hint="eastAsia" w:ascii="宋体" w:hAnsi="宋体"/>
                <w:color w:val="auto"/>
                <w:kern w:val="0"/>
                <w:szCs w:val="21"/>
                <w:highlight w:val="none"/>
              </w:rPr>
              <w:t>养护设备材料专用堆放场地</w:t>
            </w:r>
            <w:r>
              <w:rPr>
                <w:rFonts w:hint="eastAsia" w:ascii="宋体" w:hAnsi="宋体"/>
                <w:color w:val="auto"/>
                <w:kern w:val="0"/>
                <w:szCs w:val="21"/>
                <w:highlight w:val="none"/>
                <w:lang w:val="en-US" w:eastAsia="zh-CN"/>
              </w:rPr>
              <w:t>7</w:t>
            </w:r>
            <w:r>
              <w:rPr>
                <w:rFonts w:hint="eastAsia" w:ascii="宋体" w:hAnsi="宋体"/>
                <w:color w:val="auto"/>
                <w:kern w:val="0"/>
                <w:szCs w:val="21"/>
                <w:highlight w:val="none"/>
              </w:rPr>
              <w:t>分</w:t>
            </w:r>
          </w:p>
        </w:tc>
        <w:tc>
          <w:tcPr>
            <w:tcW w:w="6497" w:type="dxa"/>
            <w:noWrap/>
            <w:vAlign w:val="center"/>
          </w:tcPr>
          <w:p>
            <w:pPr>
              <w:spacing w:line="400" w:lineRule="exact"/>
              <w:ind w:firstLine="420" w:firstLineChars="200"/>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投标人在德清县（东至云谷路、西至防洪渠、南至东樵街、北至杭州第二绕城高速）范围内拥有应急抢险物资和相应养护设备材料堆放场地（面积不小于200平米）的得</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承诺在中标后30日内在德清县（东至云谷路、西至防洪渠、南至东樵街、北至杭州第二绕城高速）范围内具备应急抢险物资和相应养护工具堆放场地（面积不小于200平米）的得</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；在德清县外（上述地址以外）有</w:t>
            </w:r>
            <w:r>
              <w:rPr>
                <w:rFonts w:hint="eastAsia" w:ascii="宋体" w:hAnsi="宋体" w:cs="宋体"/>
                <w:color w:val="auto"/>
                <w:kern w:val="0"/>
                <w:szCs w:val="21"/>
                <w:highlight w:val="none"/>
              </w:rPr>
              <w:t>应急抢险物资和相应养护设备材料堆放场地（面积不小于200平米）的得</w:t>
            </w:r>
            <w:r>
              <w:rPr>
                <w:rFonts w:hint="eastAsia" w:ascii="宋体" w:hAnsi="宋体" w:cs="宋体"/>
                <w:color w:val="auto"/>
                <w:kern w:val="0"/>
                <w:szCs w:val="21"/>
                <w:highlight w:val="none"/>
                <w:lang w:val="en-US" w:eastAsia="zh-CN"/>
              </w:rPr>
              <w:t>1分；</w:t>
            </w:r>
            <w:r>
              <w:rPr>
                <w:rFonts w:hint="eastAsia" w:ascii="宋体" w:hAnsi="宋体" w:cs="宋体"/>
                <w:color w:val="auto"/>
                <w:kern w:val="0"/>
                <w:szCs w:val="21"/>
                <w:highlight w:val="none"/>
                <w:lang w:eastAsia="zh-CN"/>
              </w:rPr>
              <w:t>无不得分。</w:t>
            </w:r>
          </w:p>
          <w:p>
            <w:pPr>
              <w:spacing w:line="400" w:lineRule="exact"/>
              <w:ind w:firstLine="422" w:firstLineChars="200"/>
              <w:rPr>
                <w:rFonts w:ascii="宋体" w:hAnsi="宋体"/>
                <w:color w:val="auto"/>
                <w:szCs w:val="21"/>
                <w:highlight w:val="none"/>
              </w:rPr>
            </w:pPr>
            <w:r>
              <w:rPr>
                <w:rFonts w:hint="eastAsia" w:ascii="宋体" w:hAnsi="宋体" w:cs="宋体"/>
                <w:b/>
                <w:bCs/>
                <w:i w:val="0"/>
                <w:iCs w:val="0"/>
                <w:color w:val="auto"/>
                <w:kern w:val="0"/>
                <w:szCs w:val="21"/>
                <w:highlight w:val="none"/>
                <w:lang w:eastAsia="zh-CN"/>
              </w:rPr>
              <w:t>注：</w:t>
            </w:r>
            <w:r>
              <w:rPr>
                <w:rFonts w:hint="eastAsia" w:ascii="宋体" w:hAnsi="宋体" w:cs="宋体"/>
                <w:b/>
                <w:bCs/>
                <w:i w:val="0"/>
                <w:iCs w:val="0"/>
                <w:color w:val="auto"/>
                <w:kern w:val="0"/>
                <w:szCs w:val="21"/>
                <w:highlight w:val="none"/>
              </w:rPr>
              <w:t>提供房屋产权证清晰复印件、堆放场地租赁合同清晰复印件或堆放场地使用协议清晰复印件，或承诺函原件（格式自拟），加盖投标人公章，否则不得分。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26" w:type="dxa"/>
            <w:vMerge w:val="continue"/>
            <w:noWrap/>
            <w:vAlign w:val="center"/>
          </w:tcPr>
          <w:p>
            <w:pPr>
              <w:jc w:val="center"/>
              <w:rPr>
                <w:rFonts w:ascii="宋体" w:hAnsi="宋体"/>
                <w:color w:val="auto"/>
                <w:kern w:val="0"/>
                <w:szCs w:val="21"/>
                <w:highlight w:val="none"/>
              </w:rPr>
            </w:pPr>
          </w:p>
        </w:tc>
        <w:tc>
          <w:tcPr>
            <w:tcW w:w="1165" w:type="dxa"/>
            <w:noWrap/>
            <w:vAlign w:val="center"/>
          </w:tcPr>
          <w:p>
            <w:pPr>
              <w:jc w:val="center"/>
              <w:rPr>
                <w:rFonts w:ascii="宋体" w:hAnsi="宋体"/>
                <w:color w:val="auto"/>
                <w:kern w:val="0"/>
                <w:szCs w:val="21"/>
                <w:highlight w:val="none"/>
              </w:rPr>
            </w:pPr>
            <w:r>
              <w:rPr>
                <w:rFonts w:hint="eastAsia" w:ascii="宋体" w:hAnsi="宋体"/>
                <w:color w:val="auto"/>
                <w:kern w:val="0"/>
                <w:szCs w:val="21"/>
                <w:highlight w:val="none"/>
              </w:rPr>
              <w:t>提供实质性的优惠条件或服务措施</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分</w:t>
            </w:r>
          </w:p>
        </w:tc>
        <w:tc>
          <w:tcPr>
            <w:tcW w:w="6497" w:type="dxa"/>
            <w:noWrap/>
            <w:vAlign w:val="center"/>
          </w:tcPr>
          <w:p>
            <w:pPr>
              <w:spacing w:line="400" w:lineRule="exact"/>
              <w:ind w:firstLine="420" w:firstLineChars="200"/>
              <w:rPr>
                <w:rFonts w:ascii="宋体" w:hAnsi="宋体"/>
                <w:color w:val="auto"/>
                <w:sz w:val="24"/>
                <w:highlight w:val="none"/>
              </w:rPr>
            </w:pPr>
            <w:r>
              <w:rPr>
                <w:rFonts w:hint="eastAsia" w:ascii="宋体" w:hAnsi="宋体"/>
                <w:color w:val="auto"/>
                <w:szCs w:val="21"/>
                <w:highlight w:val="none"/>
              </w:rPr>
              <w:t>主要根据</w:t>
            </w:r>
            <w:r>
              <w:rPr>
                <w:rFonts w:ascii="宋体" w:hAnsi="宋体"/>
                <w:color w:val="auto"/>
                <w:szCs w:val="21"/>
                <w:highlight w:val="none"/>
              </w:rPr>
              <w:t>投标</w:t>
            </w:r>
            <w:r>
              <w:rPr>
                <w:rFonts w:hint="eastAsia" w:ascii="宋体" w:hAnsi="宋体"/>
                <w:color w:val="auto"/>
                <w:szCs w:val="21"/>
                <w:highlight w:val="none"/>
              </w:rPr>
              <w:t>针对本项目的维护期（质保期）和维护期（质保期）承诺，比如用户现场服务响应时间、问题解决时间等实质性优惠条件或服务措施情况</w:t>
            </w:r>
            <w:r>
              <w:rPr>
                <w:rFonts w:hint="eastAsia" w:ascii="宋体" w:hAnsi="宋体"/>
                <w:color w:val="auto"/>
                <w:kern w:val="0"/>
                <w:szCs w:val="21"/>
                <w:highlight w:val="none"/>
              </w:rPr>
              <w:t>打分。</w:t>
            </w:r>
            <w:r>
              <w:rPr>
                <w:rFonts w:hint="eastAsia" w:ascii="Arial" w:hAnsi="宋体" w:cs="Arial"/>
                <w:color w:val="auto"/>
                <w:szCs w:val="21"/>
                <w:highlight w:val="none"/>
              </w:rPr>
              <w:t>同时可参考</w:t>
            </w:r>
            <w:r>
              <w:rPr>
                <w:rFonts w:hint="eastAsia" w:ascii="宋体" w:hAnsi="宋体"/>
                <w:color w:val="auto"/>
                <w:szCs w:val="21"/>
                <w:highlight w:val="none"/>
              </w:rPr>
              <w:t>维护期（质保期）外的服务价格及方案等优惠条件或服务措施情况</w:t>
            </w:r>
            <w:r>
              <w:rPr>
                <w:rFonts w:hint="eastAsia" w:ascii="宋体" w:hAnsi="宋体"/>
                <w:color w:val="auto"/>
                <w:kern w:val="0"/>
                <w:szCs w:val="21"/>
                <w:highlight w:val="none"/>
              </w:rPr>
              <w:t>。</w:t>
            </w:r>
          </w:p>
        </w:tc>
      </w:tr>
    </w:tbl>
    <w:p>
      <w:pPr>
        <w:spacing w:beforeLines="50" w:afterLines="50" w:line="400" w:lineRule="exact"/>
        <w:rPr>
          <w:rFonts w:ascii="宋体" w:hAnsi="宋体"/>
          <w:b/>
          <w:bCs/>
          <w:color w:val="auto"/>
          <w:sz w:val="24"/>
          <w:szCs w:val="20"/>
          <w:highlight w:val="none"/>
        </w:rPr>
      </w:pPr>
      <w:r>
        <w:rPr>
          <w:rFonts w:hint="eastAsia" w:ascii="宋体" w:hAnsi="宋体"/>
          <w:b/>
          <w:bCs/>
          <w:color w:val="auto"/>
          <w:sz w:val="24"/>
          <w:szCs w:val="20"/>
          <w:highlight w:val="none"/>
        </w:rPr>
        <w:t>注：合同、证书等开标时请携带原件，以备核实，评标结束后退还。</w:t>
      </w:r>
    </w:p>
    <w:p>
      <w:pPr>
        <w:tabs>
          <w:tab w:val="left" w:pos="426"/>
        </w:tabs>
        <w:autoSpaceDE w:val="0"/>
        <w:autoSpaceDN w:val="0"/>
        <w:adjustRightInd w:val="0"/>
        <w:spacing w:line="400" w:lineRule="exact"/>
        <w:jc w:val="left"/>
        <w:rPr>
          <w:rFonts w:ascii="宋体" w:hAnsi="宋体"/>
          <w:b/>
          <w:bCs/>
          <w:color w:val="auto"/>
          <w:kern w:val="0"/>
          <w:sz w:val="24"/>
          <w:highlight w:val="none"/>
        </w:rPr>
      </w:pPr>
      <w:r>
        <w:rPr>
          <w:rFonts w:hint="eastAsia" w:ascii="宋体" w:hAnsi="宋体"/>
          <w:b/>
          <w:bCs/>
          <w:color w:val="auto"/>
          <w:kern w:val="0"/>
          <w:sz w:val="24"/>
          <w:highlight w:val="none"/>
        </w:rPr>
        <w:t>三、技术、商务、资信及其他分的计算</w:t>
      </w:r>
    </w:p>
    <w:p>
      <w:pPr>
        <w:tabs>
          <w:tab w:val="left" w:pos="426"/>
        </w:tabs>
        <w:autoSpaceDE w:val="0"/>
        <w:autoSpaceDN w:val="0"/>
        <w:adjustRightInd w:val="0"/>
        <w:spacing w:line="400" w:lineRule="exact"/>
        <w:jc w:val="left"/>
        <w:rPr>
          <w:rFonts w:ascii="宋体" w:hAnsi="宋体"/>
          <w:bCs/>
          <w:color w:val="auto"/>
          <w:kern w:val="0"/>
          <w:sz w:val="24"/>
          <w:highlight w:val="none"/>
        </w:rPr>
      </w:pPr>
      <w:r>
        <w:rPr>
          <w:rFonts w:hint="eastAsia" w:ascii="宋体" w:hAnsi="宋体"/>
          <w:bCs/>
          <w:color w:val="auto"/>
          <w:kern w:val="0"/>
          <w:sz w:val="24"/>
          <w:highlight w:val="none"/>
        </w:rPr>
        <w:t>技术、商务、资信及其他分按照评审委员会成员的独立评分结果汇总数的算术平均分计算，计算公式为：</w:t>
      </w:r>
    </w:p>
    <w:p>
      <w:pPr>
        <w:tabs>
          <w:tab w:val="left" w:pos="426"/>
        </w:tabs>
        <w:autoSpaceDE w:val="0"/>
        <w:autoSpaceDN w:val="0"/>
        <w:adjustRightInd w:val="0"/>
        <w:spacing w:line="400" w:lineRule="exact"/>
        <w:jc w:val="left"/>
        <w:rPr>
          <w:rFonts w:ascii="宋体" w:hAnsi="宋体"/>
          <w:b/>
          <w:bCs/>
          <w:color w:val="auto"/>
          <w:kern w:val="0"/>
          <w:sz w:val="24"/>
          <w:highlight w:val="none"/>
        </w:rPr>
      </w:pPr>
      <w:r>
        <w:rPr>
          <w:rFonts w:hint="eastAsia" w:ascii="宋体" w:hAnsi="宋体"/>
          <w:b/>
          <w:bCs/>
          <w:color w:val="auto"/>
          <w:kern w:val="0"/>
          <w:sz w:val="24"/>
          <w:highlight w:val="none"/>
        </w:rPr>
        <w:t>技术商务资信及其他分=评审委员会所有成员评分合计数/评审委员会组成人员数</w:t>
      </w:r>
    </w:p>
    <w:p>
      <w:pPr>
        <w:adjustRightInd w:val="0"/>
        <w:rPr>
          <w:rFonts w:ascii="宋体" w:hAnsi="宋体"/>
          <w:color w:val="auto"/>
          <w:sz w:val="30"/>
          <w:szCs w:val="30"/>
          <w:highlight w:val="none"/>
        </w:rPr>
      </w:pPr>
    </w:p>
    <w:p>
      <w:pPr>
        <w:pStyle w:val="2"/>
        <w:rPr>
          <w:rFonts w:ascii="宋体" w:hAnsi="宋体"/>
          <w:color w:val="auto"/>
          <w:sz w:val="30"/>
          <w:szCs w:val="30"/>
          <w:highlight w:val="none"/>
        </w:rPr>
      </w:pPr>
    </w:p>
    <w:p>
      <w:pPr>
        <w:pStyle w:val="2"/>
        <w:rPr>
          <w:rFonts w:ascii="宋体" w:hAnsi="宋体"/>
          <w:color w:val="auto"/>
          <w:sz w:val="30"/>
          <w:szCs w:val="30"/>
          <w:highlight w:val="none"/>
        </w:rPr>
      </w:pPr>
    </w:p>
    <w:p>
      <w:pPr>
        <w:pStyle w:val="2"/>
        <w:rPr>
          <w:rFonts w:ascii="宋体" w:hAnsi="宋体"/>
          <w:color w:val="auto"/>
          <w:sz w:val="30"/>
          <w:szCs w:val="30"/>
          <w:highlight w:val="none"/>
        </w:rPr>
      </w:pPr>
    </w:p>
    <w:p>
      <w:pPr>
        <w:pStyle w:val="2"/>
        <w:rPr>
          <w:rFonts w:ascii="宋体" w:hAnsi="宋体"/>
          <w:color w:val="auto"/>
          <w:sz w:val="30"/>
          <w:szCs w:val="30"/>
          <w:highlight w:val="none"/>
        </w:rPr>
      </w:pPr>
    </w:p>
    <w:p>
      <w:pPr>
        <w:pStyle w:val="2"/>
        <w:rPr>
          <w:rFonts w:ascii="宋体" w:hAnsi="宋体"/>
          <w:color w:val="auto"/>
          <w:sz w:val="30"/>
          <w:szCs w:val="30"/>
          <w:highlight w:val="none"/>
        </w:rPr>
      </w:pPr>
    </w:p>
    <w:p>
      <w:pPr>
        <w:pStyle w:val="2"/>
        <w:rPr>
          <w:rFonts w:ascii="宋体" w:hAnsi="宋体"/>
          <w:color w:val="auto"/>
          <w:sz w:val="30"/>
          <w:szCs w:val="30"/>
          <w:highlight w:val="none"/>
        </w:rPr>
      </w:pPr>
    </w:p>
    <w:p>
      <w:pPr>
        <w:pStyle w:val="2"/>
        <w:rPr>
          <w:rFonts w:ascii="宋体" w:hAnsi="宋体"/>
          <w:color w:val="auto"/>
          <w:sz w:val="30"/>
          <w:szCs w:val="30"/>
          <w:highlight w:val="none"/>
        </w:rPr>
      </w:pPr>
    </w:p>
    <w:p>
      <w:pPr>
        <w:pStyle w:val="2"/>
        <w:rPr>
          <w:rFonts w:ascii="宋体" w:hAnsi="宋体"/>
          <w:color w:val="auto"/>
          <w:sz w:val="30"/>
          <w:szCs w:val="30"/>
          <w:highlight w:val="none"/>
        </w:rPr>
      </w:pPr>
    </w:p>
    <w:p>
      <w:pPr>
        <w:pStyle w:val="2"/>
        <w:rPr>
          <w:rFonts w:ascii="宋体" w:hAnsi="宋体"/>
          <w:color w:val="auto"/>
          <w:sz w:val="30"/>
          <w:szCs w:val="30"/>
          <w:highlight w:val="none"/>
        </w:rPr>
      </w:pPr>
    </w:p>
    <w:p>
      <w:pPr>
        <w:pStyle w:val="2"/>
        <w:rPr>
          <w:rFonts w:ascii="宋体" w:hAnsi="宋体"/>
          <w:color w:val="auto"/>
          <w:sz w:val="30"/>
          <w:szCs w:val="30"/>
          <w:highlight w:val="none"/>
        </w:rPr>
      </w:pPr>
    </w:p>
    <w:p>
      <w:pPr>
        <w:pStyle w:val="2"/>
        <w:rPr>
          <w:rFonts w:ascii="宋体" w:hAnsi="宋体"/>
          <w:color w:val="auto"/>
          <w:sz w:val="30"/>
          <w:szCs w:val="30"/>
          <w:highlight w:val="none"/>
        </w:rPr>
      </w:pPr>
    </w:p>
    <w:p>
      <w:pPr>
        <w:pStyle w:val="2"/>
        <w:rPr>
          <w:rFonts w:ascii="宋体" w:hAnsi="宋体"/>
          <w:color w:val="auto"/>
          <w:sz w:val="30"/>
          <w:szCs w:val="30"/>
          <w:highlight w:val="none"/>
        </w:rPr>
      </w:pPr>
    </w:p>
    <w:p>
      <w:pPr>
        <w:pStyle w:val="2"/>
        <w:rPr>
          <w:rFonts w:ascii="宋体" w:hAnsi="宋体"/>
          <w:color w:val="auto"/>
          <w:sz w:val="30"/>
          <w:szCs w:val="30"/>
          <w:highlight w:val="none"/>
        </w:rPr>
      </w:pPr>
    </w:p>
    <w:p>
      <w:pPr>
        <w:pStyle w:val="2"/>
        <w:rPr>
          <w:rFonts w:ascii="宋体" w:hAnsi="宋体"/>
          <w:color w:val="auto"/>
          <w:sz w:val="30"/>
          <w:szCs w:val="30"/>
          <w:highlight w:val="none"/>
        </w:rPr>
      </w:pPr>
    </w:p>
    <w:p>
      <w:pPr>
        <w:pStyle w:val="2"/>
        <w:rPr>
          <w:rFonts w:ascii="宋体" w:hAnsi="宋体"/>
          <w:color w:val="auto"/>
          <w:sz w:val="30"/>
          <w:szCs w:val="30"/>
          <w:highlight w:val="none"/>
        </w:rPr>
      </w:pPr>
    </w:p>
    <w:p>
      <w:pPr>
        <w:pStyle w:val="2"/>
        <w:rPr>
          <w:rFonts w:ascii="宋体" w:hAnsi="宋体"/>
          <w:color w:val="auto"/>
          <w:sz w:val="30"/>
          <w:szCs w:val="30"/>
          <w:highlight w:val="none"/>
        </w:rPr>
      </w:pPr>
    </w:p>
    <w:p>
      <w:pPr>
        <w:pStyle w:val="2"/>
        <w:rPr>
          <w:rFonts w:ascii="宋体" w:hAnsi="宋体"/>
          <w:color w:val="auto"/>
          <w:sz w:val="30"/>
          <w:szCs w:val="30"/>
          <w:highlight w:val="none"/>
        </w:rPr>
      </w:pPr>
    </w:p>
    <w:p>
      <w:pPr>
        <w:pStyle w:val="2"/>
        <w:rPr>
          <w:rFonts w:ascii="宋体" w:hAnsi="宋体"/>
          <w:sz w:val="30"/>
          <w:szCs w:val="30"/>
          <w:highlight w:val="none"/>
        </w:rPr>
      </w:pPr>
    </w:p>
    <w:p>
      <w:pPr>
        <w:adjustRightInd w:val="0"/>
        <w:ind w:firstLine="2400" w:firstLineChars="800"/>
        <w:rPr>
          <w:rFonts w:ascii="宋体" w:hAnsi="宋体"/>
          <w:sz w:val="30"/>
          <w:szCs w:val="30"/>
          <w:highlight w:val="none"/>
        </w:rPr>
      </w:pPr>
    </w:p>
    <w:p>
      <w:pPr>
        <w:adjustRightInd w:val="0"/>
        <w:ind w:firstLine="2400" w:firstLineChars="800"/>
        <w:rPr>
          <w:rFonts w:ascii="宋体" w:hAnsi="宋体"/>
          <w:sz w:val="30"/>
          <w:szCs w:val="30"/>
          <w:highlight w:val="none"/>
        </w:rPr>
      </w:pPr>
    </w:p>
    <w:p>
      <w:pPr>
        <w:adjustRightInd w:val="0"/>
        <w:ind w:firstLine="2400" w:firstLineChars="800"/>
        <w:rPr>
          <w:rFonts w:ascii="宋体" w:hAnsi="宋体"/>
          <w:sz w:val="30"/>
          <w:szCs w:val="30"/>
          <w:highlight w:val="none"/>
        </w:rPr>
      </w:pPr>
      <w:r>
        <w:rPr>
          <w:rFonts w:hint="eastAsia" w:ascii="宋体" w:hAnsi="宋体"/>
          <w:sz w:val="30"/>
          <w:szCs w:val="30"/>
          <w:highlight w:val="none"/>
        </w:rPr>
        <w:t>第五章</w:t>
      </w:r>
      <w:r>
        <w:rPr>
          <w:rFonts w:hint="eastAsia" w:ascii="宋体" w:hAnsi="宋体"/>
          <w:bCs/>
          <w:sz w:val="30"/>
          <w:szCs w:val="30"/>
          <w:highlight w:val="none"/>
        </w:rPr>
        <w:t>合同主要条款(仅供参考)</w:t>
      </w:r>
    </w:p>
    <w:p>
      <w:pPr>
        <w:pStyle w:val="27"/>
        <w:spacing w:beforeLines="50" w:afterLines="50" w:line="400" w:lineRule="exact"/>
        <w:jc w:val="center"/>
        <w:rPr>
          <w:b/>
          <w:sz w:val="36"/>
          <w:szCs w:val="36"/>
          <w:highlight w:val="none"/>
        </w:rPr>
      </w:pPr>
      <w:r>
        <w:rPr>
          <w:rFonts w:hint="eastAsia"/>
          <w:b/>
          <w:sz w:val="36"/>
          <w:szCs w:val="36"/>
          <w:highlight w:val="none"/>
        </w:rPr>
        <w:t>浙江省政府采购合同指引（服务）</w:t>
      </w:r>
    </w:p>
    <w:p>
      <w:pPr>
        <w:pStyle w:val="27"/>
        <w:spacing w:beforeLines="50" w:afterLines="50" w:line="400" w:lineRule="exact"/>
        <w:rPr>
          <w:sz w:val="24"/>
          <w:szCs w:val="24"/>
          <w:highlight w:val="none"/>
        </w:rPr>
      </w:pPr>
      <w:r>
        <w:rPr>
          <w:rFonts w:hint="eastAsia"/>
          <w:sz w:val="24"/>
          <w:szCs w:val="24"/>
          <w:highlight w:val="none"/>
        </w:rPr>
        <w:t>项目名称：                                     项目编号：</w:t>
      </w:r>
    </w:p>
    <w:p>
      <w:pPr>
        <w:pStyle w:val="27"/>
        <w:spacing w:beforeLines="50" w:afterLines="50" w:line="400" w:lineRule="exact"/>
        <w:rPr>
          <w:sz w:val="24"/>
          <w:szCs w:val="24"/>
          <w:highlight w:val="none"/>
        </w:rPr>
      </w:pPr>
      <w:r>
        <w:rPr>
          <w:rFonts w:hint="eastAsia"/>
          <w:sz w:val="24"/>
          <w:szCs w:val="24"/>
          <w:highlight w:val="none"/>
        </w:rPr>
        <w:t>甲方：（买方）</w:t>
      </w:r>
    </w:p>
    <w:p>
      <w:pPr>
        <w:pStyle w:val="27"/>
        <w:spacing w:beforeLines="50" w:afterLines="50" w:line="400" w:lineRule="exact"/>
        <w:rPr>
          <w:sz w:val="24"/>
          <w:szCs w:val="24"/>
          <w:highlight w:val="none"/>
        </w:rPr>
      </w:pPr>
      <w:r>
        <w:rPr>
          <w:rFonts w:hint="eastAsia"/>
          <w:sz w:val="24"/>
          <w:szCs w:val="24"/>
          <w:highlight w:val="none"/>
        </w:rPr>
        <w:t>乙方：（卖方）</w:t>
      </w:r>
    </w:p>
    <w:p>
      <w:pPr>
        <w:pStyle w:val="27"/>
        <w:spacing w:beforeLines="50" w:afterLines="50" w:line="400" w:lineRule="exact"/>
        <w:rPr>
          <w:b/>
          <w:sz w:val="24"/>
          <w:szCs w:val="24"/>
          <w:highlight w:val="none"/>
        </w:rPr>
      </w:pPr>
      <w:r>
        <w:rPr>
          <w:rFonts w:hint="eastAsia"/>
          <w:sz w:val="24"/>
          <w:szCs w:val="24"/>
          <w:highlight w:val="none"/>
        </w:rPr>
        <w:t>甲、乙双方根据＿＿政府采购项目的采购结果，签署本合同。</w:t>
      </w:r>
    </w:p>
    <w:p>
      <w:pPr>
        <w:pStyle w:val="27"/>
        <w:spacing w:beforeLines="50" w:afterLines="50" w:line="400" w:lineRule="exact"/>
        <w:rPr>
          <w:b/>
          <w:sz w:val="24"/>
          <w:szCs w:val="24"/>
          <w:highlight w:val="none"/>
        </w:rPr>
      </w:pPr>
      <w:r>
        <w:rPr>
          <w:rFonts w:hint="eastAsia"/>
          <w:b/>
          <w:sz w:val="24"/>
          <w:szCs w:val="24"/>
          <w:highlight w:val="none"/>
        </w:rPr>
        <w:t>一、服务内容</w:t>
      </w:r>
    </w:p>
    <w:p>
      <w:pPr>
        <w:pStyle w:val="27"/>
        <w:spacing w:beforeLines="50" w:afterLines="50" w:line="400" w:lineRule="exact"/>
        <w:rPr>
          <w:b/>
          <w:sz w:val="24"/>
          <w:szCs w:val="24"/>
          <w:highlight w:val="none"/>
        </w:rPr>
      </w:pPr>
      <w:r>
        <w:rPr>
          <w:rFonts w:hint="eastAsia"/>
          <w:b/>
          <w:sz w:val="24"/>
          <w:szCs w:val="24"/>
          <w:highlight w:val="none"/>
        </w:rPr>
        <w:t>二、服务年限</w:t>
      </w:r>
    </w:p>
    <w:p>
      <w:pPr>
        <w:pStyle w:val="27"/>
        <w:spacing w:beforeLines="50" w:afterLines="50" w:line="400" w:lineRule="exact"/>
        <w:ind w:left="410" w:hanging="410" w:hangingChars="171"/>
        <w:rPr>
          <w:sz w:val="24"/>
          <w:szCs w:val="24"/>
          <w:highlight w:val="none"/>
        </w:rPr>
      </w:pPr>
      <w:r>
        <w:rPr>
          <w:rFonts w:hint="eastAsia"/>
          <w:sz w:val="24"/>
          <w:szCs w:val="24"/>
          <w:highlight w:val="none"/>
        </w:rPr>
        <w:t>2.1</w:t>
      </w:r>
      <w:r>
        <w:rPr>
          <w:rFonts w:hint="eastAsia"/>
          <w:b/>
          <w:sz w:val="24"/>
          <w:highlight w:val="none"/>
        </w:rPr>
        <w:t>自合同签订之日起一年。服务期满，经招标人考核合格，且双方协商同意，并向财政部门报备后，可续签一年，续签最多不得超过两次。，承包人若愿意续约，应在合同到期前3个月书面提出续约申请，发包人根据承包人在合同期内履约和考核情况决定是否续约，每次续约服务年限为1年，可续约2次，续约需另行签订养护施工合同。在续约期间因政策变动，发包人可以提前终止续约合同。</w:t>
      </w:r>
    </w:p>
    <w:p>
      <w:pPr>
        <w:pStyle w:val="27"/>
        <w:spacing w:beforeLines="50" w:afterLines="50" w:line="400" w:lineRule="exact"/>
        <w:rPr>
          <w:b/>
          <w:sz w:val="24"/>
          <w:szCs w:val="24"/>
          <w:highlight w:val="none"/>
        </w:rPr>
      </w:pPr>
      <w:r>
        <w:rPr>
          <w:rFonts w:hint="eastAsia"/>
          <w:b/>
          <w:sz w:val="24"/>
          <w:szCs w:val="24"/>
          <w:highlight w:val="none"/>
        </w:rPr>
        <w:t>三、合同金额</w:t>
      </w:r>
    </w:p>
    <w:p>
      <w:pPr>
        <w:pStyle w:val="27"/>
        <w:spacing w:beforeLines="50" w:afterLines="50" w:line="400" w:lineRule="exact"/>
        <w:ind w:left="410" w:hanging="410" w:hangingChars="171"/>
        <w:rPr>
          <w:sz w:val="24"/>
          <w:szCs w:val="24"/>
          <w:highlight w:val="none"/>
        </w:rPr>
      </w:pPr>
      <w:r>
        <w:rPr>
          <w:rFonts w:hint="eastAsia"/>
          <w:sz w:val="24"/>
          <w:szCs w:val="24"/>
          <w:highlight w:val="none"/>
        </w:rPr>
        <w:t>3.1  本合同金额暂定为（大写）：元（￥元）人民币</w:t>
      </w:r>
      <w:r>
        <w:rPr>
          <w:rFonts w:hint="eastAsia" w:hAnsi="Courier New"/>
          <w:kern w:val="0"/>
          <w:sz w:val="24"/>
          <w:szCs w:val="24"/>
          <w:highlight w:val="none"/>
        </w:rPr>
        <w:t>（最终结算价以审计单位出具的审计报告结算价为准）</w:t>
      </w:r>
      <w:r>
        <w:rPr>
          <w:rFonts w:hint="eastAsia"/>
          <w:sz w:val="24"/>
          <w:szCs w:val="24"/>
          <w:highlight w:val="none"/>
        </w:rPr>
        <w:t>。</w:t>
      </w:r>
    </w:p>
    <w:p>
      <w:pPr>
        <w:pStyle w:val="27"/>
        <w:spacing w:beforeLines="50" w:afterLines="50" w:line="400" w:lineRule="exact"/>
        <w:ind w:left="410" w:hanging="410" w:hangingChars="171"/>
        <w:rPr>
          <w:sz w:val="24"/>
          <w:szCs w:val="24"/>
          <w:highlight w:val="none"/>
        </w:rPr>
      </w:pPr>
      <w:r>
        <w:rPr>
          <w:rFonts w:hint="eastAsia"/>
          <w:sz w:val="24"/>
          <w:szCs w:val="24"/>
          <w:highlight w:val="none"/>
        </w:rPr>
        <w:t>3.2</w:t>
      </w:r>
      <w:r>
        <w:rPr>
          <w:rFonts w:hint="eastAsia" w:hAnsi="Courier New"/>
          <w:kern w:val="0"/>
          <w:sz w:val="24"/>
          <w:szCs w:val="24"/>
          <w:highlight w:val="none"/>
        </w:rPr>
        <w:t>如施工过程中出现报价明细表以外的工程量，结算依据《浙江省市政设施养护维修定额》2003版；《浙江省市政工程预算定额》2018版；《浙江省建筑工程预算定额》2018版；《浙江省安装工程预算定额》2018版计算；《浙江省建设工程施工机械台班费用定额》（2018版）。取费按《浙江省建设工程计价规则》（2018版）及有关规定取费。人工、材料按照《湖州市建设工程造价信息》施工期间各期平均价调整，并按照报价明细表中的单价同比例下浮后按实结算。</w:t>
      </w:r>
    </w:p>
    <w:p>
      <w:pPr>
        <w:pStyle w:val="27"/>
        <w:spacing w:beforeLines="50" w:afterLines="50" w:line="400" w:lineRule="exact"/>
        <w:rPr>
          <w:b/>
          <w:sz w:val="24"/>
          <w:szCs w:val="24"/>
          <w:highlight w:val="none"/>
        </w:rPr>
      </w:pPr>
      <w:r>
        <w:rPr>
          <w:rFonts w:hint="eastAsia"/>
          <w:b/>
          <w:sz w:val="24"/>
          <w:szCs w:val="24"/>
          <w:highlight w:val="none"/>
        </w:rPr>
        <w:t>四、技术资料</w:t>
      </w:r>
    </w:p>
    <w:p>
      <w:pPr>
        <w:pStyle w:val="27"/>
        <w:spacing w:beforeLines="50" w:afterLines="50" w:line="400" w:lineRule="exact"/>
        <w:ind w:left="410" w:hanging="410" w:hangingChars="171"/>
        <w:rPr>
          <w:sz w:val="24"/>
          <w:szCs w:val="24"/>
          <w:highlight w:val="none"/>
        </w:rPr>
      </w:pPr>
      <w:r>
        <w:rPr>
          <w:rFonts w:hint="eastAsia"/>
          <w:sz w:val="24"/>
          <w:szCs w:val="24"/>
          <w:highlight w:val="none"/>
        </w:rPr>
        <w:t>4.1乙方应按谈判文件规定的时间向甲方提供有关技术资料。</w:t>
      </w:r>
    </w:p>
    <w:p>
      <w:pPr>
        <w:pStyle w:val="27"/>
        <w:spacing w:beforeLines="50" w:afterLines="50" w:line="400" w:lineRule="exact"/>
        <w:ind w:left="410" w:hanging="410" w:hangingChars="171"/>
        <w:rPr>
          <w:sz w:val="24"/>
          <w:szCs w:val="24"/>
          <w:highlight w:val="none"/>
        </w:rPr>
      </w:pPr>
      <w:r>
        <w:rPr>
          <w:rFonts w:hint="eastAsia"/>
          <w:sz w:val="24"/>
          <w:szCs w:val="24"/>
          <w:highlight w:val="none"/>
        </w:rPr>
        <w:t>4.2 没有甲方事先书面同意，乙方不得将甲方提供的有关合同或任何合同条文、规格、计划、图纸、样品或资料提供给与履行本合同无关的任何其他人。即使向履行本合同有关的人员提供，也应注意保密并限于履行合同的必需范围。</w:t>
      </w:r>
    </w:p>
    <w:p>
      <w:pPr>
        <w:pStyle w:val="27"/>
        <w:spacing w:beforeLines="50" w:afterLines="50" w:line="400" w:lineRule="exact"/>
        <w:ind w:left="412" w:hanging="412" w:hangingChars="171"/>
        <w:rPr>
          <w:b/>
          <w:sz w:val="24"/>
          <w:szCs w:val="24"/>
          <w:highlight w:val="none"/>
        </w:rPr>
      </w:pPr>
      <w:r>
        <w:rPr>
          <w:rFonts w:hint="eastAsia"/>
          <w:b/>
          <w:sz w:val="24"/>
          <w:szCs w:val="24"/>
          <w:highlight w:val="none"/>
        </w:rPr>
        <w:t>五、知识产权</w:t>
      </w:r>
    </w:p>
    <w:p>
      <w:pPr>
        <w:pStyle w:val="27"/>
        <w:spacing w:beforeLines="50" w:afterLines="50" w:line="400" w:lineRule="exact"/>
        <w:ind w:left="410" w:hanging="410" w:hangingChars="171"/>
        <w:rPr>
          <w:b/>
          <w:bCs/>
          <w:sz w:val="24"/>
          <w:szCs w:val="24"/>
          <w:highlight w:val="none"/>
        </w:rPr>
      </w:pPr>
      <w:r>
        <w:rPr>
          <w:rFonts w:hint="eastAsia"/>
          <w:sz w:val="24"/>
          <w:szCs w:val="24"/>
          <w:highlight w:val="none"/>
        </w:rPr>
        <w:t>5.1 乙方应保证提供服务过程中不会侵犯任何第三方的知识产权</w:t>
      </w:r>
      <w:r>
        <w:rPr>
          <w:rFonts w:hint="eastAsia"/>
          <w:bCs/>
          <w:sz w:val="24"/>
          <w:szCs w:val="24"/>
          <w:highlight w:val="none"/>
        </w:rPr>
        <w:t>。</w:t>
      </w:r>
    </w:p>
    <w:p>
      <w:pPr>
        <w:pStyle w:val="27"/>
        <w:spacing w:beforeLines="50" w:afterLines="50" w:line="400" w:lineRule="exact"/>
        <w:ind w:left="410" w:hanging="410" w:hangingChars="170"/>
        <w:rPr>
          <w:b/>
          <w:sz w:val="24"/>
          <w:szCs w:val="24"/>
          <w:highlight w:val="none"/>
        </w:rPr>
      </w:pPr>
      <w:r>
        <w:rPr>
          <w:rFonts w:hint="eastAsia"/>
          <w:b/>
          <w:sz w:val="24"/>
          <w:szCs w:val="24"/>
          <w:highlight w:val="none"/>
        </w:rPr>
        <w:t>六、履约保证金</w:t>
      </w:r>
    </w:p>
    <w:p>
      <w:pPr>
        <w:spacing w:line="360" w:lineRule="auto"/>
        <w:outlineLvl w:val="0"/>
        <w:rPr>
          <w:sz w:val="24"/>
          <w:highlight w:val="none"/>
        </w:rPr>
      </w:pPr>
      <w:r>
        <w:rPr>
          <w:rFonts w:hint="eastAsia"/>
          <w:sz w:val="24"/>
          <w:highlight w:val="none"/>
        </w:rPr>
        <w:t xml:space="preserve">6.1 </w:t>
      </w:r>
      <w:r>
        <w:rPr>
          <w:rFonts w:hint="eastAsia" w:ascii="宋体" w:hAnsi="宋体"/>
          <w:b/>
          <w:color w:val="0070C0"/>
          <w:sz w:val="24"/>
          <w:highlight w:val="none"/>
        </w:rPr>
        <w:t xml:space="preserve">中标人在签订合同后 </w:t>
      </w:r>
      <w:r>
        <w:rPr>
          <w:rFonts w:hint="eastAsia" w:ascii="宋体" w:hAnsi="宋体"/>
          <w:b/>
          <w:color w:val="0070C0"/>
          <w:sz w:val="24"/>
          <w:highlight w:val="none"/>
          <w:u w:val="single"/>
        </w:rPr>
        <w:t>7</w:t>
      </w:r>
      <w:r>
        <w:rPr>
          <w:rFonts w:hint="eastAsia" w:ascii="宋体" w:hAnsi="宋体"/>
          <w:b/>
          <w:color w:val="0070C0"/>
          <w:sz w:val="24"/>
          <w:highlight w:val="none"/>
        </w:rPr>
        <w:t>天内，应当向采购人提交履约保证金（金额为预算价1%，应当以支票、汇票、本票或者金融机构、担保机构出具的保函等非现金形式提交）。（推荐专业担保机构联系方式：中国建设银行德清支行，电话0572-8074678。）</w:t>
      </w:r>
    </w:p>
    <w:p>
      <w:pPr>
        <w:pStyle w:val="27"/>
        <w:spacing w:beforeLines="50" w:afterLines="50" w:line="400" w:lineRule="exact"/>
        <w:ind w:left="410" w:hanging="410" w:hangingChars="170"/>
        <w:rPr>
          <w:b/>
          <w:sz w:val="24"/>
          <w:szCs w:val="24"/>
          <w:highlight w:val="none"/>
        </w:rPr>
      </w:pPr>
      <w:r>
        <w:rPr>
          <w:rFonts w:hint="eastAsia"/>
          <w:b/>
          <w:sz w:val="24"/>
          <w:szCs w:val="24"/>
          <w:highlight w:val="none"/>
        </w:rPr>
        <w:t>七.转包或分包</w:t>
      </w:r>
    </w:p>
    <w:p>
      <w:pPr>
        <w:spacing w:beforeLines="50" w:afterLines="50" w:line="400" w:lineRule="exact"/>
        <w:rPr>
          <w:rFonts w:ascii="宋体" w:hAnsi="宋体"/>
          <w:sz w:val="24"/>
          <w:highlight w:val="none"/>
        </w:rPr>
      </w:pPr>
      <w:r>
        <w:rPr>
          <w:rFonts w:hint="eastAsia" w:ascii="宋体" w:hAnsi="宋体"/>
          <w:sz w:val="24"/>
          <w:highlight w:val="none"/>
        </w:rPr>
        <w:t>7.1本合同范围的货物，应由供方直接供应，不得转让他人供应；</w:t>
      </w:r>
    </w:p>
    <w:p>
      <w:pPr>
        <w:spacing w:beforeLines="50" w:afterLines="50" w:line="400" w:lineRule="exact"/>
        <w:rPr>
          <w:rFonts w:ascii="宋体" w:hAnsi="宋体"/>
          <w:sz w:val="24"/>
          <w:highlight w:val="none"/>
        </w:rPr>
      </w:pPr>
      <w:r>
        <w:rPr>
          <w:rFonts w:hint="eastAsia" w:ascii="宋体" w:hAnsi="宋体"/>
          <w:sz w:val="24"/>
          <w:highlight w:val="none"/>
        </w:rPr>
        <w:t>7.2 除非得到需方的书面同意，供方不得部分分包给他人供应。需方有绝对权力阻止分包。</w:t>
      </w:r>
    </w:p>
    <w:p>
      <w:pPr>
        <w:spacing w:beforeLines="50" w:afterLines="50" w:line="400" w:lineRule="exact"/>
        <w:rPr>
          <w:rFonts w:ascii="宋体" w:hAnsi="宋体"/>
          <w:sz w:val="24"/>
          <w:highlight w:val="none"/>
        </w:rPr>
      </w:pPr>
      <w:r>
        <w:rPr>
          <w:rFonts w:hint="eastAsia" w:ascii="宋体" w:hAnsi="宋体"/>
          <w:sz w:val="24"/>
          <w:highlight w:val="none"/>
        </w:rPr>
        <w:t>7.3如有转让和未经需方同意的分包行为，需方有权给予终止合同。</w:t>
      </w:r>
    </w:p>
    <w:p>
      <w:pPr>
        <w:pStyle w:val="27"/>
        <w:spacing w:beforeLines="50" w:afterLines="50" w:line="400" w:lineRule="exact"/>
        <w:rPr>
          <w:sz w:val="24"/>
          <w:szCs w:val="24"/>
          <w:highlight w:val="none"/>
        </w:rPr>
      </w:pPr>
      <w:r>
        <w:rPr>
          <w:rFonts w:hint="eastAsia"/>
          <w:b/>
          <w:sz w:val="24"/>
          <w:szCs w:val="24"/>
          <w:highlight w:val="none"/>
        </w:rPr>
        <w:t>八、服务质量保证期</w:t>
      </w:r>
    </w:p>
    <w:p>
      <w:pPr>
        <w:pStyle w:val="27"/>
        <w:spacing w:beforeLines="50" w:afterLines="50" w:line="400" w:lineRule="exact"/>
        <w:ind w:left="410" w:hanging="410" w:hangingChars="171"/>
        <w:rPr>
          <w:sz w:val="24"/>
          <w:szCs w:val="24"/>
          <w:highlight w:val="none"/>
        </w:rPr>
      </w:pPr>
      <w:r>
        <w:rPr>
          <w:rFonts w:hint="eastAsia"/>
          <w:sz w:val="24"/>
          <w:szCs w:val="24"/>
          <w:highlight w:val="none"/>
        </w:rPr>
        <w:t>8.1 服务质量保证期年。（自验收合格之日起计）</w:t>
      </w:r>
    </w:p>
    <w:p>
      <w:pPr>
        <w:pStyle w:val="27"/>
        <w:spacing w:beforeLines="50" w:afterLines="50" w:line="400" w:lineRule="exact"/>
        <w:rPr>
          <w:b/>
          <w:sz w:val="24"/>
          <w:szCs w:val="24"/>
          <w:highlight w:val="none"/>
        </w:rPr>
      </w:pPr>
      <w:r>
        <w:rPr>
          <w:rFonts w:hint="eastAsia"/>
          <w:b/>
          <w:sz w:val="24"/>
          <w:szCs w:val="24"/>
          <w:highlight w:val="none"/>
        </w:rPr>
        <w:t>九、款项支付</w:t>
      </w:r>
    </w:p>
    <w:p>
      <w:pPr>
        <w:spacing w:line="360" w:lineRule="auto"/>
        <w:outlineLvl w:val="0"/>
        <w:rPr>
          <w:rFonts w:ascii="宋体" w:hAnsi="宋体"/>
          <w:b/>
          <w:color w:val="0070C0"/>
          <w:sz w:val="24"/>
          <w:highlight w:val="none"/>
        </w:rPr>
      </w:pPr>
      <w:r>
        <w:rPr>
          <w:rFonts w:hint="eastAsia"/>
          <w:bCs/>
          <w:sz w:val="24"/>
          <w:highlight w:val="none"/>
        </w:rPr>
        <w:t>9.1 付款方式：</w:t>
      </w:r>
      <w:r>
        <w:rPr>
          <w:rFonts w:hint="eastAsia" w:ascii="宋体" w:hAnsi="宋体"/>
          <w:b/>
          <w:color w:val="0070C0"/>
          <w:highlight w:val="none"/>
        </w:rPr>
        <w:t>甲方收到履约保证金后向乙方支付标项预算金额40%的预付款；预付款不扣回，后续直接用以养护费结算。</w:t>
      </w:r>
      <w:r>
        <w:rPr>
          <w:rFonts w:ascii="宋体" w:hAnsi="宋体"/>
          <w:b/>
          <w:color w:val="0070C0"/>
          <w:highlight w:val="none"/>
        </w:rPr>
        <w:t>承包方每季度末</w:t>
      </w:r>
      <w:r>
        <w:rPr>
          <w:rFonts w:hint="eastAsia" w:ascii="宋体" w:hAnsi="宋体"/>
          <w:b/>
          <w:color w:val="0070C0"/>
          <w:highlight w:val="none"/>
        </w:rPr>
        <w:t>25</w:t>
      </w:r>
      <w:r>
        <w:rPr>
          <w:rFonts w:ascii="宋体" w:hAnsi="宋体"/>
          <w:b/>
          <w:color w:val="0070C0"/>
          <w:highlight w:val="none"/>
        </w:rPr>
        <w:t>日前上报</w:t>
      </w:r>
      <w:r>
        <w:rPr>
          <w:rFonts w:hint="eastAsia" w:ascii="宋体" w:hAnsi="宋体"/>
          <w:b/>
          <w:color w:val="0070C0"/>
          <w:highlight w:val="none"/>
        </w:rPr>
        <w:t>已</w:t>
      </w:r>
      <w:r>
        <w:rPr>
          <w:rFonts w:ascii="宋体" w:hAnsi="宋体"/>
          <w:b/>
          <w:color w:val="0070C0"/>
          <w:highlight w:val="none"/>
        </w:rPr>
        <w:t>完成工程量，业主按实际工程进度、工程质量、到位率、联系单</w:t>
      </w:r>
      <w:r>
        <w:rPr>
          <w:rFonts w:hint="eastAsia" w:ascii="宋体" w:hAnsi="宋体"/>
          <w:b/>
          <w:color w:val="0070C0"/>
          <w:highlight w:val="none"/>
        </w:rPr>
        <w:t>、</w:t>
      </w:r>
      <w:r>
        <w:rPr>
          <w:rFonts w:ascii="宋体" w:hAnsi="宋体"/>
          <w:b/>
          <w:color w:val="0070C0"/>
          <w:highlight w:val="none"/>
        </w:rPr>
        <w:t>审定单及相关资料的情况，支付已完成工程量的</w:t>
      </w:r>
      <w:r>
        <w:rPr>
          <w:rFonts w:hint="eastAsia" w:ascii="宋体" w:hAnsi="宋体"/>
          <w:b/>
          <w:color w:val="0070C0"/>
          <w:highlight w:val="none"/>
        </w:rPr>
        <w:t>8</w:t>
      </w:r>
      <w:r>
        <w:rPr>
          <w:rFonts w:ascii="宋体" w:hAnsi="宋体"/>
          <w:b/>
          <w:color w:val="0070C0"/>
          <w:highlight w:val="none"/>
        </w:rPr>
        <w:t>0%，</w:t>
      </w:r>
      <w:r>
        <w:rPr>
          <w:rFonts w:hint="eastAsia" w:ascii="宋体" w:hAnsi="宋体"/>
          <w:b/>
          <w:color w:val="0070C0"/>
          <w:highlight w:val="none"/>
        </w:rPr>
        <w:t>合同最后一个月25日前</w:t>
      </w:r>
      <w:r>
        <w:rPr>
          <w:rFonts w:ascii="宋体" w:hAnsi="宋体"/>
          <w:b/>
          <w:color w:val="0070C0"/>
          <w:highlight w:val="none"/>
        </w:rPr>
        <w:t>上报年度最终工程量报表，结算审计完成后一个月内付清</w:t>
      </w:r>
      <w:r>
        <w:rPr>
          <w:rFonts w:hint="eastAsia" w:ascii="宋体" w:hAnsi="宋体"/>
          <w:b/>
          <w:color w:val="0070C0"/>
          <w:highlight w:val="none"/>
        </w:rPr>
        <w:t>余款</w:t>
      </w:r>
      <w:r>
        <w:rPr>
          <w:rFonts w:ascii="宋体" w:hAnsi="宋体"/>
          <w:b/>
          <w:color w:val="0070C0"/>
          <w:highlight w:val="none"/>
        </w:rPr>
        <w:t>。</w:t>
      </w:r>
      <w:r>
        <w:rPr>
          <w:rFonts w:hint="eastAsia" w:ascii="宋体" w:hAnsi="宋体"/>
          <w:b/>
          <w:color w:val="0070C0"/>
          <w:highlight w:val="none"/>
        </w:rPr>
        <w:t>服务期间，若由于服务单位现场管理不到位或工程质量、安全存在问题时，发包人有权暂停支付，直至整改完毕。</w:t>
      </w:r>
    </w:p>
    <w:p>
      <w:pPr>
        <w:spacing w:beforeLines="50" w:afterLines="50" w:line="400" w:lineRule="exact"/>
        <w:rPr>
          <w:rFonts w:ascii="宋体" w:hAnsi="宋体"/>
          <w:b/>
          <w:sz w:val="24"/>
          <w:highlight w:val="none"/>
        </w:rPr>
      </w:pPr>
      <w:r>
        <w:rPr>
          <w:rFonts w:hint="eastAsia" w:ascii="宋体" w:hAnsi="宋体"/>
          <w:b/>
          <w:sz w:val="24"/>
          <w:highlight w:val="none"/>
        </w:rPr>
        <w:t>十、税费</w:t>
      </w:r>
    </w:p>
    <w:p>
      <w:pPr>
        <w:spacing w:beforeLines="50" w:afterLines="50" w:line="400" w:lineRule="exact"/>
        <w:rPr>
          <w:rFonts w:ascii="宋体" w:hAnsi="宋体"/>
          <w:sz w:val="24"/>
          <w:highlight w:val="none"/>
        </w:rPr>
      </w:pPr>
      <w:r>
        <w:rPr>
          <w:rFonts w:hint="eastAsia" w:ascii="宋体" w:hAnsi="宋体"/>
          <w:sz w:val="24"/>
          <w:highlight w:val="none"/>
        </w:rPr>
        <w:t>10.1本合同执行中相关的一切税费均由乙方负担。</w:t>
      </w:r>
    </w:p>
    <w:p>
      <w:pPr>
        <w:pStyle w:val="27"/>
        <w:spacing w:beforeLines="50" w:afterLines="50" w:line="400" w:lineRule="exact"/>
        <w:ind w:left="412" w:hanging="412" w:hangingChars="171"/>
        <w:rPr>
          <w:sz w:val="24"/>
          <w:szCs w:val="24"/>
          <w:highlight w:val="none"/>
        </w:rPr>
      </w:pPr>
      <w:r>
        <w:rPr>
          <w:rFonts w:hint="eastAsia"/>
          <w:b/>
          <w:sz w:val="24"/>
          <w:szCs w:val="24"/>
          <w:highlight w:val="none"/>
        </w:rPr>
        <w:t>十一、质量保证及后续服务</w:t>
      </w:r>
    </w:p>
    <w:p>
      <w:pPr>
        <w:pStyle w:val="27"/>
        <w:spacing w:beforeLines="50" w:afterLines="50" w:line="400" w:lineRule="exact"/>
        <w:ind w:left="410" w:hanging="410" w:hangingChars="171"/>
        <w:rPr>
          <w:sz w:val="24"/>
          <w:szCs w:val="24"/>
          <w:highlight w:val="none"/>
        </w:rPr>
      </w:pPr>
      <w:r>
        <w:rPr>
          <w:rFonts w:hint="eastAsia"/>
          <w:sz w:val="24"/>
          <w:szCs w:val="24"/>
          <w:highlight w:val="none"/>
        </w:rPr>
        <w:t>11.1 乙方应按谈判文件规定向甲方提供服务。</w:t>
      </w:r>
    </w:p>
    <w:p>
      <w:pPr>
        <w:pStyle w:val="27"/>
        <w:spacing w:beforeLines="50" w:afterLines="50" w:line="400" w:lineRule="exact"/>
        <w:ind w:left="480" w:hanging="480" w:hangingChars="200"/>
        <w:rPr>
          <w:sz w:val="24"/>
          <w:szCs w:val="24"/>
          <w:highlight w:val="none"/>
        </w:rPr>
      </w:pPr>
      <w:r>
        <w:rPr>
          <w:rFonts w:hint="eastAsia"/>
          <w:sz w:val="24"/>
          <w:szCs w:val="24"/>
          <w:highlight w:val="none"/>
        </w:rPr>
        <w:t>11.2 乙方提供的服务成果在服务质量保证期内发生故障，乙方应负责免费提供后续服务。对达不到要求的，根据实际情况，经双方协商，可按以下办法处理：</w:t>
      </w:r>
    </w:p>
    <w:p>
      <w:pPr>
        <w:pStyle w:val="27"/>
        <w:spacing w:beforeLines="50" w:afterLines="50" w:line="400" w:lineRule="exact"/>
        <w:ind w:firstLine="420"/>
        <w:rPr>
          <w:sz w:val="24"/>
          <w:szCs w:val="24"/>
          <w:highlight w:val="none"/>
        </w:rPr>
      </w:pPr>
      <w:r>
        <w:rPr>
          <w:rFonts w:hint="eastAsia"/>
          <w:sz w:val="24"/>
          <w:szCs w:val="24"/>
          <w:highlight w:val="none"/>
        </w:rPr>
        <w:t>⑴重做：由乙方承担所发生的全部费用。</w:t>
      </w:r>
    </w:p>
    <w:p>
      <w:pPr>
        <w:pStyle w:val="27"/>
        <w:spacing w:beforeLines="50" w:afterLines="50" w:line="400" w:lineRule="exact"/>
        <w:ind w:firstLine="420"/>
        <w:rPr>
          <w:sz w:val="24"/>
          <w:szCs w:val="24"/>
          <w:highlight w:val="none"/>
        </w:rPr>
      </w:pPr>
      <w:r>
        <w:rPr>
          <w:rFonts w:hint="eastAsia"/>
          <w:sz w:val="24"/>
          <w:szCs w:val="24"/>
          <w:highlight w:val="none"/>
        </w:rPr>
        <w:t>⑵贬值处理：由甲乙双方合议定价。</w:t>
      </w:r>
    </w:p>
    <w:p>
      <w:pPr>
        <w:pStyle w:val="27"/>
        <w:spacing w:beforeLines="50" w:afterLines="50" w:line="400" w:lineRule="exact"/>
        <w:ind w:left="420" w:leftChars="200"/>
        <w:rPr>
          <w:sz w:val="24"/>
          <w:szCs w:val="24"/>
          <w:highlight w:val="none"/>
        </w:rPr>
      </w:pPr>
      <w:r>
        <w:rPr>
          <w:rFonts w:hint="eastAsia"/>
          <w:sz w:val="24"/>
          <w:szCs w:val="24"/>
          <w:highlight w:val="none"/>
        </w:rPr>
        <w:t>⑶解除合同。</w:t>
      </w:r>
    </w:p>
    <w:p>
      <w:pPr>
        <w:pStyle w:val="27"/>
        <w:spacing w:beforeLines="50" w:afterLines="50" w:line="400" w:lineRule="exact"/>
        <w:rPr>
          <w:sz w:val="24"/>
          <w:szCs w:val="24"/>
          <w:highlight w:val="none"/>
        </w:rPr>
      </w:pPr>
      <w:r>
        <w:rPr>
          <w:rFonts w:hint="eastAsia"/>
          <w:sz w:val="24"/>
          <w:szCs w:val="24"/>
          <w:highlight w:val="none"/>
        </w:rPr>
        <w:t>11.3 如遇紧急情况，乙方在接到甲方通知后在</w:t>
      </w:r>
      <w:r>
        <w:rPr>
          <w:rFonts w:hint="eastAsia"/>
          <w:sz w:val="24"/>
          <w:szCs w:val="24"/>
          <w:highlight w:val="none"/>
          <w:u w:val="single"/>
        </w:rPr>
        <w:t xml:space="preserve"> 1 </w:t>
      </w:r>
      <w:r>
        <w:rPr>
          <w:rFonts w:hint="eastAsia"/>
          <w:sz w:val="24"/>
          <w:szCs w:val="24"/>
          <w:highlight w:val="none"/>
        </w:rPr>
        <w:t>小时内到达甲方现场。</w:t>
      </w:r>
    </w:p>
    <w:p>
      <w:pPr>
        <w:pStyle w:val="27"/>
        <w:spacing w:beforeLines="50" w:afterLines="50" w:line="400" w:lineRule="exact"/>
        <w:rPr>
          <w:sz w:val="24"/>
          <w:szCs w:val="24"/>
          <w:highlight w:val="none"/>
        </w:rPr>
      </w:pPr>
      <w:r>
        <w:rPr>
          <w:rFonts w:hint="eastAsia"/>
          <w:sz w:val="24"/>
          <w:szCs w:val="24"/>
          <w:highlight w:val="none"/>
        </w:rPr>
        <w:t>11.4 在服务质量保证期内，乙方应对出现的质量及安全问题负责处理解决并承担一切费用。</w:t>
      </w:r>
    </w:p>
    <w:p>
      <w:pPr>
        <w:pStyle w:val="27"/>
        <w:spacing w:beforeLines="50" w:afterLines="50" w:line="400" w:lineRule="exact"/>
        <w:rPr>
          <w:b/>
          <w:sz w:val="24"/>
          <w:szCs w:val="24"/>
          <w:highlight w:val="none"/>
        </w:rPr>
      </w:pPr>
      <w:r>
        <w:rPr>
          <w:rFonts w:hint="eastAsia"/>
          <w:b/>
          <w:sz w:val="24"/>
          <w:szCs w:val="24"/>
          <w:highlight w:val="none"/>
        </w:rPr>
        <w:t>十二、违约责任</w:t>
      </w:r>
    </w:p>
    <w:p>
      <w:pPr>
        <w:pStyle w:val="27"/>
        <w:spacing w:beforeLines="50" w:afterLines="50" w:line="400" w:lineRule="exact"/>
        <w:ind w:left="410" w:hanging="410" w:hangingChars="171"/>
        <w:rPr>
          <w:sz w:val="24"/>
          <w:szCs w:val="24"/>
          <w:highlight w:val="none"/>
        </w:rPr>
      </w:pPr>
      <w:r>
        <w:rPr>
          <w:rFonts w:hint="eastAsia"/>
          <w:sz w:val="24"/>
          <w:szCs w:val="24"/>
          <w:highlight w:val="none"/>
        </w:rPr>
        <w:t>12.1 甲方无正当理由拒绝接受服务的，甲方向乙方偿付合同款项百分之五的违约金。</w:t>
      </w:r>
    </w:p>
    <w:p>
      <w:pPr>
        <w:pStyle w:val="27"/>
        <w:spacing w:beforeLines="50" w:afterLines="50" w:line="400" w:lineRule="exact"/>
        <w:ind w:left="410" w:hanging="410" w:hangingChars="171"/>
        <w:rPr>
          <w:sz w:val="24"/>
          <w:szCs w:val="24"/>
          <w:highlight w:val="none"/>
        </w:rPr>
      </w:pPr>
      <w:r>
        <w:rPr>
          <w:rFonts w:hint="eastAsia"/>
          <w:sz w:val="24"/>
          <w:szCs w:val="24"/>
          <w:highlight w:val="none"/>
        </w:rPr>
        <w:t>12.2 甲方无故逾期验收和办理款项支付手续的,甲方应按逾期付款总额每日万分之五向乙方支付违约金。</w:t>
      </w:r>
    </w:p>
    <w:p>
      <w:pPr>
        <w:pStyle w:val="27"/>
        <w:spacing w:beforeLines="50" w:afterLines="50" w:line="400" w:lineRule="exact"/>
        <w:ind w:left="410" w:hanging="410" w:hangingChars="171"/>
        <w:rPr>
          <w:sz w:val="24"/>
          <w:szCs w:val="24"/>
          <w:highlight w:val="none"/>
        </w:rPr>
      </w:pPr>
      <w:r>
        <w:rPr>
          <w:rFonts w:hint="eastAsia"/>
          <w:sz w:val="24"/>
          <w:szCs w:val="24"/>
          <w:highlight w:val="none"/>
        </w:rPr>
        <w:t xml:space="preserve">12.3 乙方逾期提供服务的，每日向甲方支付千分之六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27"/>
        <w:spacing w:beforeLines="50" w:afterLines="50" w:line="400" w:lineRule="exact"/>
        <w:rPr>
          <w:b/>
          <w:sz w:val="24"/>
          <w:szCs w:val="24"/>
          <w:highlight w:val="none"/>
        </w:rPr>
      </w:pPr>
      <w:r>
        <w:rPr>
          <w:rFonts w:hint="eastAsia"/>
          <w:b/>
          <w:sz w:val="24"/>
          <w:szCs w:val="24"/>
          <w:highlight w:val="none"/>
        </w:rPr>
        <w:t>十三、不可抗力事件处理</w:t>
      </w:r>
    </w:p>
    <w:p>
      <w:pPr>
        <w:pStyle w:val="27"/>
        <w:spacing w:beforeLines="50" w:afterLines="50" w:line="400" w:lineRule="exact"/>
        <w:ind w:left="480" w:hanging="480" w:hangingChars="200"/>
        <w:rPr>
          <w:sz w:val="24"/>
          <w:szCs w:val="24"/>
          <w:highlight w:val="none"/>
        </w:rPr>
      </w:pPr>
      <w:r>
        <w:rPr>
          <w:rFonts w:hint="eastAsia"/>
          <w:sz w:val="24"/>
          <w:szCs w:val="24"/>
          <w:highlight w:val="none"/>
        </w:rPr>
        <w:t>13.1 在合同有效期内，任何一方因不可抗力事件导致不能履行合同，则合同履行期可延长，其延长期与不可抗力影响期相同。</w:t>
      </w:r>
    </w:p>
    <w:p>
      <w:pPr>
        <w:pStyle w:val="27"/>
        <w:spacing w:beforeLines="50" w:afterLines="50" w:line="400" w:lineRule="exact"/>
        <w:rPr>
          <w:sz w:val="24"/>
          <w:szCs w:val="24"/>
          <w:highlight w:val="none"/>
        </w:rPr>
      </w:pPr>
      <w:r>
        <w:rPr>
          <w:rFonts w:hint="eastAsia"/>
          <w:sz w:val="24"/>
          <w:szCs w:val="24"/>
          <w:highlight w:val="none"/>
        </w:rPr>
        <w:t>13.2 不可抗力事件发生后，应立即通知对方，并寄送有关权威机构出具的证明。</w:t>
      </w:r>
    </w:p>
    <w:p>
      <w:pPr>
        <w:pStyle w:val="27"/>
        <w:spacing w:beforeLines="50" w:afterLines="50" w:line="400" w:lineRule="exact"/>
        <w:rPr>
          <w:sz w:val="24"/>
          <w:szCs w:val="24"/>
          <w:highlight w:val="none"/>
        </w:rPr>
      </w:pPr>
      <w:r>
        <w:rPr>
          <w:rFonts w:hint="eastAsia"/>
          <w:sz w:val="24"/>
          <w:szCs w:val="24"/>
          <w:highlight w:val="none"/>
        </w:rPr>
        <w:t>13.3 不可抗力事件延续120天以上，双方应通过友好协商，确定是否继续履行合同。</w:t>
      </w:r>
    </w:p>
    <w:p>
      <w:pPr>
        <w:pStyle w:val="27"/>
        <w:spacing w:beforeLines="50" w:afterLines="50" w:line="400" w:lineRule="exact"/>
        <w:rPr>
          <w:b/>
          <w:sz w:val="24"/>
          <w:szCs w:val="24"/>
          <w:highlight w:val="none"/>
        </w:rPr>
      </w:pPr>
      <w:r>
        <w:rPr>
          <w:rFonts w:hint="eastAsia"/>
          <w:b/>
          <w:sz w:val="24"/>
          <w:szCs w:val="24"/>
          <w:highlight w:val="none"/>
        </w:rPr>
        <w:t>十四、诉讼</w:t>
      </w:r>
    </w:p>
    <w:p>
      <w:pPr>
        <w:pStyle w:val="27"/>
        <w:spacing w:beforeLines="50" w:afterLines="50" w:line="400" w:lineRule="exact"/>
        <w:ind w:left="480" w:hanging="480" w:hangingChars="200"/>
        <w:rPr>
          <w:sz w:val="24"/>
          <w:szCs w:val="24"/>
          <w:highlight w:val="none"/>
        </w:rPr>
      </w:pPr>
      <w:r>
        <w:rPr>
          <w:rFonts w:hint="eastAsia"/>
          <w:sz w:val="24"/>
          <w:szCs w:val="24"/>
          <w:highlight w:val="none"/>
        </w:rPr>
        <w:t>14.1 双方在执行合同中所发生的一切争议，应通过协商解决。如协商不成，可向合同签订地法院起诉。</w:t>
      </w:r>
    </w:p>
    <w:p>
      <w:pPr>
        <w:pStyle w:val="27"/>
        <w:spacing w:beforeLines="50" w:afterLines="50" w:line="400" w:lineRule="exact"/>
        <w:rPr>
          <w:b/>
          <w:sz w:val="24"/>
          <w:szCs w:val="24"/>
          <w:highlight w:val="none"/>
        </w:rPr>
      </w:pPr>
      <w:r>
        <w:rPr>
          <w:rFonts w:hint="eastAsia"/>
          <w:b/>
          <w:sz w:val="24"/>
          <w:szCs w:val="24"/>
          <w:highlight w:val="none"/>
        </w:rPr>
        <w:t>十五、合同生效及其它</w:t>
      </w:r>
    </w:p>
    <w:p>
      <w:pPr>
        <w:pStyle w:val="27"/>
        <w:spacing w:beforeLines="50" w:afterLines="50" w:line="320" w:lineRule="exact"/>
        <w:rPr>
          <w:sz w:val="24"/>
          <w:szCs w:val="24"/>
          <w:highlight w:val="none"/>
        </w:rPr>
      </w:pPr>
      <w:r>
        <w:rPr>
          <w:rFonts w:hint="eastAsia"/>
          <w:sz w:val="24"/>
          <w:szCs w:val="24"/>
          <w:highlight w:val="none"/>
        </w:rPr>
        <w:t>15.1 合同经双方法定代表人或授权委托代理人签字并加盖单位公章后生效。</w:t>
      </w:r>
    </w:p>
    <w:p>
      <w:pPr>
        <w:pStyle w:val="27"/>
        <w:spacing w:beforeLines="50" w:afterLines="50" w:line="320" w:lineRule="exact"/>
        <w:rPr>
          <w:sz w:val="24"/>
          <w:szCs w:val="24"/>
          <w:highlight w:val="none"/>
        </w:rPr>
      </w:pPr>
      <w:r>
        <w:rPr>
          <w:rFonts w:hint="eastAsia"/>
          <w:sz w:val="24"/>
          <w:szCs w:val="24"/>
          <w:highlight w:val="none"/>
        </w:rPr>
        <w:t>15.2合同执行中涉及采购资金和采购内容修改或补充的，须经财政部门审批，并签书面补充协议报政府采购监督管理部门备案，方可作为主合同不可分割的一部分。</w:t>
      </w:r>
    </w:p>
    <w:p>
      <w:pPr>
        <w:pStyle w:val="27"/>
        <w:spacing w:beforeLines="50" w:afterLines="50" w:line="320" w:lineRule="exact"/>
        <w:ind w:left="480" w:hanging="480" w:hangingChars="200"/>
        <w:rPr>
          <w:sz w:val="24"/>
          <w:szCs w:val="24"/>
          <w:highlight w:val="none"/>
        </w:rPr>
      </w:pPr>
      <w:r>
        <w:rPr>
          <w:rFonts w:hint="eastAsia"/>
          <w:sz w:val="24"/>
          <w:szCs w:val="24"/>
          <w:highlight w:val="none"/>
        </w:rPr>
        <w:t>15.3本合同未尽事宜，遵照《合同法》有关条文执行。</w:t>
      </w:r>
    </w:p>
    <w:p>
      <w:pPr>
        <w:pStyle w:val="27"/>
        <w:spacing w:beforeLines="50" w:afterLines="50" w:line="320" w:lineRule="exact"/>
        <w:ind w:left="480" w:hanging="480" w:hangingChars="200"/>
        <w:rPr>
          <w:sz w:val="24"/>
          <w:szCs w:val="24"/>
          <w:highlight w:val="none"/>
        </w:rPr>
      </w:pPr>
      <w:r>
        <w:rPr>
          <w:rFonts w:hint="eastAsia"/>
          <w:sz w:val="24"/>
          <w:szCs w:val="24"/>
          <w:highlight w:val="none"/>
        </w:rPr>
        <w:t>15.4 本合同一式陆份，甲方执肆份，乙方执贰份，具有同等法律效力。</w:t>
      </w:r>
    </w:p>
    <w:p>
      <w:pPr>
        <w:pStyle w:val="27"/>
        <w:spacing w:beforeLines="50" w:afterLines="50" w:line="400" w:lineRule="exact"/>
        <w:ind w:left="480" w:hanging="480" w:hangingChars="200"/>
        <w:rPr>
          <w:sz w:val="24"/>
          <w:szCs w:val="24"/>
          <w:highlight w:val="none"/>
        </w:rPr>
      </w:pPr>
      <w:r>
        <w:rPr>
          <w:rFonts w:hint="eastAsia"/>
          <w:sz w:val="24"/>
          <w:szCs w:val="24"/>
          <w:highlight w:val="none"/>
        </w:rPr>
        <w:t>甲方：   （盖章 ）                       乙方： （盖章 ）</w:t>
      </w:r>
    </w:p>
    <w:p>
      <w:pPr>
        <w:pStyle w:val="27"/>
        <w:spacing w:beforeLines="50" w:afterLines="50" w:line="400" w:lineRule="exact"/>
        <w:rPr>
          <w:sz w:val="24"/>
          <w:szCs w:val="24"/>
          <w:highlight w:val="none"/>
        </w:rPr>
      </w:pPr>
    </w:p>
    <w:p>
      <w:pPr>
        <w:pStyle w:val="27"/>
        <w:spacing w:beforeLines="50" w:afterLines="50" w:line="400" w:lineRule="exact"/>
        <w:ind w:firstLine="240" w:firstLineChars="100"/>
        <w:rPr>
          <w:sz w:val="24"/>
          <w:szCs w:val="24"/>
          <w:highlight w:val="none"/>
        </w:rPr>
      </w:pPr>
      <w:r>
        <w:rPr>
          <w:rFonts w:hint="eastAsia"/>
          <w:sz w:val="24"/>
          <w:szCs w:val="24"/>
          <w:highlight w:val="none"/>
        </w:rPr>
        <w:t>法定代表人：（签字）                      法定代表人：（签字）</w:t>
      </w:r>
    </w:p>
    <w:p>
      <w:pPr>
        <w:pStyle w:val="27"/>
        <w:spacing w:beforeLines="50" w:afterLines="50" w:line="400" w:lineRule="exact"/>
        <w:ind w:firstLine="240" w:firstLineChars="100"/>
        <w:rPr>
          <w:sz w:val="24"/>
          <w:szCs w:val="24"/>
          <w:highlight w:val="none"/>
        </w:rPr>
      </w:pPr>
    </w:p>
    <w:p>
      <w:pPr>
        <w:pStyle w:val="27"/>
        <w:spacing w:beforeLines="50" w:afterLines="50" w:line="400" w:lineRule="exact"/>
        <w:ind w:firstLine="240" w:firstLineChars="100"/>
        <w:rPr>
          <w:sz w:val="24"/>
          <w:szCs w:val="24"/>
          <w:highlight w:val="none"/>
        </w:rPr>
      </w:pPr>
      <w:r>
        <w:rPr>
          <w:rFonts w:hint="eastAsia"/>
          <w:sz w:val="24"/>
          <w:szCs w:val="24"/>
          <w:highlight w:val="none"/>
        </w:rPr>
        <w:t>经办人：（签字）                          经办人：（签字）</w:t>
      </w:r>
    </w:p>
    <w:p>
      <w:pPr>
        <w:pStyle w:val="27"/>
        <w:spacing w:beforeLines="50" w:afterLines="50" w:line="400" w:lineRule="exact"/>
        <w:rPr>
          <w:highlight w:val="none"/>
        </w:rPr>
      </w:pPr>
    </w:p>
    <w:p>
      <w:pPr>
        <w:snapToGrid w:val="0"/>
        <w:spacing w:beforeLines="50" w:afterLines="50"/>
        <w:rPr>
          <w:rFonts w:ascii="宋体" w:hAnsi="宋体"/>
          <w:sz w:val="24"/>
          <w:highlight w:val="none"/>
        </w:rPr>
      </w:pPr>
      <w:r>
        <w:rPr>
          <w:rFonts w:hint="eastAsia"/>
          <w:sz w:val="24"/>
          <w:highlight w:val="none"/>
        </w:rPr>
        <w:t>签订地点：                        签订日期：      年    月    日</w:t>
      </w:r>
    </w:p>
    <w:p>
      <w:pPr>
        <w:snapToGrid w:val="0"/>
        <w:spacing w:beforeLines="50" w:afterLines="50"/>
        <w:rPr>
          <w:rFonts w:ascii="宋体" w:hAnsi="宋体"/>
          <w:sz w:val="24"/>
          <w:highlight w:val="none"/>
        </w:rPr>
      </w:pPr>
    </w:p>
    <w:p>
      <w:pPr>
        <w:pStyle w:val="27"/>
        <w:spacing w:beforeLines="50" w:afterLines="50" w:line="320" w:lineRule="exact"/>
        <w:ind w:left="480" w:hanging="480" w:hangingChars="200"/>
        <w:rPr>
          <w:sz w:val="24"/>
          <w:szCs w:val="24"/>
          <w:highlight w:val="none"/>
        </w:rPr>
      </w:pPr>
      <w:r>
        <w:rPr>
          <w:rFonts w:hint="eastAsia"/>
          <w:sz w:val="24"/>
          <w:szCs w:val="24"/>
          <w:highlight w:val="none"/>
        </w:rPr>
        <w:t>附件1：养护施工单位管理考核办法</w:t>
      </w:r>
    </w:p>
    <w:p>
      <w:pPr>
        <w:pStyle w:val="27"/>
        <w:spacing w:beforeLines="50" w:afterLines="50" w:line="320" w:lineRule="exact"/>
        <w:ind w:left="480" w:hanging="480" w:hangingChars="200"/>
        <w:rPr>
          <w:sz w:val="24"/>
          <w:szCs w:val="24"/>
          <w:highlight w:val="none"/>
        </w:rPr>
      </w:pPr>
      <w:r>
        <w:rPr>
          <w:rFonts w:hint="eastAsia"/>
          <w:sz w:val="24"/>
          <w:szCs w:val="24"/>
          <w:highlight w:val="none"/>
        </w:rPr>
        <w:t>附件2：养护施工单位管理考核细则</w:t>
      </w:r>
    </w:p>
    <w:p>
      <w:pPr>
        <w:pStyle w:val="27"/>
        <w:spacing w:beforeLines="50" w:afterLines="50" w:line="320" w:lineRule="exact"/>
        <w:ind w:left="480" w:hanging="480" w:hangingChars="200"/>
        <w:rPr>
          <w:sz w:val="24"/>
          <w:szCs w:val="24"/>
          <w:highlight w:val="none"/>
        </w:rPr>
      </w:pPr>
      <w:r>
        <w:rPr>
          <w:rFonts w:hint="eastAsia"/>
          <w:sz w:val="24"/>
          <w:szCs w:val="24"/>
          <w:highlight w:val="none"/>
        </w:rPr>
        <w:t>附件3：</w:t>
      </w:r>
      <w:r>
        <w:rPr>
          <w:rFonts w:hint="eastAsia"/>
          <w:sz w:val="24"/>
          <w:szCs w:val="24"/>
          <w:highlight w:val="none"/>
          <w:lang w:eastAsia="zh-CN"/>
        </w:rPr>
        <w:t>常备</w:t>
      </w:r>
      <w:r>
        <w:rPr>
          <w:rFonts w:hint="eastAsia"/>
          <w:sz w:val="24"/>
          <w:szCs w:val="24"/>
          <w:highlight w:val="none"/>
        </w:rPr>
        <w:t>物资表</w:t>
      </w:r>
    </w:p>
    <w:p>
      <w:pPr>
        <w:pStyle w:val="27"/>
        <w:spacing w:beforeLines="50" w:afterLines="50" w:line="320" w:lineRule="exact"/>
        <w:ind w:left="480" w:hanging="480" w:hangingChars="200"/>
        <w:rPr>
          <w:sz w:val="24"/>
          <w:szCs w:val="24"/>
          <w:highlight w:val="none"/>
        </w:rPr>
      </w:pPr>
      <w:r>
        <w:rPr>
          <w:rFonts w:hint="eastAsia"/>
          <w:sz w:val="24"/>
          <w:szCs w:val="24"/>
          <w:highlight w:val="none"/>
        </w:rPr>
        <w:t>附件</w:t>
      </w:r>
      <w:r>
        <w:rPr>
          <w:rFonts w:hint="eastAsia"/>
          <w:sz w:val="24"/>
          <w:szCs w:val="24"/>
          <w:highlight w:val="none"/>
          <w:lang w:eastAsia="zh-CN"/>
        </w:rPr>
        <w:t>4</w:t>
      </w:r>
      <w:r>
        <w:rPr>
          <w:rFonts w:hint="eastAsia"/>
          <w:sz w:val="24"/>
          <w:szCs w:val="24"/>
          <w:highlight w:val="none"/>
        </w:rPr>
        <w:t>：安全生产合同</w:t>
      </w:r>
    </w:p>
    <w:p>
      <w:pPr>
        <w:snapToGrid w:val="0"/>
        <w:spacing w:beforeLines="50" w:afterLines="50"/>
        <w:rPr>
          <w:rFonts w:ascii="宋体" w:hAnsi="宋体"/>
          <w:sz w:val="24"/>
          <w:highlight w:val="none"/>
        </w:rPr>
      </w:pPr>
    </w:p>
    <w:p>
      <w:pPr>
        <w:snapToGrid w:val="0"/>
        <w:spacing w:beforeLines="50" w:afterLines="50"/>
        <w:rPr>
          <w:rFonts w:ascii="宋体" w:hAnsi="宋体"/>
          <w:sz w:val="24"/>
          <w:highlight w:val="none"/>
        </w:rPr>
      </w:pPr>
    </w:p>
    <w:p>
      <w:pPr>
        <w:snapToGrid w:val="0"/>
        <w:spacing w:beforeLines="50" w:afterLines="50"/>
        <w:rPr>
          <w:rFonts w:ascii="宋体" w:hAnsi="宋体"/>
          <w:sz w:val="24"/>
          <w:highlight w:val="none"/>
        </w:rPr>
      </w:pPr>
    </w:p>
    <w:p>
      <w:pPr>
        <w:snapToGrid w:val="0"/>
        <w:spacing w:beforeLines="50" w:afterLines="50"/>
        <w:rPr>
          <w:rFonts w:ascii="宋体" w:hAnsi="宋体"/>
          <w:sz w:val="24"/>
          <w:highlight w:val="none"/>
        </w:rPr>
      </w:pPr>
    </w:p>
    <w:p>
      <w:pPr>
        <w:snapToGrid w:val="0"/>
        <w:spacing w:beforeLines="50" w:afterLines="50"/>
        <w:rPr>
          <w:rFonts w:ascii="宋体" w:hAnsi="宋体"/>
          <w:sz w:val="24"/>
          <w:highlight w:val="none"/>
        </w:rPr>
      </w:pPr>
    </w:p>
    <w:p>
      <w:pPr>
        <w:snapToGrid w:val="0"/>
        <w:spacing w:beforeLines="50" w:afterLines="50"/>
        <w:rPr>
          <w:rFonts w:ascii="宋体" w:hAnsi="宋体"/>
          <w:sz w:val="24"/>
          <w:highlight w:val="none"/>
        </w:rPr>
      </w:pPr>
    </w:p>
    <w:p>
      <w:pPr>
        <w:snapToGrid w:val="0"/>
        <w:spacing w:beforeLines="50" w:afterLines="50"/>
        <w:rPr>
          <w:rFonts w:ascii="宋体" w:hAnsi="宋体"/>
          <w:sz w:val="24"/>
          <w:highlight w:val="none"/>
        </w:rPr>
      </w:pPr>
    </w:p>
    <w:p>
      <w:pPr>
        <w:snapToGrid w:val="0"/>
        <w:spacing w:beforeLines="50" w:afterLines="50"/>
        <w:rPr>
          <w:rFonts w:ascii="宋体" w:hAnsi="宋体"/>
          <w:sz w:val="24"/>
          <w:highlight w:val="none"/>
        </w:rPr>
      </w:pPr>
    </w:p>
    <w:p>
      <w:pPr>
        <w:snapToGrid w:val="0"/>
        <w:spacing w:beforeLines="50" w:afterLines="50"/>
        <w:rPr>
          <w:rFonts w:ascii="宋体" w:hAnsi="宋体"/>
          <w:sz w:val="24"/>
          <w:highlight w:val="none"/>
        </w:rPr>
      </w:pPr>
    </w:p>
    <w:p>
      <w:pPr>
        <w:snapToGrid w:val="0"/>
        <w:spacing w:beforeLines="50" w:afterLines="50"/>
        <w:rPr>
          <w:rFonts w:ascii="宋体" w:hAnsi="宋体"/>
          <w:sz w:val="24"/>
          <w:highlight w:val="none"/>
        </w:rPr>
      </w:pPr>
    </w:p>
    <w:p>
      <w:pPr>
        <w:snapToGrid w:val="0"/>
        <w:spacing w:beforeLines="50" w:afterLines="50"/>
        <w:rPr>
          <w:rFonts w:ascii="宋体" w:hAnsi="宋体"/>
          <w:sz w:val="24"/>
          <w:highlight w:val="none"/>
        </w:rPr>
      </w:pPr>
    </w:p>
    <w:p>
      <w:pPr>
        <w:snapToGrid w:val="0"/>
        <w:spacing w:beforeLines="50" w:afterLines="50"/>
        <w:rPr>
          <w:rFonts w:ascii="宋体" w:hAnsi="宋体"/>
          <w:sz w:val="24"/>
          <w:highlight w:val="none"/>
        </w:rPr>
      </w:pPr>
    </w:p>
    <w:p>
      <w:pPr>
        <w:snapToGrid w:val="0"/>
        <w:spacing w:beforeLines="50" w:afterLines="50"/>
        <w:rPr>
          <w:rFonts w:ascii="宋体" w:hAnsi="宋体"/>
          <w:sz w:val="24"/>
          <w:highlight w:val="none"/>
        </w:rPr>
      </w:pPr>
    </w:p>
    <w:p>
      <w:pPr>
        <w:snapToGrid w:val="0"/>
        <w:spacing w:beforeLines="50" w:afterLines="50"/>
        <w:rPr>
          <w:rFonts w:ascii="宋体" w:hAnsi="宋体"/>
          <w:sz w:val="24"/>
          <w:highlight w:val="none"/>
        </w:rPr>
      </w:pPr>
    </w:p>
    <w:p>
      <w:pPr>
        <w:snapToGrid w:val="0"/>
        <w:spacing w:beforeLines="50" w:afterLines="50"/>
        <w:rPr>
          <w:rFonts w:ascii="宋体" w:hAnsi="宋体"/>
          <w:sz w:val="24"/>
          <w:highlight w:val="none"/>
        </w:rPr>
      </w:pPr>
    </w:p>
    <w:p>
      <w:pPr>
        <w:snapToGrid w:val="0"/>
        <w:spacing w:beforeLines="50" w:afterLines="50"/>
        <w:rPr>
          <w:rFonts w:ascii="宋体" w:hAnsi="宋体"/>
          <w:sz w:val="24"/>
          <w:highlight w:val="none"/>
        </w:rPr>
      </w:pPr>
    </w:p>
    <w:p>
      <w:pPr>
        <w:snapToGrid w:val="0"/>
        <w:spacing w:beforeLines="50" w:afterLines="50"/>
        <w:rPr>
          <w:rFonts w:ascii="宋体" w:hAnsi="宋体"/>
          <w:sz w:val="24"/>
          <w:highlight w:val="none"/>
        </w:rPr>
      </w:pPr>
    </w:p>
    <w:p>
      <w:pPr>
        <w:snapToGrid w:val="0"/>
        <w:spacing w:beforeLines="50" w:afterLines="50"/>
        <w:rPr>
          <w:rFonts w:ascii="宋体" w:hAnsi="宋体"/>
          <w:sz w:val="24"/>
          <w:highlight w:val="none"/>
        </w:rPr>
      </w:pPr>
    </w:p>
    <w:p>
      <w:pPr>
        <w:snapToGrid w:val="0"/>
        <w:spacing w:beforeLines="50" w:afterLines="50"/>
        <w:rPr>
          <w:rFonts w:ascii="宋体" w:hAnsi="宋体"/>
          <w:sz w:val="24"/>
          <w:highlight w:val="none"/>
        </w:rPr>
      </w:pPr>
    </w:p>
    <w:p>
      <w:pPr>
        <w:rPr>
          <w:highlight w:val="none"/>
        </w:rPr>
      </w:pPr>
      <w:r>
        <w:rPr>
          <w:rFonts w:hint="eastAsia"/>
          <w:highlight w:val="none"/>
        </w:rPr>
        <w:t>附件1：</w:t>
      </w:r>
    </w:p>
    <w:p>
      <w:pPr>
        <w:pStyle w:val="3"/>
        <w:jc w:val="center"/>
        <w:rPr>
          <w:highlight w:val="none"/>
        </w:rPr>
      </w:pPr>
      <w:r>
        <w:rPr>
          <w:rFonts w:hint="eastAsia"/>
          <w:highlight w:val="none"/>
        </w:rPr>
        <w:t>养护施工单位管理考核办法</w:t>
      </w:r>
    </w:p>
    <w:p>
      <w:pPr>
        <w:spacing w:beforeLines="100" w:afterLines="100"/>
        <w:ind w:left="210" w:leftChars="100" w:right="210" w:rightChars="100" w:firstLine="480" w:firstLineChars="200"/>
        <w:rPr>
          <w:sz w:val="24"/>
          <w:highlight w:val="none"/>
        </w:rPr>
      </w:pPr>
      <w:r>
        <w:rPr>
          <w:rFonts w:hint="eastAsia"/>
          <w:sz w:val="24"/>
          <w:highlight w:val="none"/>
        </w:rPr>
        <w:t>为进一步推进市政道路养护施工管理工作，提升市政道路养护管理水平，充分发挥城市道路桥梁使用功能，确保城市道路桥梁的完好和正常运行，对市政道路养护施工单位实施以下管理考核办法。</w:t>
      </w:r>
    </w:p>
    <w:p>
      <w:pPr>
        <w:spacing w:beforeLines="100" w:afterLines="100"/>
        <w:ind w:left="210" w:leftChars="100" w:right="210" w:rightChars="100" w:firstLine="482" w:firstLineChars="200"/>
        <w:rPr>
          <w:b/>
          <w:bCs/>
          <w:sz w:val="24"/>
          <w:highlight w:val="none"/>
        </w:rPr>
      </w:pPr>
      <w:r>
        <w:rPr>
          <w:rFonts w:hint="eastAsia"/>
          <w:b/>
          <w:bCs/>
          <w:sz w:val="24"/>
          <w:highlight w:val="none"/>
        </w:rPr>
        <w:t>一、考核对象</w:t>
      </w:r>
    </w:p>
    <w:p>
      <w:pPr>
        <w:spacing w:beforeLines="100" w:afterLines="100"/>
        <w:ind w:left="210" w:leftChars="100" w:right="210" w:rightChars="100" w:firstLine="480" w:firstLineChars="200"/>
        <w:rPr>
          <w:sz w:val="24"/>
          <w:highlight w:val="none"/>
        </w:rPr>
      </w:pPr>
      <w:r>
        <w:rPr>
          <w:rFonts w:hint="eastAsia"/>
          <w:sz w:val="24"/>
          <w:highlight w:val="none"/>
        </w:rPr>
        <w:t>德清县主城区市政设施养护管理服务采购项目、德清县城北高新园区市政设施养护管理服务采购项目、德清县地信小镇市政设施养护管理服务采购项目的承包人</w:t>
      </w:r>
    </w:p>
    <w:p>
      <w:pPr>
        <w:spacing w:beforeLines="100" w:afterLines="100"/>
        <w:ind w:left="210" w:leftChars="100" w:right="210" w:rightChars="100" w:firstLine="482" w:firstLineChars="200"/>
        <w:rPr>
          <w:b/>
          <w:bCs/>
          <w:sz w:val="24"/>
          <w:highlight w:val="none"/>
        </w:rPr>
      </w:pPr>
      <w:r>
        <w:rPr>
          <w:rFonts w:hint="eastAsia"/>
          <w:b/>
          <w:bCs/>
          <w:sz w:val="24"/>
          <w:highlight w:val="none"/>
        </w:rPr>
        <w:t>二、考核标准</w:t>
      </w:r>
    </w:p>
    <w:p>
      <w:pPr>
        <w:spacing w:beforeLines="100" w:afterLines="100"/>
        <w:ind w:left="210" w:leftChars="100" w:right="210" w:rightChars="100" w:firstLine="480" w:firstLineChars="200"/>
        <w:rPr>
          <w:sz w:val="24"/>
          <w:highlight w:val="none"/>
        </w:rPr>
      </w:pPr>
      <w:r>
        <w:rPr>
          <w:rFonts w:hint="eastAsia"/>
          <w:sz w:val="24"/>
          <w:highlight w:val="none"/>
        </w:rPr>
        <w:t>详见附件2：《养护施工单位管理考核细则》</w:t>
      </w:r>
    </w:p>
    <w:p>
      <w:pPr>
        <w:spacing w:beforeLines="100" w:afterLines="100"/>
        <w:ind w:left="210" w:leftChars="100" w:right="210" w:rightChars="100" w:firstLine="482" w:firstLineChars="200"/>
        <w:rPr>
          <w:b/>
          <w:bCs/>
          <w:sz w:val="24"/>
          <w:highlight w:val="none"/>
        </w:rPr>
      </w:pPr>
      <w:r>
        <w:rPr>
          <w:rFonts w:hint="eastAsia"/>
          <w:b/>
          <w:bCs/>
          <w:sz w:val="24"/>
          <w:highlight w:val="none"/>
        </w:rPr>
        <w:t>三、考核周期</w:t>
      </w:r>
    </w:p>
    <w:p>
      <w:pPr>
        <w:spacing w:beforeLines="100" w:afterLines="100"/>
        <w:ind w:left="210" w:leftChars="100" w:right="210" w:rightChars="100" w:firstLine="960" w:firstLineChars="400"/>
        <w:rPr>
          <w:sz w:val="24"/>
          <w:highlight w:val="none"/>
        </w:rPr>
      </w:pPr>
      <w:r>
        <w:rPr>
          <w:rFonts w:hint="eastAsia"/>
          <w:sz w:val="24"/>
          <w:highlight w:val="none"/>
        </w:rPr>
        <w:t>每月考核统计时间设定为上月21日至当月20日。</w:t>
      </w:r>
    </w:p>
    <w:p>
      <w:pPr>
        <w:spacing w:beforeLines="100" w:afterLines="100"/>
        <w:ind w:left="210" w:leftChars="100" w:right="210" w:rightChars="100" w:firstLine="482" w:firstLineChars="200"/>
        <w:rPr>
          <w:b/>
          <w:bCs/>
          <w:sz w:val="24"/>
          <w:highlight w:val="none"/>
        </w:rPr>
      </w:pPr>
      <w:r>
        <w:rPr>
          <w:rFonts w:hint="eastAsia"/>
          <w:b/>
          <w:bCs/>
          <w:sz w:val="24"/>
          <w:highlight w:val="none"/>
        </w:rPr>
        <w:t>四、考核结果</w:t>
      </w:r>
    </w:p>
    <w:p>
      <w:pPr>
        <w:spacing w:beforeLines="100" w:afterLines="100"/>
        <w:ind w:left="210" w:leftChars="100" w:right="210" w:rightChars="100" w:firstLine="960" w:firstLineChars="400"/>
        <w:rPr>
          <w:sz w:val="24"/>
          <w:highlight w:val="none"/>
        </w:rPr>
      </w:pPr>
      <w:r>
        <w:rPr>
          <w:rFonts w:hint="eastAsia"/>
          <w:sz w:val="24"/>
          <w:highlight w:val="none"/>
        </w:rPr>
        <w:t>考核满分为100分（实行扣分制）；考核成绩在95分（含95分）以上的为优秀；考核成绩在85分至95分的为合格；考核成绩低于85分的，一个合同年度内第一次发生的，书面警告并扣款10000元；再次发生的，发包人有权解除本养护承包合同，若继续履行合同，书面警告并扣款，扣款金额比前一次增加10000元。</w:t>
      </w:r>
    </w:p>
    <w:p>
      <w:pPr>
        <w:spacing w:beforeLines="100" w:afterLines="100"/>
        <w:ind w:left="210" w:leftChars="100" w:right="210" w:rightChars="100" w:firstLine="960" w:firstLineChars="400"/>
        <w:rPr>
          <w:sz w:val="24"/>
          <w:highlight w:val="none"/>
        </w:rPr>
      </w:pPr>
    </w:p>
    <w:p>
      <w:pPr>
        <w:spacing w:beforeLines="100" w:afterLines="100"/>
        <w:ind w:left="210" w:leftChars="100" w:right="210" w:rightChars="100" w:firstLine="960" w:firstLineChars="400"/>
        <w:rPr>
          <w:sz w:val="24"/>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2"/>
      </w:pPr>
    </w:p>
    <w:p>
      <w:pPr>
        <w:rPr>
          <w:highlight w:val="none"/>
        </w:rPr>
      </w:pPr>
    </w:p>
    <w:p>
      <w:pPr>
        <w:rPr>
          <w:highlight w:val="none"/>
        </w:rPr>
      </w:pPr>
      <w:r>
        <w:rPr>
          <w:rFonts w:hint="eastAsia"/>
          <w:highlight w:val="none"/>
        </w:rPr>
        <w:t>附件2：</w:t>
      </w:r>
    </w:p>
    <w:p>
      <w:pPr>
        <w:rPr>
          <w:highlight w:val="none"/>
        </w:rPr>
      </w:pPr>
    </w:p>
    <w:p>
      <w:pPr>
        <w:rPr>
          <w:highlight w:val="none"/>
        </w:rPr>
      </w:pPr>
    </w:p>
    <w:p>
      <w:pPr>
        <w:pStyle w:val="3"/>
        <w:jc w:val="center"/>
        <w:rPr>
          <w:highlight w:val="none"/>
        </w:rPr>
      </w:pPr>
      <w:r>
        <w:rPr>
          <w:rFonts w:hint="eastAsia"/>
          <w:highlight w:val="none"/>
        </w:rPr>
        <w:t>养护施工单位管理考核细则</w:t>
      </w:r>
    </w:p>
    <w:p>
      <w:pPr>
        <w:rPr>
          <w:sz w:val="24"/>
          <w:highlight w:val="none"/>
        </w:rPr>
      </w:pPr>
    </w:p>
    <w:tbl>
      <w:tblPr>
        <w:tblStyle w:val="48"/>
        <w:tblW w:w="8325" w:type="dxa"/>
        <w:tblInd w:w="0" w:type="dxa"/>
        <w:tblLayout w:type="fixed"/>
        <w:tblCellMar>
          <w:top w:w="0" w:type="dxa"/>
          <w:left w:w="0" w:type="dxa"/>
          <w:bottom w:w="0" w:type="dxa"/>
          <w:right w:w="0" w:type="dxa"/>
        </w:tblCellMar>
      </w:tblPr>
      <w:tblGrid>
        <w:gridCol w:w="1080"/>
        <w:gridCol w:w="684"/>
        <w:gridCol w:w="4401"/>
        <w:gridCol w:w="2160"/>
      </w:tblGrid>
      <w:tr>
        <w:tblPrEx>
          <w:tblCellMar>
            <w:top w:w="0" w:type="dxa"/>
            <w:left w:w="0" w:type="dxa"/>
            <w:bottom w:w="0" w:type="dxa"/>
            <w:right w:w="0"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2"/>
                <w:szCs w:val="22"/>
                <w:highlight w:val="none"/>
              </w:rPr>
            </w:pPr>
            <w:r>
              <w:rPr>
                <w:rFonts w:hint="eastAsia" w:ascii="宋体" w:hAnsi="宋体" w:cs="宋体"/>
                <w:kern w:val="0"/>
                <w:sz w:val="22"/>
                <w:szCs w:val="22"/>
                <w:highlight w:val="none"/>
              </w:rPr>
              <w:t>序号</w:t>
            </w:r>
          </w:p>
        </w:tc>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2"/>
                <w:szCs w:val="22"/>
                <w:highlight w:val="none"/>
              </w:rPr>
            </w:pPr>
            <w:r>
              <w:rPr>
                <w:rFonts w:hint="eastAsia" w:ascii="宋体" w:hAnsi="宋体" w:cs="宋体"/>
                <w:kern w:val="0"/>
                <w:sz w:val="22"/>
                <w:szCs w:val="22"/>
                <w:highlight w:val="none"/>
              </w:rPr>
              <w:t>考核项目</w:t>
            </w:r>
          </w:p>
        </w:tc>
        <w:tc>
          <w:tcPr>
            <w:tcW w:w="4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2"/>
                <w:szCs w:val="22"/>
                <w:highlight w:val="none"/>
              </w:rPr>
            </w:pPr>
            <w:r>
              <w:rPr>
                <w:rFonts w:hint="eastAsia" w:ascii="宋体" w:hAnsi="宋体" w:cs="宋体"/>
                <w:kern w:val="0"/>
                <w:sz w:val="22"/>
                <w:szCs w:val="22"/>
                <w:highlight w:val="none"/>
              </w:rPr>
              <w:t>考核内容和标准</w:t>
            </w: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2"/>
                <w:szCs w:val="22"/>
                <w:highlight w:val="none"/>
              </w:rPr>
            </w:pPr>
            <w:r>
              <w:rPr>
                <w:rFonts w:hint="eastAsia" w:ascii="宋体" w:hAnsi="宋体" w:cs="宋体"/>
                <w:kern w:val="0"/>
                <w:sz w:val="22"/>
                <w:szCs w:val="22"/>
                <w:highlight w:val="none"/>
              </w:rPr>
              <w:t>考核结果</w:t>
            </w:r>
          </w:p>
        </w:tc>
      </w:tr>
      <w:tr>
        <w:tblPrEx>
          <w:tblCellMar>
            <w:top w:w="0" w:type="dxa"/>
            <w:left w:w="0" w:type="dxa"/>
            <w:bottom w:w="0" w:type="dxa"/>
            <w:right w:w="0" w:type="dxa"/>
          </w:tblCellMar>
        </w:tblPrEx>
        <w:trPr>
          <w:trHeight w:val="2160" w:hRule="atLeast"/>
        </w:trPr>
        <w:tc>
          <w:tcPr>
            <w:tcW w:w="108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rPr>
              <w:t>一</w:t>
            </w:r>
          </w:p>
        </w:tc>
        <w:tc>
          <w:tcPr>
            <w:tcW w:w="68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rPr>
              <w:t>项目管理</w:t>
            </w:r>
          </w:p>
        </w:tc>
        <w:tc>
          <w:tcPr>
            <w:tcW w:w="4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2"/>
                <w:szCs w:val="22"/>
                <w:highlight w:val="none"/>
              </w:rPr>
            </w:pPr>
            <w:r>
              <w:rPr>
                <w:rFonts w:hint="eastAsia" w:ascii="宋体" w:hAnsi="宋体" w:cs="宋体"/>
                <w:kern w:val="0"/>
                <w:sz w:val="22"/>
                <w:szCs w:val="22"/>
                <w:highlight w:val="none"/>
              </w:rPr>
              <w:t>1、至少派遣一名本单位专业技术或管理人员专职服务于本项目（提供社保机构出具的养老保险证明）。要求接受管理单位调度与管理，熟练掌握“德清县智慧市政平台”操作使用。不服从调度和管理的或每月累计无故缺岗3天及以上的，每次扣2分并扣款2000元。</w:t>
            </w: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highlight w:val="none"/>
              </w:rPr>
            </w:pPr>
          </w:p>
        </w:tc>
      </w:tr>
      <w:tr>
        <w:tblPrEx>
          <w:tblCellMar>
            <w:top w:w="0" w:type="dxa"/>
            <w:left w:w="0" w:type="dxa"/>
            <w:bottom w:w="0" w:type="dxa"/>
            <w:right w:w="0" w:type="dxa"/>
          </w:tblCellMar>
        </w:tblPrEx>
        <w:trPr>
          <w:trHeight w:val="81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highlight w:val="none"/>
              </w:rPr>
            </w:pPr>
          </w:p>
        </w:tc>
        <w:tc>
          <w:tcPr>
            <w:tcW w:w="6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highlight w:val="none"/>
              </w:rPr>
            </w:pPr>
          </w:p>
        </w:tc>
        <w:tc>
          <w:tcPr>
            <w:tcW w:w="4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2"/>
                <w:szCs w:val="22"/>
                <w:highlight w:val="none"/>
              </w:rPr>
            </w:pPr>
            <w:r>
              <w:rPr>
                <w:rFonts w:hint="eastAsia" w:ascii="宋体" w:hAnsi="宋体" w:cs="宋体"/>
                <w:kern w:val="0"/>
                <w:sz w:val="22"/>
                <w:szCs w:val="22"/>
                <w:highlight w:val="none"/>
              </w:rPr>
              <w:t>2、未落实应急维修24小时值班人员或人员10分钟内无法取得联系，每次扣1分并扣款1000元。</w:t>
            </w: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highlight w:val="none"/>
              </w:rPr>
            </w:pPr>
          </w:p>
        </w:tc>
      </w:tr>
      <w:tr>
        <w:tblPrEx>
          <w:tblCellMar>
            <w:top w:w="0" w:type="dxa"/>
            <w:left w:w="0" w:type="dxa"/>
            <w:bottom w:w="0" w:type="dxa"/>
            <w:right w:w="0" w:type="dxa"/>
          </w:tblCellMar>
        </w:tblPrEx>
        <w:trPr>
          <w:trHeight w:val="81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highlight w:val="none"/>
              </w:rPr>
            </w:pPr>
          </w:p>
        </w:tc>
        <w:tc>
          <w:tcPr>
            <w:tcW w:w="6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highlight w:val="none"/>
              </w:rPr>
            </w:pPr>
          </w:p>
        </w:tc>
        <w:tc>
          <w:tcPr>
            <w:tcW w:w="4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2"/>
                <w:szCs w:val="22"/>
                <w:highlight w:val="none"/>
              </w:rPr>
            </w:pPr>
            <w:r>
              <w:rPr>
                <w:rFonts w:hint="eastAsia" w:ascii="宋体" w:hAnsi="宋体" w:cs="宋体"/>
                <w:kern w:val="0"/>
                <w:sz w:val="22"/>
                <w:szCs w:val="22"/>
                <w:highlight w:val="none"/>
              </w:rPr>
              <w:t>3、在每日上午9时前，无故不向管理单位（监理）报告当日施工内容或报告内容严重不实，每次扣0.2分并扣款200元</w:t>
            </w: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highlight w:val="none"/>
              </w:rPr>
            </w:pPr>
          </w:p>
        </w:tc>
      </w:tr>
      <w:tr>
        <w:tblPrEx>
          <w:tblCellMar>
            <w:top w:w="0" w:type="dxa"/>
            <w:left w:w="0" w:type="dxa"/>
            <w:bottom w:w="0" w:type="dxa"/>
            <w:right w:w="0" w:type="dxa"/>
          </w:tblCellMar>
        </w:tblPrEx>
        <w:trPr>
          <w:trHeight w:val="81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highlight w:val="none"/>
              </w:rPr>
            </w:pPr>
          </w:p>
        </w:tc>
        <w:tc>
          <w:tcPr>
            <w:tcW w:w="6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highlight w:val="none"/>
              </w:rPr>
            </w:pPr>
          </w:p>
        </w:tc>
        <w:tc>
          <w:tcPr>
            <w:tcW w:w="4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2"/>
                <w:szCs w:val="22"/>
                <w:highlight w:val="none"/>
              </w:rPr>
            </w:pPr>
            <w:r>
              <w:rPr>
                <w:rFonts w:hint="eastAsia" w:ascii="宋体" w:hAnsi="宋体" w:cs="宋体"/>
                <w:kern w:val="0"/>
                <w:sz w:val="22"/>
                <w:szCs w:val="22"/>
                <w:highlight w:val="none"/>
              </w:rPr>
              <w:t>4、未在规定时间上传、上报各类资料和报表或上报的资料、报表弄虚作假，每次扣0.5分并扣款500元。</w:t>
            </w: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highlight w:val="none"/>
              </w:rPr>
            </w:pPr>
          </w:p>
        </w:tc>
      </w:tr>
      <w:tr>
        <w:tblPrEx>
          <w:tblCellMar>
            <w:top w:w="0" w:type="dxa"/>
            <w:left w:w="0" w:type="dxa"/>
            <w:bottom w:w="0" w:type="dxa"/>
            <w:right w:w="0" w:type="dxa"/>
          </w:tblCellMar>
        </w:tblPrEx>
        <w:trPr>
          <w:trHeight w:val="810" w:hRule="atLeast"/>
        </w:trPr>
        <w:tc>
          <w:tcPr>
            <w:tcW w:w="108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rPr>
              <w:t>二</w:t>
            </w:r>
          </w:p>
        </w:tc>
        <w:tc>
          <w:tcPr>
            <w:tcW w:w="68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rPr>
              <w:t>文明施工</w:t>
            </w:r>
          </w:p>
        </w:tc>
        <w:tc>
          <w:tcPr>
            <w:tcW w:w="4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2"/>
                <w:szCs w:val="22"/>
                <w:highlight w:val="none"/>
              </w:rPr>
            </w:pPr>
            <w:r>
              <w:rPr>
                <w:rFonts w:hint="eastAsia" w:ascii="宋体" w:hAnsi="宋体" w:cs="宋体"/>
                <w:kern w:val="0"/>
                <w:sz w:val="22"/>
                <w:szCs w:val="22"/>
                <w:highlight w:val="none"/>
              </w:rPr>
              <w:t>1、养护施工现场作业人员未穿着统一带有反光功能工作套装每发现一人次扣1分并扣1000元。</w:t>
            </w: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highlight w:val="none"/>
              </w:rPr>
            </w:pPr>
          </w:p>
        </w:tc>
      </w:tr>
      <w:tr>
        <w:tblPrEx>
          <w:tblCellMar>
            <w:top w:w="0" w:type="dxa"/>
            <w:left w:w="0" w:type="dxa"/>
            <w:bottom w:w="0" w:type="dxa"/>
            <w:right w:w="0" w:type="dxa"/>
          </w:tblCellMar>
        </w:tblPrEx>
        <w:trPr>
          <w:trHeight w:val="81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highlight w:val="none"/>
              </w:rPr>
            </w:pPr>
          </w:p>
        </w:tc>
        <w:tc>
          <w:tcPr>
            <w:tcW w:w="6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highlight w:val="none"/>
              </w:rPr>
            </w:pPr>
          </w:p>
        </w:tc>
        <w:tc>
          <w:tcPr>
            <w:tcW w:w="4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2"/>
                <w:szCs w:val="22"/>
                <w:highlight w:val="none"/>
              </w:rPr>
            </w:pPr>
            <w:r>
              <w:rPr>
                <w:rFonts w:hint="eastAsia" w:ascii="宋体" w:hAnsi="宋体" w:cs="宋体"/>
                <w:kern w:val="0"/>
                <w:sz w:val="22"/>
                <w:szCs w:val="22"/>
                <w:highlight w:val="none"/>
              </w:rPr>
              <w:t>2、养护施工时和保养期间未采取围挡施工，未放置警示标志等，每处扣1分并扣款1000元。</w:t>
            </w: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highlight w:val="none"/>
              </w:rPr>
            </w:pPr>
          </w:p>
        </w:tc>
      </w:tr>
      <w:tr>
        <w:tblPrEx>
          <w:tblCellMar>
            <w:top w:w="0" w:type="dxa"/>
            <w:left w:w="0" w:type="dxa"/>
            <w:bottom w:w="0" w:type="dxa"/>
            <w:right w:w="0" w:type="dxa"/>
          </w:tblCellMar>
        </w:tblPrEx>
        <w:trPr>
          <w:trHeight w:val="135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highlight w:val="none"/>
              </w:rPr>
            </w:pPr>
          </w:p>
        </w:tc>
        <w:tc>
          <w:tcPr>
            <w:tcW w:w="6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highlight w:val="none"/>
              </w:rPr>
            </w:pPr>
          </w:p>
        </w:tc>
        <w:tc>
          <w:tcPr>
            <w:tcW w:w="4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2"/>
                <w:szCs w:val="22"/>
                <w:highlight w:val="none"/>
              </w:rPr>
            </w:pPr>
            <w:r>
              <w:rPr>
                <w:rFonts w:hint="eastAsia" w:ascii="宋体" w:hAnsi="宋体" w:cs="宋体"/>
                <w:kern w:val="0"/>
                <w:sz w:val="22"/>
                <w:szCs w:val="22"/>
                <w:highlight w:val="none"/>
              </w:rPr>
              <w:t>3、行车道或维修方案有要求的其它施工现场，未按规定设置三牌一灯（告示牌、警示牌、导向牌、爆闪灯），人行道施工现场未按规定放置警示牌，每一处扣1分并扣款1000元。</w:t>
            </w: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highlight w:val="none"/>
              </w:rPr>
            </w:pPr>
          </w:p>
        </w:tc>
      </w:tr>
      <w:tr>
        <w:tblPrEx>
          <w:tblCellMar>
            <w:top w:w="0" w:type="dxa"/>
            <w:left w:w="0" w:type="dxa"/>
            <w:bottom w:w="0" w:type="dxa"/>
            <w:right w:w="0" w:type="dxa"/>
          </w:tblCellMar>
        </w:tblPrEx>
        <w:trPr>
          <w:trHeight w:val="81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highlight w:val="none"/>
              </w:rPr>
            </w:pPr>
          </w:p>
        </w:tc>
        <w:tc>
          <w:tcPr>
            <w:tcW w:w="6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highlight w:val="none"/>
              </w:rPr>
            </w:pPr>
          </w:p>
        </w:tc>
        <w:tc>
          <w:tcPr>
            <w:tcW w:w="4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2"/>
                <w:szCs w:val="22"/>
                <w:highlight w:val="none"/>
              </w:rPr>
            </w:pPr>
            <w:r>
              <w:rPr>
                <w:rFonts w:hint="eastAsia" w:ascii="宋体" w:hAnsi="宋体" w:cs="宋体"/>
                <w:kern w:val="0"/>
                <w:sz w:val="22"/>
                <w:szCs w:val="22"/>
                <w:highlight w:val="none"/>
              </w:rPr>
              <w:t>4、施工场地末做到工完料清（当日）或发现养护材料设备乱堆放的，每一处扣1分并扣1000元。</w:t>
            </w: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highlight w:val="none"/>
              </w:rPr>
            </w:pPr>
          </w:p>
        </w:tc>
      </w:tr>
      <w:tr>
        <w:tblPrEx>
          <w:tblCellMar>
            <w:top w:w="0" w:type="dxa"/>
            <w:left w:w="0" w:type="dxa"/>
            <w:bottom w:w="0" w:type="dxa"/>
            <w:right w:w="0" w:type="dxa"/>
          </w:tblCellMar>
        </w:tblPrEx>
        <w:trPr>
          <w:trHeight w:val="81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highlight w:val="none"/>
              </w:rPr>
            </w:pPr>
          </w:p>
        </w:tc>
        <w:tc>
          <w:tcPr>
            <w:tcW w:w="6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highlight w:val="none"/>
              </w:rPr>
            </w:pPr>
          </w:p>
        </w:tc>
        <w:tc>
          <w:tcPr>
            <w:tcW w:w="4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2"/>
                <w:szCs w:val="22"/>
                <w:highlight w:val="none"/>
              </w:rPr>
            </w:pPr>
            <w:r>
              <w:rPr>
                <w:rFonts w:hint="eastAsia" w:ascii="宋体" w:hAnsi="宋体" w:cs="宋体"/>
                <w:kern w:val="0"/>
                <w:sz w:val="22"/>
                <w:szCs w:val="22"/>
                <w:highlight w:val="none"/>
              </w:rPr>
              <w:t>5、施工材料进场或废料外运不规范，被执法单位査扣或处罚的每次（起）扣1分并扣款1000元</w:t>
            </w: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highlight w:val="none"/>
              </w:rPr>
            </w:pPr>
          </w:p>
        </w:tc>
      </w:tr>
      <w:tr>
        <w:tblPrEx>
          <w:tblCellMar>
            <w:top w:w="0" w:type="dxa"/>
            <w:left w:w="0" w:type="dxa"/>
            <w:bottom w:w="0" w:type="dxa"/>
            <w:right w:w="0" w:type="dxa"/>
          </w:tblCellMar>
        </w:tblPrEx>
        <w:trPr>
          <w:trHeight w:val="81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highlight w:val="none"/>
              </w:rPr>
            </w:pPr>
          </w:p>
        </w:tc>
        <w:tc>
          <w:tcPr>
            <w:tcW w:w="6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highlight w:val="none"/>
              </w:rPr>
            </w:pPr>
          </w:p>
        </w:tc>
        <w:tc>
          <w:tcPr>
            <w:tcW w:w="4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2"/>
                <w:szCs w:val="22"/>
                <w:highlight w:val="none"/>
              </w:rPr>
            </w:pPr>
            <w:r>
              <w:rPr>
                <w:rFonts w:hint="eastAsia" w:ascii="宋体" w:hAnsi="宋体" w:cs="宋体"/>
                <w:kern w:val="0"/>
                <w:sz w:val="22"/>
                <w:szCs w:val="22"/>
                <w:highlight w:val="none"/>
              </w:rPr>
              <w:t>6、因养护施工引发安全生产责任事故的，在承担事故责任的同时，每发生一次扣4分，并4000元。</w:t>
            </w: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highlight w:val="none"/>
              </w:rPr>
            </w:pPr>
          </w:p>
        </w:tc>
      </w:tr>
      <w:tr>
        <w:tblPrEx>
          <w:tblCellMar>
            <w:top w:w="0" w:type="dxa"/>
            <w:left w:w="0" w:type="dxa"/>
            <w:bottom w:w="0" w:type="dxa"/>
            <w:right w:w="0" w:type="dxa"/>
          </w:tblCellMar>
        </w:tblPrEx>
        <w:trPr>
          <w:trHeight w:val="1080" w:hRule="atLeast"/>
        </w:trPr>
        <w:tc>
          <w:tcPr>
            <w:tcW w:w="108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rPr>
              <w:t>三</w:t>
            </w:r>
          </w:p>
        </w:tc>
        <w:tc>
          <w:tcPr>
            <w:tcW w:w="68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rPr>
              <w:t>养护施工</w:t>
            </w:r>
          </w:p>
        </w:tc>
        <w:tc>
          <w:tcPr>
            <w:tcW w:w="4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2"/>
                <w:szCs w:val="22"/>
                <w:highlight w:val="none"/>
              </w:rPr>
            </w:pPr>
            <w:r>
              <w:rPr>
                <w:rFonts w:hint="eastAsia" w:ascii="宋体" w:hAnsi="宋体" w:cs="宋体"/>
                <w:kern w:val="0"/>
                <w:sz w:val="22"/>
                <w:szCs w:val="22"/>
                <w:highlight w:val="none"/>
              </w:rPr>
              <w:t>1、在接到维修任务后，应当在规定时限内完成，并及时上报工程量。每延迟一次扣1分并扣款1000元。</w:t>
            </w: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highlight w:val="none"/>
              </w:rPr>
            </w:pPr>
          </w:p>
        </w:tc>
      </w:tr>
      <w:tr>
        <w:tblPrEx>
          <w:tblCellMar>
            <w:top w:w="0" w:type="dxa"/>
            <w:left w:w="0" w:type="dxa"/>
            <w:bottom w:w="0" w:type="dxa"/>
            <w:right w:w="0" w:type="dxa"/>
          </w:tblCellMar>
        </w:tblPrEx>
        <w:trPr>
          <w:trHeight w:val="81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highlight w:val="none"/>
              </w:rPr>
            </w:pPr>
          </w:p>
        </w:tc>
        <w:tc>
          <w:tcPr>
            <w:tcW w:w="6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highlight w:val="none"/>
              </w:rPr>
            </w:pPr>
          </w:p>
        </w:tc>
        <w:tc>
          <w:tcPr>
            <w:tcW w:w="4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2"/>
                <w:szCs w:val="22"/>
                <w:highlight w:val="none"/>
              </w:rPr>
            </w:pPr>
            <w:r>
              <w:rPr>
                <w:rFonts w:hint="eastAsia" w:ascii="宋体" w:hAnsi="宋体" w:cs="宋体"/>
                <w:kern w:val="0"/>
                <w:sz w:val="22"/>
                <w:szCs w:val="22"/>
                <w:highlight w:val="none"/>
              </w:rPr>
              <w:t>2、未制定每月养护计划，养护作业台帐记录不完全不及时，每一次扣1分并扣款1000元。</w:t>
            </w: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highlight w:val="none"/>
              </w:rPr>
            </w:pPr>
          </w:p>
        </w:tc>
      </w:tr>
      <w:tr>
        <w:tblPrEx>
          <w:tblCellMar>
            <w:top w:w="0" w:type="dxa"/>
            <w:left w:w="0" w:type="dxa"/>
            <w:bottom w:w="0" w:type="dxa"/>
            <w:right w:w="0" w:type="dxa"/>
          </w:tblCellMar>
        </w:tblPrEx>
        <w:trPr>
          <w:trHeight w:val="162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highlight w:val="none"/>
              </w:rPr>
            </w:pPr>
          </w:p>
        </w:tc>
        <w:tc>
          <w:tcPr>
            <w:tcW w:w="6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highlight w:val="none"/>
              </w:rPr>
            </w:pPr>
          </w:p>
        </w:tc>
        <w:tc>
          <w:tcPr>
            <w:tcW w:w="4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2"/>
                <w:szCs w:val="22"/>
                <w:highlight w:val="none"/>
              </w:rPr>
            </w:pPr>
            <w:r>
              <w:rPr>
                <w:rFonts w:hint="eastAsia" w:ascii="宋体" w:hAnsi="宋体" w:cs="宋体"/>
                <w:kern w:val="0"/>
                <w:sz w:val="22"/>
                <w:szCs w:val="22"/>
                <w:highlight w:val="none"/>
              </w:rPr>
              <w:t>3、维修质量不合格的，应无偿返工并每一处扣0.5分并扣款500元；在工程量审查签证过程中，若发现施工单位上报工程量超过实际工程量（测量允许误差±5%），每发现一起扣1分，直接扣除虚报工程量部分并扣款1000元。</w:t>
            </w: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highlight w:val="none"/>
              </w:rPr>
            </w:pPr>
          </w:p>
        </w:tc>
      </w:tr>
      <w:tr>
        <w:tblPrEx>
          <w:tblCellMar>
            <w:top w:w="0" w:type="dxa"/>
            <w:left w:w="0" w:type="dxa"/>
            <w:bottom w:w="0" w:type="dxa"/>
            <w:right w:w="0" w:type="dxa"/>
          </w:tblCellMar>
        </w:tblPrEx>
        <w:trPr>
          <w:trHeight w:val="162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highlight w:val="none"/>
              </w:rPr>
            </w:pPr>
          </w:p>
        </w:tc>
        <w:tc>
          <w:tcPr>
            <w:tcW w:w="6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highlight w:val="none"/>
              </w:rPr>
            </w:pPr>
          </w:p>
        </w:tc>
        <w:tc>
          <w:tcPr>
            <w:tcW w:w="4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2"/>
                <w:szCs w:val="22"/>
                <w:highlight w:val="none"/>
              </w:rPr>
            </w:pPr>
            <w:r>
              <w:rPr>
                <w:rFonts w:hint="eastAsia" w:ascii="宋体" w:hAnsi="宋体" w:cs="宋体"/>
                <w:kern w:val="0"/>
                <w:sz w:val="22"/>
                <w:szCs w:val="22"/>
                <w:highlight w:val="none"/>
              </w:rPr>
              <w:t>4、缺少主要材料质保单和检验报告的，应当补充并每一次扣0.5分并扣款500元；使用不符合标准的材料，无偿返工并每一次扣2分并扣款2000元；关键工序、隐蔽工程未通知管理单位，擅自施工的，每次扣2分并扣款2000元.</w:t>
            </w: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highlight w:val="none"/>
              </w:rPr>
            </w:pPr>
          </w:p>
        </w:tc>
      </w:tr>
      <w:tr>
        <w:tblPrEx>
          <w:tblCellMar>
            <w:top w:w="0" w:type="dxa"/>
            <w:left w:w="0" w:type="dxa"/>
            <w:bottom w:w="0" w:type="dxa"/>
            <w:right w:w="0" w:type="dxa"/>
          </w:tblCellMar>
        </w:tblPrEx>
        <w:trPr>
          <w:trHeight w:val="135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highlight w:val="none"/>
              </w:rPr>
            </w:pPr>
          </w:p>
        </w:tc>
        <w:tc>
          <w:tcPr>
            <w:tcW w:w="6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highlight w:val="none"/>
              </w:rPr>
            </w:pPr>
          </w:p>
        </w:tc>
        <w:tc>
          <w:tcPr>
            <w:tcW w:w="4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2"/>
                <w:szCs w:val="22"/>
                <w:highlight w:val="none"/>
              </w:rPr>
            </w:pPr>
            <w:r>
              <w:rPr>
                <w:rFonts w:hint="eastAsia" w:ascii="宋体" w:hAnsi="宋体" w:cs="宋体"/>
                <w:kern w:val="0"/>
                <w:sz w:val="22"/>
                <w:szCs w:val="22"/>
                <w:highlight w:val="none"/>
              </w:rPr>
              <w:t>5、不履行管理单位要求开展的设施维修任务或不服从管理单位进行施工现场管理的，每一次扣1分并扣款1000元。未响应或未按照管理单位整改单要求进行整改的，每次扣2分并扣款2000元。</w:t>
            </w: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highlight w:val="none"/>
              </w:rPr>
            </w:pPr>
          </w:p>
        </w:tc>
      </w:tr>
      <w:tr>
        <w:tblPrEx>
          <w:tblCellMar>
            <w:top w:w="0" w:type="dxa"/>
            <w:left w:w="0" w:type="dxa"/>
            <w:bottom w:w="0" w:type="dxa"/>
            <w:right w:w="0" w:type="dxa"/>
          </w:tblCellMar>
        </w:tblPrEx>
        <w:trPr>
          <w:trHeight w:val="1620" w:hRule="atLeast"/>
        </w:trPr>
        <w:tc>
          <w:tcPr>
            <w:tcW w:w="108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rPr>
              <w:t>四</w:t>
            </w:r>
          </w:p>
        </w:tc>
        <w:tc>
          <w:tcPr>
            <w:tcW w:w="68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rPr>
              <w:t>巡查管理</w:t>
            </w:r>
          </w:p>
        </w:tc>
        <w:tc>
          <w:tcPr>
            <w:tcW w:w="4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2"/>
                <w:szCs w:val="22"/>
                <w:highlight w:val="none"/>
              </w:rPr>
            </w:pPr>
            <w:r>
              <w:rPr>
                <w:rFonts w:hint="eastAsia" w:ascii="宋体" w:hAnsi="宋体" w:cs="宋体"/>
                <w:kern w:val="0"/>
                <w:sz w:val="22"/>
                <w:szCs w:val="22"/>
                <w:highlight w:val="none"/>
              </w:rPr>
              <w:t>1、巡查人员应当为本企业职工并提供社保机构出具的养老保险证明，未提供的按缺岗处置。巡查人员上岗未穿统一的巡查工作服，每人次扣0.1分并扣款100元；巡查人员无故缺岗，每一日每人次扣0.5分并扣款500元。</w:t>
            </w: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highlight w:val="none"/>
              </w:rPr>
            </w:pPr>
          </w:p>
        </w:tc>
      </w:tr>
      <w:tr>
        <w:tblPrEx>
          <w:tblCellMar>
            <w:top w:w="0" w:type="dxa"/>
            <w:left w:w="0" w:type="dxa"/>
            <w:bottom w:w="0" w:type="dxa"/>
            <w:right w:w="0" w:type="dxa"/>
          </w:tblCellMar>
        </w:tblPrEx>
        <w:trPr>
          <w:trHeight w:val="135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highlight w:val="none"/>
              </w:rPr>
            </w:pPr>
          </w:p>
        </w:tc>
        <w:tc>
          <w:tcPr>
            <w:tcW w:w="6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highlight w:val="none"/>
              </w:rPr>
            </w:pPr>
          </w:p>
        </w:tc>
        <w:tc>
          <w:tcPr>
            <w:tcW w:w="4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2"/>
                <w:szCs w:val="22"/>
                <w:highlight w:val="none"/>
              </w:rPr>
            </w:pPr>
            <w:r>
              <w:rPr>
                <w:rFonts w:hint="eastAsia" w:ascii="宋体" w:hAnsi="宋体" w:cs="宋体"/>
                <w:kern w:val="0"/>
                <w:sz w:val="22"/>
                <w:szCs w:val="22"/>
                <w:highlight w:val="none"/>
              </w:rPr>
              <w:t>2、巡查不到位，每查实处破损点扣0.1分并扣款100元；没有按照规定路线要求开展道路巡查、巡查上报信息弄虚作假的或其他违反巡查管理规定的情况每次扣0.5分并扣款500元。</w:t>
            </w: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highlight w:val="none"/>
              </w:rPr>
            </w:pPr>
          </w:p>
        </w:tc>
      </w:tr>
      <w:tr>
        <w:tblPrEx>
          <w:tblCellMar>
            <w:top w:w="0" w:type="dxa"/>
            <w:left w:w="0" w:type="dxa"/>
            <w:bottom w:w="0" w:type="dxa"/>
            <w:right w:w="0" w:type="dxa"/>
          </w:tblCellMar>
        </w:tblPrEx>
        <w:trPr>
          <w:trHeight w:val="162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highlight w:val="none"/>
              </w:rPr>
            </w:pPr>
          </w:p>
        </w:tc>
        <w:tc>
          <w:tcPr>
            <w:tcW w:w="6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highlight w:val="none"/>
              </w:rPr>
            </w:pPr>
          </w:p>
        </w:tc>
        <w:tc>
          <w:tcPr>
            <w:tcW w:w="4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2"/>
                <w:szCs w:val="22"/>
                <w:highlight w:val="none"/>
              </w:rPr>
            </w:pPr>
            <w:r>
              <w:rPr>
                <w:rFonts w:hint="eastAsia" w:ascii="宋体" w:hAnsi="宋体" w:cs="宋体"/>
                <w:kern w:val="0"/>
                <w:sz w:val="22"/>
                <w:szCs w:val="22"/>
                <w:highlight w:val="none"/>
              </w:rPr>
              <w:t>3、建立市政道路养护巡查机制，及时发现并制止擅自挖掘市政道路或不按许可内容挖掘市政道路的违法行为，按规定对施工现场进行监管，违法挖掘行为未及时发现或未按规定对现场进行处置的，每起扣0.5分并扣款500元。</w:t>
            </w: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highlight w:val="none"/>
              </w:rPr>
            </w:pPr>
          </w:p>
        </w:tc>
      </w:tr>
      <w:tr>
        <w:tblPrEx>
          <w:tblCellMar>
            <w:top w:w="0" w:type="dxa"/>
            <w:left w:w="0" w:type="dxa"/>
            <w:bottom w:w="0" w:type="dxa"/>
            <w:right w:w="0" w:type="dxa"/>
          </w:tblCellMar>
        </w:tblPrEx>
        <w:trPr>
          <w:trHeight w:val="1080" w:hRule="atLeast"/>
        </w:trPr>
        <w:tc>
          <w:tcPr>
            <w:tcW w:w="108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rPr>
              <w:t>五</w:t>
            </w:r>
          </w:p>
        </w:tc>
        <w:tc>
          <w:tcPr>
            <w:tcW w:w="68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rPr>
              <w:t>队伍管理</w:t>
            </w:r>
          </w:p>
        </w:tc>
        <w:tc>
          <w:tcPr>
            <w:tcW w:w="4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2"/>
                <w:szCs w:val="22"/>
                <w:highlight w:val="none"/>
              </w:rPr>
            </w:pPr>
            <w:r>
              <w:rPr>
                <w:rFonts w:hint="eastAsia" w:ascii="宋体" w:hAnsi="宋体" w:cs="宋体"/>
                <w:kern w:val="0"/>
                <w:sz w:val="22"/>
                <w:szCs w:val="22"/>
                <w:highlight w:val="none"/>
              </w:rPr>
              <w:t>1、未经管理单位同意，私自使用标有明显养护标识的围挡、工作服、各类牌子、机械设备等从事本养护工程以外的施工活动，每次扣2分并扣款2000元。</w:t>
            </w: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highlight w:val="none"/>
              </w:rPr>
            </w:pPr>
          </w:p>
        </w:tc>
      </w:tr>
      <w:tr>
        <w:tblPrEx>
          <w:tblCellMar>
            <w:top w:w="0" w:type="dxa"/>
            <w:left w:w="0" w:type="dxa"/>
            <w:bottom w:w="0" w:type="dxa"/>
            <w:right w:w="0" w:type="dxa"/>
          </w:tblCellMar>
        </w:tblPrEx>
        <w:trPr>
          <w:trHeight w:val="135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highlight w:val="none"/>
              </w:rPr>
            </w:pPr>
          </w:p>
        </w:tc>
        <w:tc>
          <w:tcPr>
            <w:tcW w:w="6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highlight w:val="none"/>
              </w:rPr>
            </w:pPr>
          </w:p>
        </w:tc>
        <w:tc>
          <w:tcPr>
            <w:tcW w:w="4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2"/>
                <w:szCs w:val="22"/>
                <w:highlight w:val="none"/>
              </w:rPr>
            </w:pPr>
            <w:r>
              <w:rPr>
                <w:rFonts w:hint="eastAsia" w:ascii="宋体" w:hAnsi="宋体" w:cs="宋体"/>
                <w:kern w:val="0"/>
                <w:sz w:val="22"/>
                <w:szCs w:val="22"/>
                <w:highlight w:val="none"/>
              </w:rPr>
              <w:t>2、因养护施工质量、文明措施、维修及时性（人员管理）等问题遭投诉举报并核实的，情节较轻的，每次扣0.5分并扣500元，情节严重或被媒体曝光形成较大社会影响的，每次扣2分并款2000元。</w:t>
            </w: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highlight w:val="none"/>
              </w:rPr>
            </w:pPr>
          </w:p>
        </w:tc>
      </w:tr>
      <w:tr>
        <w:tblPrEx>
          <w:tblCellMar>
            <w:top w:w="0" w:type="dxa"/>
            <w:left w:w="0" w:type="dxa"/>
            <w:bottom w:w="0" w:type="dxa"/>
            <w:right w:w="0" w:type="dxa"/>
          </w:tblCellMar>
        </w:tblPrEx>
        <w:trPr>
          <w:trHeight w:val="1350" w:hRule="atLeast"/>
        </w:trPr>
        <w:tc>
          <w:tcPr>
            <w:tcW w:w="108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rPr>
              <w:t>六</w:t>
            </w:r>
          </w:p>
        </w:tc>
        <w:tc>
          <w:tcPr>
            <w:tcW w:w="68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22"/>
                <w:szCs w:val="22"/>
                <w:highlight w:val="none"/>
              </w:rPr>
            </w:pPr>
            <w:r>
              <w:rPr>
                <w:rFonts w:hint="eastAsia" w:ascii="宋体" w:hAnsi="宋体" w:cs="宋体"/>
                <w:kern w:val="0"/>
                <w:sz w:val="22"/>
                <w:szCs w:val="22"/>
                <w:highlight w:val="none"/>
              </w:rPr>
              <w:t>应急管理</w:t>
            </w:r>
          </w:p>
        </w:tc>
        <w:tc>
          <w:tcPr>
            <w:tcW w:w="4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2"/>
                <w:szCs w:val="22"/>
                <w:highlight w:val="none"/>
              </w:rPr>
            </w:pPr>
            <w:r>
              <w:rPr>
                <w:rFonts w:hint="eastAsia" w:ascii="宋体" w:hAnsi="宋体" w:cs="宋体"/>
                <w:kern w:val="0"/>
                <w:sz w:val="22"/>
                <w:szCs w:val="22"/>
                <w:highlight w:val="none"/>
              </w:rPr>
              <w:t>1、制定市政应急维修预案，市政道路应急维修、抢险制度未落实、应急抢险人员、物资设备不按要求配备的，并每次扣2分并扣款2000元。同一问题再次发生的，加倍处罚，以此类推。</w:t>
            </w: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highlight w:val="none"/>
              </w:rPr>
            </w:pPr>
          </w:p>
        </w:tc>
      </w:tr>
      <w:tr>
        <w:tblPrEx>
          <w:tblCellMar>
            <w:top w:w="0" w:type="dxa"/>
            <w:left w:w="0" w:type="dxa"/>
            <w:bottom w:w="0" w:type="dxa"/>
            <w:right w:w="0"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highlight w:val="none"/>
              </w:rPr>
            </w:pPr>
          </w:p>
        </w:tc>
        <w:tc>
          <w:tcPr>
            <w:tcW w:w="6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highlight w:val="none"/>
              </w:rPr>
            </w:pPr>
          </w:p>
        </w:tc>
        <w:tc>
          <w:tcPr>
            <w:tcW w:w="4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2"/>
                <w:szCs w:val="22"/>
                <w:highlight w:val="none"/>
              </w:rPr>
            </w:pPr>
            <w:r>
              <w:rPr>
                <w:rFonts w:hint="eastAsia" w:ascii="宋体" w:hAnsi="宋体" w:cs="宋体"/>
                <w:kern w:val="0"/>
                <w:sz w:val="22"/>
                <w:szCs w:val="22"/>
                <w:highlight w:val="none"/>
              </w:rPr>
              <w:t>2、每年开展两次应急演练演练不合格的每次扣5分并扣款5000元。</w:t>
            </w: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highlight w:val="none"/>
              </w:rPr>
            </w:pPr>
          </w:p>
        </w:tc>
      </w:tr>
      <w:tr>
        <w:tblPrEx>
          <w:tblCellMar>
            <w:top w:w="0" w:type="dxa"/>
            <w:left w:w="0" w:type="dxa"/>
            <w:bottom w:w="0" w:type="dxa"/>
            <w:right w:w="0" w:type="dxa"/>
          </w:tblCellMar>
        </w:tblPrEx>
        <w:trPr>
          <w:trHeight w:val="1890" w:hRule="atLeast"/>
        </w:trPr>
        <w:tc>
          <w:tcPr>
            <w:tcW w:w="108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highlight w:val="none"/>
              </w:rPr>
            </w:pPr>
          </w:p>
        </w:tc>
        <w:tc>
          <w:tcPr>
            <w:tcW w:w="68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highlight w:val="none"/>
              </w:rPr>
            </w:pPr>
          </w:p>
        </w:tc>
        <w:tc>
          <w:tcPr>
            <w:tcW w:w="4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2"/>
                <w:szCs w:val="22"/>
                <w:highlight w:val="none"/>
              </w:rPr>
            </w:pPr>
            <w:r>
              <w:rPr>
                <w:rFonts w:hint="eastAsia" w:ascii="宋体" w:hAnsi="宋体" w:cs="宋体"/>
                <w:kern w:val="0"/>
                <w:sz w:val="22"/>
                <w:szCs w:val="22"/>
                <w:highlight w:val="none"/>
              </w:rPr>
              <w:t>3、发生市政道路突发事件不及时报告，每次扣5分并扣款5000元。对管理单位安排的抗台防汛、除冰除雪、险情排除、110联动等应急抢验工作响应不及时，或不按要求处理的，每一次扣10分并扣款10000元，能及时整改并未产生严重后果的，每次扣5分并扣款5000元。</w:t>
            </w: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highlight w:val="none"/>
              </w:rPr>
            </w:pPr>
          </w:p>
        </w:tc>
      </w:tr>
      <w:tr>
        <w:tblPrEx>
          <w:tblCellMar>
            <w:top w:w="0" w:type="dxa"/>
            <w:left w:w="0" w:type="dxa"/>
            <w:bottom w:w="0" w:type="dxa"/>
            <w:right w:w="0" w:type="dxa"/>
          </w:tblCellMar>
        </w:tblPrEx>
        <w:trPr>
          <w:trHeight w:val="1160" w:hRule="atLeast"/>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2"/>
                <w:szCs w:val="22"/>
                <w:highlight w:val="none"/>
              </w:rPr>
            </w:pPr>
            <w:r>
              <w:rPr>
                <w:rFonts w:hint="eastAsia" w:ascii="宋体" w:hAnsi="宋体" w:cs="宋体"/>
                <w:kern w:val="0"/>
                <w:sz w:val="22"/>
                <w:szCs w:val="22"/>
                <w:highlight w:val="none"/>
              </w:rPr>
              <w:t>七</w:t>
            </w:r>
          </w:p>
        </w:tc>
        <w:tc>
          <w:tcPr>
            <w:tcW w:w="508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sz w:val="22"/>
                <w:szCs w:val="22"/>
                <w:highlight w:val="none"/>
              </w:rPr>
            </w:pPr>
            <w:r>
              <w:rPr>
                <w:rFonts w:hint="eastAsia" w:ascii="宋体" w:hAnsi="宋体" w:cs="宋体"/>
                <w:kern w:val="0"/>
                <w:sz w:val="22"/>
                <w:szCs w:val="22"/>
                <w:highlight w:val="none"/>
              </w:rPr>
              <w:t>考核合计</w:t>
            </w: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cs="宋体"/>
                <w:sz w:val="22"/>
                <w:szCs w:val="22"/>
                <w:highlight w:val="none"/>
              </w:rPr>
            </w:pPr>
          </w:p>
        </w:tc>
      </w:tr>
    </w:tbl>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p>
    <w:p>
      <w:pPr>
        <w:rPr>
          <w:sz w:val="84"/>
          <w:szCs w:val="84"/>
          <w:highlight w:val="none"/>
        </w:rPr>
      </w:pPr>
    </w:p>
    <w:p>
      <w:pPr>
        <w:pStyle w:val="24"/>
        <w:rPr>
          <w:sz w:val="84"/>
          <w:szCs w:val="84"/>
          <w:highlight w:val="none"/>
        </w:rPr>
      </w:pPr>
    </w:p>
    <w:p>
      <w:pPr>
        <w:pStyle w:val="24"/>
        <w:ind w:left="0" w:firstLine="0"/>
        <w:rPr>
          <w:highlight w:val="none"/>
        </w:rPr>
      </w:pPr>
    </w:p>
    <w:p>
      <w:pPr>
        <w:pStyle w:val="24"/>
        <w:ind w:left="0" w:firstLine="0"/>
        <w:rPr>
          <w:highlight w:val="none"/>
        </w:rPr>
      </w:pPr>
    </w:p>
    <w:p>
      <w:pPr>
        <w:pStyle w:val="24"/>
        <w:ind w:left="0" w:firstLine="0"/>
        <w:rPr>
          <w:highlight w:val="none"/>
        </w:rPr>
      </w:pPr>
    </w:p>
    <w:p>
      <w:pPr>
        <w:pStyle w:val="24"/>
        <w:ind w:left="0" w:firstLine="0"/>
        <w:rPr>
          <w:highlight w:val="none"/>
        </w:rPr>
      </w:pPr>
    </w:p>
    <w:p>
      <w:pPr>
        <w:pStyle w:val="24"/>
        <w:ind w:left="0" w:firstLine="0"/>
        <w:rPr>
          <w:highlight w:val="none"/>
        </w:rPr>
      </w:pPr>
    </w:p>
    <w:p>
      <w:pPr>
        <w:pStyle w:val="24"/>
        <w:ind w:left="0" w:firstLine="0"/>
        <w:rPr>
          <w:highlight w:val="none"/>
        </w:rPr>
      </w:pPr>
    </w:p>
    <w:p>
      <w:pPr>
        <w:pStyle w:val="24"/>
        <w:ind w:left="0" w:firstLine="0"/>
        <w:rPr>
          <w:highlight w:val="none"/>
        </w:rPr>
      </w:pPr>
    </w:p>
    <w:p>
      <w:pPr>
        <w:pStyle w:val="24"/>
        <w:ind w:left="0" w:firstLine="0"/>
        <w:rPr>
          <w:highlight w:val="none"/>
        </w:rPr>
      </w:pPr>
    </w:p>
    <w:p>
      <w:pPr>
        <w:pStyle w:val="24"/>
        <w:ind w:left="0" w:firstLine="0"/>
        <w:rPr>
          <w:highlight w:val="none"/>
        </w:rPr>
      </w:pPr>
    </w:p>
    <w:p>
      <w:pPr>
        <w:pStyle w:val="24"/>
        <w:ind w:left="0" w:firstLine="0"/>
        <w:rPr>
          <w:highlight w:val="none"/>
        </w:rPr>
      </w:pPr>
    </w:p>
    <w:p>
      <w:pPr>
        <w:pStyle w:val="24"/>
        <w:ind w:left="0" w:firstLine="0"/>
        <w:rPr>
          <w:highlight w:val="none"/>
        </w:rPr>
      </w:pPr>
    </w:p>
    <w:p>
      <w:pPr>
        <w:pStyle w:val="24"/>
        <w:ind w:left="0" w:firstLine="0"/>
        <w:rPr>
          <w:highlight w:val="none"/>
        </w:rPr>
      </w:pPr>
    </w:p>
    <w:p>
      <w:pPr>
        <w:rPr>
          <w:highlight w:val="none"/>
        </w:rPr>
      </w:pPr>
      <w:r>
        <w:rPr>
          <w:rFonts w:hint="eastAsia"/>
          <w:highlight w:val="none"/>
        </w:rPr>
        <w:t>附件3：</w:t>
      </w:r>
    </w:p>
    <w:p>
      <w:pPr>
        <w:jc w:val="center"/>
        <w:rPr>
          <w:sz w:val="28"/>
          <w:szCs w:val="36"/>
          <w:highlight w:val="none"/>
        </w:rPr>
      </w:pPr>
      <w:r>
        <w:rPr>
          <w:rFonts w:hint="eastAsia"/>
          <w:sz w:val="28"/>
          <w:szCs w:val="36"/>
          <w:highlight w:val="none"/>
        </w:rPr>
        <w:t>常备物资表</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0"/>
        <w:gridCol w:w="1307"/>
        <w:gridCol w:w="1420"/>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0" w:type="dxa"/>
            <w:noWrap/>
          </w:tcPr>
          <w:p>
            <w:pPr>
              <w:jc w:val="center"/>
              <w:rPr>
                <w:highlight w:val="none"/>
              </w:rPr>
            </w:pPr>
            <w:r>
              <w:rPr>
                <w:rFonts w:hint="eastAsia"/>
                <w:highlight w:val="none"/>
              </w:rPr>
              <w:t>物资名称</w:t>
            </w:r>
          </w:p>
        </w:tc>
        <w:tc>
          <w:tcPr>
            <w:tcW w:w="1307" w:type="dxa"/>
            <w:noWrap/>
          </w:tcPr>
          <w:p>
            <w:pPr>
              <w:jc w:val="center"/>
              <w:rPr>
                <w:highlight w:val="none"/>
              </w:rPr>
            </w:pPr>
            <w:r>
              <w:rPr>
                <w:rFonts w:hint="eastAsia"/>
                <w:highlight w:val="none"/>
              </w:rPr>
              <w:t>数量</w:t>
            </w:r>
          </w:p>
        </w:tc>
        <w:tc>
          <w:tcPr>
            <w:tcW w:w="1420" w:type="dxa"/>
            <w:noWrap/>
          </w:tcPr>
          <w:p>
            <w:pPr>
              <w:jc w:val="center"/>
              <w:rPr>
                <w:highlight w:val="none"/>
              </w:rPr>
            </w:pPr>
            <w:r>
              <w:rPr>
                <w:rFonts w:hint="eastAsia"/>
                <w:highlight w:val="none"/>
              </w:rPr>
              <w:t>单位</w:t>
            </w:r>
          </w:p>
        </w:tc>
        <w:tc>
          <w:tcPr>
            <w:tcW w:w="2132" w:type="dxa"/>
            <w:noWrap/>
          </w:tcPr>
          <w:p>
            <w:pPr>
              <w:jc w:val="center"/>
              <w:rPr>
                <w:highlight w:val="none"/>
              </w:rPr>
            </w:pPr>
            <w:r>
              <w:rPr>
                <w:rFonts w:hint="eastAsia"/>
                <w:highlight w:val="none"/>
              </w:rPr>
              <w:t>实际存储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0" w:type="dxa"/>
            <w:noWrap/>
          </w:tcPr>
          <w:p>
            <w:pPr>
              <w:rPr>
                <w:highlight w:val="none"/>
              </w:rPr>
            </w:pPr>
            <w:r>
              <w:rPr>
                <w:rFonts w:hint="eastAsia"/>
                <w:highlight w:val="none"/>
              </w:rPr>
              <w:t>水泥</w:t>
            </w:r>
          </w:p>
        </w:tc>
        <w:tc>
          <w:tcPr>
            <w:tcW w:w="1307" w:type="dxa"/>
            <w:noWrap/>
          </w:tcPr>
          <w:p>
            <w:pPr>
              <w:rPr>
                <w:highlight w:val="none"/>
              </w:rPr>
            </w:pPr>
            <w:r>
              <w:rPr>
                <w:rFonts w:hint="eastAsia"/>
                <w:highlight w:val="none"/>
              </w:rPr>
              <w:t>2</w:t>
            </w:r>
          </w:p>
        </w:tc>
        <w:tc>
          <w:tcPr>
            <w:tcW w:w="1420" w:type="dxa"/>
            <w:noWrap/>
          </w:tcPr>
          <w:p>
            <w:pPr>
              <w:rPr>
                <w:highlight w:val="none"/>
              </w:rPr>
            </w:pPr>
            <w:r>
              <w:rPr>
                <w:rFonts w:hint="eastAsia"/>
                <w:highlight w:val="none"/>
              </w:rPr>
              <w:t>t</w:t>
            </w:r>
          </w:p>
        </w:tc>
        <w:tc>
          <w:tcPr>
            <w:tcW w:w="2132" w:type="dxa"/>
            <w:noWra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0" w:type="dxa"/>
            <w:noWrap/>
          </w:tcPr>
          <w:p>
            <w:pPr>
              <w:rPr>
                <w:highlight w:val="none"/>
              </w:rPr>
            </w:pPr>
            <w:r>
              <w:rPr>
                <w:rFonts w:hint="eastAsia"/>
                <w:highlight w:val="none"/>
              </w:rPr>
              <w:t>快干水泥</w:t>
            </w:r>
          </w:p>
        </w:tc>
        <w:tc>
          <w:tcPr>
            <w:tcW w:w="1307" w:type="dxa"/>
            <w:noWrap/>
          </w:tcPr>
          <w:p>
            <w:pPr>
              <w:rPr>
                <w:highlight w:val="none"/>
              </w:rPr>
            </w:pPr>
            <w:r>
              <w:rPr>
                <w:rFonts w:hint="eastAsia"/>
                <w:highlight w:val="none"/>
              </w:rPr>
              <w:t>1</w:t>
            </w:r>
          </w:p>
        </w:tc>
        <w:tc>
          <w:tcPr>
            <w:tcW w:w="1420" w:type="dxa"/>
            <w:noWrap/>
          </w:tcPr>
          <w:p>
            <w:pPr>
              <w:rPr>
                <w:highlight w:val="none"/>
              </w:rPr>
            </w:pPr>
            <w:r>
              <w:rPr>
                <w:rFonts w:hint="eastAsia"/>
                <w:highlight w:val="none"/>
              </w:rPr>
              <w:t>t</w:t>
            </w:r>
          </w:p>
        </w:tc>
        <w:tc>
          <w:tcPr>
            <w:tcW w:w="2132" w:type="dxa"/>
            <w:noWra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0" w:type="dxa"/>
            <w:noWrap/>
          </w:tcPr>
          <w:p>
            <w:pPr>
              <w:rPr>
                <w:highlight w:val="none"/>
              </w:rPr>
            </w:pPr>
            <w:r>
              <w:rPr>
                <w:rFonts w:hint="eastAsia"/>
                <w:highlight w:val="none"/>
              </w:rPr>
              <w:t>黄沙</w:t>
            </w:r>
          </w:p>
        </w:tc>
        <w:tc>
          <w:tcPr>
            <w:tcW w:w="1307" w:type="dxa"/>
            <w:noWrap/>
          </w:tcPr>
          <w:p>
            <w:pPr>
              <w:rPr>
                <w:highlight w:val="none"/>
              </w:rPr>
            </w:pPr>
            <w:r>
              <w:rPr>
                <w:rFonts w:hint="eastAsia"/>
                <w:highlight w:val="none"/>
              </w:rPr>
              <w:t>5</w:t>
            </w:r>
          </w:p>
        </w:tc>
        <w:tc>
          <w:tcPr>
            <w:tcW w:w="1420" w:type="dxa"/>
            <w:noWrap/>
          </w:tcPr>
          <w:p>
            <w:pPr>
              <w:rPr>
                <w:highlight w:val="none"/>
              </w:rPr>
            </w:pPr>
            <w:r>
              <w:rPr>
                <w:rFonts w:hint="eastAsia"/>
                <w:highlight w:val="none"/>
              </w:rPr>
              <w:t>t</w:t>
            </w:r>
          </w:p>
        </w:tc>
        <w:tc>
          <w:tcPr>
            <w:tcW w:w="2132" w:type="dxa"/>
            <w:noWra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0" w:type="dxa"/>
            <w:noWrap/>
          </w:tcPr>
          <w:p>
            <w:pPr>
              <w:rPr>
                <w:highlight w:val="none"/>
              </w:rPr>
            </w:pPr>
            <w:r>
              <w:rPr>
                <w:rFonts w:hint="eastAsia"/>
                <w:highlight w:val="none"/>
              </w:rPr>
              <w:t>冷拌细粒式沥青砼</w:t>
            </w:r>
          </w:p>
        </w:tc>
        <w:tc>
          <w:tcPr>
            <w:tcW w:w="1307" w:type="dxa"/>
            <w:noWrap/>
          </w:tcPr>
          <w:p>
            <w:pPr>
              <w:rPr>
                <w:highlight w:val="none"/>
              </w:rPr>
            </w:pPr>
            <w:r>
              <w:rPr>
                <w:rFonts w:hint="eastAsia"/>
                <w:highlight w:val="none"/>
              </w:rPr>
              <w:t>0.2</w:t>
            </w:r>
          </w:p>
        </w:tc>
        <w:tc>
          <w:tcPr>
            <w:tcW w:w="1420" w:type="dxa"/>
            <w:noWrap/>
          </w:tcPr>
          <w:p>
            <w:pPr>
              <w:rPr>
                <w:highlight w:val="none"/>
              </w:rPr>
            </w:pPr>
            <w:r>
              <w:rPr>
                <w:rFonts w:hint="eastAsia"/>
                <w:highlight w:val="none"/>
              </w:rPr>
              <w:t>t</w:t>
            </w:r>
          </w:p>
        </w:tc>
        <w:tc>
          <w:tcPr>
            <w:tcW w:w="2132" w:type="dxa"/>
            <w:noWra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0" w:type="dxa"/>
            <w:noWrap/>
          </w:tcPr>
          <w:p>
            <w:pPr>
              <w:rPr>
                <w:highlight w:val="none"/>
              </w:rPr>
            </w:pPr>
            <w:r>
              <w:rPr>
                <w:rFonts w:hint="eastAsia"/>
                <w:highlight w:val="none"/>
              </w:rPr>
              <w:t>灌封胶</w:t>
            </w:r>
          </w:p>
        </w:tc>
        <w:tc>
          <w:tcPr>
            <w:tcW w:w="1307" w:type="dxa"/>
            <w:noWrap/>
          </w:tcPr>
          <w:p>
            <w:pPr>
              <w:rPr>
                <w:highlight w:val="none"/>
              </w:rPr>
            </w:pPr>
            <w:r>
              <w:rPr>
                <w:rFonts w:hint="eastAsia"/>
                <w:highlight w:val="none"/>
              </w:rPr>
              <w:t>2</w:t>
            </w:r>
          </w:p>
        </w:tc>
        <w:tc>
          <w:tcPr>
            <w:tcW w:w="1420" w:type="dxa"/>
            <w:noWrap/>
          </w:tcPr>
          <w:p>
            <w:pPr>
              <w:rPr>
                <w:highlight w:val="none"/>
              </w:rPr>
            </w:pPr>
            <w:r>
              <w:rPr>
                <w:rFonts w:hint="eastAsia"/>
                <w:highlight w:val="none"/>
              </w:rPr>
              <w:t>t</w:t>
            </w:r>
          </w:p>
        </w:tc>
        <w:tc>
          <w:tcPr>
            <w:tcW w:w="2132" w:type="dxa"/>
            <w:noWra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0" w:type="dxa"/>
            <w:noWrap/>
          </w:tcPr>
          <w:p>
            <w:pPr>
              <w:rPr>
                <w:highlight w:val="none"/>
              </w:rPr>
            </w:pPr>
            <w:r>
              <w:rPr>
                <w:rFonts w:hint="eastAsia"/>
                <w:highlight w:val="none"/>
              </w:rPr>
              <w:t>20*10*6荷兰砖</w:t>
            </w:r>
          </w:p>
        </w:tc>
        <w:tc>
          <w:tcPr>
            <w:tcW w:w="1307" w:type="dxa"/>
            <w:noWrap/>
          </w:tcPr>
          <w:p>
            <w:pPr>
              <w:rPr>
                <w:highlight w:val="none"/>
              </w:rPr>
            </w:pPr>
            <w:r>
              <w:rPr>
                <w:rFonts w:hint="eastAsia"/>
                <w:highlight w:val="none"/>
              </w:rPr>
              <w:t>50</w:t>
            </w:r>
          </w:p>
        </w:tc>
        <w:tc>
          <w:tcPr>
            <w:tcW w:w="1420" w:type="dxa"/>
            <w:noWrap/>
          </w:tcPr>
          <w:p>
            <w:pPr>
              <w:rPr>
                <w:highlight w:val="none"/>
              </w:rPr>
            </w:pPr>
            <w:r>
              <w:rPr>
                <w:rFonts w:hint="eastAsia"/>
                <w:highlight w:val="none"/>
              </w:rPr>
              <w:t>m2</w:t>
            </w:r>
          </w:p>
        </w:tc>
        <w:tc>
          <w:tcPr>
            <w:tcW w:w="2132" w:type="dxa"/>
            <w:noWra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0" w:type="dxa"/>
            <w:noWrap/>
          </w:tcPr>
          <w:p>
            <w:pPr>
              <w:rPr>
                <w:highlight w:val="none"/>
              </w:rPr>
            </w:pPr>
            <w:r>
              <w:rPr>
                <w:rFonts w:hint="eastAsia"/>
                <w:highlight w:val="none"/>
              </w:rPr>
              <w:t>5cm芝麻灰火烧面花岗岩</w:t>
            </w:r>
          </w:p>
        </w:tc>
        <w:tc>
          <w:tcPr>
            <w:tcW w:w="1307" w:type="dxa"/>
            <w:noWrap/>
          </w:tcPr>
          <w:p>
            <w:pPr>
              <w:rPr>
                <w:highlight w:val="none"/>
              </w:rPr>
            </w:pPr>
            <w:r>
              <w:rPr>
                <w:rFonts w:hint="eastAsia"/>
                <w:highlight w:val="none"/>
              </w:rPr>
              <w:t>100</w:t>
            </w:r>
          </w:p>
        </w:tc>
        <w:tc>
          <w:tcPr>
            <w:tcW w:w="1420" w:type="dxa"/>
            <w:noWrap/>
          </w:tcPr>
          <w:p>
            <w:pPr>
              <w:rPr>
                <w:highlight w:val="none"/>
              </w:rPr>
            </w:pPr>
            <w:r>
              <w:rPr>
                <w:rFonts w:hint="eastAsia"/>
                <w:highlight w:val="none"/>
              </w:rPr>
              <w:t>m2</w:t>
            </w:r>
          </w:p>
        </w:tc>
        <w:tc>
          <w:tcPr>
            <w:tcW w:w="2132" w:type="dxa"/>
            <w:noWra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0" w:type="dxa"/>
            <w:noWrap/>
          </w:tcPr>
          <w:p>
            <w:pPr>
              <w:rPr>
                <w:highlight w:val="none"/>
              </w:rPr>
            </w:pPr>
            <w:r>
              <w:rPr>
                <w:rFonts w:hint="eastAsia"/>
                <w:highlight w:val="none"/>
              </w:rPr>
              <w:t>25*25*5彩色道板</w:t>
            </w:r>
          </w:p>
        </w:tc>
        <w:tc>
          <w:tcPr>
            <w:tcW w:w="1307" w:type="dxa"/>
            <w:noWrap/>
          </w:tcPr>
          <w:p>
            <w:pPr>
              <w:rPr>
                <w:highlight w:val="none"/>
              </w:rPr>
            </w:pPr>
            <w:r>
              <w:rPr>
                <w:rFonts w:hint="eastAsia"/>
                <w:highlight w:val="none"/>
              </w:rPr>
              <w:t>20</w:t>
            </w:r>
          </w:p>
        </w:tc>
        <w:tc>
          <w:tcPr>
            <w:tcW w:w="1420" w:type="dxa"/>
            <w:noWrap/>
          </w:tcPr>
          <w:p>
            <w:pPr>
              <w:rPr>
                <w:highlight w:val="none"/>
              </w:rPr>
            </w:pPr>
            <w:r>
              <w:rPr>
                <w:rFonts w:hint="eastAsia"/>
                <w:highlight w:val="none"/>
              </w:rPr>
              <w:t>m2</w:t>
            </w:r>
          </w:p>
        </w:tc>
        <w:tc>
          <w:tcPr>
            <w:tcW w:w="2132" w:type="dxa"/>
            <w:noWra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0" w:type="dxa"/>
            <w:noWrap/>
          </w:tcPr>
          <w:p>
            <w:pPr>
              <w:rPr>
                <w:highlight w:val="none"/>
              </w:rPr>
            </w:pPr>
            <w:r>
              <w:rPr>
                <w:rFonts w:hint="eastAsia"/>
                <w:highlight w:val="none"/>
              </w:rPr>
              <w:t>芝麻灰侧石(15*10*100)</w:t>
            </w:r>
          </w:p>
        </w:tc>
        <w:tc>
          <w:tcPr>
            <w:tcW w:w="1307" w:type="dxa"/>
            <w:noWrap/>
          </w:tcPr>
          <w:p>
            <w:pPr>
              <w:rPr>
                <w:highlight w:val="none"/>
              </w:rPr>
            </w:pPr>
            <w:r>
              <w:rPr>
                <w:rFonts w:hint="eastAsia"/>
                <w:highlight w:val="none"/>
              </w:rPr>
              <w:t>20</w:t>
            </w:r>
          </w:p>
        </w:tc>
        <w:tc>
          <w:tcPr>
            <w:tcW w:w="1420" w:type="dxa"/>
            <w:noWrap/>
          </w:tcPr>
          <w:p>
            <w:pPr>
              <w:rPr>
                <w:highlight w:val="none"/>
              </w:rPr>
            </w:pPr>
            <w:r>
              <w:rPr>
                <w:rFonts w:hint="eastAsia"/>
                <w:highlight w:val="none"/>
              </w:rPr>
              <w:t>m</w:t>
            </w:r>
          </w:p>
        </w:tc>
        <w:tc>
          <w:tcPr>
            <w:tcW w:w="2132" w:type="dxa"/>
            <w:noWra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0" w:type="dxa"/>
            <w:noWrap/>
          </w:tcPr>
          <w:p>
            <w:pPr>
              <w:rPr>
                <w:rFonts w:ascii="Calibri" w:hAnsi="Calibri"/>
                <w:highlight w:val="none"/>
              </w:rPr>
            </w:pPr>
            <w:r>
              <w:rPr>
                <w:rFonts w:hint="eastAsia"/>
                <w:highlight w:val="none"/>
              </w:rPr>
              <w:t>芝麻灰侧石(15*25*100)</w:t>
            </w:r>
          </w:p>
        </w:tc>
        <w:tc>
          <w:tcPr>
            <w:tcW w:w="1307" w:type="dxa"/>
            <w:noWrap/>
          </w:tcPr>
          <w:p>
            <w:pPr>
              <w:rPr>
                <w:rFonts w:ascii="Calibri" w:hAnsi="Calibri"/>
                <w:highlight w:val="none"/>
              </w:rPr>
            </w:pPr>
            <w:r>
              <w:rPr>
                <w:rFonts w:hint="eastAsia"/>
                <w:highlight w:val="none"/>
              </w:rPr>
              <w:t>20</w:t>
            </w:r>
          </w:p>
        </w:tc>
        <w:tc>
          <w:tcPr>
            <w:tcW w:w="1420" w:type="dxa"/>
            <w:noWrap/>
          </w:tcPr>
          <w:p>
            <w:pPr>
              <w:rPr>
                <w:rFonts w:ascii="Calibri" w:hAnsi="Calibri"/>
                <w:highlight w:val="none"/>
              </w:rPr>
            </w:pPr>
            <w:r>
              <w:rPr>
                <w:rFonts w:hint="eastAsia"/>
                <w:highlight w:val="none"/>
              </w:rPr>
              <w:t>m</w:t>
            </w:r>
          </w:p>
        </w:tc>
        <w:tc>
          <w:tcPr>
            <w:tcW w:w="2132" w:type="dxa"/>
            <w:noWra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0" w:type="dxa"/>
            <w:noWrap/>
          </w:tcPr>
          <w:p>
            <w:pPr>
              <w:rPr>
                <w:highlight w:val="none"/>
              </w:rPr>
            </w:pPr>
            <w:r>
              <w:rPr>
                <w:rFonts w:hint="eastAsia"/>
                <w:highlight w:val="none"/>
              </w:rPr>
              <w:t>铸铁井盖φ700</w:t>
            </w:r>
          </w:p>
        </w:tc>
        <w:tc>
          <w:tcPr>
            <w:tcW w:w="1307" w:type="dxa"/>
            <w:noWrap/>
          </w:tcPr>
          <w:p>
            <w:pPr>
              <w:rPr>
                <w:highlight w:val="none"/>
              </w:rPr>
            </w:pPr>
            <w:r>
              <w:rPr>
                <w:rFonts w:hint="eastAsia"/>
                <w:highlight w:val="none"/>
              </w:rPr>
              <w:t>10</w:t>
            </w:r>
          </w:p>
        </w:tc>
        <w:tc>
          <w:tcPr>
            <w:tcW w:w="1420" w:type="dxa"/>
            <w:noWrap/>
          </w:tcPr>
          <w:p>
            <w:pPr>
              <w:rPr>
                <w:highlight w:val="none"/>
              </w:rPr>
            </w:pPr>
            <w:r>
              <w:rPr>
                <w:rFonts w:hint="eastAsia"/>
                <w:highlight w:val="none"/>
              </w:rPr>
              <w:t>套</w:t>
            </w:r>
          </w:p>
        </w:tc>
        <w:tc>
          <w:tcPr>
            <w:tcW w:w="2132" w:type="dxa"/>
            <w:noWra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0" w:type="dxa"/>
            <w:noWrap/>
          </w:tcPr>
          <w:p>
            <w:pPr>
              <w:rPr>
                <w:highlight w:val="none"/>
              </w:rPr>
            </w:pPr>
            <w:r>
              <w:rPr>
                <w:rFonts w:hint="eastAsia"/>
                <w:highlight w:val="none"/>
              </w:rPr>
              <w:t>复合井盖φ700(城北无需)</w:t>
            </w:r>
          </w:p>
        </w:tc>
        <w:tc>
          <w:tcPr>
            <w:tcW w:w="1307" w:type="dxa"/>
            <w:noWrap/>
          </w:tcPr>
          <w:p>
            <w:pPr>
              <w:rPr>
                <w:highlight w:val="none"/>
              </w:rPr>
            </w:pPr>
            <w:r>
              <w:rPr>
                <w:rFonts w:hint="eastAsia"/>
                <w:highlight w:val="none"/>
              </w:rPr>
              <w:t>10</w:t>
            </w:r>
          </w:p>
        </w:tc>
        <w:tc>
          <w:tcPr>
            <w:tcW w:w="1420" w:type="dxa"/>
            <w:noWrap/>
          </w:tcPr>
          <w:p>
            <w:pPr>
              <w:rPr>
                <w:highlight w:val="none"/>
              </w:rPr>
            </w:pPr>
            <w:r>
              <w:rPr>
                <w:rFonts w:hint="eastAsia"/>
                <w:highlight w:val="none"/>
              </w:rPr>
              <w:t>套</w:t>
            </w:r>
          </w:p>
        </w:tc>
        <w:tc>
          <w:tcPr>
            <w:tcW w:w="2132" w:type="dxa"/>
            <w:noWra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0" w:type="dxa"/>
            <w:noWrap/>
          </w:tcPr>
          <w:p>
            <w:pPr>
              <w:rPr>
                <w:highlight w:val="none"/>
              </w:rPr>
            </w:pPr>
            <w:r>
              <w:rPr>
                <w:rFonts w:hint="eastAsia"/>
                <w:highlight w:val="none"/>
              </w:rPr>
              <w:t>雨水口井篦</w:t>
            </w:r>
          </w:p>
        </w:tc>
        <w:tc>
          <w:tcPr>
            <w:tcW w:w="1307" w:type="dxa"/>
            <w:noWrap/>
          </w:tcPr>
          <w:p>
            <w:pPr>
              <w:rPr>
                <w:highlight w:val="none"/>
              </w:rPr>
            </w:pPr>
            <w:r>
              <w:rPr>
                <w:rFonts w:hint="eastAsia"/>
                <w:highlight w:val="none"/>
              </w:rPr>
              <w:t>15</w:t>
            </w:r>
          </w:p>
        </w:tc>
        <w:tc>
          <w:tcPr>
            <w:tcW w:w="1420" w:type="dxa"/>
            <w:noWrap/>
          </w:tcPr>
          <w:p>
            <w:pPr>
              <w:rPr>
                <w:highlight w:val="none"/>
              </w:rPr>
            </w:pPr>
            <w:r>
              <w:rPr>
                <w:rFonts w:hint="eastAsia"/>
                <w:highlight w:val="none"/>
              </w:rPr>
              <w:t>套</w:t>
            </w:r>
          </w:p>
        </w:tc>
        <w:tc>
          <w:tcPr>
            <w:tcW w:w="2132" w:type="dxa"/>
            <w:noWra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0" w:type="dxa"/>
            <w:noWrap/>
          </w:tcPr>
          <w:p>
            <w:pPr>
              <w:rPr>
                <w:highlight w:val="none"/>
              </w:rPr>
            </w:pPr>
            <w:r>
              <w:rPr>
                <w:rFonts w:hint="eastAsia"/>
                <w:highlight w:val="none"/>
              </w:rPr>
              <w:t>备用反光服</w:t>
            </w:r>
          </w:p>
        </w:tc>
        <w:tc>
          <w:tcPr>
            <w:tcW w:w="1307" w:type="dxa"/>
            <w:noWrap/>
          </w:tcPr>
          <w:p>
            <w:pPr>
              <w:rPr>
                <w:highlight w:val="none"/>
              </w:rPr>
            </w:pPr>
            <w:r>
              <w:rPr>
                <w:rFonts w:hint="eastAsia"/>
                <w:highlight w:val="none"/>
              </w:rPr>
              <w:t>5</w:t>
            </w:r>
          </w:p>
        </w:tc>
        <w:tc>
          <w:tcPr>
            <w:tcW w:w="1420" w:type="dxa"/>
            <w:noWrap/>
          </w:tcPr>
          <w:p>
            <w:pPr>
              <w:rPr>
                <w:highlight w:val="none"/>
              </w:rPr>
            </w:pPr>
            <w:r>
              <w:rPr>
                <w:rFonts w:hint="eastAsia"/>
                <w:highlight w:val="none"/>
              </w:rPr>
              <w:t>套</w:t>
            </w:r>
          </w:p>
        </w:tc>
        <w:tc>
          <w:tcPr>
            <w:tcW w:w="2132" w:type="dxa"/>
            <w:noWra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0" w:type="dxa"/>
            <w:noWrap/>
          </w:tcPr>
          <w:p>
            <w:pPr>
              <w:rPr>
                <w:highlight w:val="none"/>
              </w:rPr>
            </w:pPr>
            <w:r>
              <w:rPr>
                <w:rFonts w:hint="eastAsia"/>
                <w:highlight w:val="none"/>
              </w:rPr>
              <w:t>灭火器</w:t>
            </w:r>
          </w:p>
        </w:tc>
        <w:tc>
          <w:tcPr>
            <w:tcW w:w="1307" w:type="dxa"/>
            <w:noWrap/>
          </w:tcPr>
          <w:p>
            <w:pPr>
              <w:rPr>
                <w:highlight w:val="none"/>
              </w:rPr>
            </w:pPr>
            <w:r>
              <w:rPr>
                <w:rFonts w:hint="eastAsia"/>
                <w:highlight w:val="none"/>
              </w:rPr>
              <w:t>2</w:t>
            </w:r>
          </w:p>
        </w:tc>
        <w:tc>
          <w:tcPr>
            <w:tcW w:w="1420" w:type="dxa"/>
            <w:noWrap/>
          </w:tcPr>
          <w:p>
            <w:pPr>
              <w:rPr>
                <w:highlight w:val="none"/>
              </w:rPr>
            </w:pPr>
            <w:r>
              <w:rPr>
                <w:rFonts w:hint="eastAsia"/>
                <w:highlight w:val="none"/>
              </w:rPr>
              <w:t>套</w:t>
            </w:r>
          </w:p>
        </w:tc>
        <w:tc>
          <w:tcPr>
            <w:tcW w:w="2132" w:type="dxa"/>
            <w:noWra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0" w:type="dxa"/>
            <w:noWrap/>
          </w:tcPr>
          <w:p>
            <w:pPr>
              <w:rPr>
                <w:highlight w:val="none"/>
              </w:rPr>
            </w:pPr>
          </w:p>
        </w:tc>
        <w:tc>
          <w:tcPr>
            <w:tcW w:w="1307" w:type="dxa"/>
            <w:noWrap/>
          </w:tcPr>
          <w:p>
            <w:pPr>
              <w:rPr>
                <w:highlight w:val="none"/>
              </w:rPr>
            </w:pPr>
          </w:p>
        </w:tc>
        <w:tc>
          <w:tcPr>
            <w:tcW w:w="1420" w:type="dxa"/>
            <w:noWrap/>
          </w:tcPr>
          <w:p>
            <w:pPr>
              <w:rPr>
                <w:highlight w:val="none"/>
              </w:rPr>
            </w:pPr>
          </w:p>
        </w:tc>
        <w:tc>
          <w:tcPr>
            <w:tcW w:w="2132" w:type="dxa"/>
            <w:noWra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0" w:type="dxa"/>
            <w:noWrap/>
          </w:tcPr>
          <w:p>
            <w:pPr>
              <w:rPr>
                <w:highlight w:val="none"/>
              </w:rPr>
            </w:pPr>
          </w:p>
        </w:tc>
        <w:tc>
          <w:tcPr>
            <w:tcW w:w="1307" w:type="dxa"/>
            <w:noWrap/>
          </w:tcPr>
          <w:p>
            <w:pPr>
              <w:rPr>
                <w:highlight w:val="none"/>
              </w:rPr>
            </w:pPr>
          </w:p>
        </w:tc>
        <w:tc>
          <w:tcPr>
            <w:tcW w:w="1420" w:type="dxa"/>
            <w:noWrap/>
          </w:tcPr>
          <w:p>
            <w:pPr>
              <w:rPr>
                <w:highlight w:val="none"/>
              </w:rPr>
            </w:pPr>
          </w:p>
        </w:tc>
        <w:tc>
          <w:tcPr>
            <w:tcW w:w="2132" w:type="dxa"/>
            <w:noWrap/>
          </w:tcPr>
          <w:p>
            <w:pPr>
              <w:rPr>
                <w:highlight w:val="none"/>
              </w:rPr>
            </w:pPr>
          </w:p>
        </w:tc>
      </w:tr>
    </w:tbl>
    <w:p>
      <w:pPr>
        <w:rPr>
          <w:highlight w:val="none"/>
        </w:rPr>
      </w:pPr>
    </w:p>
    <w:p>
      <w:pPr>
        <w:jc w:val="center"/>
        <w:rPr>
          <w:sz w:val="28"/>
          <w:szCs w:val="36"/>
          <w:highlight w:val="none"/>
        </w:rPr>
      </w:pPr>
      <w:r>
        <w:rPr>
          <w:rFonts w:hint="eastAsia"/>
          <w:sz w:val="28"/>
          <w:szCs w:val="36"/>
          <w:highlight w:val="none"/>
        </w:rPr>
        <w:t>应急物资表</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0"/>
        <w:gridCol w:w="1307"/>
        <w:gridCol w:w="1420"/>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0" w:type="dxa"/>
            <w:noWrap/>
          </w:tcPr>
          <w:p>
            <w:pPr>
              <w:jc w:val="center"/>
              <w:rPr>
                <w:highlight w:val="none"/>
              </w:rPr>
            </w:pPr>
            <w:r>
              <w:rPr>
                <w:rFonts w:hint="eastAsia"/>
                <w:highlight w:val="none"/>
              </w:rPr>
              <w:t>物资名称</w:t>
            </w:r>
          </w:p>
        </w:tc>
        <w:tc>
          <w:tcPr>
            <w:tcW w:w="1307" w:type="dxa"/>
            <w:noWrap/>
          </w:tcPr>
          <w:p>
            <w:pPr>
              <w:jc w:val="center"/>
              <w:rPr>
                <w:highlight w:val="none"/>
              </w:rPr>
            </w:pPr>
            <w:r>
              <w:rPr>
                <w:rFonts w:hint="eastAsia"/>
                <w:highlight w:val="none"/>
              </w:rPr>
              <w:t>数量</w:t>
            </w:r>
          </w:p>
        </w:tc>
        <w:tc>
          <w:tcPr>
            <w:tcW w:w="1420" w:type="dxa"/>
            <w:noWrap/>
          </w:tcPr>
          <w:p>
            <w:pPr>
              <w:jc w:val="center"/>
              <w:rPr>
                <w:highlight w:val="none"/>
              </w:rPr>
            </w:pPr>
            <w:r>
              <w:rPr>
                <w:rFonts w:hint="eastAsia"/>
                <w:highlight w:val="none"/>
              </w:rPr>
              <w:t>单位</w:t>
            </w:r>
          </w:p>
        </w:tc>
        <w:tc>
          <w:tcPr>
            <w:tcW w:w="2132" w:type="dxa"/>
            <w:noWrap/>
          </w:tcPr>
          <w:p>
            <w:pPr>
              <w:jc w:val="center"/>
              <w:rPr>
                <w:highlight w:val="none"/>
              </w:rPr>
            </w:pPr>
            <w:r>
              <w:rPr>
                <w:rFonts w:hint="eastAsia"/>
                <w:highlight w:val="none"/>
              </w:rPr>
              <w:t>实际存储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0" w:type="dxa"/>
            <w:noWrap/>
          </w:tcPr>
          <w:p>
            <w:pPr>
              <w:rPr>
                <w:highlight w:val="none"/>
              </w:rPr>
            </w:pPr>
            <w:r>
              <w:rPr>
                <w:rFonts w:hint="eastAsia"/>
                <w:sz w:val="24"/>
                <w:szCs w:val="32"/>
                <w:highlight w:val="none"/>
              </w:rPr>
              <w:t>防汛</w:t>
            </w:r>
          </w:p>
        </w:tc>
        <w:tc>
          <w:tcPr>
            <w:tcW w:w="4859" w:type="dxa"/>
            <w:gridSpan w:val="3"/>
            <w:noWra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0" w:type="dxa"/>
            <w:noWrap/>
          </w:tcPr>
          <w:p>
            <w:pPr>
              <w:rPr>
                <w:highlight w:val="none"/>
              </w:rPr>
            </w:pPr>
            <w:r>
              <w:rPr>
                <w:rFonts w:hint="eastAsia"/>
                <w:highlight w:val="none"/>
              </w:rPr>
              <w:t>爆闪灯</w:t>
            </w:r>
          </w:p>
        </w:tc>
        <w:tc>
          <w:tcPr>
            <w:tcW w:w="1307" w:type="dxa"/>
            <w:noWrap/>
          </w:tcPr>
          <w:p>
            <w:pPr>
              <w:rPr>
                <w:highlight w:val="none"/>
              </w:rPr>
            </w:pPr>
            <w:r>
              <w:rPr>
                <w:rFonts w:hint="eastAsia"/>
                <w:highlight w:val="none"/>
              </w:rPr>
              <w:t>6</w:t>
            </w:r>
          </w:p>
        </w:tc>
        <w:tc>
          <w:tcPr>
            <w:tcW w:w="1420" w:type="dxa"/>
            <w:noWrap/>
          </w:tcPr>
          <w:p>
            <w:pPr>
              <w:rPr>
                <w:highlight w:val="none"/>
              </w:rPr>
            </w:pPr>
            <w:r>
              <w:rPr>
                <w:rFonts w:hint="eastAsia"/>
                <w:highlight w:val="none"/>
              </w:rPr>
              <w:t>个</w:t>
            </w:r>
          </w:p>
        </w:tc>
        <w:tc>
          <w:tcPr>
            <w:tcW w:w="2132" w:type="dxa"/>
            <w:noWra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0" w:type="dxa"/>
            <w:noWrap/>
          </w:tcPr>
          <w:p>
            <w:pPr>
              <w:rPr>
                <w:highlight w:val="none"/>
              </w:rPr>
            </w:pPr>
            <w:r>
              <w:rPr>
                <w:rFonts w:hint="eastAsia"/>
                <w:highlight w:val="none"/>
              </w:rPr>
              <w:t>锥形桶</w:t>
            </w:r>
          </w:p>
        </w:tc>
        <w:tc>
          <w:tcPr>
            <w:tcW w:w="1307" w:type="dxa"/>
            <w:noWrap/>
          </w:tcPr>
          <w:p>
            <w:pPr>
              <w:rPr>
                <w:highlight w:val="none"/>
              </w:rPr>
            </w:pPr>
            <w:r>
              <w:rPr>
                <w:rFonts w:hint="eastAsia"/>
                <w:highlight w:val="none"/>
              </w:rPr>
              <w:t>50</w:t>
            </w:r>
          </w:p>
        </w:tc>
        <w:tc>
          <w:tcPr>
            <w:tcW w:w="1420" w:type="dxa"/>
            <w:noWrap/>
          </w:tcPr>
          <w:p>
            <w:pPr>
              <w:rPr>
                <w:highlight w:val="none"/>
              </w:rPr>
            </w:pPr>
            <w:r>
              <w:rPr>
                <w:rFonts w:hint="eastAsia"/>
                <w:highlight w:val="none"/>
              </w:rPr>
              <w:t>个</w:t>
            </w:r>
          </w:p>
        </w:tc>
        <w:tc>
          <w:tcPr>
            <w:tcW w:w="2132" w:type="dxa"/>
            <w:noWra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0" w:type="dxa"/>
            <w:noWrap/>
          </w:tcPr>
          <w:p>
            <w:pPr>
              <w:rPr>
                <w:highlight w:val="none"/>
              </w:rPr>
            </w:pPr>
            <w:r>
              <w:rPr>
                <w:rFonts w:hint="eastAsia"/>
                <w:highlight w:val="none"/>
              </w:rPr>
              <w:t>围挡</w:t>
            </w:r>
          </w:p>
        </w:tc>
        <w:tc>
          <w:tcPr>
            <w:tcW w:w="1307" w:type="dxa"/>
            <w:noWrap/>
          </w:tcPr>
          <w:p>
            <w:pPr>
              <w:rPr>
                <w:highlight w:val="none"/>
              </w:rPr>
            </w:pPr>
            <w:r>
              <w:rPr>
                <w:rFonts w:hint="eastAsia"/>
                <w:highlight w:val="none"/>
              </w:rPr>
              <w:t>100</w:t>
            </w:r>
          </w:p>
        </w:tc>
        <w:tc>
          <w:tcPr>
            <w:tcW w:w="1420" w:type="dxa"/>
            <w:noWrap/>
          </w:tcPr>
          <w:p>
            <w:pPr>
              <w:rPr>
                <w:highlight w:val="none"/>
              </w:rPr>
            </w:pPr>
            <w:r>
              <w:rPr>
                <w:rFonts w:hint="eastAsia"/>
                <w:highlight w:val="none"/>
              </w:rPr>
              <w:t>米</w:t>
            </w:r>
          </w:p>
        </w:tc>
        <w:tc>
          <w:tcPr>
            <w:tcW w:w="2132" w:type="dxa"/>
            <w:noWra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0" w:type="dxa"/>
            <w:noWrap/>
          </w:tcPr>
          <w:p>
            <w:pPr>
              <w:rPr>
                <w:highlight w:val="none"/>
              </w:rPr>
            </w:pPr>
            <w:r>
              <w:rPr>
                <w:rFonts w:hint="eastAsia"/>
                <w:highlight w:val="none"/>
              </w:rPr>
              <w:t>警示标志牌</w:t>
            </w:r>
          </w:p>
        </w:tc>
        <w:tc>
          <w:tcPr>
            <w:tcW w:w="1307" w:type="dxa"/>
            <w:noWrap/>
          </w:tcPr>
          <w:p>
            <w:pPr>
              <w:rPr>
                <w:highlight w:val="none"/>
              </w:rPr>
            </w:pPr>
            <w:r>
              <w:rPr>
                <w:rFonts w:hint="eastAsia"/>
                <w:highlight w:val="none"/>
              </w:rPr>
              <w:t>6</w:t>
            </w:r>
          </w:p>
        </w:tc>
        <w:tc>
          <w:tcPr>
            <w:tcW w:w="1420" w:type="dxa"/>
            <w:noWrap/>
          </w:tcPr>
          <w:p>
            <w:pPr>
              <w:rPr>
                <w:highlight w:val="none"/>
              </w:rPr>
            </w:pPr>
            <w:r>
              <w:rPr>
                <w:rFonts w:hint="eastAsia"/>
                <w:highlight w:val="none"/>
              </w:rPr>
              <w:t>个</w:t>
            </w:r>
          </w:p>
        </w:tc>
        <w:tc>
          <w:tcPr>
            <w:tcW w:w="2132" w:type="dxa"/>
            <w:noWra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0" w:type="dxa"/>
            <w:noWrap/>
          </w:tcPr>
          <w:p>
            <w:pPr>
              <w:rPr>
                <w:highlight w:val="none"/>
              </w:rPr>
            </w:pPr>
          </w:p>
        </w:tc>
        <w:tc>
          <w:tcPr>
            <w:tcW w:w="1307" w:type="dxa"/>
            <w:noWrap/>
          </w:tcPr>
          <w:p>
            <w:pPr>
              <w:rPr>
                <w:highlight w:val="none"/>
              </w:rPr>
            </w:pPr>
          </w:p>
        </w:tc>
        <w:tc>
          <w:tcPr>
            <w:tcW w:w="1420" w:type="dxa"/>
            <w:noWrap/>
          </w:tcPr>
          <w:p>
            <w:pPr>
              <w:rPr>
                <w:highlight w:val="none"/>
              </w:rPr>
            </w:pPr>
          </w:p>
        </w:tc>
        <w:tc>
          <w:tcPr>
            <w:tcW w:w="2132" w:type="dxa"/>
            <w:noWra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0" w:type="dxa"/>
            <w:noWrap/>
          </w:tcPr>
          <w:p>
            <w:pPr>
              <w:rPr>
                <w:highlight w:val="none"/>
              </w:rPr>
            </w:pPr>
          </w:p>
        </w:tc>
        <w:tc>
          <w:tcPr>
            <w:tcW w:w="1307" w:type="dxa"/>
            <w:noWrap/>
          </w:tcPr>
          <w:p>
            <w:pPr>
              <w:rPr>
                <w:highlight w:val="none"/>
              </w:rPr>
            </w:pPr>
          </w:p>
        </w:tc>
        <w:tc>
          <w:tcPr>
            <w:tcW w:w="1420" w:type="dxa"/>
            <w:noWrap/>
          </w:tcPr>
          <w:p>
            <w:pPr>
              <w:rPr>
                <w:highlight w:val="none"/>
              </w:rPr>
            </w:pPr>
          </w:p>
        </w:tc>
        <w:tc>
          <w:tcPr>
            <w:tcW w:w="2132" w:type="dxa"/>
            <w:noWra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9" w:type="dxa"/>
            <w:gridSpan w:val="4"/>
            <w:noWra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0" w:type="dxa"/>
            <w:noWrap/>
          </w:tcPr>
          <w:p>
            <w:pPr>
              <w:rPr>
                <w:rFonts w:ascii="Calibri" w:hAnsi="Calibri"/>
                <w:highlight w:val="none"/>
              </w:rPr>
            </w:pPr>
            <w:r>
              <w:rPr>
                <w:rFonts w:hint="eastAsia"/>
                <w:sz w:val="24"/>
                <w:szCs w:val="32"/>
                <w:highlight w:val="none"/>
              </w:rPr>
              <w:t>暴雪</w:t>
            </w:r>
          </w:p>
        </w:tc>
        <w:tc>
          <w:tcPr>
            <w:tcW w:w="4859" w:type="dxa"/>
            <w:gridSpan w:val="3"/>
            <w:noWra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0" w:type="dxa"/>
            <w:noWrap/>
          </w:tcPr>
          <w:p>
            <w:pPr>
              <w:rPr>
                <w:rFonts w:ascii="Calibri" w:hAnsi="Calibri"/>
                <w:highlight w:val="none"/>
              </w:rPr>
            </w:pPr>
            <w:r>
              <w:rPr>
                <w:rFonts w:hint="eastAsia"/>
                <w:highlight w:val="none"/>
              </w:rPr>
              <w:t>工业盐</w:t>
            </w:r>
          </w:p>
        </w:tc>
        <w:tc>
          <w:tcPr>
            <w:tcW w:w="1307" w:type="dxa"/>
            <w:noWrap/>
          </w:tcPr>
          <w:p>
            <w:pPr>
              <w:rPr>
                <w:highlight w:val="none"/>
              </w:rPr>
            </w:pPr>
            <w:r>
              <w:rPr>
                <w:rFonts w:hint="eastAsia"/>
                <w:highlight w:val="none"/>
              </w:rPr>
              <w:t>200</w:t>
            </w:r>
          </w:p>
        </w:tc>
        <w:tc>
          <w:tcPr>
            <w:tcW w:w="1420" w:type="dxa"/>
            <w:noWrap/>
          </w:tcPr>
          <w:p>
            <w:pPr>
              <w:rPr>
                <w:highlight w:val="none"/>
              </w:rPr>
            </w:pPr>
            <w:r>
              <w:rPr>
                <w:rFonts w:hint="eastAsia"/>
                <w:highlight w:val="none"/>
              </w:rPr>
              <w:t>千克</w:t>
            </w:r>
          </w:p>
        </w:tc>
        <w:tc>
          <w:tcPr>
            <w:tcW w:w="2132" w:type="dxa"/>
            <w:noWra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0" w:type="dxa"/>
            <w:noWrap/>
          </w:tcPr>
          <w:p>
            <w:pPr>
              <w:rPr>
                <w:highlight w:val="none"/>
              </w:rPr>
            </w:pPr>
            <w:r>
              <w:rPr>
                <w:rFonts w:hint="eastAsia"/>
                <w:highlight w:val="none"/>
              </w:rPr>
              <w:t>草皮</w:t>
            </w:r>
          </w:p>
        </w:tc>
        <w:tc>
          <w:tcPr>
            <w:tcW w:w="1307" w:type="dxa"/>
            <w:noWrap/>
          </w:tcPr>
          <w:p>
            <w:pPr>
              <w:rPr>
                <w:highlight w:val="none"/>
              </w:rPr>
            </w:pPr>
            <w:r>
              <w:rPr>
                <w:rFonts w:hint="eastAsia"/>
                <w:highlight w:val="none"/>
              </w:rPr>
              <w:t>300</w:t>
            </w:r>
          </w:p>
        </w:tc>
        <w:tc>
          <w:tcPr>
            <w:tcW w:w="1420" w:type="dxa"/>
            <w:noWrap/>
          </w:tcPr>
          <w:p>
            <w:pPr>
              <w:rPr>
                <w:highlight w:val="none"/>
              </w:rPr>
            </w:pPr>
            <w:r>
              <w:rPr>
                <w:rFonts w:hint="eastAsia"/>
                <w:highlight w:val="none"/>
              </w:rPr>
              <w:t>平方</w:t>
            </w:r>
          </w:p>
        </w:tc>
        <w:tc>
          <w:tcPr>
            <w:tcW w:w="2132" w:type="dxa"/>
            <w:noWra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0" w:type="dxa"/>
            <w:noWrap/>
          </w:tcPr>
          <w:p>
            <w:pPr>
              <w:rPr>
                <w:highlight w:val="none"/>
              </w:rPr>
            </w:pPr>
          </w:p>
        </w:tc>
        <w:tc>
          <w:tcPr>
            <w:tcW w:w="1307" w:type="dxa"/>
            <w:noWrap/>
          </w:tcPr>
          <w:p>
            <w:pPr>
              <w:rPr>
                <w:highlight w:val="none"/>
              </w:rPr>
            </w:pPr>
          </w:p>
        </w:tc>
        <w:tc>
          <w:tcPr>
            <w:tcW w:w="1420" w:type="dxa"/>
            <w:noWrap/>
          </w:tcPr>
          <w:p>
            <w:pPr>
              <w:rPr>
                <w:highlight w:val="none"/>
              </w:rPr>
            </w:pPr>
          </w:p>
        </w:tc>
        <w:tc>
          <w:tcPr>
            <w:tcW w:w="2132" w:type="dxa"/>
            <w:noWra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0" w:type="dxa"/>
            <w:noWrap/>
          </w:tcPr>
          <w:p>
            <w:pPr>
              <w:rPr>
                <w:highlight w:val="none"/>
              </w:rPr>
            </w:pPr>
          </w:p>
        </w:tc>
        <w:tc>
          <w:tcPr>
            <w:tcW w:w="1307" w:type="dxa"/>
            <w:noWrap/>
          </w:tcPr>
          <w:p>
            <w:pPr>
              <w:rPr>
                <w:highlight w:val="none"/>
              </w:rPr>
            </w:pPr>
          </w:p>
        </w:tc>
        <w:tc>
          <w:tcPr>
            <w:tcW w:w="1420" w:type="dxa"/>
            <w:noWrap/>
          </w:tcPr>
          <w:p>
            <w:pPr>
              <w:rPr>
                <w:highlight w:val="none"/>
              </w:rPr>
            </w:pPr>
          </w:p>
        </w:tc>
        <w:tc>
          <w:tcPr>
            <w:tcW w:w="2132" w:type="dxa"/>
            <w:noWra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0" w:type="dxa"/>
            <w:noWrap/>
          </w:tcPr>
          <w:p>
            <w:pPr>
              <w:rPr>
                <w:highlight w:val="none"/>
              </w:rPr>
            </w:pPr>
          </w:p>
        </w:tc>
        <w:tc>
          <w:tcPr>
            <w:tcW w:w="1307" w:type="dxa"/>
            <w:noWrap/>
          </w:tcPr>
          <w:p>
            <w:pPr>
              <w:rPr>
                <w:highlight w:val="none"/>
              </w:rPr>
            </w:pPr>
          </w:p>
        </w:tc>
        <w:tc>
          <w:tcPr>
            <w:tcW w:w="1420" w:type="dxa"/>
            <w:noWrap/>
          </w:tcPr>
          <w:p>
            <w:pPr>
              <w:rPr>
                <w:highlight w:val="none"/>
              </w:rPr>
            </w:pPr>
          </w:p>
        </w:tc>
        <w:tc>
          <w:tcPr>
            <w:tcW w:w="2132" w:type="dxa"/>
            <w:noWrap/>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0" w:type="dxa"/>
            <w:noWrap/>
          </w:tcPr>
          <w:p>
            <w:pPr>
              <w:rPr>
                <w:highlight w:val="none"/>
              </w:rPr>
            </w:pPr>
          </w:p>
        </w:tc>
        <w:tc>
          <w:tcPr>
            <w:tcW w:w="1307" w:type="dxa"/>
            <w:noWrap/>
          </w:tcPr>
          <w:p>
            <w:pPr>
              <w:rPr>
                <w:highlight w:val="none"/>
              </w:rPr>
            </w:pPr>
          </w:p>
        </w:tc>
        <w:tc>
          <w:tcPr>
            <w:tcW w:w="1420" w:type="dxa"/>
            <w:noWrap/>
          </w:tcPr>
          <w:p>
            <w:pPr>
              <w:rPr>
                <w:highlight w:val="none"/>
              </w:rPr>
            </w:pPr>
          </w:p>
        </w:tc>
        <w:tc>
          <w:tcPr>
            <w:tcW w:w="2132" w:type="dxa"/>
            <w:noWrap/>
          </w:tcPr>
          <w:p>
            <w:pPr>
              <w:rPr>
                <w:highlight w:val="none"/>
              </w:rPr>
            </w:pPr>
          </w:p>
        </w:tc>
      </w:tr>
    </w:tbl>
    <w:p>
      <w:pPr>
        <w:rPr>
          <w:highlight w:val="none"/>
        </w:rPr>
      </w:pPr>
    </w:p>
    <w:p>
      <w:pPr>
        <w:pStyle w:val="24"/>
        <w:ind w:left="0" w:firstLine="0"/>
        <w:rPr>
          <w:highlight w:val="none"/>
        </w:rPr>
      </w:pPr>
    </w:p>
    <w:p>
      <w:pPr>
        <w:pStyle w:val="24"/>
        <w:ind w:left="0" w:firstLine="0"/>
        <w:rPr>
          <w:highlight w:val="none"/>
        </w:rPr>
      </w:pPr>
    </w:p>
    <w:p>
      <w:pPr>
        <w:pStyle w:val="24"/>
        <w:ind w:left="0" w:firstLine="0"/>
        <w:rPr>
          <w:highlight w:val="none"/>
        </w:rPr>
      </w:pPr>
    </w:p>
    <w:p>
      <w:pPr>
        <w:pStyle w:val="24"/>
        <w:ind w:left="0" w:firstLine="0"/>
        <w:rPr>
          <w:highlight w:val="none"/>
        </w:rPr>
      </w:pPr>
    </w:p>
    <w:p>
      <w:pPr>
        <w:pStyle w:val="24"/>
        <w:ind w:left="0" w:firstLine="0"/>
        <w:rPr>
          <w:highlight w:val="none"/>
        </w:rPr>
      </w:pPr>
    </w:p>
    <w:p>
      <w:pPr>
        <w:pStyle w:val="24"/>
        <w:ind w:left="0" w:firstLine="0"/>
        <w:rPr>
          <w:highlight w:val="none"/>
        </w:rPr>
      </w:pPr>
    </w:p>
    <w:p>
      <w:pPr>
        <w:pStyle w:val="24"/>
        <w:ind w:left="0" w:firstLine="0"/>
        <w:rPr>
          <w:highlight w:val="none"/>
        </w:rPr>
      </w:pPr>
    </w:p>
    <w:p>
      <w:pPr>
        <w:pStyle w:val="24"/>
        <w:ind w:left="0" w:firstLine="0"/>
        <w:rPr>
          <w:highlight w:val="none"/>
        </w:rPr>
      </w:pPr>
    </w:p>
    <w:p>
      <w:pPr>
        <w:pStyle w:val="24"/>
        <w:ind w:left="0" w:firstLine="0"/>
        <w:rPr>
          <w:highlight w:val="none"/>
        </w:rPr>
      </w:pPr>
    </w:p>
    <w:p>
      <w:pPr>
        <w:pStyle w:val="24"/>
        <w:ind w:left="0" w:firstLine="0"/>
        <w:rPr>
          <w:highlight w:val="none"/>
        </w:rPr>
      </w:pPr>
    </w:p>
    <w:p>
      <w:pPr>
        <w:pStyle w:val="24"/>
        <w:ind w:left="0" w:firstLine="0"/>
        <w:rPr>
          <w:highlight w:val="none"/>
        </w:rPr>
      </w:pPr>
    </w:p>
    <w:p>
      <w:pPr>
        <w:pStyle w:val="24"/>
        <w:ind w:left="0" w:firstLine="0"/>
        <w:rPr>
          <w:highlight w:val="none"/>
        </w:rPr>
      </w:pPr>
    </w:p>
    <w:p>
      <w:pPr>
        <w:pStyle w:val="24"/>
        <w:ind w:left="0" w:firstLine="0"/>
        <w:rPr>
          <w:highlight w:val="none"/>
        </w:rPr>
      </w:pPr>
    </w:p>
    <w:p>
      <w:pPr>
        <w:pStyle w:val="24"/>
        <w:ind w:left="0" w:firstLine="0"/>
        <w:rPr>
          <w:highlight w:val="none"/>
        </w:rPr>
      </w:pPr>
    </w:p>
    <w:p>
      <w:pPr>
        <w:pStyle w:val="24"/>
        <w:ind w:left="0" w:firstLine="0"/>
        <w:rPr>
          <w:sz w:val="84"/>
          <w:szCs w:val="84"/>
          <w:highlight w:val="none"/>
        </w:rPr>
      </w:pPr>
      <w:r>
        <w:rPr>
          <w:rFonts w:hint="eastAsia"/>
          <w:highlight w:val="none"/>
        </w:rPr>
        <w:t>附件4：</w:t>
      </w:r>
    </w:p>
    <w:p>
      <w:pPr>
        <w:spacing w:line="360" w:lineRule="auto"/>
        <w:jc w:val="center"/>
        <w:rPr>
          <w:rFonts w:ascii="黑体" w:hAnsi="黑体" w:eastAsia="黑体" w:cs="黑体"/>
          <w:sz w:val="32"/>
          <w:szCs w:val="32"/>
          <w:highlight w:val="none"/>
        </w:rPr>
      </w:pPr>
    </w:p>
    <w:p>
      <w:pPr>
        <w:spacing w:line="360" w:lineRule="auto"/>
        <w:jc w:val="center"/>
        <w:rPr>
          <w:rFonts w:ascii="黑体" w:hAnsi="黑体" w:eastAsia="黑体" w:cs="黑体"/>
          <w:sz w:val="32"/>
          <w:szCs w:val="32"/>
          <w:highlight w:val="none"/>
        </w:rPr>
      </w:pPr>
      <w:r>
        <w:rPr>
          <w:rFonts w:hint="eastAsia" w:ascii="黑体" w:hAnsi="黑体" w:eastAsia="黑体" w:cs="黑体"/>
          <w:sz w:val="32"/>
          <w:szCs w:val="32"/>
          <w:highlight w:val="none"/>
        </w:rPr>
        <w:t>安全生产合同</w:t>
      </w:r>
    </w:p>
    <w:p>
      <w:pPr>
        <w:spacing w:beforeLines="50" w:line="420" w:lineRule="exact"/>
        <w:ind w:firstLine="480" w:firstLineChars="200"/>
        <w:rPr>
          <w:rFonts w:ascii="仿宋_GB2312" w:eastAsia="仿宋_GB2312"/>
          <w:sz w:val="24"/>
          <w:highlight w:val="none"/>
        </w:rPr>
      </w:pPr>
      <w:r>
        <w:rPr>
          <w:rFonts w:hint="eastAsia" w:ascii="仿宋_GB2312" w:hAnsi="宋体" w:eastAsia="仿宋_GB2312"/>
          <w:sz w:val="24"/>
          <w:highlight w:val="none"/>
        </w:rPr>
        <w:t>为认真贯彻“安全第一、预防为主、综合治理”的方针，加强施工安全生产监督管理，防止和减少安全事故，维护人民群众的财产与人身安全，使各项污水治理基础设施建设安全、有序的开展，根据《中华人民共和国安全生产法》、《中华人民共和国建筑法》、《建设工程质量管理条例》、《建设工程安全生产管理条例》、《建筑施工安全检查标准》等有关法律法规、强制性标准以及环境集团有关工程建设的相关规定，经协商，建设单位：</w:t>
      </w:r>
      <w:r>
        <w:rPr>
          <w:rFonts w:hint="eastAsia" w:ascii="仿宋_GB2312" w:hAnsi="宋体" w:eastAsia="仿宋_GB2312"/>
          <w:b/>
          <w:bCs/>
          <w:sz w:val="24"/>
          <w:szCs w:val="22"/>
          <w:highlight w:val="none"/>
          <w:u w:val="single"/>
        </w:rPr>
        <w:t>德清县市政管理处</w:t>
      </w:r>
      <w:r>
        <w:rPr>
          <w:rFonts w:hint="eastAsia" w:ascii="仿宋_GB2312" w:eastAsia="仿宋_GB2312"/>
          <w:sz w:val="24"/>
          <w:highlight w:val="none"/>
        </w:rPr>
        <w:t>（以下称甲方）与施工单位：（以下称乙方），</w:t>
      </w:r>
      <w:r>
        <w:rPr>
          <w:rFonts w:hint="eastAsia" w:ascii="仿宋_GB2312" w:hAnsi="宋体" w:eastAsia="仿宋_GB2312"/>
          <w:sz w:val="24"/>
          <w:highlight w:val="none"/>
        </w:rPr>
        <w:t>特签订 工程安全生产合同。</w:t>
      </w:r>
    </w:p>
    <w:p>
      <w:pPr>
        <w:spacing w:line="420" w:lineRule="exact"/>
        <w:ind w:firstLine="482" w:firstLineChars="200"/>
        <w:rPr>
          <w:rFonts w:ascii="仿宋_GB2312" w:hAnsi="宋体" w:eastAsia="仿宋_GB2312"/>
          <w:b/>
          <w:sz w:val="24"/>
          <w:highlight w:val="none"/>
        </w:rPr>
      </w:pPr>
      <w:r>
        <w:rPr>
          <w:rFonts w:hint="eastAsia" w:ascii="仿宋_GB2312" w:hAnsi="宋体" w:eastAsia="仿宋_GB2312"/>
          <w:b/>
          <w:sz w:val="24"/>
          <w:highlight w:val="none"/>
        </w:rPr>
        <w:t>一、管理目标</w:t>
      </w:r>
    </w:p>
    <w:p>
      <w:pPr>
        <w:spacing w:line="420" w:lineRule="exact"/>
        <w:ind w:firstLine="480" w:firstLineChars="200"/>
        <w:rPr>
          <w:rFonts w:ascii="仿宋_GB2312" w:hAnsi="宋体" w:eastAsia="仿宋_GB2312"/>
          <w:sz w:val="24"/>
          <w:highlight w:val="none"/>
        </w:rPr>
      </w:pPr>
      <w:r>
        <w:rPr>
          <w:rFonts w:hint="eastAsia" w:ascii="仿宋_GB2312" w:hAnsi="宋体" w:eastAsia="仿宋_GB2312"/>
          <w:sz w:val="24"/>
          <w:highlight w:val="none"/>
        </w:rPr>
        <w:t>乙方必须认真执行安全生产规章制度，严格加强建设工程的安全生产管理，防止人身伤亡和其他各类事故的发生。</w:t>
      </w:r>
    </w:p>
    <w:p>
      <w:pPr>
        <w:spacing w:line="420" w:lineRule="exact"/>
        <w:ind w:firstLine="482" w:firstLineChars="200"/>
        <w:rPr>
          <w:rFonts w:ascii="仿宋_GB2312" w:hAnsi="宋体" w:eastAsia="仿宋_GB2312"/>
          <w:sz w:val="24"/>
          <w:highlight w:val="none"/>
        </w:rPr>
      </w:pPr>
      <w:r>
        <w:rPr>
          <w:rFonts w:hint="eastAsia" w:ascii="仿宋_GB2312" w:hAnsi="宋体" w:eastAsia="仿宋_GB2312"/>
          <w:b/>
          <w:sz w:val="24"/>
          <w:highlight w:val="none"/>
        </w:rPr>
        <w:t>（一）劳动安全</w:t>
      </w:r>
    </w:p>
    <w:p>
      <w:pPr>
        <w:spacing w:line="420" w:lineRule="exact"/>
        <w:ind w:firstLine="480" w:firstLineChars="200"/>
        <w:rPr>
          <w:rFonts w:ascii="仿宋_GB2312" w:hAnsi="宋体" w:eastAsia="仿宋_GB2312"/>
          <w:sz w:val="24"/>
          <w:highlight w:val="none"/>
        </w:rPr>
      </w:pPr>
      <w:r>
        <w:rPr>
          <w:rFonts w:hint="eastAsia" w:ascii="仿宋_GB2312" w:hAnsi="宋体" w:eastAsia="仿宋_GB2312"/>
          <w:sz w:val="24"/>
          <w:highlight w:val="none"/>
        </w:rPr>
        <w:t>1、乙方不发生一起人身伤亡事故，不发生造成经济损失的责任事故。</w:t>
      </w:r>
    </w:p>
    <w:p>
      <w:pPr>
        <w:spacing w:line="420" w:lineRule="exact"/>
        <w:ind w:firstLine="480" w:firstLineChars="200"/>
        <w:rPr>
          <w:rFonts w:ascii="仿宋_GB2312" w:hAnsi="宋体" w:eastAsia="仿宋_GB2312"/>
          <w:sz w:val="24"/>
          <w:highlight w:val="none"/>
        </w:rPr>
      </w:pPr>
      <w:r>
        <w:rPr>
          <w:rFonts w:hint="eastAsia" w:ascii="仿宋_GB2312" w:hAnsi="宋体" w:eastAsia="仿宋_GB2312"/>
          <w:sz w:val="24"/>
          <w:highlight w:val="none"/>
        </w:rPr>
        <w:t>2、乙方不发生高处坠落、机械伤害、触电、坍塌、中毒、爆炸等事故。</w:t>
      </w:r>
    </w:p>
    <w:p>
      <w:pPr>
        <w:spacing w:line="420" w:lineRule="exact"/>
        <w:ind w:firstLine="482" w:firstLineChars="200"/>
        <w:rPr>
          <w:rFonts w:ascii="仿宋_GB2312" w:hAnsi="宋体" w:eastAsia="仿宋_GB2312"/>
          <w:sz w:val="24"/>
          <w:highlight w:val="none"/>
        </w:rPr>
      </w:pPr>
      <w:r>
        <w:rPr>
          <w:rFonts w:hint="eastAsia" w:ascii="仿宋_GB2312" w:hAnsi="宋体" w:eastAsia="仿宋_GB2312"/>
          <w:b/>
          <w:sz w:val="24"/>
          <w:highlight w:val="none"/>
        </w:rPr>
        <w:t xml:space="preserve">（二）消防 </w:t>
      </w:r>
    </w:p>
    <w:p>
      <w:pPr>
        <w:spacing w:line="420" w:lineRule="exact"/>
        <w:ind w:firstLine="480" w:firstLineChars="200"/>
        <w:rPr>
          <w:rFonts w:ascii="仿宋_GB2312" w:hAnsi="宋体" w:eastAsia="仿宋_GB2312"/>
          <w:sz w:val="24"/>
          <w:highlight w:val="none"/>
        </w:rPr>
      </w:pPr>
      <w:r>
        <w:rPr>
          <w:rFonts w:hint="eastAsia" w:ascii="仿宋_GB2312" w:hAnsi="宋体" w:eastAsia="仿宋_GB2312"/>
          <w:sz w:val="24"/>
          <w:highlight w:val="none"/>
        </w:rPr>
        <w:t>1、乙方不发生“三合一”现象。</w:t>
      </w:r>
    </w:p>
    <w:p>
      <w:pPr>
        <w:spacing w:line="420" w:lineRule="exact"/>
        <w:ind w:firstLine="482" w:firstLineChars="200"/>
        <w:rPr>
          <w:rFonts w:ascii="仿宋_GB2312" w:hAnsi="宋体" w:eastAsia="仿宋_GB2312"/>
          <w:b/>
          <w:sz w:val="24"/>
          <w:highlight w:val="none"/>
        </w:rPr>
      </w:pPr>
      <w:r>
        <w:rPr>
          <w:rFonts w:hint="eastAsia" w:ascii="仿宋_GB2312" w:hAnsi="宋体" w:eastAsia="仿宋_GB2312"/>
          <w:b/>
          <w:sz w:val="24"/>
          <w:highlight w:val="none"/>
        </w:rPr>
        <w:t>（三）治安</w:t>
      </w:r>
    </w:p>
    <w:p>
      <w:pPr>
        <w:spacing w:line="420" w:lineRule="exact"/>
        <w:ind w:firstLine="480" w:firstLineChars="200"/>
        <w:rPr>
          <w:rFonts w:ascii="仿宋_GB2312" w:hAnsi="宋体" w:eastAsia="仿宋_GB2312"/>
          <w:sz w:val="24"/>
          <w:highlight w:val="none"/>
        </w:rPr>
      </w:pPr>
      <w:r>
        <w:rPr>
          <w:rFonts w:hint="eastAsia" w:ascii="仿宋_GB2312" w:hAnsi="宋体" w:eastAsia="仿宋_GB2312"/>
          <w:sz w:val="24"/>
          <w:highlight w:val="none"/>
        </w:rPr>
        <w:t>1、乙方不发生“黄、赌、毒”、打架斗殴等治安、刑事事件；</w:t>
      </w:r>
    </w:p>
    <w:p>
      <w:pPr>
        <w:spacing w:line="420" w:lineRule="exact"/>
        <w:ind w:firstLine="480" w:firstLineChars="200"/>
        <w:rPr>
          <w:rFonts w:ascii="仿宋_GB2312" w:hAnsi="宋体" w:eastAsia="仿宋_GB2312"/>
          <w:sz w:val="24"/>
          <w:highlight w:val="none"/>
        </w:rPr>
      </w:pPr>
      <w:r>
        <w:rPr>
          <w:rFonts w:hint="eastAsia" w:ascii="仿宋_GB2312" w:hAnsi="宋体" w:eastAsia="仿宋_GB2312"/>
          <w:sz w:val="24"/>
          <w:highlight w:val="none"/>
        </w:rPr>
        <w:t>2、乙方不发生施工人员集体聚会、上访等扰乱社会正常秩序的事件。</w:t>
      </w:r>
    </w:p>
    <w:p>
      <w:pPr>
        <w:spacing w:line="420" w:lineRule="exact"/>
        <w:ind w:firstLine="482" w:firstLineChars="200"/>
        <w:rPr>
          <w:rFonts w:ascii="仿宋_GB2312" w:hAnsi="宋体" w:eastAsia="仿宋_GB2312"/>
          <w:b/>
          <w:sz w:val="24"/>
          <w:highlight w:val="none"/>
        </w:rPr>
      </w:pPr>
      <w:r>
        <w:rPr>
          <w:rFonts w:hint="eastAsia" w:ascii="仿宋_GB2312" w:hAnsi="宋体" w:eastAsia="仿宋_GB2312"/>
          <w:b/>
          <w:sz w:val="24"/>
          <w:highlight w:val="none"/>
        </w:rPr>
        <w:t>（四）道路交通</w:t>
      </w:r>
    </w:p>
    <w:p>
      <w:pPr>
        <w:spacing w:line="420" w:lineRule="exact"/>
        <w:ind w:firstLine="480" w:firstLineChars="200"/>
        <w:rPr>
          <w:rFonts w:ascii="仿宋_GB2312" w:hAnsi="宋体" w:eastAsia="仿宋_GB2312"/>
          <w:sz w:val="24"/>
          <w:highlight w:val="none"/>
        </w:rPr>
      </w:pPr>
      <w:r>
        <w:rPr>
          <w:rFonts w:hint="eastAsia" w:ascii="仿宋_GB2312" w:hAnsi="宋体" w:eastAsia="仿宋_GB2312"/>
          <w:sz w:val="24"/>
          <w:highlight w:val="none"/>
        </w:rPr>
        <w:t>施工车辆不发生因工伤亡事故及其他交通责任事故。</w:t>
      </w:r>
    </w:p>
    <w:p>
      <w:pPr>
        <w:spacing w:line="420" w:lineRule="exact"/>
        <w:ind w:firstLine="482" w:firstLineChars="200"/>
        <w:rPr>
          <w:rFonts w:ascii="仿宋_GB2312" w:hAnsi="宋体" w:eastAsia="仿宋_GB2312"/>
          <w:sz w:val="24"/>
          <w:highlight w:val="none"/>
        </w:rPr>
      </w:pPr>
      <w:r>
        <w:rPr>
          <w:rFonts w:hint="eastAsia" w:ascii="仿宋_GB2312" w:hAnsi="宋体" w:eastAsia="仿宋_GB2312"/>
          <w:b/>
          <w:sz w:val="24"/>
          <w:highlight w:val="none"/>
        </w:rPr>
        <w:t>二、双方责任</w:t>
      </w:r>
    </w:p>
    <w:p>
      <w:pPr>
        <w:spacing w:line="420" w:lineRule="exact"/>
        <w:ind w:firstLine="480" w:firstLineChars="200"/>
        <w:rPr>
          <w:rFonts w:ascii="仿宋_GB2312" w:hAnsi="宋体" w:eastAsia="仿宋_GB2312"/>
          <w:sz w:val="24"/>
          <w:highlight w:val="none"/>
        </w:rPr>
      </w:pPr>
      <w:r>
        <w:rPr>
          <w:rFonts w:hint="eastAsia" w:ascii="仿宋_GB2312" w:hAnsi="宋体" w:eastAsia="仿宋_GB2312"/>
          <w:sz w:val="24"/>
          <w:highlight w:val="none"/>
        </w:rPr>
        <w:t>为实现上述目标，甲、乙双方必须认真执行，各自履行下列职责:</w:t>
      </w:r>
    </w:p>
    <w:p>
      <w:pPr>
        <w:spacing w:line="420" w:lineRule="exact"/>
        <w:ind w:firstLine="482" w:firstLineChars="200"/>
        <w:rPr>
          <w:rFonts w:ascii="仿宋_GB2312" w:hAnsi="宋体" w:eastAsia="仿宋_GB2312"/>
          <w:b/>
          <w:sz w:val="24"/>
          <w:highlight w:val="none"/>
        </w:rPr>
      </w:pPr>
      <w:r>
        <w:rPr>
          <w:rFonts w:hint="eastAsia" w:ascii="仿宋_GB2312" w:hAnsi="宋体" w:eastAsia="仿宋_GB2312"/>
          <w:b/>
          <w:sz w:val="24"/>
          <w:highlight w:val="none"/>
        </w:rPr>
        <w:t>（一）甲方责任：</w:t>
      </w:r>
    </w:p>
    <w:p>
      <w:pPr>
        <w:spacing w:line="420" w:lineRule="exact"/>
        <w:ind w:firstLine="480" w:firstLineChars="200"/>
        <w:rPr>
          <w:rFonts w:ascii="仿宋_GB2312" w:hAnsi="宋体" w:eastAsia="仿宋_GB2312"/>
          <w:sz w:val="24"/>
          <w:highlight w:val="none"/>
        </w:rPr>
      </w:pPr>
      <w:r>
        <w:rPr>
          <w:rFonts w:hint="eastAsia" w:ascii="仿宋_GB2312" w:hAnsi="宋体" w:eastAsia="仿宋_GB2312"/>
          <w:sz w:val="24"/>
          <w:highlight w:val="none"/>
        </w:rPr>
        <w:t>1、及时传达贯彻上级政府和行业主管部门对安全生产工作的指示精神，适时部署任务；</w:t>
      </w:r>
    </w:p>
    <w:p>
      <w:pPr>
        <w:spacing w:line="420" w:lineRule="exact"/>
        <w:ind w:firstLine="480" w:firstLineChars="200"/>
        <w:rPr>
          <w:rFonts w:ascii="仿宋_GB2312" w:hAnsi="宋体" w:eastAsia="仿宋_GB2312"/>
          <w:sz w:val="24"/>
          <w:highlight w:val="none"/>
        </w:rPr>
      </w:pPr>
      <w:r>
        <w:rPr>
          <w:rFonts w:hint="eastAsia" w:ascii="仿宋_GB2312" w:hAnsi="宋体" w:eastAsia="仿宋_GB2312"/>
          <w:sz w:val="24"/>
          <w:highlight w:val="none"/>
        </w:rPr>
        <w:t>2、监督乙方积极做好安全生产工作，并对检查情况进行考评；</w:t>
      </w:r>
    </w:p>
    <w:p>
      <w:pPr>
        <w:spacing w:line="420" w:lineRule="exact"/>
        <w:ind w:firstLine="480" w:firstLineChars="200"/>
        <w:rPr>
          <w:rFonts w:ascii="仿宋_GB2312" w:hAnsi="宋体" w:eastAsia="仿宋_GB2312"/>
          <w:sz w:val="24"/>
          <w:highlight w:val="none"/>
        </w:rPr>
      </w:pPr>
      <w:r>
        <w:rPr>
          <w:rFonts w:hint="eastAsia" w:ascii="仿宋_GB2312" w:hAnsi="宋体" w:eastAsia="仿宋_GB2312"/>
          <w:sz w:val="24"/>
          <w:highlight w:val="none"/>
        </w:rPr>
        <w:t>3、及时推广“安全质量标准化”示范工地，创造相互学习的良好条件；</w:t>
      </w:r>
    </w:p>
    <w:p>
      <w:pPr>
        <w:spacing w:line="420" w:lineRule="exact"/>
        <w:ind w:firstLine="480" w:firstLineChars="200"/>
        <w:rPr>
          <w:rFonts w:ascii="仿宋_GB2312" w:hAnsi="宋体" w:eastAsia="仿宋_GB2312"/>
          <w:sz w:val="24"/>
          <w:highlight w:val="none"/>
        </w:rPr>
      </w:pPr>
      <w:r>
        <w:rPr>
          <w:rFonts w:hint="eastAsia" w:ascii="仿宋_GB2312" w:hAnsi="宋体" w:eastAsia="仿宋_GB2312"/>
          <w:sz w:val="24"/>
          <w:highlight w:val="none"/>
        </w:rPr>
        <w:t>4、协助乙方总结先进管理经验，树立典型，及时推广。</w:t>
      </w:r>
    </w:p>
    <w:p>
      <w:pPr>
        <w:spacing w:line="420" w:lineRule="exact"/>
        <w:ind w:firstLine="482" w:firstLineChars="200"/>
        <w:rPr>
          <w:rFonts w:ascii="仿宋_GB2312" w:hAnsi="宋体" w:eastAsia="仿宋_GB2312"/>
          <w:b/>
          <w:sz w:val="24"/>
          <w:highlight w:val="none"/>
        </w:rPr>
      </w:pPr>
      <w:r>
        <w:rPr>
          <w:rFonts w:hint="eastAsia" w:ascii="仿宋_GB2312" w:hAnsi="宋体" w:eastAsia="仿宋_GB2312"/>
          <w:b/>
          <w:sz w:val="24"/>
          <w:highlight w:val="none"/>
        </w:rPr>
        <w:t>（二）乙方责任：</w:t>
      </w:r>
    </w:p>
    <w:p>
      <w:pPr>
        <w:spacing w:line="420" w:lineRule="exact"/>
        <w:ind w:firstLine="480" w:firstLineChars="200"/>
        <w:rPr>
          <w:rFonts w:ascii="仿宋_GB2312" w:hAnsi="宋体" w:eastAsia="仿宋_GB2312"/>
          <w:sz w:val="24"/>
          <w:highlight w:val="none"/>
        </w:rPr>
      </w:pPr>
      <w:r>
        <w:rPr>
          <w:rFonts w:hint="eastAsia" w:ascii="仿宋_GB2312" w:hAnsi="宋体" w:eastAsia="仿宋_GB2312"/>
          <w:sz w:val="24"/>
          <w:highlight w:val="none"/>
        </w:rPr>
        <w:t>1、认真贯彻执行建筑工程安全技术规程和其他安全生产有关法律法规及标准；</w:t>
      </w:r>
    </w:p>
    <w:p>
      <w:pPr>
        <w:spacing w:line="420" w:lineRule="exact"/>
        <w:ind w:firstLine="480" w:firstLineChars="200"/>
        <w:rPr>
          <w:rFonts w:ascii="仿宋_GB2312" w:hAnsi="宋体" w:eastAsia="仿宋_GB2312"/>
          <w:sz w:val="24"/>
          <w:highlight w:val="none"/>
        </w:rPr>
      </w:pPr>
      <w:r>
        <w:rPr>
          <w:rFonts w:hint="eastAsia" w:ascii="仿宋_GB2312" w:hAnsi="宋体" w:eastAsia="仿宋_GB2312"/>
          <w:sz w:val="24"/>
          <w:highlight w:val="none"/>
        </w:rPr>
        <w:t>2、健全完善的安全生产管理机构，配备足够的安全生产专业管理人员，做到领导分工明确，各级职责分明，专职人员管理工作到位；</w:t>
      </w:r>
    </w:p>
    <w:p>
      <w:pPr>
        <w:spacing w:line="420" w:lineRule="exact"/>
        <w:ind w:firstLine="480" w:firstLineChars="200"/>
        <w:rPr>
          <w:rFonts w:ascii="仿宋_GB2312" w:hAnsi="宋体" w:eastAsia="仿宋_GB2312"/>
          <w:sz w:val="24"/>
          <w:highlight w:val="none"/>
        </w:rPr>
      </w:pPr>
      <w:r>
        <w:rPr>
          <w:rFonts w:hint="eastAsia" w:ascii="仿宋_GB2312" w:hAnsi="宋体" w:eastAsia="仿宋_GB2312"/>
          <w:sz w:val="24"/>
          <w:highlight w:val="none"/>
        </w:rPr>
        <w:t>3、公司、项目部、施工班组都必须以书面形式层层签订安全责任书，明确各自的职责；</w:t>
      </w:r>
    </w:p>
    <w:p>
      <w:pPr>
        <w:spacing w:line="420" w:lineRule="exact"/>
        <w:ind w:firstLine="480" w:firstLineChars="200"/>
        <w:rPr>
          <w:rFonts w:ascii="仿宋_GB2312" w:hAnsi="宋体" w:eastAsia="仿宋_GB2312"/>
          <w:sz w:val="24"/>
          <w:highlight w:val="none"/>
        </w:rPr>
      </w:pPr>
      <w:r>
        <w:rPr>
          <w:rFonts w:hint="eastAsia" w:ascii="仿宋_GB2312" w:hAnsi="宋体" w:eastAsia="仿宋_GB2312"/>
          <w:sz w:val="24"/>
          <w:highlight w:val="none"/>
        </w:rPr>
        <w:t>4、建立安全生产检查制度、安全技术交底制度和职工三级教育培训制度等；经常不断地对职工展开安全宣传教育，提高安全意识，防患于未然；</w:t>
      </w:r>
    </w:p>
    <w:p>
      <w:pPr>
        <w:spacing w:line="420" w:lineRule="exact"/>
        <w:ind w:firstLine="480" w:firstLineChars="200"/>
        <w:rPr>
          <w:rFonts w:ascii="仿宋_GB2312" w:hAnsi="宋体" w:eastAsia="仿宋_GB2312"/>
          <w:sz w:val="24"/>
          <w:highlight w:val="none"/>
        </w:rPr>
      </w:pPr>
      <w:r>
        <w:rPr>
          <w:rFonts w:hint="eastAsia" w:ascii="仿宋_GB2312" w:hAnsi="宋体" w:eastAsia="仿宋_GB2312"/>
          <w:sz w:val="24"/>
          <w:highlight w:val="none"/>
        </w:rPr>
        <w:t>5、开工前办理安全报监手续；</w:t>
      </w:r>
    </w:p>
    <w:p>
      <w:pPr>
        <w:spacing w:line="420" w:lineRule="exact"/>
        <w:ind w:firstLine="480" w:firstLineChars="200"/>
        <w:rPr>
          <w:rFonts w:ascii="仿宋_GB2312" w:hAnsi="宋体" w:eastAsia="仿宋_GB2312"/>
          <w:sz w:val="24"/>
          <w:highlight w:val="none"/>
        </w:rPr>
      </w:pPr>
      <w:r>
        <w:rPr>
          <w:rFonts w:hint="eastAsia" w:ascii="仿宋_GB2312" w:hAnsi="宋体" w:eastAsia="仿宋_GB2312"/>
          <w:sz w:val="24"/>
          <w:highlight w:val="none"/>
        </w:rPr>
        <w:t>6、按有关规定为施工人员办理人身意外伤害保险并支付保险费用；</w:t>
      </w:r>
    </w:p>
    <w:p>
      <w:pPr>
        <w:spacing w:line="420" w:lineRule="exact"/>
        <w:ind w:firstLine="480" w:firstLineChars="200"/>
        <w:rPr>
          <w:rFonts w:ascii="仿宋_GB2312" w:hAnsi="宋体" w:eastAsia="仿宋_GB2312"/>
          <w:sz w:val="24"/>
          <w:highlight w:val="none"/>
        </w:rPr>
      </w:pPr>
      <w:r>
        <w:rPr>
          <w:rFonts w:hint="eastAsia" w:ascii="仿宋_GB2312" w:hAnsi="宋体" w:eastAsia="仿宋_GB2312"/>
          <w:sz w:val="24"/>
          <w:highlight w:val="none"/>
        </w:rPr>
        <w:t>7、切实制定自然灾害、事故灾难等各项突发事件的应急预案并进行演练，最大程度地预防和减少突发事件及其造成的损害，保障人身财产的安全；</w:t>
      </w:r>
    </w:p>
    <w:p>
      <w:pPr>
        <w:spacing w:line="420" w:lineRule="exact"/>
        <w:ind w:firstLine="480" w:firstLineChars="200"/>
        <w:rPr>
          <w:rFonts w:ascii="仿宋_GB2312" w:hAnsi="宋体" w:eastAsia="仿宋_GB2312"/>
          <w:sz w:val="24"/>
          <w:highlight w:val="none"/>
        </w:rPr>
      </w:pPr>
      <w:r>
        <w:rPr>
          <w:rFonts w:hint="eastAsia" w:ascii="仿宋_GB2312" w:hAnsi="宋体" w:eastAsia="仿宋_GB2312"/>
          <w:sz w:val="24"/>
          <w:highlight w:val="none"/>
        </w:rPr>
        <w:t>8、施工人员进入现场必须带安全帽，特种作业人员必须持证上岗，并严格遵守各工种的操作规程；</w:t>
      </w:r>
    </w:p>
    <w:p>
      <w:pPr>
        <w:spacing w:line="420" w:lineRule="exact"/>
        <w:ind w:firstLine="480" w:firstLineChars="200"/>
        <w:rPr>
          <w:rFonts w:ascii="仿宋_GB2312" w:hAnsi="宋体" w:eastAsia="仿宋_GB2312"/>
          <w:sz w:val="24"/>
          <w:highlight w:val="none"/>
        </w:rPr>
      </w:pPr>
      <w:r>
        <w:rPr>
          <w:rFonts w:hint="eastAsia" w:ascii="仿宋_GB2312" w:hAnsi="宋体" w:eastAsia="仿宋_GB2312"/>
          <w:sz w:val="24"/>
          <w:highlight w:val="none"/>
        </w:rPr>
        <w:t>9、重点抓好建筑施工的四大伤亡施工隐患(即：高处坠落，触电，物体打击与坍塌)，发现事故隐患，必须按照定人、定时、定措施的“三定”原则进行认真整改；</w:t>
      </w:r>
    </w:p>
    <w:p>
      <w:pPr>
        <w:spacing w:line="420" w:lineRule="exact"/>
        <w:ind w:firstLine="480" w:firstLineChars="200"/>
        <w:rPr>
          <w:rFonts w:ascii="仿宋_GB2312" w:hAnsi="宋体" w:eastAsia="仿宋_GB2312"/>
          <w:sz w:val="24"/>
          <w:highlight w:val="none"/>
        </w:rPr>
      </w:pPr>
      <w:r>
        <w:rPr>
          <w:rFonts w:hint="eastAsia" w:ascii="仿宋_GB2312" w:hAnsi="宋体" w:eastAsia="仿宋_GB2312"/>
          <w:sz w:val="24"/>
          <w:highlight w:val="none"/>
        </w:rPr>
        <w:t>10、要加强安全隐患排查力度，对检查中发现的安全隐患要及时予以整改；</w:t>
      </w:r>
    </w:p>
    <w:p>
      <w:pPr>
        <w:spacing w:line="420" w:lineRule="exact"/>
        <w:ind w:firstLine="480" w:firstLineChars="200"/>
        <w:rPr>
          <w:rFonts w:ascii="仿宋_GB2312" w:hAnsi="宋体" w:eastAsia="仿宋_GB2312"/>
          <w:sz w:val="24"/>
          <w:highlight w:val="none"/>
        </w:rPr>
      </w:pPr>
      <w:r>
        <w:rPr>
          <w:rFonts w:hint="eastAsia" w:ascii="仿宋_GB2312" w:hAnsi="宋体" w:eastAsia="仿宋_GB2312"/>
          <w:sz w:val="24"/>
          <w:highlight w:val="none"/>
        </w:rPr>
        <w:t>11、积极做好各项检查及各类安全台账记录工作；</w:t>
      </w:r>
    </w:p>
    <w:p>
      <w:pPr>
        <w:spacing w:line="420" w:lineRule="exact"/>
        <w:ind w:firstLine="480" w:firstLineChars="200"/>
        <w:rPr>
          <w:rFonts w:ascii="仿宋_GB2312" w:hAnsi="宋体" w:eastAsia="仿宋_GB2312"/>
          <w:sz w:val="24"/>
          <w:highlight w:val="none"/>
        </w:rPr>
      </w:pPr>
      <w:r>
        <w:rPr>
          <w:rFonts w:hint="eastAsia" w:ascii="仿宋_GB2312" w:hAnsi="宋体" w:eastAsia="仿宋_GB2312"/>
          <w:sz w:val="24"/>
          <w:highlight w:val="none"/>
        </w:rPr>
        <w:t>12、在施工过程中当天产生的垃圾尽量当日清理干净。施工结束后，乙方应对施工现场彻底清理，做到工完、料尽、场地清。</w:t>
      </w:r>
    </w:p>
    <w:p>
      <w:pPr>
        <w:spacing w:line="420" w:lineRule="exact"/>
        <w:ind w:firstLine="480" w:firstLineChars="200"/>
        <w:rPr>
          <w:rFonts w:ascii="仿宋_GB2312" w:hAnsi="宋体" w:eastAsia="仿宋_GB2312"/>
          <w:sz w:val="24"/>
          <w:highlight w:val="none"/>
        </w:rPr>
      </w:pPr>
      <w:r>
        <w:rPr>
          <w:rFonts w:hint="eastAsia" w:ascii="仿宋_GB2312" w:hAnsi="宋体" w:eastAsia="仿宋_GB2312"/>
          <w:sz w:val="24"/>
          <w:highlight w:val="none"/>
        </w:rPr>
        <w:t>13、一旦发生事故，应及时按规定上报甲方，并按事故“四不放过”的原则进行查处；（即：事故原因分析不清不放过,职工没有受到教育不放过,防范措施落实不到位不放过,事故责任者没有得到处理不放过）</w:t>
      </w:r>
    </w:p>
    <w:p>
      <w:pPr>
        <w:spacing w:line="420" w:lineRule="exact"/>
        <w:ind w:firstLine="482" w:firstLineChars="200"/>
        <w:rPr>
          <w:rFonts w:ascii="仿宋_GB2312" w:hAnsi="宋体" w:eastAsia="仿宋_GB2312"/>
          <w:b/>
          <w:sz w:val="24"/>
          <w:highlight w:val="none"/>
        </w:rPr>
      </w:pPr>
      <w:r>
        <w:rPr>
          <w:rFonts w:hint="eastAsia" w:ascii="仿宋_GB2312" w:hAnsi="宋体" w:eastAsia="仿宋_GB2312"/>
          <w:b/>
          <w:sz w:val="24"/>
          <w:highlight w:val="none"/>
        </w:rPr>
        <w:t>四、其他</w:t>
      </w:r>
    </w:p>
    <w:p>
      <w:pPr>
        <w:spacing w:line="420" w:lineRule="exact"/>
        <w:ind w:firstLine="480" w:firstLineChars="200"/>
        <w:rPr>
          <w:rFonts w:ascii="仿宋_GB2312" w:hAnsi="宋体" w:eastAsia="仿宋_GB2312"/>
          <w:sz w:val="24"/>
          <w:highlight w:val="none"/>
        </w:rPr>
      </w:pPr>
      <w:r>
        <w:rPr>
          <w:rFonts w:hint="eastAsia" w:ascii="仿宋_GB2312" w:hAnsi="宋体" w:eastAsia="仿宋_GB2312"/>
          <w:sz w:val="24"/>
          <w:highlight w:val="none"/>
        </w:rPr>
        <w:t>1、本合同自签订日起生效至工程验收合格交付日至结束；</w:t>
      </w:r>
    </w:p>
    <w:p>
      <w:pPr>
        <w:spacing w:line="420" w:lineRule="exact"/>
        <w:ind w:firstLine="480" w:firstLineChars="200"/>
        <w:rPr>
          <w:rFonts w:ascii="仿宋_GB2312" w:hAnsi="宋体" w:eastAsia="仿宋_GB2312"/>
          <w:sz w:val="24"/>
          <w:highlight w:val="none"/>
        </w:rPr>
      </w:pPr>
      <w:r>
        <w:rPr>
          <w:rFonts w:hint="eastAsia" w:ascii="仿宋_GB2312" w:hAnsi="宋体" w:eastAsia="仿宋_GB2312"/>
          <w:sz w:val="24"/>
          <w:highlight w:val="none"/>
        </w:rPr>
        <w:t>2、本合同由甲乙双方签字后生效，法人代表（负责人）如有变动，接任人为自然负责人；</w:t>
      </w:r>
    </w:p>
    <w:p>
      <w:pPr>
        <w:spacing w:line="420" w:lineRule="exact"/>
        <w:ind w:firstLine="480" w:firstLineChars="200"/>
        <w:rPr>
          <w:rFonts w:ascii="宋体" w:hAnsi="宋体" w:cs="宋体"/>
          <w:b/>
          <w:sz w:val="32"/>
          <w:szCs w:val="32"/>
          <w:highlight w:val="none"/>
          <w:shd w:val="clear" w:color="auto" w:fill="FFFFFF"/>
        </w:rPr>
      </w:pPr>
      <w:r>
        <w:rPr>
          <w:rFonts w:hint="eastAsia" w:ascii="仿宋_GB2312" w:hAnsi="宋体" w:eastAsia="仿宋_GB2312"/>
          <w:sz w:val="24"/>
          <w:highlight w:val="none"/>
        </w:rPr>
        <w:t>3、本合同一式四份，甲、乙双方各执二份。</w:t>
      </w:r>
    </w:p>
    <w:p>
      <w:pPr>
        <w:spacing w:beforeLines="50" w:line="420" w:lineRule="exact"/>
        <w:ind w:firstLine="480" w:firstLineChars="200"/>
        <w:rPr>
          <w:rFonts w:ascii="仿宋_GB2312" w:eastAsia="仿宋_GB2312"/>
          <w:sz w:val="24"/>
          <w:highlight w:val="none"/>
        </w:rPr>
      </w:pPr>
      <w:r>
        <w:rPr>
          <w:rFonts w:hint="eastAsia" w:ascii="仿宋_GB2312" w:eastAsia="仿宋_GB2312"/>
          <w:sz w:val="24"/>
          <w:highlight w:val="none"/>
        </w:rPr>
        <w:t xml:space="preserve">建设单位：（盖章）                    施工单位：（盖章） </w:t>
      </w:r>
    </w:p>
    <w:p>
      <w:pPr>
        <w:spacing w:beforeLines="50" w:line="420" w:lineRule="exact"/>
        <w:ind w:firstLine="480" w:firstLineChars="200"/>
        <w:rPr>
          <w:rFonts w:ascii="仿宋_GB2312" w:eastAsia="仿宋_GB2312"/>
          <w:sz w:val="24"/>
          <w:highlight w:val="none"/>
        </w:rPr>
      </w:pPr>
      <w:r>
        <w:rPr>
          <w:rFonts w:hint="eastAsia" w:ascii="仿宋_GB2312" w:eastAsia="仿宋_GB2312"/>
          <w:sz w:val="24"/>
          <w:highlight w:val="none"/>
        </w:rPr>
        <w:t>经办人：（签字）                            经办人：（签字）</w:t>
      </w:r>
    </w:p>
    <w:p>
      <w:pPr>
        <w:spacing w:beforeLines="50" w:line="420" w:lineRule="exact"/>
        <w:rPr>
          <w:rFonts w:ascii="仿宋_GB2312" w:eastAsia="仿宋_GB2312"/>
          <w:sz w:val="24"/>
          <w:highlight w:val="none"/>
        </w:rPr>
      </w:pPr>
      <w:r>
        <w:rPr>
          <w:rFonts w:hint="eastAsia" w:ascii="仿宋_GB2312" w:eastAsia="仿宋_GB2312"/>
          <w:sz w:val="24"/>
          <w:highlight w:val="none"/>
        </w:rPr>
        <w:t>建设单位法人代表：（签字）                施工单位法人代表：（签字）</w:t>
      </w:r>
    </w:p>
    <w:p>
      <w:pPr>
        <w:spacing w:beforeLines="50" w:line="420" w:lineRule="exact"/>
        <w:ind w:firstLine="480" w:firstLineChars="200"/>
        <w:rPr>
          <w:rFonts w:ascii="宋体" w:hAnsi="宋体" w:cs="宋体"/>
          <w:sz w:val="28"/>
          <w:szCs w:val="28"/>
          <w:highlight w:val="none"/>
        </w:rPr>
      </w:pPr>
      <w:r>
        <w:rPr>
          <w:rFonts w:hint="eastAsia" w:ascii="仿宋_GB2312" w:eastAsia="仿宋_GB2312"/>
          <w:sz w:val="24"/>
          <w:highlight w:val="none"/>
        </w:rPr>
        <w:t>年   月   日                            年   月   日</w:t>
      </w:r>
    </w:p>
    <w:p>
      <w:pPr>
        <w:rPr>
          <w:sz w:val="24"/>
          <w:highlight w:val="none"/>
        </w:rPr>
      </w:pPr>
    </w:p>
    <w:p>
      <w:pPr>
        <w:snapToGrid w:val="0"/>
        <w:spacing w:beforeLines="50" w:afterLines="50"/>
        <w:rPr>
          <w:rFonts w:ascii="宋体" w:hAnsi="宋体"/>
          <w:sz w:val="24"/>
          <w:highlight w:val="none"/>
        </w:rPr>
      </w:pPr>
    </w:p>
    <w:p>
      <w:pPr>
        <w:snapToGrid w:val="0"/>
        <w:spacing w:beforeLines="50" w:afterLines="50"/>
        <w:rPr>
          <w:rFonts w:ascii="宋体" w:hAnsi="宋体"/>
          <w:sz w:val="24"/>
          <w:highlight w:val="none"/>
        </w:rPr>
      </w:pPr>
    </w:p>
    <w:p>
      <w:pPr>
        <w:snapToGrid w:val="0"/>
        <w:spacing w:beforeLines="50" w:afterLines="50"/>
        <w:rPr>
          <w:rFonts w:ascii="宋体" w:hAnsi="宋体"/>
          <w:sz w:val="24"/>
          <w:highlight w:val="none"/>
        </w:rPr>
      </w:pPr>
    </w:p>
    <w:p>
      <w:pPr>
        <w:snapToGrid w:val="0"/>
        <w:spacing w:beforeLines="50" w:afterLines="50"/>
        <w:rPr>
          <w:rFonts w:ascii="宋体" w:hAnsi="宋体"/>
          <w:sz w:val="24"/>
          <w:highlight w:val="none"/>
        </w:rPr>
      </w:pPr>
    </w:p>
    <w:p>
      <w:pPr>
        <w:snapToGrid w:val="0"/>
        <w:spacing w:beforeLines="50" w:afterLines="50"/>
        <w:rPr>
          <w:rFonts w:ascii="宋体" w:hAnsi="宋体"/>
          <w:sz w:val="24"/>
          <w:highlight w:val="none"/>
        </w:rPr>
      </w:pPr>
    </w:p>
    <w:p>
      <w:pPr>
        <w:snapToGrid w:val="0"/>
        <w:spacing w:beforeLines="50" w:afterLines="50"/>
        <w:rPr>
          <w:rFonts w:ascii="宋体" w:hAnsi="宋体"/>
          <w:sz w:val="24"/>
          <w:highlight w:val="none"/>
        </w:rPr>
      </w:pPr>
    </w:p>
    <w:p>
      <w:pPr>
        <w:snapToGrid w:val="0"/>
        <w:spacing w:beforeLines="50" w:afterLines="50"/>
        <w:rPr>
          <w:rFonts w:ascii="宋体" w:hAnsi="宋体"/>
          <w:sz w:val="24"/>
          <w:highlight w:val="none"/>
        </w:rPr>
      </w:pPr>
    </w:p>
    <w:p>
      <w:pPr>
        <w:snapToGrid w:val="0"/>
        <w:spacing w:beforeLines="50" w:afterLines="50"/>
        <w:rPr>
          <w:rFonts w:ascii="宋体" w:hAnsi="宋体"/>
          <w:sz w:val="24"/>
          <w:highlight w:val="none"/>
        </w:rPr>
      </w:pPr>
    </w:p>
    <w:p>
      <w:pPr>
        <w:snapToGrid w:val="0"/>
        <w:spacing w:beforeLines="50" w:afterLines="50"/>
        <w:rPr>
          <w:rFonts w:ascii="宋体" w:hAnsi="宋体"/>
          <w:sz w:val="24"/>
          <w:highlight w:val="none"/>
        </w:rPr>
      </w:pPr>
    </w:p>
    <w:p>
      <w:pPr>
        <w:snapToGrid w:val="0"/>
        <w:spacing w:beforeLines="50" w:afterLines="50"/>
        <w:rPr>
          <w:rFonts w:ascii="宋体" w:hAnsi="宋体"/>
          <w:sz w:val="24"/>
          <w:highlight w:val="none"/>
        </w:rPr>
      </w:pPr>
    </w:p>
    <w:p>
      <w:pPr>
        <w:snapToGrid w:val="0"/>
        <w:spacing w:beforeLines="50" w:afterLines="50"/>
        <w:rPr>
          <w:rFonts w:ascii="宋体" w:hAnsi="宋体"/>
          <w:sz w:val="24"/>
          <w:highlight w:val="none"/>
        </w:rPr>
      </w:pPr>
    </w:p>
    <w:p>
      <w:pPr>
        <w:snapToGrid w:val="0"/>
        <w:spacing w:beforeLines="50" w:afterLines="50"/>
        <w:rPr>
          <w:rFonts w:ascii="宋体" w:hAnsi="宋体"/>
          <w:sz w:val="24"/>
          <w:highlight w:val="none"/>
        </w:rPr>
      </w:pPr>
    </w:p>
    <w:p>
      <w:pPr>
        <w:snapToGrid w:val="0"/>
        <w:spacing w:beforeLines="50" w:afterLines="50"/>
        <w:rPr>
          <w:rFonts w:ascii="宋体" w:hAnsi="宋体"/>
          <w:sz w:val="24"/>
          <w:highlight w:val="none"/>
        </w:rPr>
      </w:pPr>
    </w:p>
    <w:p>
      <w:pPr>
        <w:snapToGrid w:val="0"/>
        <w:spacing w:beforeLines="50" w:afterLines="50"/>
        <w:rPr>
          <w:rFonts w:ascii="宋体" w:hAnsi="宋体"/>
          <w:sz w:val="24"/>
          <w:highlight w:val="none"/>
        </w:rPr>
      </w:pPr>
    </w:p>
    <w:p>
      <w:pPr>
        <w:snapToGrid w:val="0"/>
        <w:spacing w:beforeLines="50" w:afterLines="50"/>
        <w:rPr>
          <w:rFonts w:ascii="宋体" w:hAnsi="宋体"/>
          <w:sz w:val="24"/>
          <w:highlight w:val="none"/>
        </w:rPr>
      </w:pPr>
    </w:p>
    <w:p>
      <w:pPr>
        <w:snapToGrid w:val="0"/>
        <w:spacing w:beforeLines="50" w:afterLines="50"/>
        <w:rPr>
          <w:rFonts w:ascii="宋体" w:hAnsi="宋体"/>
          <w:sz w:val="24"/>
          <w:highlight w:val="none"/>
        </w:rPr>
      </w:pPr>
    </w:p>
    <w:p>
      <w:pPr>
        <w:snapToGrid w:val="0"/>
        <w:spacing w:beforeLines="50" w:afterLines="50"/>
        <w:rPr>
          <w:rFonts w:ascii="宋体" w:hAnsi="宋体"/>
          <w:sz w:val="24"/>
          <w:highlight w:val="none"/>
        </w:rPr>
      </w:pPr>
    </w:p>
    <w:p>
      <w:pPr>
        <w:snapToGrid w:val="0"/>
        <w:spacing w:beforeLines="50" w:afterLines="50"/>
        <w:rPr>
          <w:rFonts w:ascii="宋体" w:hAnsi="宋体"/>
          <w:sz w:val="24"/>
          <w:highlight w:val="none"/>
        </w:rPr>
      </w:pPr>
    </w:p>
    <w:p>
      <w:pPr>
        <w:snapToGrid w:val="0"/>
        <w:spacing w:beforeLines="50" w:afterLines="50"/>
        <w:rPr>
          <w:rFonts w:ascii="宋体" w:hAnsi="宋体"/>
          <w:sz w:val="24"/>
          <w:highlight w:val="none"/>
        </w:rPr>
      </w:pPr>
    </w:p>
    <w:p>
      <w:pPr>
        <w:snapToGrid w:val="0"/>
        <w:spacing w:beforeLines="50" w:afterLines="50"/>
        <w:rPr>
          <w:rFonts w:ascii="宋体" w:hAnsi="宋体"/>
          <w:sz w:val="24"/>
          <w:highlight w:val="none"/>
        </w:rPr>
      </w:pPr>
    </w:p>
    <w:p>
      <w:pPr>
        <w:snapToGrid w:val="0"/>
        <w:spacing w:beforeLines="50" w:afterLines="50"/>
        <w:rPr>
          <w:rFonts w:ascii="宋体" w:hAnsi="宋体"/>
          <w:sz w:val="24"/>
          <w:highlight w:val="none"/>
        </w:rPr>
      </w:pPr>
    </w:p>
    <w:p>
      <w:pPr>
        <w:snapToGrid w:val="0"/>
        <w:spacing w:beforeLines="50" w:afterLines="50"/>
        <w:rPr>
          <w:rFonts w:ascii="宋体" w:hAnsi="宋体"/>
          <w:sz w:val="24"/>
          <w:highlight w:val="none"/>
        </w:rPr>
      </w:pPr>
    </w:p>
    <w:p>
      <w:pPr>
        <w:snapToGrid w:val="0"/>
        <w:spacing w:beforeLines="50" w:afterLines="50"/>
        <w:rPr>
          <w:rFonts w:ascii="宋体" w:hAnsi="宋体"/>
          <w:sz w:val="24"/>
          <w:highlight w:val="none"/>
        </w:rPr>
      </w:pPr>
    </w:p>
    <w:p>
      <w:pPr>
        <w:snapToGrid w:val="0"/>
        <w:spacing w:beforeLines="50" w:afterLines="50"/>
        <w:rPr>
          <w:rFonts w:ascii="宋体" w:hAnsi="宋体"/>
          <w:sz w:val="24"/>
          <w:highlight w:val="none"/>
        </w:rPr>
      </w:pPr>
    </w:p>
    <w:p>
      <w:pPr>
        <w:snapToGrid w:val="0"/>
        <w:spacing w:beforeLines="50" w:afterLines="50"/>
        <w:rPr>
          <w:rFonts w:ascii="宋体" w:hAnsi="宋体"/>
          <w:sz w:val="24"/>
          <w:highlight w:val="none"/>
        </w:rPr>
      </w:pPr>
    </w:p>
    <w:p>
      <w:pPr>
        <w:snapToGrid w:val="0"/>
        <w:spacing w:beforeLines="50" w:afterLines="50"/>
        <w:rPr>
          <w:rFonts w:ascii="宋体" w:hAnsi="宋体"/>
          <w:sz w:val="24"/>
          <w:highlight w:val="none"/>
        </w:rPr>
      </w:pPr>
    </w:p>
    <w:p>
      <w:pPr>
        <w:snapToGrid w:val="0"/>
        <w:spacing w:beforeLines="50" w:afterLines="50"/>
        <w:rPr>
          <w:rFonts w:ascii="宋体" w:hAnsi="宋体"/>
          <w:sz w:val="24"/>
          <w:highlight w:val="none"/>
        </w:rPr>
      </w:pPr>
    </w:p>
    <w:p>
      <w:pPr>
        <w:snapToGrid w:val="0"/>
        <w:spacing w:beforeLines="50" w:afterLines="50"/>
        <w:rPr>
          <w:rFonts w:ascii="宋体" w:hAnsi="宋体"/>
          <w:sz w:val="24"/>
          <w:highlight w:val="none"/>
        </w:rPr>
      </w:pPr>
    </w:p>
    <w:p>
      <w:pPr>
        <w:snapToGrid w:val="0"/>
        <w:spacing w:beforeLines="50" w:afterLines="50"/>
        <w:rPr>
          <w:rFonts w:ascii="宋体" w:hAnsi="宋体"/>
          <w:sz w:val="24"/>
          <w:highlight w:val="none"/>
        </w:rPr>
      </w:pPr>
    </w:p>
    <w:p>
      <w:pPr>
        <w:numPr>
          <w:ilvl w:val="1"/>
          <w:numId w:val="20"/>
        </w:numPr>
        <w:tabs>
          <w:tab w:val="left" w:pos="2472"/>
        </w:tabs>
        <w:snapToGrid w:val="0"/>
        <w:jc w:val="center"/>
        <w:rPr>
          <w:rFonts w:ascii="宋体" w:hAnsi="宋体"/>
          <w:sz w:val="30"/>
          <w:szCs w:val="30"/>
          <w:highlight w:val="none"/>
        </w:rPr>
      </w:pPr>
      <w:r>
        <w:rPr>
          <w:rFonts w:hint="eastAsia" w:ascii="宋体" w:hAnsi="宋体"/>
          <w:sz w:val="30"/>
          <w:szCs w:val="30"/>
          <w:highlight w:val="none"/>
        </w:rPr>
        <w:t>投标文件格式</w:t>
      </w:r>
    </w:p>
    <w:p>
      <w:pPr>
        <w:snapToGrid w:val="0"/>
        <w:spacing w:beforeLines="50" w:after="50"/>
        <w:rPr>
          <w:rFonts w:ascii="宋体" w:hAnsi="宋体"/>
          <w:b/>
          <w:bCs/>
          <w:kern w:val="44"/>
          <w:szCs w:val="21"/>
          <w:highlight w:val="none"/>
        </w:rPr>
      </w:pPr>
      <w:r>
        <w:rPr>
          <w:rFonts w:hint="eastAsia" w:ascii="宋体" w:hAnsi="宋体"/>
          <w:b/>
          <w:bCs/>
          <w:kern w:val="44"/>
          <w:szCs w:val="21"/>
          <w:highlight w:val="none"/>
        </w:rPr>
        <w:t>本章节内容提供部分投标文件格式，采购文件中要求，但未提供格式的，须由投标人根据采购文件的要求自行制作</w:t>
      </w:r>
    </w:p>
    <w:p>
      <w:pPr>
        <w:snapToGrid w:val="0"/>
        <w:spacing w:beforeLines="50" w:after="50"/>
        <w:jc w:val="right"/>
        <w:rPr>
          <w:rFonts w:ascii="宋体" w:hAnsi="宋体"/>
          <w:b/>
          <w:sz w:val="32"/>
          <w:szCs w:val="32"/>
          <w:highlight w:val="none"/>
        </w:rPr>
      </w:pPr>
    </w:p>
    <w:p>
      <w:pPr>
        <w:snapToGrid w:val="0"/>
        <w:spacing w:beforeLines="50" w:after="50"/>
        <w:jc w:val="right"/>
        <w:rPr>
          <w:rFonts w:ascii="宋体" w:hAnsi="宋体"/>
          <w:b/>
          <w:sz w:val="28"/>
          <w:szCs w:val="28"/>
          <w:highlight w:val="none"/>
        </w:rPr>
      </w:pPr>
    </w:p>
    <w:p>
      <w:pPr>
        <w:ind w:right="-110"/>
        <w:jc w:val="center"/>
        <w:rPr>
          <w:rFonts w:ascii="宋体" w:hAnsi="宋体"/>
          <w:spacing w:val="40"/>
          <w:sz w:val="32"/>
          <w:szCs w:val="32"/>
          <w:highlight w:val="none"/>
        </w:rPr>
      </w:pPr>
      <w:r>
        <w:rPr>
          <w:rFonts w:hint="eastAsia" w:ascii="宋体" w:hAnsi="宋体"/>
          <w:spacing w:val="40"/>
          <w:sz w:val="32"/>
          <w:szCs w:val="32"/>
          <w:highlight w:val="none"/>
        </w:rPr>
        <w:t>***项目名称</w:t>
      </w:r>
    </w:p>
    <w:p>
      <w:pPr>
        <w:spacing w:beforeLines="100" w:line="240" w:lineRule="atLeast"/>
        <w:ind w:right="-108"/>
        <w:jc w:val="center"/>
        <w:rPr>
          <w:rFonts w:ascii="宋体" w:hAnsi="宋体"/>
          <w:sz w:val="32"/>
          <w:szCs w:val="32"/>
          <w:highlight w:val="none"/>
        </w:rPr>
      </w:pPr>
      <w:r>
        <w:rPr>
          <w:rFonts w:hint="eastAsia" w:ascii="宋体" w:hAnsi="宋体"/>
          <w:sz w:val="32"/>
          <w:szCs w:val="32"/>
          <w:highlight w:val="none"/>
        </w:rPr>
        <w:t>项目编号：</w:t>
      </w:r>
    </w:p>
    <w:p>
      <w:pPr>
        <w:spacing w:line="1100" w:lineRule="exact"/>
        <w:ind w:right="-108"/>
        <w:jc w:val="center"/>
        <w:rPr>
          <w:rFonts w:ascii="宋体" w:hAnsi="宋体"/>
          <w:b/>
          <w:spacing w:val="40"/>
          <w:sz w:val="84"/>
          <w:szCs w:val="84"/>
          <w:highlight w:val="none"/>
        </w:rPr>
      </w:pPr>
      <w:r>
        <w:rPr>
          <w:rFonts w:hint="eastAsia" w:ascii="宋体" w:hAnsi="宋体"/>
          <w:b/>
          <w:spacing w:val="40"/>
          <w:sz w:val="84"/>
          <w:szCs w:val="84"/>
          <w:highlight w:val="none"/>
        </w:rPr>
        <w:t>资</w:t>
      </w:r>
    </w:p>
    <w:p>
      <w:pPr>
        <w:spacing w:line="1100" w:lineRule="exact"/>
        <w:ind w:right="-108"/>
        <w:jc w:val="center"/>
        <w:rPr>
          <w:rFonts w:ascii="宋体" w:hAnsi="宋体"/>
          <w:b/>
          <w:spacing w:val="40"/>
          <w:sz w:val="84"/>
          <w:szCs w:val="84"/>
          <w:highlight w:val="none"/>
        </w:rPr>
      </w:pPr>
    </w:p>
    <w:p>
      <w:pPr>
        <w:spacing w:line="1100" w:lineRule="exact"/>
        <w:ind w:right="-108"/>
        <w:jc w:val="center"/>
        <w:rPr>
          <w:rFonts w:ascii="宋体" w:hAnsi="宋体"/>
          <w:b/>
          <w:spacing w:val="40"/>
          <w:sz w:val="84"/>
          <w:szCs w:val="84"/>
          <w:highlight w:val="none"/>
        </w:rPr>
      </w:pPr>
      <w:r>
        <w:rPr>
          <w:rFonts w:hint="eastAsia" w:ascii="宋体" w:hAnsi="宋体"/>
          <w:b/>
          <w:spacing w:val="40"/>
          <w:sz w:val="84"/>
          <w:szCs w:val="84"/>
          <w:highlight w:val="none"/>
        </w:rPr>
        <w:t>格</w:t>
      </w:r>
    </w:p>
    <w:p>
      <w:pPr>
        <w:spacing w:line="1100" w:lineRule="exact"/>
        <w:ind w:right="-108"/>
        <w:jc w:val="center"/>
        <w:rPr>
          <w:rFonts w:ascii="宋体" w:hAnsi="宋体"/>
          <w:b/>
          <w:spacing w:val="40"/>
          <w:sz w:val="84"/>
          <w:szCs w:val="84"/>
          <w:highlight w:val="none"/>
        </w:rPr>
      </w:pPr>
    </w:p>
    <w:p>
      <w:pPr>
        <w:spacing w:line="1100" w:lineRule="exact"/>
        <w:ind w:right="-108"/>
        <w:jc w:val="center"/>
        <w:rPr>
          <w:rFonts w:ascii="宋体" w:hAnsi="宋体"/>
          <w:b/>
          <w:spacing w:val="40"/>
          <w:sz w:val="84"/>
          <w:szCs w:val="84"/>
          <w:highlight w:val="none"/>
        </w:rPr>
      </w:pPr>
      <w:r>
        <w:rPr>
          <w:rFonts w:hint="eastAsia" w:ascii="宋体" w:hAnsi="宋体"/>
          <w:b/>
          <w:spacing w:val="40"/>
          <w:sz w:val="84"/>
          <w:szCs w:val="84"/>
          <w:highlight w:val="none"/>
        </w:rPr>
        <w:t>文</w:t>
      </w:r>
    </w:p>
    <w:p>
      <w:pPr>
        <w:spacing w:line="1100" w:lineRule="exact"/>
        <w:ind w:right="-108"/>
        <w:jc w:val="center"/>
        <w:rPr>
          <w:rFonts w:ascii="宋体" w:hAnsi="宋体"/>
          <w:b/>
          <w:spacing w:val="40"/>
          <w:sz w:val="84"/>
          <w:szCs w:val="84"/>
          <w:highlight w:val="none"/>
        </w:rPr>
      </w:pPr>
    </w:p>
    <w:p>
      <w:pPr>
        <w:spacing w:line="360" w:lineRule="auto"/>
        <w:ind w:right="-108"/>
        <w:jc w:val="center"/>
        <w:rPr>
          <w:rFonts w:ascii="宋体" w:hAnsi="宋体"/>
          <w:b/>
          <w:spacing w:val="40"/>
          <w:sz w:val="84"/>
          <w:szCs w:val="84"/>
          <w:highlight w:val="none"/>
        </w:rPr>
      </w:pPr>
      <w:r>
        <w:rPr>
          <w:rFonts w:hint="eastAsia" w:ascii="宋体" w:hAnsi="宋体"/>
          <w:b/>
          <w:spacing w:val="40"/>
          <w:sz w:val="84"/>
          <w:szCs w:val="84"/>
          <w:highlight w:val="none"/>
        </w:rPr>
        <w:t>件</w:t>
      </w:r>
    </w:p>
    <w:p>
      <w:pPr>
        <w:spacing w:line="600" w:lineRule="exact"/>
        <w:ind w:right="532" w:firstLine="640" w:firstLineChars="200"/>
        <w:rPr>
          <w:rFonts w:ascii="宋体" w:hAnsi="宋体"/>
          <w:sz w:val="32"/>
          <w:szCs w:val="32"/>
          <w:highlight w:val="none"/>
        </w:rPr>
      </w:pPr>
      <w:r>
        <w:rPr>
          <w:rFonts w:hint="eastAsia" w:ascii="宋体" w:hAnsi="宋体"/>
          <w:sz w:val="32"/>
          <w:szCs w:val="32"/>
          <w:highlight w:val="none"/>
        </w:rPr>
        <w:t>单位全称（公章）：</w:t>
      </w:r>
    </w:p>
    <w:p>
      <w:pPr>
        <w:spacing w:line="600" w:lineRule="exact"/>
        <w:ind w:right="532" w:firstLine="640" w:firstLineChars="200"/>
        <w:rPr>
          <w:rFonts w:ascii="宋体" w:hAnsi="宋体"/>
          <w:sz w:val="32"/>
          <w:szCs w:val="32"/>
          <w:highlight w:val="none"/>
        </w:rPr>
      </w:pPr>
      <w:r>
        <w:rPr>
          <w:rFonts w:hint="eastAsia" w:ascii="宋体" w:hAnsi="宋体"/>
          <w:sz w:val="32"/>
          <w:szCs w:val="32"/>
          <w:highlight w:val="none"/>
        </w:rPr>
        <w:t>地    址：</w:t>
      </w:r>
    </w:p>
    <w:p>
      <w:pPr>
        <w:spacing w:line="600" w:lineRule="exact"/>
        <w:ind w:right="532" w:firstLine="640" w:firstLineChars="200"/>
        <w:rPr>
          <w:rFonts w:ascii="宋体" w:hAnsi="宋体"/>
          <w:sz w:val="32"/>
          <w:szCs w:val="32"/>
          <w:highlight w:val="none"/>
        </w:rPr>
      </w:pPr>
      <w:r>
        <w:rPr>
          <w:rFonts w:hint="eastAsia" w:ascii="宋体" w:hAnsi="宋体"/>
          <w:sz w:val="32"/>
          <w:szCs w:val="32"/>
          <w:highlight w:val="none"/>
        </w:rPr>
        <w:t>时    间：</w:t>
      </w:r>
    </w:p>
    <w:p>
      <w:pPr>
        <w:snapToGrid w:val="0"/>
        <w:spacing w:beforeLines="50" w:after="50"/>
        <w:rPr>
          <w:rFonts w:ascii="宋体" w:hAnsi="宋体"/>
          <w:b/>
          <w:bCs/>
          <w:kern w:val="44"/>
          <w:szCs w:val="21"/>
          <w:highlight w:val="none"/>
        </w:rPr>
      </w:pPr>
    </w:p>
    <w:p>
      <w:pPr>
        <w:tabs>
          <w:tab w:val="left" w:pos="426"/>
        </w:tabs>
        <w:snapToGrid w:val="0"/>
        <w:spacing w:line="276" w:lineRule="auto"/>
        <w:jc w:val="left"/>
        <w:rPr>
          <w:rFonts w:ascii="宋体" w:hAnsi="宋体"/>
          <w:sz w:val="30"/>
          <w:szCs w:val="20"/>
          <w:highlight w:val="none"/>
        </w:rPr>
      </w:pPr>
    </w:p>
    <w:p>
      <w:pPr>
        <w:tabs>
          <w:tab w:val="left" w:pos="426"/>
        </w:tabs>
        <w:snapToGrid w:val="0"/>
        <w:spacing w:line="276" w:lineRule="auto"/>
        <w:jc w:val="left"/>
        <w:rPr>
          <w:rFonts w:ascii="宋体" w:hAnsi="宋体"/>
          <w:b/>
          <w:bCs/>
          <w:sz w:val="30"/>
          <w:szCs w:val="20"/>
          <w:highlight w:val="none"/>
        </w:rPr>
      </w:pPr>
      <w:r>
        <w:rPr>
          <w:rFonts w:hint="eastAsia" w:ascii="宋体" w:hAnsi="宋体"/>
          <w:b/>
          <w:bCs/>
          <w:sz w:val="30"/>
          <w:szCs w:val="20"/>
          <w:highlight w:val="none"/>
        </w:rPr>
        <w:t>目录：</w:t>
      </w:r>
    </w:p>
    <w:p>
      <w:pPr>
        <w:widowControl/>
        <w:spacing w:line="340" w:lineRule="exact"/>
        <w:ind w:firstLine="542" w:firstLineChars="225"/>
        <w:jc w:val="left"/>
        <w:rPr>
          <w:rFonts w:ascii="宋体" w:hAnsi="宋体"/>
          <w:b/>
          <w:sz w:val="24"/>
          <w:highlight w:val="none"/>
        </w:rPr>
      </w:pPr>
      <w:r>
        <w:rPr>
          <w:rFonts w:hint="eastAsia" w:ascii="宋体" w:hAnsi="宋体"/>
          <w:b/>
          <w:sz w:val="24"/>
          <w:highlight w:val="none"/>
        </w:rPr>
        <w:t>a.投标单位的有效工商营业执照或法人证书</w:t>
      </w:r>
      <w:r>
        <w:rPr>
          <w:rFonts w:hint="eastAsia" w:ascii="宋体" w:hAnsi="宋体"/>
          <w:b/>
          <w:bCs/>
          <w:sz w:val="24"/>
          <w:highlight w:val="none"/>
        </w:rPr>
        <w:t>复印件加盖公章；</w:t>
      </w:r>
    </w:p>
    <w:p>
      <w:pPr>
        <w:widowControl/>
        <w:spacing w:line="360" w:lineRule="exact"/>
        <w:ind w:firstLine="540" w:firstLineChars="224"/>
        <w:jc w:val="left"/>
        <w:rPr>
          <w:rFonts w:ascii="宋体" w:hAnsi="宋体"/>
          <w:b/>
          <w:sz w:val="24"/>
          <w:highlight w:val="none"/>
        </w:rPr>
      </w:pPr>
      <w:r>
        <w:rPr>
          <w:rFonts w:hint="eastAsia" w:ascii="宋体" w:hAnsi="宋体"/>
          <w:b/>
          <w:sz w:val="24"/>
          <w:highlight w:val="none"/>
        </w:rPr>
        <w:t>b. 投标单位的依法缴纳税收和社会保障资金的承诺函（格式见附件《承诺函》）</w:t>
      </w:r>
      <w:r>
        <w:rPr>
          <w:rFonts w:hint="eastAsia" w:ascii="宋体" w:hAnsi="宋体"/>
          <w:b/>
          <w:sz w:val="24"/>
          <w:highlight w:val="none"/>
          <w:u w:val="single"/>
        </w:rPr>
        <w:t>（采购人或采购代理机构在评审时会当场通过“信用中国”网站、中国政府采购网等渠道进行查询，对不符合政府采购法相关规定资格条件的供应商，拒绝其参与政府采购活动）</w:t>
      </w:r>
    </w:p>
    <w:p>
      <w:pPr>
        <w:widowControl/>
        <w:spacing w:line="340" w:lineRule="exact"/>
        <w:ind w:firstLine="540" w:firstLineChars="224"/>
        <w:jc w:val="left"/>
        <w:rPr>
          <w:rFonts w:ascii="宋体" w:hAnsi="宋体"/>
          <w:b/>
          <w:color w:val="FF0000"/>
          <w:sz w:val="24"/>
          <w:highlight w:val="none"/>
        </w:rPr>
      </w:pPr>
      <w:r>
        <w:rPr>
          <w:rFonts w:hint="eastAsia" w:ascii="宋体" w:hAnsi="宋体"/>
          <w:b/>
          <w:sz w:val="24"/>
          <w:highlight w:val="none"/>
        </w:rPr>
        <w:t>c</w:t>
      </w:r>
      <w:r>
        <w:rPr>
          <w:rFonts w:hint="eastAsia" w:ascii="宋体" w:hAnsi="宋体"/>
          <w:b/>
          <w:color w:val="FF0000"/>
          <w:sz w:val="24"/>
          <w:highlight w:val="none"/>
        </w:rPr>
        <w:t>.投标单位的安全生产许可证资质证书</w:t>
      </w:r>
      <w:r>
        <w:rPr>
          <w:rFonts w:hint="eastAsia" w:ascii="宋体" w:hAnsi="宋体"/>
          <w:b/>
          <w:bCs/>
          <w:color w:val="FF0000"/>
          <w:sz w:val="24"/>
          <w:highlight w:val="none"/>
        </w:rPr>
        <w:t>复印件加盖公章；</w:t>
      </w:r>
    </w:p>
    <w:p>
      <w:pPr>
        <w:widowControl/>
        <w:spacing w:line="340" w:lineRule="exact"/>
        <w:ind w:firstLine="540" w:firstLineChars="224"/>
        <w:jc w:val="left"/>
        <w:rPr>
          <w:rFonts w:ascii="宋体" w:hAnsi="宋体"/>
          <w:b/>
          <w:sz w:val="24"/>
          <w:highlight w:val="none"/>
        </w:rPr>
      </w:pPr>
      <w:r>
        <w:rPr>
          <w:rFonts w:hint="eastAsia" w:ascii="宋体" w:hAnsi="宋体"/>
          <w:b/>
          <w:sz w:val="24"/>
          <w:highlight w:val="none"/>
        </w:rPr>
        <w:t>d.法定代表人授权书原件、被授权人身份证（原件查看）复印件一份；</w:t>
      </w:r>
    </w:p>
    <w:p>
      <w:pPr>
        <w:widowControl/>
        <w:spacing w:line="340" w:lineRule="exact"/>
        <w:ind w:firstLine="482" w:firstLineChars="200"/>
        <w:jc w:val="left"/>
        <w:rPr>
          <w:rFonts w:ascii="宋体" w:hAnsi="宋体"/>
          <w:b/>
          <w:sz w:val="24"/>
          <w:highlight w:val="none"/>
        </w:rPr>
      </w:pPr>
      <w:r>
        <w:rPr>
          <w:rFonts w:hint="eastAsia" w:ascii="宋体" w:hAnsi="宋体"/>
          <w:b/>
          <w:sz w:val="24"/>
          <w:highlight w:val="none"/>
        </w:rPr>
        <w:t>e.</w:t>
      </w:r>
      <w:r>
        <w:rPr>
          <w:rFonts w:hint="eastAsia" w:ascii="宋体" w:hAnsi="宋体"/>
          <w:b/>
          <w:color w:val="FF0000"/>
          <w:sz w:val="24"/>
          <w:highlight w:val="none"/>
        </w:rPr>
        <w:t>若投标人为大中型企业的，须向小微企业进行分包（接受分包的小微企业与分包企业之间不得存在直接控股、管理关系），须提供分包协议（格式自拟），分包协议中须明确分包内容</w:t>
      </w:r>
      <w:r>
        <w:rPr>
          <w:rFonts w:hint="eastAsia" w:ascii="宋体" w:hAnsi="宋体"/>
          <w:b/>
          <w:color w:val="FF0000"/>
          <w:sz w:val="24"/>
          <w:highlight w:val="none"/>
          <w:lang w:eastAsia="zh-CN"/>
        </w:rPr>
        <w:t>、分包金额、法律责任等详细内容</w:t>
      </w:r>
      <w:r>
        <w:rPr>
          <w:rFonts w:hint="eastAsia" w:ascii="宋体" w:hAnsi="宋体"/>
          <w:b/>
          <w:color w:val="FF0000"/>
          <w:sz w:val="24"/>
          <w:highlight w:val="none"/>
        </w:rPr>
        <w:t>，且中小微企业合同份额不得低于合同总金额的30%；若投标人是小微企业的，须提供中小企业声明函（详见附件）；</w:t>
      </w:r>
    </w:p>
    <w:p>
      <w:pPr>
        <w:widowControl/>
        <w:spacing w:line="340" w:lineRule="exact"/>
        <w:ind w:firstLine="540" w:firstLineChars="224"/>
        <w:jc w:val="left"/>
        <w:rPr>
          <w:rFonts w:ascii="宋体" w:hAnsi="宋体"/>
          <w:b/>
          <w:sz w:val="24"/>
          <w:highlight w:val="none"/>
        </w:rPr>
      </w:pPr>
      <w:r>
        <w:rPr>
          <w:rFonts w:hint="eastAsia" w:ascii="宋体" w:hAnsi="宋体"/>
          <w:b/>
          <w:sz w:val="24"/>
          <w:highlight w:val="none"/>
        </w:rPr>
        <w:t>f.投标单位的其他投标资格证明文件</w:t>
      </w:r>
      <w:r>
        <w:rPr>
          <w:rFonts w:hint="eastAsia" w:ascii="宋体" w:hAnsi="宋体"/>
          <w:b/>
          <w:bCs/>
          <w:sz w:val="24"/>
          <w:highlight w:val="none"/>
        </w:rPr>
        <w:t>复印件加盖公章</w:t>
      </w:r>
      <w:r>
        <w:rPr>
          <w:rFonts w:hint="eastAsia" w:ascii="宋体" w:hAnsi="宋体"/>
          <w:b/>
          <w:sz w:val="24"/>
          <w:highlight w:val="none"/>
        </w:rPr>
        <w:t>（若供应商为总公司所设立的区域性分支机构（分公司），以及个体工商户、个人独资企业、合伙企业需提供房产权证、车辆行驶证或其他固定资产等有效财产证明材料</w:t>
      </w:r>
      <w:r>
        <w:rPr>
          <w:rFonts w:hint="eastAsia" w:ascii="宋体" w:hAnsi="宋体"/>
          <w:b/>
          <w:bCs/>
          <w:sz w:val="24"/>
          <w:highlight w:val="none"/>
        </w:rPr>
        <w:t>复印件加盖公章</w:t>
      </w:r>
      <w:r>
        <w:rPr>
          <w:rFonts w:hint="eastAsia" w:ascii="宋体" w:hAnsi="宋体"/>
          <w:b/>
          <w:sz w:val="24"/>
          <w:highlight w:val="none"/>
        </w:rPr>
        <w:t>）</w:t>
      </w:r>
      <w:r>
        <w:rPr>
          <w:rFonts w:hint="eastAsia" w:ascii="宋体" w:hAnsi="宋体"/>
          <w:b/>
          <w:bCs/>
          <w:sz w:val="24"/>
          <w:highlight w:val="none"/>
        </w:rPr>
        <w:t>。</w:t>
      </w:r>
    </w:p>
    <w:p>
      <w:pPr>
        <w:snapToGrid w:val="0"/>
        <w:spacing w:line="360" w:lineRule="auto"/>
        <w:rPr>
          <w:rFonts w:ascii="宋体" w:hAnsi="宋体"/>
          <w:b/>
          <w:sz w:val="30"/>
          <w:szCs w:val="20"/>
          <w:highlight w:val="none"/>
        </w:rPr>
      </w:pPr>
    </w:p>
    <w:p>
      <w:pPr>
        <w:snapToGrid w:val="0"/>
        <w:spacing w:line="360" w:lineRule="auto"/>
        <w:rPr>
          <w:rFonts w:ascii="宋体" w:hAnsi="宋体"/>
          <w:b/>
          <w:sz w:val="30"/>
          <w:szCs w:val="20"/>
          <w:highlight w:val="none"/>
        </w:rPr>
      </w:pPr>
    </w:p>
    <w:p>
      <w:pPr>
        <w:snapToGrid w:val="0"/>
        <w:spacing w:line="360" w:lineRule="auto"/>
        <w:rPr>
          <w:rFonts w:ascii="宋体" w:hAnsi="宋体"/>
          <w:b/>
          <w:sz w:val="30"/>
          <w:szCs w:val="20"/>
          <w:highlight w:val="none"/>
        </w:rPr>
      </w:pPr>
    </w:p>
    <w:p>
      <w:pPr>
        <w:snapToGrid w:val="0"/>
        <w:spacing w:line="360" w:lineRule="auto"/>
        <w:rPr>
          <w:rFonts w:ascii="宋体" w:hAnsi="宋体"/>
          <w:b/>
          <w:sz w:val="30"/>
          <w:szCs w:val="20"/>
          <w:highlight w:val="none"/>
        </w:rPr>
      </w:pPr>
    </w:p>
    <w:p>
      <w:pPr>
        <w:snapToGrid w:val="0"/>
        <w:spacing w:line="360" w:lineRule="auto"/>
        <w:rPr>
          <w:rFonts w:ascii="宋体" w:hAnsi="宋体"/>
          <w:b/>
          <w:sz w:val="30"/>
          <w:szCs w:val="20"/>
          <w:highlight w:val="none"/>
        </w:rPr>
      </w:pPr>
    </w:p>
    <w:p>
      <w:pPr>
        <w:snapToGrid w:val="0"/>
        <w:spacing w:line="360" w:lineRule="auto"/>
        <w:rPr>
          <w:rFonts w:ascii="宋体" w:hAnsi="宋体"/>
          <w:b/>
          <w:sz w:val="30"/>
          <w:szCs w:val="20"/>
          <w:highlight w:val="none"/>
        </w:rPr>
      </w:pPr>
    </w:p>
    <w:p>
      <w:pPr>
        <w:snapToGrid w:val="0"/>
        <w:spacing w:line="360" w:lineRule="auto"/>
        <w:rPr>
          <w:rFonts w:ascii="宋体" w:hAnsi="宋体"/>
          <w:b/>
          <w:sz w:val="30"/>
          <w:szCs w:val="20"/>
          <w:highlight w:val="none"/>
        </w:rPr>
      </w:pPr>
    </w:p>
    <w:p>
      <w:pPr>
        <w:snapToGrid w:val="0"/>
        <w:spacing w:line="360" w:lineRule="auto"/>
        <w:rPr>
          <w:rFonts w:ascii="宋体" w:hAnsi="宋体"/>
          <w:b/>
          <w:sz w:val="30"/>
          <w:szCs w:val="20"/>
          <w:highlight w:val="none"/>
        </w:rPr>
      </w:pPr>
    </w:p>
    <w:p>
      <w:pPr>
        <w:snapToGrid w:val="0"/>
        <w:spacing w:line="360" w:lineRule="auto"/>
        <w:rPr>
          <w:rFonts w:ascii="宋体" w:hAnsi="宋体"/>
          <w:b/>
          <w:sz w:val="30"/>
          <w:szCs w:val="20"/>
          <w:highlight w:val="none"/>
        </w:rPr>
      </w:pPr>
    </w:p>
    <w:p>
      <w:pPr>
        <w:snapToGrid w:val="0"/>
        <w:spacing w:line="360" w:lineRule="auto"/>
        <w:rPr>
          <w:rFonts w:ascii="宋体" w:hAnsi="宋体"/>
          <w:b/>
          <w:sz w:val="30"/>
          <w:szCs w:val="20"/>
          <w:highlight w:val="none"/>
        </w:rPr>
      </w:pPr>
    </w:p>
    <w:p>
      <w:pPr>
        <w:snapToGrid w:val="0"/>
        <w:spacing w:line="360" w:lineRule="auto"/>
        <w:rPr>
          <w:rFonts w:ascii="宋体" w:hAnsi="宋体"/>
          <w:b/>
          <w:sz w:val="30"/>
          <w:szCs w:val="20"/>
          <w:highlight w:val="none"/>
        </w:rPr>
      </w:pPr>
    </w:p>
    <w:p>
      <w:pPr>
        <w:snapToGrid w:val="0"/>
        <w:spacing w:line="360" w:lineRule="auto"/>
        <w:rPr>
          <w:rFonts w:ascii="宋体" w:hAnsi="宋体"/>
          <w:b/>
          <w:sz w:val="30"/>
          <w:szCs w:val="20"/>
          <w:highlight w:val="none"/>
        </w:rPr>
      </w:pPr>
    </w:p>
    <w:p>
      <w:pPr>
        <w:snapToGrid w:val="0"/>
        <w:spacing w:line="360" w:lineRule="auto"/>
        <w:rPr>
          <w:rFonts w:ascii="宋体" w:hAnsi="宋体"/>
          <w:b/>
          <w:sz w:val="30"/>
          <w:szCs w:val="20"/>
          <w:highlight w:val="none"/>
        </w:rPr>
      </w:pPr>
    </w:p>
    <w:p>
      <w:pPr>
        <w:snapToGrid w:val="0"/>
        <w:spacing w:line="360" w:lineRule="auto"/>
        <w:rPr>
          <w:rFonts w:ascii="宋体" w:hAnsi="宋体"/>
          <w:b/>
          <w:sz w:val="30"/>
          <w:szCs w:val="20"/>
          <w:highlight w:val="none"/>
        </w:rPr>
      </w:pPr>
    </w:p>
    <w:p>
      <w:pPr>
        <w:snapToGrid w:val="0"/>
        <w:spacing w:line="360" w:lineRule="auto"/>
        <w:rPr>
          <w:rFonts w:ascii="宋体" w:hAnsi="宋体"/>
          <w:b/>
          <w:sz w:val="30"/>
          <w:szCs w:val="20"/>
          <w:highlight w:val="none"/>
        </w:rPr>
      </w:pPr>
      <w:r>
        <w:rPr>
          <w:rFonts w:hint="eastAsia" w:ascii="宋体" w:hAnsi="宋体"/>
          <w:b/>
          <w:sz w:val="30"/>
          <w:szCs w:val="20"/>
          <w:highlight w:val="none"/>
        </w:rPr>
        <w:t>附件一：</w:t>
      </w:r>
    </w:p>
    <w:p>
      <w:pPr>
        <w:snapToGrid w:val="0"/>
        <w:spacing w:line="360" w:lineRule="auto"/>
        <w:jc w:val="center"/>
        <w:rPr>
          <w:rFonts w:ascii="宋体" w:hAnsi="宋体"/>
          <w:b/>
          <w:bCs/>
          <w:sz w:val="32"/>
          <w:szCs w:val="22"/>
          <w:highlight w:val="none"/>
        </w:rPr>
      </w:pPr>
      <w:r>
        <w:rPr>
          <w:rFonts w:hint="eastAsia" w:ascii="宋体" w:hAnsi="宋体"/>
          <w:b/>
          <w:bCs/>
          <w:sz w:val="32"/>
          <w:szCs w:val="22"/>
          <w:highlight w:val="none"/>
        </w:rPr>
        <w:t>承诺函</w:t>
      </w:r>
    </w:p>
    <w:p>
      <w:pPr>
        <w:snapToGrid w:val="0"/>
        <w:spacing w:line="360" w:lineRule="auto"/>
        <w:jc w:val="center"/>
        <w:rPr>
          <w:rFonts w:ascii="宋体" w:hAnsi="宋体"/>
          <w:b/>
          <w:bCs/>
          <w:sz w:val="36"/>
          <w:highlight w:val="none"/>
        </w:rPr>
      </w:pPr>
    </w:p>
    <w:p>
      <w:pPr>
        <w:spacing w:line="360" w:lineRule="auto"/>
        <w:ind w:firstLine="697"/>
        <w:rPr>
          <w:rFonts w:ascii="宋体" w:hAnsi="宋体"/>
          <w:sz w:val="24"/>
          <w:highlight w:val="none"/>
        </w:rPr>
      </w:pPr>
      <w:r>
        <w:rPr>
          <w:rFonts w:hint="eastAsia" w:ascii="宋体" w:hAnsi="宋体"/>
          <w:sz w:val="24"/>
          <w:highlight w:val="none"/>
        </w:rPr>
        <w:t>本供应商郑重承诺，我方符合参加政府采购活动的资格条件，并且参与本项目前3年内（处罚决定日期），没有税收缴纳、社会保障、财务经营等方面的失信记录，且在经营活动中无重大违法记录（重大违法记录包括：供应商因违法经营受到刑事处罚或者责令停产停业、吊销许可证或者执照、较大数额罚款等行政处罚。）</w:t>
      </w:r>
    </w:p>
    <w:p>
      <w:pPr>
        <w:spacing w:line="360" w:lineRule="auto"/>
        <w:ind w:firstLine="697"/>
        <w:rPr>
          <w:rFonts w:ascii="宋体" w:hAnsi="宋体"/>
          <w:sz w:val="24"/>
          <w:highlight w:val="none"/>
        </w:rPr>
      </w:pPr>
      <w:r>
        <w:rPr>
          <w:rFonts w:hint="eastAsia" w:ascii="宋体" w:hAnsi="宋体"/>
          <w:sz w:val="24"/>
          <w:highlight w:val="none"/>
        </w:rPr>
        <w:t>同时，截止本声明书签订之日前，我方通过“信用中国”（www.creditchina.gov.cn）、“中国政府采购网”（www.ccgp.gov.cn）查询，未在失信被执行人、重大税收违法案件当事人名单、政府采购严重违法失信行为记录名单之列。</w:t>
      </w:r>
    </w:p>
    <w:p>
      <w:pPr>
        <w:spacing w:line="360" w:lineRule="auto"/>
        <w:ind w:firstLine="697"/>
        <w:rPr>
          <w:rFonts w:ascii="宋体" w:hAnsi="宋体"/>
          <w:sz w:val="24"/>
          <w:highlight w:val="none"/>
        </w:rPr>
      </w:pPr>
      <w:r>
        <w:rPr>
          <w:rFonts w:hint="eastAsia" w:ascii="宋体" w:hAnsi="宋体"/>
          <w:sz w:val="24"/>
          <w:highlight w:val="none"/>
        </w:rPr>
        <w:t>本单位对上述承诺的真实性负责。如有虚假，将依法承担相应责任。</w:t>
      </w:r>
    </w:p>
    <w:p>
      <w:pPr>
        <w:snapToGrid w:val="0"/>
        <w:spacing w:line="360" w:lineRule="auto"/>
        <w:ind w:firstLine="640" w:firstLineChars="200"/>
        <w:rPr>
          <w:rFonts w:ascii="仿宋" w:hAnsi="仿宋" w:eastAsia="仿宋"/>
          <w:sz w:val="32"/>
          <w:szCs w:val="32"/>
          <w:highlight w:val="none"/>
        </w:rPr>
      </w:pPr>
    </w:p>
    <w:p>
      <w:pPr>
        <w:spacing w:line="588" w:lineRule="exact"/>
        <w:ind w:firstLine="664" w:firstLineChars="200"/>
        <w:rPr>
          <w:rFonts w:ascii="仿宋_GB2312" w:eastAsia="仿宋_GB2312"/>
          <w:spacing w:val="6"/>
          <w:sz w:val="32"/>
          <w:szCs w:val="32"/>
          <w:highlight w:val="none"/>
        </w:rPr>
      </w:pPr>
    </w:p>
    <w:p>
      <w:pPr>
        <w:spacing w:line="360" w:lineRule="auto"/>
        <w:ind w:firstLine="697"/>
        <w:jc w:val="right"/>
        <w:rPr>
          <w:rFonts w:ascii="宋体" w:hAnsi="宋体"/>
          <w:sz w:val="24"/>
          <w:highlight w:val="none"/>
        </w:rPr>
      </w:pPr>
      <w:r>
        <w:rPr>
          <w:rFonts w:hint="eastAsia" w:ascii="宋体" w:hAnsi="宋体"/>
          <w:sz w:val="24"/>
          <w:highlight w:val="none"/>
        </w:rPr>
        <w:t>单位名称（盖章）：</w:t>
      </w:r>
    </w:p>
    <w:p>
      <w:pPr>
        <w:wordWrap w:val="0"/>
        <w:spacing w:line="360" w:lineRule="auto"/>
        <w:ind w:firstLine="697"/>
        <w:jc w:val="right"/>
        <w:rPr>
          <w:rFonts w:ascii="宋体" w:hAnsi="宋体"/>
          <w:sz w:val="24"/>
          <w:highlight w:val="none"/>
        </w:rPr>
      </w:pPr>
      <w:r>
        <w:rPr>
          <w:rFonts w:hint="eastAsia" w:ascii="宋体" w:hAnsi="宋体"/>
          <w:sz w:val="24"/>
          <w:highlight w:val="none"/>
        </w:rPr>
        <w:t xml:space="preserve">       日  期：年 月 日</w:t>
      </w:r>
    </w:p>
    <w:p>
      <w:pPr>
        <w:snapToGrid w:val="0"/>
        <w:spacing w:line="360" w:lineRule="auto"/>
        <w:rPr>
          <w:rFonts w:ascii="宋体" w:hAnsi="宋体"/>
          <w:sz w:val="24"/>
          <w:szCs w:val="20"/>
          <w:highlight w:val="none"/>
        </w:rPr>
      </w:pPr>
    </w:p>
    <w:p>
      <w:pPr>
        <w:snapToGrid w:val="0"/>
        <w:spacing w:before="50" w:afterLines="50"/>
        <w:jc w:val="left"/>
        <w:rPr>
          <w:rFonts w:ascii="宋体" w:hAnsi="宋体"/>
          <w:b/>
          <w:sz w:val="30"/>
          <w:szCs w:val="20"/>
          <w:highlight w:val="none"/>
        </w:rPr>
      </w:pPr>
    </w:p>
    <w:p>
      <w:pPr>
        <w:snapToGrid w:val="0"/>
        <w:spacing w:before="50" w:afterLines="50"/>
        <w:jc w:val="left"/>
        <w:rPr>
          <w:rFonts w:ascii="宋体" w:hAnsi="宋体"/>
          <w:sz w:val="24"/>
          <w:szCs w:val="20"/>
          <w:highlight w:val="none"/>
        </w:rPr>
      </w:pPr>
    </w:p>
    <w:p>
      <w:pPr>
        <w:snapToGrid w:val="0"/>
        <w:spacing w:before="50" w:afterLines="50"/>
        <w:jc w:val="left"/>
        <w:rPr>
          <w:rFonts w:ascii="宋体" w:hAnsi="宋体"/>
          <w:sz w:val="24"/>
          <w:szCs w:val="20"/>
          <w:highlight w:val="none"/>
        </w:rPr>
      </w:pPr>
    </w:p>
    <w:p>
      <w:pPr>
        <w:snapToGrid w:val="0"/>
        <w:spacing w:before="50" w:afterLines="50"/>
        <w:jc w:val="left"/>
        <w:rPr>
          <w:rFonts w:ascii="宋体" w:hAnsi="宋体"/>
          <w:sz w:val="24"/>
          <w:szCs w:val="20"/>
          <w:highlight w:val="none"/>
        </w:rPr>
      </w:pPr>
    </w:p>
    <w:p>
      <w:pPr>
        <w:snapToGrid w:val="0"/>
        <w:spacing w:before="50" w:afterLines="50"/>
        <w:jc w:val="left"/>
        <w:rPr>
          <w:rFonts w:ascii="宋体" w:hAnsi="宋体"/>
          <w:sz w:val="24"/>
          <w:szCs w:val="20"/>
          <w:highlight w:val="none"/>
        </w:rPr>
      </w:pPr>
    </w:p>
    <w:p>
      <w:pPr>
        <w:snapToGrid w:val="0"/>
        <w:spacing w:before="50" w:afterLines="50"/>
        <w:jc w:val="left"/>
        <w:rPr>
          <w:rFonts w:ascii="宋体" w:hAnsi="宋体"/>
          <w:sz w:val="24"/>
          <w:szCs w:val="20"/>
          <w:highlight w:val="none"/>
        </w:rPr>
      </w:pPr>
    </w:p>
    <w:p>
      <w:pPr>
        <w:snapToGrid w:val="0"/>
        <w:spacing w:before="50" w:afterLines="50"/>
        <w:jc w:val="left"/>
        <w:rPr>
          <w:rFonts w:ascii="宋体" w:hAnsi="宋体"/>
          <w:sz w:val="24"/>
          <w:szCs w:val="20"/>
          <w:highlight w:val="none"/>
        </w:rPr>
      </w:pPr>
    </w:p>
    <w:p>
      <w:pPr>
        <w:pStyle w:val="47"/>
        <w:ind w:firstLine="482"/>
        <w:rPr>
          <w:rFonts w:ascii="宋体" w:hAnsi="宋体"/>
          <w:sz w:val="24"/>
          <w:szCs w:val="20"/>
          <w:highlight w:val="none"/>
        </w:rPr>
      </w:pPr>
    </w:p>
    <w:p>
      <w:pPr>
        <w:pStyle w:val="47"/>
        <w:ind w:firstLine="482"/>
        <w:rPr>
          <w:rFonts w:ascii="宋体" w:hAnsi="宋体"/>
          <w:sz w:val="24"/>
          <w:szCs w:val="20"/>
          <w:highlight w:val="none"/>
        </w:rPr>
      </w:pPr>
    </w:p>
    <w:p>
      <w:pPr>
        <w:pStyle w:val="47"/>
        <w:ind w:firstLine="482"/>
        <w:rPr>
          <w:rFonts w:ascii="宋体" w:hAnsi="宋体"/>
          <w:sz w:val="24"/>
          <w:szCs w:val="20"/>
          <w:highlight w:val="none"/>
        </w:rPr>
      </w:pPr>
    </w:p>
    <w:p>
      <w:pPr>
        <w:pStyle w:val="47"/>
        <w:ind w:firstLine="482"/>
        <w:rPr>
          <w:rFonts w:ascii="宋体" w:hAnsi="宋体"/>
          <w:sz w:val="24"/>
          <w:szCs w:val="20"/>
          <w:highlight w:val="none"/>
        </w:rPr>
      </w:pPr>
    </w:p>
    <w:p>
      <w:pPr>
        <w:pStyle w:val="47"/>
        <w:ind w:firstLine="482"/>
        <w:rPr>
          <w:rFonts w:ascii="宋体" w:hAnsi="宋体"/>
          <w:sz w:val="24"/>
          <w:szCs w:val="20"/>
          <w:highlight w:val="none"/>
        </w:rPr>
      </w:pPr>
    </w:p>
    <w:p>
      <w:pPr>
        <w:snapToGrid w:val="0"/>
        <w:spacing w:before="50" w:afterLines="50"/>
        <w:jc w:val="left"/>
        <w:rPr>
          <w:rFonts w:ascii="宋体" w:hAnsi="宋体"/>
          <w:b/>
          <w:bCs/>
          <w:sz w:val="28"/>
          <w:szCs w:val="21"/>
          <w:highlight w:val="none"/>
        </w:rPr>
      </w:pPr>
      <w:r>
        <w:rPr>
          <w:rFonts w:hint="eastAsia" w:ascii="宋体" w:hAnsi="宋体"/>
          <w:b/>
          <w:bCs/>
          <w:sz w:val="28"/>
          <w:szCs w:val="21"/>
          <w:highlight w:val="none"/>
        </w:rPr>
        <w:t>附件二：</w:t>
      </w:r>
    </w:p>
    <w:p>
      <w:pPr>
        <w:snapToGrid w:val="0"/>
        <w:spacing w:before="50" w:afterLines="50"/>
        <w:jc w:val="center"/>
        <w:rPr>
          <w:rFonts w:ascii="宋体" w:hAnsi="宋体"/>
          <w:b/>
          <w:bCs/>
          <w:sz w:val="28"/>
          <w:szCs w:val="21"/>
          <w:highlight w:val="none"/>
        </w:rPr>
      </w:pPr>
      <w:r>
        <w:rPr>
          <w:rFonts w:hint="eastAsia" w:ascii="宋体" w:hAnsi="宋体"/>
          <w:b/>
          <w:bCs/>
          <w:sz w:val="28"/>
          <w:szCs w:val="21"/>
          <w:highlight w:val="none"/>
        </w:rPr>
        <w:t>法定代表人授权委托书格式：</w:t>
      </w:r>
    </w:p>
    <w:p>
      <w:pPr>
        <w:snapToGrid w:val="0"/>
        <w:spacing w:beforeLines="50" w:after="50"/>
        <w:jc w:val="center"/>
        <w:rPr>
          <w:rFonts w:ascii="宋体" w:hAnsi="宋体"/>
          <w:sz w:val="30"/>
          <w:szCs w:val="20"/>
          <w:highlight w:val="none"/>
        </w:rPr>
      </w:pPr>
    </w:p>
    <w:p>
      <w:pPr>
        <w:snapToGrid w:val="0"/>
        <w:spacing w:beforeLines="50" w:after="50"/>
        <w:jc w:val="center"/>
        <w:rPr>
          <w:rFonts w:ascii="宋体" w:hAnsi="宋体"/>
          <w:b/>
          <w:sz w:val="24"/>
          <w:szCs w:val="20"/>
          <w:highlight w:val="none"/>
        </w:rPr>
      </w:pPr>
      <w:r>
        <w:rPr>
          <w:rFonts w:hint="eastAsia" w:ascii="宋体" w:hAnsi="宋体"/>
          <w:b/>
          <w:sz w:val="24"/>
          <w:szCs w:val="20"/>
          <w:highlight w:val="none"/>
        </w:rPr>
        <w:t>法定代表人授权委托书</w:t>
      </w:r>
    </w:p>
    <w:p>
      <w:pPr>
        <w:snapToGrid w:val="0"/>
        <w:spacing w:beforeLines="50" w:after="50"/>
        <w:rPr>
          <w:rFonts w:ascii="宋体" w:hAnsi="宋体"/>
          <w:b/>
          <w:bCs/>
          <w:sz w:val="24"/>
          <w:szCs w:val="20"/>
          <w:highlight w:val="none"/>
        </w:rPr>
      </w:pPr>
      <w:r>
        <w:rPr>
          <w:rFonts w:hint="eastAsia" w:ascii="宋体" w:hAnsi="宋体"/>
          <w:bCs/>
          <w:sz w:val="24"/>
          <w:szCs w:val="20"/>
          <w:highlight w:val="none"/>
        </w:rPr>
        <w:t>致：</w:t>
      </w:r>
      <w:r>
        <w:rPr>
          <w:rFonts w:ascii="宋体" w:hAnsi="宋体"/>
          <w:sz w:val="24"/>
          <w:szCs w:val="20"/>
          <w:highlight w:val="none"/>
        </w:rPr>
        <w:t>______</w:t>
      </w:r>
      <w:r>
        <w:rPr>
          <w:rFonts w:ascii="宋体" w:hAnsi="宋体"/>
          <w:sz w:val="24"/>
          <w:szCs w:val="20"/>
          <w:highlight w:val="none"/>
          <w:u w:val="single"/>
        </w:rPr>
        <w:t>__</w:t>
      </w:r>
      <w:r>
        <w:rPr>
          <w:rFonts w:ascii="宋体" w:hAnsi="宋体"/>
          <w:sz w:val="24"/>
          <w:szCs w:val="20"/>
          <w:highlight w:val="none"/>
        </w:rPr>
        <w:t>_</w:t>
      </w:r>
      <w:r>
        <w:rPr>
          <w:rFonts w:hint="eastAsia" w:ascii="宋体" w:hAnsi="宋体"/>
          <w:sz w:val="24"/>
          <w:szCs w:val="20"/>
          <w:highlight w:val="none"/>
        </w:rPr>
        <w:t>（招标代理机构、采购单位名称）：</w:t>
      </w:r>
    </w:p>
    <w:p>
      <w:pPr>
        <w:snapToGrid w:val="0"/>
        <w:spacing w:beforeLines="50" w:after="50"/>
        <w:ind w:firstLine="720" w:firstLineChars="300"/>
        <w:rPr>
          <w:rFonts w:ascii="宋体" w:hAnsi="宋体"/>
          <w:sz w:val="24"/>
          <w:szCs w:val="20"/>
          <w:highlight w:val="none"/>
        </w:rPr>
      </w:pPr>
      <w:r>
        <w:rPr>
          <w:rFonts w:hint="eastAsia" w:ascii="宋体" w:hAnsi="宋体"/>
          <w:sz w:val="24"/>
          <w:szCs w:val="20"/>
          <w:highlight w:val="none"/>
        </w:rPr>
        <w:t>我</w:t>
      </w:r>
      <w:r>
        <w:rPr>
          <w:rFonts w:ascii="宋体" w:hAnsi="宋体"/>
          <w:sz w:val="24"/>
          <w:szCs w:val="20"/>
          <w:highlight w:val="none"/>
        </w:rPr>
        <w:t>______</w:t>
      </w:r>
      <w:r>
        <w:rPr>
          <w:rFonts w:ascii="宋体" w:hAnsi="宋体"/>
          <w:sz w:val="24"/>
          <w:szCs w:val="20"/>
          <w:highlight w:val="none"/>
          <w:u w:val="single"/>
        </w:rPr>
        <w:t>__</w:t>
      </w:r>
      <w:r>
        <w:rPr>
          <w:rFonts w:ascii="宋体" w:hAnsi="宋体"/>
          <w:sz w:val="24"/>
          <w:szCs w:val="20"/>
          <w:highlight w:val="none"/>
        </w:rPr>
        <w:t>_</w:t>
      </w:r>
      <w:r>
        <w:rPr>
          <w:rFonts w:hint="eastAsia" w:ascii="宋体" w:hAnsi="宋体"/>
          <w:sz w:val="24"/>
          <w:szCs w:val="20"/>
          <w:highlight w:val="none"/>
        </w:rPr>
        <w:t>（姓名）系</w:t>
      </w:r>
      <w:r>
        <w:rPr>
          <w:rFonts w:ascii="宋体" w:hAnsi="宋体"/>
          <w:sz w:val="24"/>
          <w:szCs w:val="20"/>
          <w:highlight w:val="none"/>
        </w:rPr>
        <w:t>______</w:t>
      </w:r>
      <w:r>
        <w:rPr>
          <w:rFonts w:ascii="宋体" w:hAnsi="宋体"/>
          <w:sz w:val="24"/>
          <w:szCs w:val="20"/>
          <w:highlight w:val="none"/>
          <w:u w:val="single"/>
        </w:rPr>
        <w:t>__</w:t>
      </w:r>
      <w:r>
        <w:rPr>
          <w:rFonts w:ascii="宋体" w:hAnsi="宋体"/>
          <w:sz w:val="24"/>
          <w:szCs w:val="20"/>
          <w:highlight w:val="none"/>
        </w:rPr>
        <w:t>_</w:t>
      </w:r>
      <w:r>
        <w:rPr>
          <w:rFonts w:hint="eastAsia" w:ascii="宋体" w:hAnsi="宋体"/>
          <w:sz w:val="24"/>
          <w:szCs w:val="20"/>
          <w:highlight w:val="none"/>
        </w:rPr>
        <w:t>（投标人名称）的法定代表人，现授权委托（姓名）      以我方的名义参加项目的投标活动，并代表我方全权办理针对上述项目的投标、开标、评标、签约等具体事务和签署相关文件。</w:t>
      </w:r>
    </w:p>
    <w:p>
      <w:pPr>
        <w:snapToGrid w:val="0"/>
        <w:spacing w:beforeLines="50" w:after="50"/>
        <w:rPr>
          <w:rFonts w:ascii="宋体" w:hAnsi="宋体"/>
          <w:sz w:val="24"/>
          <w:szCs w:val="20"/>
          <w:highlight w:val="none"/>
        </w:rPr>
      </w:pPr>
      <w:r>
        <w:rPr>
          <w:rFonts w:hint="eastAsia" w:ascii="宋体" w:hAnsi="宋体"/>
          <w:sz w:val="24"/>
          <w:szCs w:val="20"/>
          <w:highlight w:val="none"/>
        </w:rPr>
        <w:t>我方对被授权人的签名事项负全部责任。</w:t>
      </w:r>
    </w:p>
    <w:p>
      <w:pPr>
        <w:snapToGrid w:val="0"/>
        <w:spacing w:beforeLines="50" w:after="50"/>
        <w:ind w:firstLine="480"/>
        <w:rPr>
          <w:rFonts w:ascii="宋体" w:hAnsi="宋体"/>
          <w:sz w:val="24"/>
          <w:szCs w:val="20"/>
          <w:highlight w:val="none"/>
        </w:rPr>
      </w:pPr>
      <w:r>
        <w:rPr>
          <w:rFonts w:hint="eastAsia" w:ascii="宋体" w:hAnsi="宋体"/>
          <w:sz w:val="24"/>
          <w:szCs w:val="20"/>
          <w:highlight w:val="none"/>
          <w:u w:val="single"/>
        </w:rPr>
        <w:t>在投标文件有效期内，本授权书一直有效。</w:t>
      </w:r>
      <w:r>
        <w:rPr>
          <w:rFonts w:hint="eastAsia" w:ascii="宋体" w:hAnsi="宋体"/>
          <w:sz w:val="24"/>
          <w:szCs w:val="20"/>
          <w:highlight w:val="none"/>
        </w:rPr>
        <w:t>被授权人在授权书有效期内签署的所有文件不因授权的撤销而失效。</w:t>
      </w:r>
    </w:p>
    <w:p>
      <w:pPr>
        <w:snapToGrid w:val="0"/>
        <w:spacing w:beforeLines="50" w:after="50"/>
        <w:ind w:firstLine="480"/>
        <w:rPr>
          <w:rFonts w:ascii="宋体" w:hAnsi="宋体"/>
          <w:sz w:val="24"/>
          <w:szCs w:val="20"/>
          <w:highlight w:val="none"/>
        </w:rPr>
      </w:pPr>
      <w:r>
        <w:rPr>
          <w:rFonts w:hint="eastAsia" w:ascii="宋体" w:hAnsi="宋体"/>
          <w:sz w:val="24"/>
          <w:szCs w:val="20"/>
          <w:highlight w:val="none"/>
        </w:rPr>
        <w:t>被授权人无转委托权，特此委托。</w:t>
      </w:r>
    </w:p>
    <w:p>
      <w:pPr>
        <w:snapToGrid w:val="0"/>
        <w:spacing w:beforeLines="50" w:after="50"/>
        <w:rPr>
          <w:rFonts w:ascii="宋体" w:hAnsi="宋体"/>
          <w:sz w:val="24"/>
          <w:szCs w:val="20"/>
          <w:highlight w:val="none"/>
        </w:rPr>
      </w:pPr>
    </w:p>
    <w:p>
      <w:pPr>
        <w:snapToGrid w:val="0"/>
        <w:spacing w:beforeLines="50" w:after="50"/>
        <w:rPr>
          <w:rFonts w:ascii="宋体" w:hAnsi="宋体"/>
          <w:sz w:val="24"/>
          <w:szCs w:val="20"/>
          <w:highlight w:val="none"/>
          <w:u w:val="single"/>
        </w:rPr>
      </w:pPr>
      <w:r>
        <w:rPr>
          <w:rFonts w:hint="eastAsia" w:ascii="宋体" w:hAnsi="宋体"/>
          <w:sz w:val="24"/>
          <w:szCs w:val="20"/>
          <w:highlight w:val="none"/>
        </w:rPr>
        <w:t>被授权人签名：                     法定代表人签名或盖章：</w:t>
      </w:r>
    </w:p>
    <w:p>
      <w:pPr>
        <w:snapToGrid w:val="0"/>
        <w:spacing w:beforeLines="50" w:after="50"/>
        <w:rPr>
          <w:rFonts w:ascii="宋体" w:hAnsi="宋体"/>
          <w:sz w:val="24"/>
          <w:szCs w:val="20"/>
          <w:highlight w:val="none"/>
        </w:rPr>
      </w:pPr>
      <w:r>
        <w:rPr>
          <w:rFonts w:hint="eastAsia" w:ascii="宋体" w:hAnsi="宋体"/>
          <w:sz w:val="24"/>
          <w:szCs w:val="20"/>
          <w:highlight w:val="none"/>
        </w:rPr>
        <w:t>职务：                              职务：</w:t>
      </w:r>
    </w:p>
    <w:p>
      <w:pPr>
        <w:snapToGrid w:val="0"/>
        <w:spacing w:beforeLines="50" w:after="50"/>
        <w:rPr>
          <w:rFonts w:ascii="宋体" w:hAnsi="宋体"/>
          <w:sz w:val="24"/>
          <w:szCs w:val="20"/>
          <w:highlight w:val="none"/>
        </w:rPr>
      </w:pPr>
      <w:r>
        <w:rPr>
          <w:rFonts w:hint="eastAsia" w:ascii="宋体" w:hAnsi="宋体"/>
          <w:sz w:val="24"/>
          <w:szCs w:val="20"/>
          <w:highlight w:val="none"/>
        </w:rPr>
        <w:t>投标人公章：</w:t>
      </w:r>
    </w:p>
    <w:p>
      <w:pPr>
        <w:snapToGrid w:val="0"/>
        <w:spacing w:beforeLines="50" w:after="50"/>
        <w:jc w:val="center"/>
        <w:rPr>
          <w:rFonts w:ascii="宋体" w:hAnsi="宋体"/>
          <w:sz w:val="24"/>
          <w:szCs w:val="20"/>
          <w:highlight w:val="none"/>
        </w:rPr>
      </w:pPr>
      <w:r>
        <w:rPr>
          <w:rFonts w:hint="eastAsia" w:ascii="宋体" w:hAnsi="宋体"/>
          <w:sz w:val="24"/>
          <w:szCs w:val="20"/>
          <w:highlight w:val="none"/>
        </w:rPr>
        <w:t xml:space="preserve">                                     年  月   日</w:t>
      </w:r>
    </w:p>
    <w:p>
      <w:pPr>
        <w:snapToGrid w:val="0"/>
        <w:spacing w:beforeLines="50" w:after="50"/>
        <w:jc w:val="center"/>
        <w:rPr>
          <w:rFonts w:ascii="宋体" w:hAnsi="宋体"/>
          <w:sz w:val="24"/>
          <w:szCs w:val="20"/>
          <w:highlight w:val="none"/>
        </w:rPr>
      </w:pPr>
    </w:p>
    <w:p>
      <w:pPr>
        <w:pStyle w:val="14"/>
        <w:spacing w:line="500" w:lineRule="exact"/>
        <w:ind w:firstLine="436" w:firstLineChars="156"/>
        <w:jc w:val="center"/>
        <w:rPr>
          <w:rFonts w:ascii="仿宋_GB2312" w:eastAsia="仿宋_GB2312"/>
          <w:sz w:val="28"/>
          <w:szCs w:val="28"/>
          <w:highlight w:val="none"/>
        </w:rPr>
      </w:pPr>
      <w:r>
        <w:rPr>
          <w:rFonts w:hint="eastAsia" w:ascii="仿宋_GB2312" w:eastAsia="仿宋_GB2312"/>
          <w:sz w:val="28"/>
          <w:szCs w:val="28"/>
          <w:highlight w:val="none"/>
        </w:rPr>
        <w:t>—————————————————————————</w:t>
      </w:r>
    </w:p>
    <w:p>
      <w:pPr>
        <w:pStyle w:val="14"/>
        <w:spacing w:line="500" w:lineRule="exact"/>
        <w:ind w:firstLine="436" w:firstLineChars="156"/>
        <w:jc w:val="center"/>
        <w:rPr>
          <w:rFonts w:ascii="仿宋_GB2312" w:eastAsia="仿宋_GB2312"/>
          <w:sz w:val="28"/>
          <w:szCs w:val="28"/>
          <w:highlight w:val="none"/>
        </w:rPr>
      </w:pPr>
    </w:p>
    <w:p>
      <w:pPr>
        <w:pStyle w:val="14"/>
        <w:spacing w:line="500" w:lineRule="exact"/>
        <w:ind w:firstLine="436" w:firstLineChars="156"/>
        <w:jc w:val="center"/>
        <w:rPr>
          <w:rFonts w:ascii="仿宋_GB2312" w:eastAsia="仿宋_GB2312"/>
          <w:sz w:val="28"/>
          <w:szCs w:val="28"/>
          <w:highlight w:val="none"/>
        </w:rPr>
      </w:pPr>
    </w:p>
    <w:p>
      <w:pPr>
        <w:pStyle w:val="14"/>
        <w:spacing w:line="500" w:lineRule="exact"/>
        <w:ind w:firstLine="436" w:firstLineChars="156"/>
        <w:jc w:val="center"/>
        <w:rPr>
          <w:rFonts w:ascii="仿宋_GB2312" w:eastAsia="仿宋_GB2312"/>
          <w:sz w:val="28"/>
          <w:szCs w:val="28"/>
          <w:highlight w:val="none"/>
        </w:rPr>
      </w:pPr>
    </w:p>
    <w:p>
      <w:pPr>
        <w:pStyle w:val="14"/>
        <w:spacing w:line="500" w:lineRule="exact"/>
        <w:ind w:firstLine="436" w:firstLineChars="156"/>
        <w:jc w:val="center"/>
        <w:rPr>
          <w:rFonts w:ascii="仿宋_GB2312" w:eastAsia="仿宋_GB2312"/>
          <w:sz w:val="30"/>
          <w:szCs w:val="24"/>
          <w:highlight w:val="none"/>
        </w:rPr>
      </w:pPr>
      <w:r>
        <w:rPr>
          <w:rFonts w:hint="eastAsia" w:ascii="仿宋_GB2312" w:eastAsia="仿宋_GB2312"/>
          <w:sz w:val="28"/>
          <w:szCs w:val="28"/>
          <w:highlight w:val="none"/>
        </w:rPr>
        <w:t>被授权人有效身份证明复印件粘贴处</w:t>
      </w:r>
    </w:p>
    <w:p>
      <w:pPr>
        <w:spacing w:line="360" w:lineRule="auto"/>
        <w:ind w:firstLine="3600" w:firstLineChars="1500"/>
        <w:jc w:val="right"/>
        <w:rPr>
          <w:rFonts w:ascii="宋体" w:hAnsi="宋体"/>
          <w:sz w:val="24"/>
          <w:szCs w:val="20"/>
          <w:highlight w:val="none"/>
        </w:rPr>
      </w:pPr>
    </w:p>
    <w:p>
      <w:pPr>
        <w:spacing w:line="360" w:lineRule="auto"/>
        <w:ind w:firstLine="3600" w:firstLineChars="1500"/>
        <w:jc w:val="right"/>
        <w:rPr>
          <w:rFonts w:ascii="宋体" w:hAnsi="宋体"/>
          <w:sz w:val="24"/>
          <w:szCs w:val="20"/>
          <w:highlight w:val="none"/>
        </w:rPr>
      </w:pPr>
    </w:p>
    <w:p>
      <w:pPr>
        <w:spacing w:line="360" w:lineRule="auto"/>
        <w:ind w:firstLine="3600" w:firstLineChars="1500"/>
        <w:jc w:val="right"/>
        <w:rPr>
          <w:rFonts w:ascii="宋体" w:hAnsi="宋体"/>
          <w:sz w:val="24"/>
          <w:szCs w:val="20"/>
          <w:highlight w:val="none"/>
        </w:rPr>
      </w:pPr>
    </w:p>
    <w:p>
      <w:pPr>
        <w:spacing w:line="360" w:lineRule="auto"/>
        <w:ind w:firstLine="3600" w:firstLineChars="1500"/>
        <w:jc w:val="right"/>
        <w:rPr>
          <w:rFonts w:ascii="宋体" w:hAnsi="宋体"/>
          <w:sz w:val="24"/>
          <w:szCs w:val="20"/>
          <w:highlight w:val="none"/>
        </w:rPr>
      </w:pPr>
    </w:p>
    <w:p>
      <w:pPr>
        <w:spacing w:after="120" w:line="360" w:lineRule="auto"/>
        <w:rPr>
          <w:rFonts w:ascii="宋体" w:hAnsi="宋体"/>
          <w:sz w:val="24"/>
          <w:szCs w:val="20"/>
          <w:highlight w:val="none"/>
        </w:rPr>
      </w:pPr>
      <w:r>
        <w:rPr>
          <w:rFonts w:hint="eastAsia" w:ascii="宋体" w:hAnsi="宋体"/>
          <w:b/>
          <w:sz w:val="24"/>
          <w:highlight w:val="none"/>
        </w:rPr>
        <w:t>注：法定代表人授权委托书格式不得随意变更且内容如实填写完整，否则将可能导致授权委托书无效。</w:t>
      </w:r>
    </w:p>
    <w:p>
      <w:pPr>
        <w:snapToGrid w:val="0"/>
        <w:spacing w:before="50" w:afterLines="50"/>
        <w:jc w:val="left"/>
        <w:rPr>
          <w:rFonts w:ascii="宋体" w:hAnsi="宋体"/>
          <w:b/>
          <w:sz w:val="30"/>
          <w:szCs w:val="20"/>
          <w:highlight w:val="none"/>
        </w:rPr>
      </w:pPr>
    </w:p>
    <w:p>
      <w:pPr>
        <w:tabs>
          <w:tab w:val="left" w:pos="540"/>
        </w:tabs>
        <w:rPr>
          <w:rFonts w:ascii="宋体" w:hAnsi="宋体"/>
          <w:b/>
          <w:color w:val="000000"/>
          <w:sz w:val="30"/>
          <w:szCs w:val="30"/>
          <w:highlight w:val="none"/>
        </w:rPr>
      </w:pPr>
    </w:p>
    <w:p>
      <w:pPr>
        <w:ind w:right="-110"/>
        <w:jc w:val="center"/>
        <w:rPr>
          <w:rFonts w:ascii="宋体" w:hAnsi="宋体"/>
          <w:spacing w:val="40"/>
          <w:sz w:val="32"/>
          <w:szCs w:val="32"/>
          <w:highlight w:val="none"/>
        </w:rPr>
      </w:pPr>
    </w:p>
    <w:p>
      <w:pPr>
        <w:ind w:right="-110"/>
        <w:jc w:val="center"/>
        <w:rPr>
          <w:rFonts w:ascii="宋体" w:hAnsi="宋体"/>
          <w:spacing w:val="40"/>
          <w:sz w:val="32"/>
          <w:szCs w:val="32"/>
          <w:highlight w:val="none"/>
        </w:rPr>
      </w:pPr>
    </w:p>
    <w:p>
      <w:pPr>
        <w:ind w:right="-110"/>
        <w:jc w:val="center"/>
        <w:rPr>
          <w:rFonts w:ascii="宋体" w:hAnsi="宋体"/>
          <w:spacing w:val="40"/>
          <w:sz w:val="32"/>
          <w:szCs w:val="32"/>
          <w:highlight w:val="none"/>
        </w:rPr>
      </w:pPr>
      <w:r>
        <w:rPr>
          <w:rFonts w:hint="eastAsia" w:ascii="宋体" w:hAnsi="宋体"/>
          <w:spacing w:val="40"/>
          <w:sz w:val="32"/>
          <w:szCs w:val="32"/>
          <w:highlight w:val="none"/>
        </w:rPr>
        <w:t>***项目名称</w:t>
      </w:r>
    </w:p>
    <w:p>
      <w:pPr>
        <w:spacing w:beforeLines="100" w:line="240" w:lineRule="atLeast"/>
        <w:ind w:right="-108"/>
        <w:jc w:val="center"/>
        <w:rPr>
          <w:rFonts w:ascii="宋体" w:hAnsi="宋体"/>
          <w:sz w:val="32"/>
          <w:szCs w:val="32"/>
          <w:highlight w:val="none"/>
        </w:rPr>
      </w:pPr>
      <w:r>
        <w:rPr>
          <w:rFonts w:hint="eastAsia" w:ascii="宋体" w:hAnsi="宋体"/>
          <w:sz w:val="32"/>
          <w:szCs w:val="32"/>
          <w:highlight w:val="none"/>
        </w:rPr>
        <w:t>项目编号：</w:t>
      </w:r>
    </w:p>
    <w:p>
      <w:pPr>
        <w:spacing w:after="100" w:afterAutospacing="1"/>
        <w:ind w:right="-108"/>
        <w:jc w:val="center"/>
        <w:rPr>
          <w:rFonts w:ascii="宋体" w:hAnsi="宋体"/>
          <w:b/>
          <w:spacing w:val="40"/>
          <w:sz w:val="84"/>
          <w:szCs w:val="84"/>
          <w:highlight w:val="none"/>
        </w:rPr>
      </w:pPr>
      <w:r>
        <w:rPr>
          <w:rFonts w:hint="eastAsia" w:ascii="宋体" w:hAnsi="宋体"/>
          <w:b/>
          <w:spacing w:val="40"/>
          <w:sz w:val="84"/>
          <w:szCs w:val="84"/>
          <w:highlight w:val="none"/>
        </w:rPr>
        <w:t>商</w:t>
      </w:r>
    </w:p>
    <w:p>
      <w:pPr>
        <w:spacing w:after="100" w:afterAutospacing="1"/>
        <w:ind w:right="-108"/>
        <w:jc w:val="center"/>
        <w:rPr>
          <w:rFonts w:ascii="宋体" w:hAnsi="宋体"/>
          <w:b/>
          <w:spacing w:val="40"/>
          <w:sz w:val="84"/>
          <w:szCs w:val="84"/>
          <w:highlight w:val="none"/>
        </w:rPr>
      </w:pPr>
      <w:r>
        <w:rPr>
          <w:rFonts w:hint="eastAsia" w:ascii="宋体" w:hAnsi="宋体"/>
          <w:b/>
          <w:spacing w:val="40"/>
          <w:sz w:val="84"/>
          <w:szCs w:val="84"/>
          <w:highlight w:val="none"/>
        </w:rPr>
        <w:t>务</w:t>
      </w:r>
    </w:p>
    <w:p>
      <w:pPr>
        <w:spacing w:after="100" w:afterAutospacing="1"/>
        <w:ind w:right="-108"/>
        <w:jc w:val="center"/>
        <w:rPr>
          <w:rFonts w:ascii="宋体" w:hAnsi="宋体"/>
          <w:b/>
          <w:spacing w:val="40"/>
          <w:sz w:val="84"/>
          <w:szCs w:val="84"/>
          <w:highlight w:val="none"/>
        </w:rPr>
      </w:pPr>
      <w:r>
        <w:rPr>
          <w:rFonts w:hint="eastAsia" w:ascii="宋体" w:hAnsi="宋体"/>
          <w:b/>
          <w:spacing w:val="40"/>
          <w:sz w:val="84"/>
          <w:szCs w:val="84"/>
          <w:highlight w:val="none"/>
        </w:rPr>
        <w:t>技</w:t>
      </w:r>
    </w:p>
    <w:p>
      <w:pPr>
        <w:spacing w:after="100" w:afterAutospacing="1"/>
        <w:ind w:right="-108"/>
        <w:jc w:val="center"/>
        <w:rPr>
          <w:rFonts w:ascii="宋体" w:hAnsi="宋体"/>
          <w:b/>
          <w:spacing w:val="40"/>
          <w:sz w:val="84"/>
          <w:szCs w:val="84"/>
          <w:highlight w:val="none"/>
        </w:rPr>
      </w:pPr>
      <w:r>
        <w:rPr>
          <w:rFonts w:hint="eastAsia" w:ascii="宋体" w:hAnsi="宋体"/>
          <w:b/>
          <w:spacing w:val="40"/>
          <w:sz w:val="84"/>
          <w:szCs w:val="84"/>
          <w:highlight w:val="none"/>
        </w:rPr>
        <w:t>术</w:t>
      </w:r>
    </w:p>
    <w:p>
      <w:pPr>
        <w:spacing w:after="100" w:afterAutospacing="1"/>
        <w:ind w:right="-108"/>
        <w:jc w:val="center"/>
        <w:rPr>
          <w:rFonts w:ascii="宋体" w:hAnsi="宋体"/>
          <w:b/>
          <w:spacing w:val="40"/>
          <w:sz w:val="84"/>
          <w:szCs w:val="84"/>
          <w:highlight w:val="none"/>
        </w:rPr>
      </w:pPr>
      <w:r>
        <w:rPr>
          <w:rFonts w:hint="eastAsia" w:ascii="宋体" w:hAnsi="宋体"/>
          <w:b/>
          <w:spacing w:val="40"/>
          <w:sz w:val="84"/>
          <w:szCs w:val="84"/>
          <w:highlight w:val="none"/>
        </w:rPr>
        <w:t>文</w:t>
      </w:r>
    </w:p>
    <w:p>
      <w:pPr>
        <w:spacing w:after="100" w:afterAutospacing="1"/>
        <w:ind w:right="-108"/>
        <w:jc w:val="center"/>
        <w:rPr>
          <w:rFonts w:ascii="宋体" w:hAnsi="宋体"/>
          <w:b/>
          <w:spacing w:val="40"/>
          <w:sz w:val="84"/>
          <w:szCs w:val="84"/>
          <w:highlight w:val="none"/>
        </w:rPr>
      </w:pPr>
      <w:r>
        <w:rPr>
          <w:rFonts w:hint="eastAsia" w:ascii="宋体" w:hAnsi="宋体"/>
          <w:b/>
          <w:spacing w:val="40"/>
          <w:sz w:val="84"/>
          <w:szCs w:val="84"/>
          <w:highlight w:val="none"/>
        </w:rPr>
        <w:t>件</w:t>
      </w:r>
    </w:p>
    <w:p>
      <w:pPr>
        <w:spacing w:line="500" w:lineRule="exact"/>
        <w:ind w:right="532"/>
        <w:jc w:val="center"/>
        <w:rPr>
          <w:rFonts w:ascii="宋体" w:hAnsi="宋体"/>
          <w:sz w:val="36"/>
          <w:szCs w:val="36"/>
          <w:highlight w:val="none"/>
        </w:rPr>
      </w:pPr>
    </w:p>
    <w:p>
      <w:pPr>
        <w:spacing w:line="500" w:lineRule="exact"/>
        <w:ind w:right="532"/>
        <w:jc w:val="center"/>
        <w:rPr>
          <w:rFonts w:ascii="宋体" w:hAnsi="宋体"/>
          <w:sz w:val="36"/>
          <w:szCs w:val="36"/>
          <w:highlight w:val="none"/>
        </w:rPr>
      </w:pPr>
    </w:p>
    <w:p>
      <w:pPr>
        <w:spacing w:line="560" w:lineRule="exact"/>
        <w:ind w:right="532"/>
        <w:rPr>
          <w:rFonts w:ascii="宋体" w:hAnsi="宋体"/>
          <w:sz w:val="32"/>
          <w:szCs w:val="32"/>
          <w:highlight w:val="none"/>
        </w:rPr>
      </w:pPr>
      <w:r>
        <w:rPr>
          <w:rFonts w:hint="eastAsia" w:ascii="宋体" w:hAnsi="宋体"/>
          <w:sz w:val="32"/>
          <w:szCs w:val="32"/>
          <w:highlight w:val="none"/>
        </w:rPr>
        <w:t>单位全称（公章）：</w:t>
      </w:r>
    </w:p>
    <w:p>
      <w:pPr>
        <w:spacing w:line="560" w:lineRule="exact"/>
        <w:ind w:right="-108"/>
        <w:rPr>
          <w:rFonts w:ascii="宋体" w:hAnsi="宋体"/>
          <w:sz w:val="32"/>
          <w:szCs w:val="32"/>
          <w:highlight w:val="none"/>
        </w:rPr>
      </w:pPr>
      <w:r>
        <w:rPr>
          <w:rFonts w:hint="eastAsia" w:ascii="宋体" w:hAnsi="宋体"/>
          <w:sz w:val="32"/>
          <w:szCs w:val="32"/>
          <w:highlight w:val="none"/>
        </w:rPr>
        <w:t>地    址：</w:t>
      </w:r>
    </w:p>
    <w:p>
      <w:pPr>
        <w:snapToGrid w:val="0"/>
        <w:spacing w:before="50" w:afterLines="50"/>
        <w:jc w:val="left"/>
        <w:rPr>
          <w:rFonts w:ascii="宋体" w:hAnsi="宋体"/>
          <w:sz w:val="32"/>
          <w:szCs w:val="32"/>
          <w:highlight w:val="none"/>
        </w:rPr>
      </w:pPr>
      <w:r>
        <w:rPr>
          <w:rFonts w:hint="eastAsia" w:ascii="宋体" w:hAnsi="宋体"/>
          <w:sz w:val="32"/>
          <w:szCs w:val="32"/>
          <w:highlight w:val="none"/>
        </w:rPr>
        <w:t>时    间：</w:t>
      </w:r>
    </w:p>
    <w:p>
      <w:pPr>
        <w:snapToGrid w:val="0"/>
        <w:spacing w:beforeLines="50" w:line="360" w:lineRule="auto"/>
        <w:ind w:firstLine="417" w:firstLineChars="174"/>
        <w:jc w:val="left"/>
        <w:rPr>
          <w:rFonts w:ascii="宋体" w:hAnsi="宋体"/>
          <w:color w:val="000000"/>
          <w:sz w:val="24"/>
          <w:highlight w:val="none"/>
        </w:rPr>
      </w:pPr>
    </w:p>
    <w:p>
      <w:pPr>
        <w:snapToGrid w:val="0"/>
        <w:spacing w:beforeLines="50"/>
        <w:jc w:val="left"/>
        <w:rPr>
          <w:rFonts w:ascii="宋体" w:hAnsi="宋体"/>
          <w:b/>
          <w:bCs/>
          <w:color w:val="000000"/>
          <w:sz w:val="24"/>
          <w:highlight w:val="none"/>
        </w:rPr>
      </w:pPr>
      <w:r>
        <w:rPr>
          <w:rFonts w:hint="eastAsia" w:ascii="宋体" w:hAnsi="宋体"/>
          <w:b/>
          <w:bCs/>
          <w:color w:val="000000"/>
          <w:sz w:val="24"/>
          <w:highlight w:val="none"/>
        </w:rPr>
        <w:t>目录（仅做参考）：</w:t>
      </w:r>
    </w:p>
    <w:p>
      <w:pPr>
        <w:snapToGrid w:val="0"/>
        <w:spacing w:beforeLines="50"/>
        <w:ind w:left="426"/>
        <w:jc w:val="left"/>
        <w:rPr>
          <w:rFonts w:ascii="宋体" w:hAnsi="宋体"/>
          <w:b/>
          <w:sz w:val="24"/>
          <w:szCs w:val="20"/>
          <w:highlight w:val="none"/>
        </w:rPr>
      </w:pPr>
      <w:r>
        <w:rPr>
          <w:rFonts w:hint="eastAsia" w:ascii="宋体" w:hAnsi="宋体"/>
          <w:b/>
          <w:sz w:val="24"/>
          <w:szCs w:val="20"/>
          <w:highlight w:val="none"/>
        </w:rPr>
        <w:t>（1）商务部分包括但不限于以下内容</w:t>
      </w:r>
    </w:p>
    <w:p>
      <w:pPr>
        <w:tabs>
          <w:tab w:val="left" w:pos="0"/>
        </w:tabs>
        <w:spacing w:line="400" w:lineRule="exact"/>
        <w:ind w:left="426"/>
        <w:rPr>
          <w:rFonts w:ascii="宋体" w:hAnsi="宋体"/>
          <w:sz w:val="24"/>
          <w:highlight w:val="none"/>
        </w:rPr>
      </w:pPr>
      <w:r>
        <w:rPr>
          <w:rFonts w:hint="eastAsia" w:ascii="宋体" w:hAnsi="宋体"/>
          <w:sz w:val="24"/>
          <w:highlight w:val="none"/>
        </w:rPr>
        <w:t>A.供应商采购响应文件评分索引一览表（格式见附件）</w:t>
      </w:r>
    </w:p>
    <w:p>
      <w:pPr>
        <w:tabs>
          <w:tab w:val="left" w:pos="0"/>
        </w:tabs>
        <w:spacing w:line="400" w:lineRule="exact"/>
        <w:ind w:left="426"/>
        <w:rPr>
          <w:rFonts w:ascii="宋体" w:hAnsi="宋体"/>
          <w:sz w:val="24"/>
          <w:highlight w:val="none"/>
        </w:rPr>
      </w:pPr>
      <w:r>
        <w:rPr>
          <w:rFonts w:hint="eastAsia" w:ascii="宋体" w:hAnsi="宋体"/>
          <w:sz w:val="24"/>
          <w:highlight w:val="none"/>
        </w:rPr>
        <w:t>B.投标声明书（格式见附件）</w:t>
      </w:r>
    </w:p>
    <w:p>
      <w:pPr>
        <w:tabs>
          <w:tab w:val="left" w:pos="0"/>
        </w:tabs>
        <w:spacing w:line="400" w:lineRule="exact"/>
        <w:ind w:left="426"/>
        <w:rPr>
          <w:rFonts w:ascii="宋体" w:hAnsi="宋体"/>
          <w:sz w:val="24"/>
          <w:highlight w:val="none"/>
        </w:rPr>
      </w:pPr>
      <w:r>
        <w:rPr>
          <w:rFonts w:hint="eastAsia" w:ascii="宋体" w:hAnsi="宋体"/>
          <w:sz w:val="24"/>
          <w:highlight w:val="none"/>
        </w:rPr>
        <w:t>C.投标人的基本情况介绍</w:t>
      </w:r>
    </w:p>
    <w:p>
      <w:pPr>
        <w:tabs>
          <w:tab w:val="left" w:pos="0"/>
        </w:tabs>
        <w:spacing w:line="400" w:lineRule="exact"/>
        <w:ind w:left="426"/>
        <w:rPr>
          <w:rFonts w:ascii="宋体" w:hAnsi="宋体"/>
          <w:sz w:val="24"/>
          <w:highlight w:val="none"/>
        </w:rPr>
      </w:pPr>
      <w:r>
        <w:rPr>
          <w:rFonts w:hint="eastAsia" w:ascii="宋体" w:hAnsi="宋体"/>
          <w:sz w:val="24"/>
          <w:highlight w:val="none"/>
        </w:rPr>
        <w:t>D.投标人相关资质证书情况（复印件加盖公章）（原件备查）</w:t>
      </w:r>
    </w:p>
    <w:p>
      <w:pPr>
        <w:tabs>
          <w:tab w:val="left" w:pos="0"/>
        </w:tabs>
        <w:spacing w:line="400" w:lineRule="exact"/>
        <w:ind w:left="426"/>
        <w:rPr>
          <w:rFonts w:ascii="宋体" w:hAnsi="宋体"/>
          <w:sz w:val="24"/>
          <w:highlight w:val="none"/>
        </w:rPr>
      </w:pPr>
      <w:r>
        <w:rPr>
          <w:rFonts w:hint="eastAsia" w:ascii="宋体" w:hAnsi="宋体"/>
          <w:sz w:val="24"/>
          <w:highlight w:val="none"/>
        </w:rPr>
        <w:t>E.投标人三年来（</w:t>
      </w:r>
      <w:r>
        <w:rPr>
          <w:rFonts w:hint="eastAsia" w:ascii="宋体" w:hAnsi="宋体"/>
          <w:color w:val="FF0000"/>
          <w:sz w:val="24"/>
          <w:highlight w:val="none"/>
        </w:rPr>
        <w:t>2019</w:t>
      </w:r>
      <w:r>
        <w:rPr>
          <w:rFonts w:hint="eastAsia" w:ascii="宋体" w:hAnsi="宋体"/>
          <w:sz w:val="24"/>
          <w:highlight w:val="none"/>
        </w:rPr>
        <w:t>年7月1日至今）类似业绩证明（合同、业主验收证明材料等）（复印件加盖公章）（原件查验）</w:t>
      </w:r>
    </w:p>
    <w:p>
      <w:pPr>
        <w:tabs>
          <w:tab w:val="left" w:pos="0"/>
        </w:tabs>
        <w:spacing w:line="400" w:lineRule="exact"/>
        <w:ind w:left="426"/>
        <w:rPr>
          <w:rFonts w:ascii="宋体" w:hAnsi="宋体"/>
          <w:sz w:val="24"/>
          <w:highlight w:val="none"/>
        </w:rPr>
      </w:pPr>
      <w:r>
        <w:rPr>
          <w:rFonts w:hint="eastAsia" w:ascii="宋体" w:hAnsi="宋体"/>
          <w:sz w:val="24"/>
          <w:highlight w:val="none"/>
        </w:rPr>
        <w:t>F.投标供应商的荣誉、质量证书、认证证书和专利证书等能体现服务质量的证书,</w:t>
      </w:r>
      <w:r>
        <w:rPr>
          <w:rFonts w:ascii="宋体" w:hAnsi="宋体"/>
          <w:sz w:val="24"/>
          <w:highlight w:val="none"/>
        </w:rPr>
        <w:t>拟投标</w:t>
      </w:r>
      <w:r>
        <w:rPr>
          <w:rFonts w:hint="eastAsia" w:ascii="宋体" w:hAnsi="宋体"/>
          <w:sz w:val="24"/>
          <w:highlight w:val="none"/>
        </w:rPr>
        <w:t>服务</w:t>
      </w:r>
      <w:r>
        <w:rPr>
          <w:rFonts w:ascii="宋体" w:hAnsi="宋体"/>
          <w:sz w:val="24"/>
          <w:highlight w:val="none"/>
        </w:rPr>
        <w:t>符合国家及行业最新标准，并通过国家权威部门有关认证</w:t>
      </w:r>
      <w:r>
        <w:rPr>
          <w:rFonts w:hint="eastAsia" w:ascii="宋体" w:hAnsi="宋体"/>
          <w:sz w:val="24"/>
          <w:highlight w:val="none"/>
        </w:rPr>
        <w:t>的证明文件（复印件加盖公章）（如有）(参考评分标准相应评分项要求)</w:t>
      </w:r>
    </w:p>
    <w:p>
      <w:pPr>
        <w:tabs>
          <w:tab w:val="left" w:pos="0"/>
        </w:tabs>
        <w:spacing w:line="400" w:lineRule="exact"/>
        <w:ind w:left="426"/>
        <w:rPr>
          <w:rFonts w:ascii="宋体" w:hAnsi="宋体"/>
          <w:sz w:val="24"/>
          <w:highlight w:val="none"/>
        </w:rPr>
      </w:pPr>
      <w:r>
        <w:rPr>
          <w:rFonts w:hint="eastAsia" w:ascii="宋体" w:hAnsi="宋体"/>
          <w:sz w:val="24"/>
          <w:highlight w:val="none"/>
        </w:rPr>
        <w:t>G.自主创新、节能环保、环境标志等的资质证书复印件或文件（若有）（复印件加盖公章）</w:t>
      </w:r>
    </w:p>
    <w:p>
      <w:pPr>
        <w:tabs>
          <w:tab w:val="left" w:pos="0"/>
        </w:tabs>
        <w:spacing w:line="400" w:lineRule="exact"/>
        <w:ind w:left="426"/>
        <w:rPr>
          <w:rFonts w:ascii="宋体" w:hAnsi="宋体"/>
          <w:color w:val="000000"/>
          <w:kern w:val="0"/>
          <w:sz w:val="24"/>
          <w:highlight w:val="none"/>
        </w:rPr>
      </w:pPr>
      <w:r>
        <w:rPr>
          <w:rFonts w:hint="eastAsia" w:ascii="宋体" w:hAnsi="宋体"/>
          <w:kern w:val="0"/>
          <w:sz w:val="24"/>
          <w:highlight w:val="none"/>
        </w:rPr>
        <w:t>H.服务网点情况（须提供详细的全称、地址、联系人、联系方式、营业执照，若服务网点为投标人的合作单位，则需同时提供合作单位营业执照、</w:t>
      </w:r>
      <w:r>
        <w:rPr>
          <w:rFonts w:hint="eastAsia" w:ascii="宋体" w:hAnsi="宋体"/>
          <w:color w:val="000000"/>
          <w:kern w:val="0"/>
          <w:sz w:val="24"/>
          <w:highlight w:val="none"/>
        </w:rPr>
        <w:t>合作协议、合作单位人员组成、合作单位人员社保证明清单原件等）（加盖公章）</w:t>
      </w:r>
    </w:p>
    <w:p>
      <w:pPr>
        <w:tabs>
          <w:tab w:val="left" w:pos="0"/>
        </w:tabs>
        <w:spacing w:line="400" w:lineRule="exact"/>
        <w:ind w:left="426"/>
        <w:rPr>
          <w:rFonts w:ascii="宋体" w:hAnsi="宋体"/>
          <w:color w:val="000000"/>
          <w:kern w:val="0"/>
          <w:sz w:val="24"/>
          <w:highlight w:val="none"/>
        </w:rPr>
      </w:pPr>
      <w:r>
        <w:rPr>
          <w:rFonts w:hint="eastAsia" w:ascii="宋体" w:hAnsi="宋体"/>
          <w:color w:val="000000"/>
          <w:kern w:val="0"/>
          <w:sz w:val="24"/>
          <w:highlight w:val="none"/>
        </w:rPr>
        <w:t>I.投标人为中小企业，或按规定享受其他国家政策支持、扶持的相关证明材料</w:t>
      </w:r>
      <w:r>
        <w:rPr>
          <w:rFonts w:hint="eastAsia" w:ascii="宋体" w:hAnsi="宋体"/>
          <w:b/>
          <w:color w:val="000000"/>
          <w:kern w:val="0"/>
          <w:sz w:val="24"/>
          <w:highlight w:val="none"/>
        </w:rPr>
        <w:t>（中小企业声明等）（此项针对商务、资信及其他分评审）</w:t>
      </w:r>
    </w:p>
    <w:p>
      <w:pPr>
        <w:tabs>
          <w:tab w:val="left" w:pos="0"/>
        </w:tabs>
        <w:spacing w:line="400" w:lineRule="exact"/>
        <w:ind w:left="426"/>
        <w:rPr>
          <w:rFonts w:ascii="宋体" w:hAnsi="宋体"/>
          <w:color w:val="000000"/>
          <w:sz w:val="24"/>
          <w:highlight w:val="none"/>
        </w:rPr>
      </w:pPr>
      <w:r>
        <w:rPr>
          <w:rFonts w:hint="eastAsia" w:ascii="宋体" w:hAnsi="宋体"/>
          <w:color w:val="000000"/>
          <w:sz w:val="24"/>
          <w:highlight w:val="none"/>
        </w:rPr>
        <w:t>J.维护期（质保期）</w:t>
      </w:r>
    </w:p>
    <w:p>
      <w:pPr>
        <w:tabs>
          <w:tab w:val="left" w:pos="0"/>
        </w:tabs>
        <w:spacing w:line="400" w:lineRule="exact"/>
        <w:ind w:left="426"/>
        <w:rPr>
          <w:rFonts w:ascii="宋体" w:hAnsi="宋体"/>
          <w:color w:val="000000"/>
          <w:sz w:val="24"/>
          <w:highlight w:val="none"/>
        </w:rPr>
      </w:pPr>
      <w:r>
        <w:rPr>
          <w:rFonts w:hint="eastAsia" w:ascii="宋体" w:hAnsi="宋体"/>
          <w:color w:val="000000"/>
          <w:sz w:val="24"/>
          <w:highlight w:val="none"/>
        </w:rPr>
        <w:t>K.</w:t>
      </w:r>
      <w:r>
        <w:rPr>
          <w:rFonts w:hint="eastAsia" w:ascii="宋体" w:hAnsi="宋体"/>
          <w:color w:val="000000"/>
          <w:sz w:val="24"/>
          <w:highlight w:val="none"/>
          <w:lang w:val="zh-CN"/>
        </w:rPr>
        <w:t>投标单位维护期承诺，比如用户现场服务响应时间、问题解决时间等</w:t>
      </w:r>
    </w:p>
    <w:p>
      <w:pPr>
        <w:tabs>
          <w:tab w:val="left" w:pos="0"/>
        </w:tabs>
        <w:spacing w:line="400" w:lineRule="exact"/>
        <w:ind w:left="426"/>
        <w:rPr>
          <w:rFonts w:ascii="宋体" w:hAnsi="宋体"/>
          <w:color w:val="000000"/>
          <w:sz w:val="24"/>
          <w:highlight w:val="none"/>
        </w:rPr>
      </w:pPr>
      <w:r>
        <w:rPr>
          <w:rFonts w:hint="eastAsia" w:ascii="宋体" w:hAnsi="宋体"/>
          <w:color w:val="000000"/>
          <w:sz w:val="24"/>
          <w:highlight w:val="none"/>
        </w:rPr>
        <w:t>L.维护期（质保期）</w:t>
      </w:r>
      <w:r>
        <w:rPr>
          <w:rFonts w:hint="eastAsia" w:ascii="宋体" w:hAnsi="宋体"/>
          <w:sz w:val="24"/>
          <w:highlight w:val="none"/>
        </w:rPr>
        <w:t>外的服务价格（</w:t>
      </w:r>
      <w:r>
        <w:rPr>
          <w:rFonts w:hint="eastAsia" w:ascii="宋体" w:hAnsi="宋体"/>
          <w:b/>
          <w:sz w:val="24"/>
          <w:highlight w:val="none"/>
        </w:rPr>
        <w:t>此价格不计入本项目投标价格总价，并应放入投标文件的资信及商务文件中，供采购单位参考</w:t>
      </w:r>
      <w:r>
        <w:rPr>
          <w:rFonts w:hint="eastAsia" w:ascii="宋体" w:hAnsi="宋体"/>
          <w:sz w:val="24"/>
          <w:highlight w:val="none"/>
        </w:rPr>
        <w:t>）</w:t>
      </w:r>
    </w:p>
    <w:p>
      <w:pPr>
        <w:tabs>
          <w:tab w:val="left" w:pos="0"/>
        </w:tabs>
        <w:spacing w:line="400" w:lineRule="exact"/>
        <w:ind w:left="426"/>
        <w:rPr>
          <w:rFonts w:ascii="宋体" w:hAnsi="宋体"/>
          <w:color w:val="000000"/>
          <w:sz w:val="24"/>
          <w:highlight w:val="none"/>
        </w:rPr>
      </w:pPr>
      <w:r>
        <w:rPr>
          <w:rFonts w:hint="eastAsia" w:ascii="宋体" w:hAnsi="宋体"/>
          <w:color w:val="000000"/>
          <w:sz w:val="24"/>
          <w:highlight w:val="none"/>
        </w:rPr>
        <w:t>M.商务偏离表</w:t>
      </w:r>
      <w:r>
        <w:rPr>
          <w:rFonts w:hint="eastAsia" w:ascii="宋体" w:hAnsi="宋体"/>
          <w:color w:val="000000"/>
          <w:kern w:val="0"/>
          <w:sz w:val="24"/>
          <w:highlight w:val="none"/>
        </w:rPr>
        <w:t>（</w:t>
      </w:r>
      <w:r>
        <w:rPr>
          <w:rFonts w:hint="eastAsia" w:ascii="宋体" w:hAnsi="宋体"/>
          <w:color w:val="000000"/>
          <w:sz w:val="24"/>
          <w:highlight w:val="none"/>
        </w:rPr>
        <w:t>加盖公章）</w:t>
      </w:r>
    </w:p>
    <w:p>
      <w:pPr>
        <w:numPr>
          <w:ilvl w:val="0"/>
          <w:numId w:val="14"/>
        </w:numPr>
        <w:tabs>
          <w:tab w:val="left" w:pos="0"/>
          <w:tab w:val="left" w:pos="540"/>
          <w:tab w:val="clear" w:pos="720"/>
        </w:tabs>
        <w:spacing w:line="400" w:lineRule="exact"/>
        <w:ind w:left="0" w:firstLine="426"/>
        <w:rPr>
          <w:rFonts w:ascii="宋体" w:hAnsi="宋体"/>
          <w:color w:val="000000"/>
          <w:sz w:val="24"/>
          <w:highlight w:val="none"/>
        </w:rPr>
      </w:pPr>
      <w:r>
        <w:rPr>
          <w:rFonts w:hint="eastAsia" w:ascii="宋体" w:hAnsi="宋体"/>
          <w:color w:val="000000"/>
          <w:sz w:val="24"/>
          <w:highlight w:val="none"/>
        </w:rPr>
        <w:t>针对本项目为采购人提供的其他优惠条件</w:t>
      </w:r>
      <w:r>
        <w:rPr>
          <w:rFonts w:hint="eastAsia" w:ascii="宋体" w:hAnsi="宋体"/>
          <w:color w:val="000000"/>
          <w:kern w:val="0"/>
          <w:sz w:val="24"/>
          <w:highlight w:val="none"/>
        </w:rPr>
        <w:t>（</w:t>
      </w:r>
      <w:r>
        <w:rPr>
          <w:rFonts w:hint="eastAsia" w:ascii="宋体" w:hAnsi="宋体"/>
          <w:color w:val="000000"/>
          <w:sz w:val="24"/>
          <w:highlight w:val="none"/>
        </w:rPr>
        <w:t>加盖公章）</w:t>
      </w:r>
    </w:p>
    <w:p>
      <w:pPr>
        <w:numPr>
          <w:ilvl w:val="0"/>
          <w:numId w:val="14"/>
        </w:numPr>
        <w:tabs>
          <w:tab w:val="left" w:pos="0"/>
          <w:tab w:val="left" w:pos="540"/>
          <w:tab w:val="clear" w:pos="720"/>
        </w:tabs>
        <w:spacing w:line="400" w:lineRule="exact"/>
        <w:ind w:left="0" w:firstLine="426"/>
        <w:rPr>
          <w:rFonts w:ascii="宋体" w:hAnsi="宋体"/>
          <w:bCs/>
          <w:color w:val="000000"/>
          <w:sz w:val="24"/>
          <w:highlight w:val="none"/>
        </w:rPr>
      </w:pPr>
      <w:r>
        <w:rPr>
          <w:rFonts w:hint="eastAsia" w:ascii="宋体" w:hAnsi="宋体"/>
          <w:bCs/>
          <w:color w:val="000000"/>
          <w:sz w:val="24"/>
          <w:highlight w:val="none"/>
        </w:rPr>
        <w:t>采购文件要求的，以及投标人认为要说明的其他内容。</w:t>
      </w:r>
    </w:p>
    <w:p>
      <w:pPr>
        <w:spacing w:line="400" w:lineRule="exact"/>
        <w:ind w:left="424" w:leftChars="202"/>
        <w:rPr>
          <w:rFonts w:ascii="宋体" w:hAnsi="宋体"/>
          <w:sz w:val="24"/>
          <w:highlight w:val="none"/>
          <w:lang w:val="zh-CN"/>
        </w:rPr>
      </w:pPr>
      <w:r>
        <w:rPr>
          <w:rFonts w:hint="eastAsia" w:ascii="宋体" w:hAnsi="宋体"/>
          <w:b/>
          <w:sz w:val="24"/>
          <w:highlight w:val="none"/>
        </w:rPr>
        <w:t>（2）技术部分包括但不限于以下内容：</w:t>
      </w:r>
    </w:p>
    <w:p>
      <w:pPr>
        <w:numPr>
          <w:ilvl w:val="1"/>
          <w:numId w:val="15"/>
        </w:numPr>
        <w:tabs>
          <w:tab w:val="left" w:pos="0"/>
          <w:tab w:val="clear" w:pos="360"/>
        </w:tabs>
        <w:spacing w:line="400" w:lineRule="exact"/>
        <w:ind w:left="0" w:firstLine="426"/>
        <w:rPr>
          <w:rFonts w:ascii="宋体" w:hAnsi="宋体"/>
          <w:color w:val="000000"/>
          <w:sz w:val="24"/>
          <w:highlight w:val="none"/>
          <w:lang w:val="zh-CN"/>
        </w:rPr>
      </w:pPr>
      <w:r>
        <w:rPr>
          <w:rFonts w:hint="eastAsia" w:ascii="宋体" w:hAnsi="宋体"/>
          <w:color w:val="000000"/>
          <w:sz w:val="24"/>
          <w:highlight w:val="none"/>
          <w:lang w:val="zh-CN"/>
        </w:rPr>
        <w:t>对本项目总体要求的理解（调研报告）。</w:t>
      </w:r>
    </w:p>
    <w:p>
      <w:pPr>
        <w:numPr>
          <w:ilvl w:val="1"/>
          <w:numId w:val="15"/>
        </w:numPr>
        <w:tabs>
          <w:tab w:val="left" w:pos="0"/>
          <w:tab w:val="clear" w:pos="360"/>
        </w:tabs>
        <w:spacing w:line="400" w:lineRule="exact"/>
        <w:ind w:left="0" w:firstLine="426"/>
        <w:rPr>
          <w:rFonts w:ascii="宋体" w:hAnsi="宋体"/>
          <w:color w:val="000000"/>
          <w:sz w:val="24"/>
          <w:highlight w:val="none"/>
        </w:rPr>
      </w:pPr>
      <w:r>
        <w:rPr>
          <w:rFonts w:hint="eastAsia" w:ascii="宋体" w:hAnsi="宋体"/>
          <w:color w:val="000000"/>
          <w:sz w:val="24"/>
          <w:highlight w:val="none"/>
        </w:rPr>
        <w:t>针对本项目的完整技术解决方案和合理化建议。</w:t>
      </w:r>
    </w:p>
    <w:p>
      <w:pPr>
        <w:numPr>
          <w:ilvl w:val="1"/>
          <w:numId w:val="15"/>
        </w:numPr>
        <w:tabs>
          <w:tab w:val="left" w:pos="0"/>
          <w:tab w:val="clear" w:pos="360"/>
        </w:tabs>
        <w:spacing w:line="400" w:lineRule="exact"/>
        <w:ind w:left="0" w:firstLine="426"/>
        <w:rPr>
          <w:rFonts w:ascii="宋体" w:hAnsi="宋体"/>
          <w:color w:val="000000"/>
          <w:sz w:val="24"/>
          <w:highlight w:val="none"/>
        </w:rPr>
      </w:pPr>
      <w:r>
        <w:rPr>
          <w:rFonts w:hint="eastAsia" w:ascii="宋体" w:hAnsi="宋体"/>
          <w:color w:val="000000"/>
          <w:sz w:val="24"/>
          <w:highlight w:val="none"/>
        </w:rPr>
        <w:t>针对本项目建设的详细实施计划，包括详细的工作实施组织方案，组织机构、人员管理、内部管理制度设立等保障措施。（包括详细的项目管理方案、项目启动方案、项目实施方案、项目考核方案、组织机构、管理和协调方法、关键步骤的思路和要点等的详细说明及服务保障应急预案的详细说明）</w:t>
      </w:r>
    </w:p>
    <w:p>
      <w:pPr>
        <w:numPr>
          <w:ilvl w:val="1"/>
          <w:numId w:val="15"/>
        </w:numPr>
        <w:tabs>
          <w:tab w:val="left" w:pos="0"/>
          <w:tab w:val="clear" w:pos="360"/>
        </w:tabs>
        <w:spacing w:line="400" w:lineRule="exact"/>
        <w:ind w:left="0" w:firstLine="426"/>
        <w:rPr>
          <w:rFonts w:ascii="宋体" w:hAnsi="宋体"/>
          <w:color w:val="000000"/>
          <w:sz w:val="24"/>
          <w:highlight w:val="none"/>
        </w:rPr>
      </w:pPr>
      <w:r>
        <w:rPr>
          <w:rFonts w:hint="eastAsia"/>
          <w:kern w:val="0"/>
          <w:szCs w:val="21"/>
          <w:highlight w:val="none"/>
        </w:rPr>
        <w:t>▲</w:t>
      </w:r>
      <w:r>
        <w:rPr>
          <w:rFonts w:hint="eastAsia" w:ascii="宋体" w:hAnsi="宋体"/>
          <w:color w:val="000000"/>
          <w:sz w:val="24"/>
          <w:highlight w:val="none"/>
        </w:rPr>
        <w:t>服务项目清单（不含价格）（必须详细列明服务明细项目等）（此项必须提供）。（格式见附件）</w:t>
      </w:r>
    </w:p>
    <w:p>
      <w:pPr>
        <w:numPr>
          <w:ilvl w:val="1"/>
          <w:numId w:val="15"/>
        </w:numPr>
        <w:tabs>
          <w:tab w:val="left" w:pos="0"/>
          <w:tab w:val="clear" w:pos="360"/>
        </w:tabs>
        <w:spacing w:line="400" w:lineRule="exact"/>
        <w:ind w:left="0" w:firstLine="426"/>
        <w:rPr>
          <w:rFonts w:ascii="宋体" w:hAnsi="宋体"/>
          <w:color w:val="000000"/>
          <w:sz w:val="24"/>
          <w:highlight w:val="none"/>
        </w:rPr>
      </w:pPr>
      <w:r>
        <w:rPr>
          <w:rFonts w:hint="eastAsia" w:ascii="宋体" w:hAnsi="宋体"/>
          <w:color w:val="000000"/>
          <w:sz w:val="24"/>
          <w:highlight w:val="none"/>
          <w:lang w:val="zh-CN"/>
        </w:rPr>
        <w:t>投标单位针对本项目的相关服务承诺一览表（投标人在投标文件中，应对招标需求中所提出各项要求进行逐条逐项的答复、说明和解释。首先对实现或满足程度明确作出“满足”、“负偏离”、“部分负偏离”、“正偏离”等应答，然后作出具体、详细的说明。回答“满足”应说明如何满足，回答“部分满足”要明确哪部分满足和哪部分不满足。同时明确满足的程度。若采用“详见”、“参见”方式说明的，应指明所指文档（应是投标文件的组成部分）的具体章节及页码。任何含糊不清的表示对评标结果的影响将是投标人的责任。）</w:t>
      </w:r>
    </w:p>
    <w:p>
      <w:pPr>
        <w:numPr>
          <w:ilvl w:val="1"/>
          <w:numId w:val="15"/>
        </w:numPr>
        <w:tabs>
          <w:tab w:val="left" w:pos="0"/>
          <w:tab w:val="clear" w:pos="360"/>
        </w:tabs>
        <w:spacing w:line="400" w:lineRule="exact"/>
        <w:ind w:left="0" w:firstLine="426"/>
        <w:rPr>
          <w:rFonts w:ascii="宋体" w:hAnsi="宋体"/>
          <w:color w:val="000000"/>
          <w:sz w:val="24"/>
          <w:highlight w:val="none"/>
        </w:rPr>
      </w:pPr>
      <w:r>
        <w:rPr>
          <w:rFonts w:hint="eastAsia" w:ascii="宋体" w:hAnsi="宋体"/>
          <w:color w:val="000000"/>
          <w:sz w:val="24"/>
          <w:highlight w:val="none"/>
          <w:lang w:val="zh-CN"/>
        </w:rPr>
        <w:t>针对本项目的服务技术团队情况：包括人员组成（要求必须为本公司员工）、数量、技术实力等。提供相关协议、社保证明清单原件</w:t>
      </w:r>
      <w:r>
        <w:rPr>
          <w:rFonts w:hint="eastAsia" w:ascii="宋体" w:hAnsi="宋体"/>
          <w:b/>
          <w:color w:val="000000"/>
          <w:sz w:val="24"/>
          <w:highlight w:val="none"/>
          <w:lang w:val="zh-CN"/>
        </w:rPr>
        <w:t>（不提供不得分）</w:t>
      </w:r>
      <w:r>
        <w:rPr>
          <w:rFonts w:hint="eastAsia" w:ascii="宋体" w:hAnsi="宋体"/>
          <w:b/>
          <w:color w:val="000000"/>
          <w:kern w:val="0"/>
          <w:sz w:val="24"/>
          <w:highlight w:val="none"/>
        </w:rPr>
        <w:t>、</w:t>
      </w:r>
      <w:r>
        <w:rPr>
          <w:rFonts w:hint="eastAsia" w:ascii="宋体" w:hAnsi="宋体"/>
          <w:color w:val="000000"/>
          <w:sz w:val="24"/>
          <w:highlight w:val="none"/>
          <w:lang w:val="zh-CN"/>
        </w:rPr>
        <w:t>相关经验履历、所获证书等复印件。（加盖公章）（原件带至开标现场备查）</w:t>
      </w:r>
    </w:p>
    <w:p>
      <w:pPr>
        <w:numPr>
          <w:ilvl w:val="1"/>
          <w:numId w:val="15"/>
        </w:numPr>
        <w:tabs>
          <w:tab w:val="left" w:pos="0"/>
          <w:tab w:val="clear" w:pos="360"/>
        </w:tabs>
        <w:spacing w:line="400" w:lineRule="exact"/>
        <w:ind w:left="0" w:firstLine="426"/>
        <w:rPr>
          <w:rFonts w:ascii="宋体" w:hAnsi="宋体"/>
          <w:color w:val="000000"/>
          <w:sz w:val="24"/>
          <w:highlight w:val="none"/>
          <w:lang w:val="zh-CN"/>
        </w:rPr>
      </w:pPr>
      <w:r>
        <w:rPr>
          <w:rFonts w:hint="eastAsia" w:ascii="宋体" w:hAnsi="宋体"/>
          <w:color w:val="000000"/>
          <w:sz w:val="24"/>
          <w:highlight w:val="none"/>
        </w:rPr>
        <w:t>项目服务期的质量保障措施</w:t>
      </w:r>
      <w:r>
        <w:rPr>
          <w:rFonts w:hint="eastAsia" w:ascii="宋体" w:hAnsi="宋体"/>
          <w:color w:val="000000"/>
          <w:kern w:val="0"/>
          <w:sz w:val="24"/>
          <w:highlight w:val="none"/>
        </w:rPr>
        <w:t>（</w:t>
      </w:r>
      <w:r>
        <w:rPr>
          <w:rFonts w:hint="eastAsia" w:ascii="宋体" w:hAnsi="宋体"/>
          <w:color w:val="000000"/>
          <w:sz w:val="24"/>
          <w:highlight w:val="none"/>
        </w:rPr>
        <w:t>加盖公章）</w:t>
      </w:r>
    </w:p>
    <w:p>
      <w:pPr>
        <w:numPr>
          <w:ilvl w:val="1"/>
          <w:numId w:val="15"/>
        </w:numPr>
        <w:tabs>
          <w:tab w:val="left" w:pos="0"/>
          <w:tab w:val="clear" w:pos="360"/>
        </w:tabs>
        <w:spacing w:line="400" w:lineRule="exact"/>
        <w:ind w:left="0" w:firstLine="426"/>
        <w:rPr>
          <w:rFonts w:ascii="宋体" w:hAnsi="宋体"/>
          <w:color w:val="000000"/>
          <w:sz w:val="24"/>
          <w:highlight w:val="none"/>
        </w:rPr>
      </w:pPr>
      <w:r>
        <w:rPr>
          <w:rFonts w:ascii="宋体" w:hAnsi="宋体"/>
          <w:color w:val="000000"/>
          <w:sz w:val="24"/>
          <w:highlight w:val="none"/>
        </w:rPr>
        <w:t>公司技术力量和合作方技术支持情况</w:t>
      </w:r>
    </w:p>
    <w:p>
      <w:pPr>
        <w:numPr>
          <w:ilvl w:val="1"/>
          <w:numId w:val="15"/>
        </w:numPr>
        <w:tabs>
          <w:tab w:val="left" w:pos="0"/>
          <w:tab w:val="clear" w:pos="360"/>
        </w:tabs>
        <w:spacing w:line="400" w:lineRule="exact"/>
        <w:ind w:left="0" w:firstLine="426"/>
        <w:rPr>
          <w:rFonts w:ascii="宋体" w:hAnsi="宋体"/>
          <w:color w:val="000000"/>
          <w:sz w:val="24"/>
          <w:highlight w:val="none"/>
        </w:rPr>
      </w:pPr>
      <w:r>
        <w:rPr>
          <w:rFonts w:hint="eastAsia" w:ascii="宋体" w:hAnsi="宋体"/>
          <w:color w:val="000000"/>
          <w:sz w:val="24"/>
          <w:highlight w:val="none"/>
        </w:rPr>
        <w:t>拟投入本项目使用的设备情况（须提供设备清单、照片，同时提供发票或证明材料）</w:t>
      </w:r>
    </w:p>
    <w:p>
      <w:pPr>
        <w:numPr>
          <w:ilvl w:val="1"/>
          <w:numId w:val="15"/>
        </w:numPr>
        <w:tabs>
          <w:tab w:val="left" w:pos="0"/>
          <w:tab w:val="clear" w:pos="360"/>
        </w:tabs>
        <w:spacing w:line="400" w:lineRule="exact"/>
        <w:ind w:left="0" w:firstLine="426"/>
        <w:rPr>
          <w:rFonts w:ascii="宋体" w:hAnsi="宋体"/>
          <w:color w:val="000000"/>
          <w:sz w:val="24"/>
          <w:highlight w:val="none"/>
        </w:rPr>
      </w:pPr>
      <w:r>
        <w:rPr>
          <w:rFonts w:hint="eastAsia" w:ascii="宋体" w:hAnsi="宋体"/>
          <w:color w:val="000000"/>
          <w:sz w:val="24"/>
          <w:highlight w:val="none"/>
        </w:rPr>
        <w:t>采购文件要求的以及投标方认为可能需要的其他文件资料</w:t>
      </w:r>
    </w:p>
    <w:p>
      <w:pPr>
        <w:snapToGrid w:val="0"/>
        <w:spacing w:beforeLines="50" w:line="360" w:lineRule="auto"/>
        <w:jc w:val="left"/>
        <w:rPr>
          <w:rFonts w:ascii="宋体" w:hAnsi="宋体"/>
          <w:color w:val="000000"/>
          <w:sz w:val="24"/>
          <w:highlight w:val="none"/>
        </w:rPr>
      </w:pPr>
    </w:p>
    <w:p>
      <w:pPr>
        <w:snapToGrid w:val="0"/>
        <w:spacing w:beforeLines="50" w:line="360" w:lineRule="auto"/>
        <w:ind w:firstLine="417" w:firstLineChars="174"/>
        <w:jc w:val="left"/>
        <w:rPr>
          <w:rFonts w:ascii="宋体" w:hAnsi="宋体"/>
          <w:color w:val="000000"/>
          <w:sz w:val="24"/>
          <w:highlight w:val="none"/>
        </w:rPr>
      </w:pPr>
    </w:p>
    <w:p>
      <w:pPr>
        <w:snapToGrid w:val="0"/>
        <w:spacing w:beforeLines="50" w:line="360" w:lineRule="auto"/>
        <w:ind w:firstLine="417" w:firstLineChars="174"/>
        <w:jc w:val="left"/>
        <w:rPr>
          <w:rFonts w:ascii="宋体" w:hAnsi="宋体"/>
          <w:color w:val="000000"/>
          <w:sz w:val="24"/>
          <w:highlight w:val="none"/>
        </w:rPr>
      </w:pPr>
    </w:p>
    <w:p>
      <w:pPr>
        <w:snapToGrid w:val="0"/>
        <w:spacing w:beforeLines="50" w:line="360" w:lineRule="auto"/>
        <w:ind w:firstLine="417" w:firstLineChars="174"/>
        <w:jc w:val="left"/>
        <w:rPr>
          <w:rFonts w:ascii="宋体" w:hAnsi="宋体"/>
          <w:color w:val="000000"/>
          <w:sz w:val="24"/>
          <w:highlight w:val="none"/>
        </w:rPr>
      </w:pPr>
    </w:p>
    <w:p>
      <w:pPr>
        <w:snapToGrid w:val="0"/>
        <w:spacing w:beforeLines="50" w:line="360" w:lineRule="auto"/>
        <w:ind w:firstLine="417" w:firstLineChars="174"/>
        <w:jc w:val="left"/>
        <w:rPr>
          <w:rFonts w:ascii="宋体" w:hAnsi="宋体"/>
          <w:color w:val="000000"/>
          <w:sz w:val="24"/>
          <w:highlight w:val="none"/>
        </w:rPr>
      </w:pPr>
    </w:p>
    <w:p>
      <w:pPr>
        <w:snapToGrid w:val="0"/>
        <w:spacing w:beforeLines="50" w:line="360" w:lineRule="auto"/>
        <w:ind w:firstLine="417" w:firstLineChars="174"/>
        <w:jc w:val="left"/>
        <w:rPr>
          <w:rFonts w:ascii="宋体" w:hAnsi="宋体"/>
          <w:color w:val="000000"/>
          <w:sz w:val="24"/>
          <w:highlight w:val="none"/>
        </w:rPr>
      </w:pPr>
    </w:p>
    <w:p>
      <w:pPr>
        <w:snapToGrid w:val="0"/>
        <w:spacing w:beforeLines="50" w:line="360" w:lineRule="auto"/>
        <w:ind w:firstLine="417" w:firstLineChars="174"/>
        <w:jc w:val="left"/>
        <w:rPr>
          <w:rFonts w:ascii="宋体" w:hAnsi="宋体"/>
          <w:color w:val="000000"/>
          <w:sz w:val="24"/>
          <w:highlight w:val="none"/>
        </w:rPr>
      </w:pPr>
    </w:p>
    <w:p>
      <w:pPr>
        <w:snapToGrid w:val="0"/>
        <w:spacing w:beforeLines="50" w:line="360" w:lineRule="auto"/>
        <w:ind w:firstLine="417" w:firstLineChars="174"/>
        <w:jc w:val="left"/>
        <w:rPr>
          <w:rFonts w:ascii="宋体" w:hAnsi="宋体"/>
          <w:color w:val="000000"/>
          <w:sz w:val="24"/>
          <w:highlight w:val="none"/>
        </w:rPr>
      </w:pPr>
    </w:p>
    <w:p>
      <w:pPr>
        <w:snapToGrid w:val="0"/>
        <w:spacing w:beforeLines="50" w:line="360" w:lineRule="auto"/>
        <w:ind w:firstLine="417" w:firstLineChars="174"/>
        <w:jc w:val="left"/>
        <w:rPr>
          <w:rFonts w:ascii="宋体" w:hAnsi="宋体"/>
          <w:color w:val="000000"/>
          <w:sz w:val="24"/>
          <w:highlight w:val="none"/>
        </w:rPr>
      </w:pPr>
    </w:p>
    <w:p>
      <w:pPr>
        <w:snapToGrid w:val="0"/>
        <w:spacing w:beforeLines="50" w:line="360" w:lineRule="auto"/>
        <w:ind w:firstLine="417" w:firstLineChars="174"/>
        <w:jc w:val="left"/>
        <w:rPr>
          <w:rFonts w:ascii="宋体" w:hAnsi="宋体"/>
          <w:color w:val="000000"/>
          <w:sz w:val="24"/>
          <w:highlight w:val="none"/>
        </w:rPr>
      </w:pPr>
    </w:p>
    <w:p>
      <w:pPr>
        <w:snapToGrid w:val="0"/>
        <w:spacing w:beforeLines="50" w:line="360" w:lineRule="auto"/>
        <w:ind w:firstLine="417" w:firstLineChars="174"/>
        <w:jc w:val="left"/>
        <w:rPr>
          <w:rFonts w:ascii="宋体" w:hAnsi="宋体"/>
          <w:color w:val="000000"/>
          <w:sz w:val="24"/>
          <w:highlight w:val="none"/>
        </w:rPr>
      </w:pPr>
    </w:p>
    <w:p>
      <w:pPr>
        <w:snapToGrid w:val="0"/>
        <w:spacing w:beforeLines="50" w:line="360" w:lineRule="auto"/>
        <w:ind w:firstLine="417" w:firstLineChars="174"/>
        <w:jc w:val="left"/>
        <w:rPr>
          <w:rFonts w:ascii="宋体" w:hAnsi="宋体"/>
          <w:color w:val="000000"/>
          <w:sz w:val="24"/>
          <w:highlight w:val="none"/>
        </w:rPr>
      </w:pPr>
    </w:p>
    <w:p>
      <w:pPr>
        <w:snapToGrid w:val="0"/>
        <w:spacing w:beforeLines="50" w:line="360" w:lineRule="auto"/>
        <w:ind w:firstLine="417" w:firstLineChars="174"/>
        <w:jc w:val="left"/>
        <w:rPr>
          <w:rFonts w:ascii="宋体" w:hAnsi="宋体"/>
          <w:color w:val="000000"/>
          <w:sz w:val="24"/>
          <w:highlight w:val="none"/>
        </w:rPr>
      </w:pPr>
    </w:p>
    <w:p>
      <w:pPr>
        <w:snapToGrid w:val="0"/>
        <w:spacing w:beforeLines="50" w:line="360" w:lineRule="auto"/>
        <w:ind w:firstLine="417" w:firstLineChars="174"/>
        <w:jc w:val="left"/>
        <w:rPr>
          <w:rFonts w:ascii="宋体" w:hAnsi="宋体"/>
          <w:color w:val="000000"/>
          <w:sz w:val="24"/>
          <w:highlight w:val="none"/>
        </w:rPr>
      </w:pPr>
    </w:p>
    <w:p>
      <w:pPr>
        <w:tabs>
          <w:tab w:val="left" w:pos="540"/>
        </w:tabs>
        <w:rPr>
          <w:rFonts w:ascii="宋体" w:hAnsi="宋体"/>
          <w:b/>
          <w:color w:val="000000"/>
          <w:sz w:val="30"/>
          <w:szCs w:val="30"/>
          <w:highlight w:val="none"/>
        </w:rPr>
      </w:pPr>
      <w:r>
        <w:rPr>
          <w:rFonts w:hint="eastAsia" w:ascii="宋体" w:hAnsi="宋体"/>
          <w:b/>
          <w:color w:val="000000"/>
          <w:sz w:val="30"/>
          <w:szCs w:val="30"/>
          <w:highlight w:val="none"/>
        </w:rPr>
        <w:t>附件三：</w:t>
      </w:r>
    </w:p>
    <w:p>
      <w:pPr>
        <w:spacing w:line="360" w:lineRule="auto"/>
        <w:jc w:val="center"/>
        <w:rPr>
          <w:rFonts w:ascii="宋体" w:hAnsi="宋体"/>
          <w:b/>
          <w:bCs/>
          <w:sz w:val="30"/>
          <w:szCs w:val="30"/>
          <w:highlight w:val="none"/>
        </w:rPr>
      </w:pPr>
      <w:r>
        <w:rPr>
          <w:rFonts w:hint="eastAsia" w:ascii="宋体" w:hAnsi="宋体"/>
          <w:b/>
          <w:bCs/>
          <w:sz w:val="30"/>
          <w:szCs w:val="30"/>
          <w:highlight w:val="none"/>
        </w:rPr>
        <w:t>供应商采购响应文件评分索引一览表</w:t>
      </w:r>
    </w:p>
    <w:p>
      <w:pPr>
        <w:spacing w:line="360" w:lineRule="auto"/>
        <w:jc w:val="center"/>
        <w:rPr>
          <w:rFonts w:ascii="宋体" w:hAnsi="宋体"/>
          <w:szCs w:val="21"/>
          <w:highlight w:val="none"/>
        </w:rPr>
      </w:pPr>
      <w:r>
        <w:rPr>
          <w:rFonts w:hint="eastAsia" w:ascii="宋体" w:hAnsi="宋体"/>
          <w:b/>
          <w:bCs/>
          <w:sz w:val="30"/>
          <w:szCs w:val="30"/>
          <w:highlight w:val="none"/>
        </w:rPr>
        <w:t>（</w:t>
      </w:r>
      <w:r>
        <w:rPr>
          <w:rFonts w:hint="eastAsia" w:ascii="宋体" w:hAnsi="宋体"/>
          <w:b/>
          <w:sz w:val="32"/>
          <w:szCs w:val="32"/>
          <w:highlight w:val="none"/>
        </w:rPr>
        <w:t>格式仅供参考</w:t>
      </w:r>
      <w:r>
        <w:rPr>
          <w:rFonts w:hint="eastAsia" w:ascii="宋体" w:hAnsi="宋体"/>
          <w:b/>
          <w:bCs/>
          <w:sz w:val="30"/>
          <w:szCs w:val="30"/>
          <w:highlight w:val="none"/>
        </w:rPr>
        <w:t>）</w:t>
      </w:r>
    </w:p>
    <w:tbl>
      <w:tblPr>
        <w:tblStyle w:val="48"/>
        <w:tblW w:w="10194"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114"/>
        <w:gridCol w:w="949"/>
        <w:gridCol w:w="6978"/>
        <w:gridCol w:w="1153"/>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1115" w:type="dxa"/>
            <w:noWrap/>
            <w:vAlign w:val="center"/>
          </w:tcPr>
          <w:p>
            <w:pPr>
              <w:widowControl/>
              <w:spacing w:line="300" w:lineRule="exact"/>
              <w:ind w:left="147" w:leftChars="70" w:right="84" w:rightChars="40"/>
              <w:rPr>
                <w:rFonts w:ascii="宋体" w:hAnsi="宋体"/>
                <w:szCs w:val="21"/>
                <w:highlight w:val="none"/>
              </w:rPr>
            </w:pPr>
            <w:r>
              <w:rPr>
                <w:rFonts w:ascii="宋体" w:hAnsi="宋体"/>
                <w:szCs w:val="21"/>
                <w:highlight w:val="none"/>
              </w:rPr>
              <w:t>评审内容</w:t>
            </w:r>
          </w:p>
        </w:tc>
        <w:tc>
          <w:tcPr>
            <w:tcW w:w="949" w:type="dxa"/>
            <w:noWrap/>
            <w:vAlign w:val="center"/>
          </w:tcPr>
          <w:p>
            <w:pPr>
              <w:widowControl/>
              <w:spacing w:line="400" w:lineRule="exact"/>
              <w:ind w:left="-29" w:leftChars="-14" w:right="-88" w:rightChars="-42"/>
              <w:jc w:val="center"/>
              <w:rPr>
                <w:rFonts w:ascii="宋体" w:hAnsi="宋体"/>
                <w:szCs w:val="21"/>
                <w:highlight w:val="none"/>
              </w:rPr>
            </w:pPr>
            <w:r>
              <w:rPr>
                <w:rFonts w:ascii="宋体" w:hAnsi="宋体"/>
                <w:szCs w:val="21"/>
                <w:highlight w:val="none"/>
              </w:rPr>
              <w:t>分值</w:t>
            </w:r>
          </w:p>
        </w:tc>
        <w:tc>
          <w:tcPr>
            <w:tcW w:w="6977" w:type="dxa"/>
            <w:noWrap/>
            <w:vAlign w:val="center"/>
          </w:tcPr>
          <w:p>
            <w:pPr>
              <w:widowControl/>
              <w:spacing w:line="400" w:lineRule="exact"/>
              <w:ind w:left="-527" w:firstLine="527"/>
              <w:jc w:val="center"/>
              <w:rPr>
                <w:rFonts w:ascii="宋体" w:hAnsi="宋体" w:cs="宋体"/>
                <w:kern w:val="0"/>
                <w:szCs w:val="21"/>
                <w:highlight w:val="none"/>
              </w:rPr>
            </w:pPr>
            <w:r>
              <w:rPr>
                <w:rFonts w:ascii="宋体" w:hAnsi="宋体" w:cs="宋体"/>
                <w:kern w:val="0"/>
                <w:szCs w:val="21"/>
                <w:highlight w:val="none"/>
              </w:rPr>
              <w:t>评分标准</w:t>
            </w:r>
            <w:r>
              <w:rPr>
                <w:rFonts w:hint="eastAsia" w:ascii="宋体" w:hAnsi="宋体" w:cs="宋体"/>
                <w:kern w:val="0"/>
                <w:szCs w:val="21"/>
                <w:highlight w:val="none"/>
              </w:rPr>
              <w:t>及自评依据</w:t>
            </w:r>
          </w:p>
        </w:tc>
        <w:tc>
          <w:tcPr>
            <w:tcW w:w="1153" w:type="dxa"/>
            <w:noWrap/>
            <w:vAlign w:val="center"/>
          </w:tcPr>
          <w:p>
            <w:pPr>
              <w:widowControl/>
              <w:spacing w:line="300" w:lineRule="exact"/>
              <w:ind w:left="-29" w:leftChars="-14" w:right="-88" w:rightChars="-42"/>
              <w:jc w:val="center"/>
              <w:rPr>
                <w:rFonts w:ascii="宋体" w:hAnsi="宋体"/>
                <w:szCs w:val="21"/>
                <w:highlight w:val="none"/>
              </w:rPr>
            </w:pPr>
            <w:r>
              <w:rPr>
                <w:rFonts w:hint="eastAsia" w:ascii="宋体" w:hAnsi="宋体"/>
                <w:szCs w:val="21"/>
                <w:highlight w:val="none"/>
              </w:rPr>
              <w:t>相应内容所在投标文件页码</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restart"/>
            <w:noWrap/>
            <w:vAlign w:val="center"/>
          </w:tcPr>
          <w:p>
            <w:pPr>
              <w:widowControl/>
              <w:spacing w:line="300" w:lineRule="exact"/>
              <w:ind w:left="147" w:leftChars="70" w:right="84" w:rightChars="40"/>
              <w:rPr>
                <w:rFonts w:ascii="宋体" w:hAnsi="宋体"/>
                <w:b/>
                <w:szCs w:val="21"/>
                <w:highlight w:val="none"/>
              </w:rPr>
            </w:pPr>
            <w:r>
              <w:rPr>
                <w:rFonts w:hint="eastAsia" w:ascii="宋体" w:hAnsi="宋体"/>
                <w:szCs w:val="21"/>
                <w:highlight w:val="none"/>
              </w:rPr>
              <w:t>技术分</w:t>
            </w:r>
          </w:p>
        </w:tc>
        <w:tc>
          <w:tcPr>
            <w:tcW w:w="949" w:type="dxa"/>
            <w:noWrap/>
            <w:vAlign w:val="center"/>
          </w:tcPr>
          <w:p>
            <w:pPr>
              <w:widowControl/>
              <w:spacing w:line="400" w:lineRule="exact"/>
              <w:ind w:left="118" w:leftChars="56" w:right="84" w:rightChars="40"/>
              <w:jc w:val="center"/>
              <w:rPr>
                <w:rFonts w:ascii="宋体" w:hAnsi="宋体"/>
                <w:szCs w:val="21"/>
                <w:highlight w:val="none"/>
              </w:rPr>
            </w:pPr>
          </w:p>
        </w:tc>
        <w:tc>
          <w:tcPr>
            <w:tcW w:w="6977" w:type="dxa"/>
            <w:noWrap/>
            <w:vAlign w:val="center"/>
          </w:tcPr>
          <w:p>
            <w:pPr>
              <w:widowControl/>
              <w:spacing w:line="400" w:lineRule="exact"/>
              <w:ind w:left="118" w:leftChars="56" w:right="84" w:rightChars="40"/>
              <w:rPr>
                <w:rFonts w:ascii="宋体" w:hAnsi="宋体"/>
                <w:szCs w:val="21"/>
                <w:highlight w:val="none"/>
              </w:rPr>
            </w:pPr>
          </w:p>
        </w:tc>
        <w:tc>
          <w:tcPr>
            <w:tcW w:w="1153" w:type="dxa"/>
            <w:noWrap/>
          </w:tcPr>
          <w:p>
            <w:pPr>
              <w:widowControl/>
              <w:spacing w:line="300" w:lineRule="exact"/>
              <w:ind w:left="-29" w:leftChars="-14" w:right="-88" w:rightChars="-42"/>
              <w:jc w:val="center"/>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noWrap/>
            <w:vAlign w:val="center"/>
          </w:tcPr>
          <w:p>
            <w:pPr>
              <w:widowControl/>
              <w:spacing w:line="300" w:lineRule="exact"/>
              <w:ind w:left="147" w:leftChars="70" w:right="84" w:rightChars="40"/>
              <w:rPr>
                <w:rFonts w:ascii="宋体" w:hAnsi="宋体"/>
                <w:szCs w:val="21"/>
                <w:highlight w:val="none"/>
              </w:rPr>
            </w:pPr>
          </w:p>
        </w:tc>
        <w:tc>
          <w:tcPr>
            <w:tcW w:w="949" w:type="dxa"/>
            <w:noWrap/>
            <w:vAlign w:val="center"/>
          </w:tcPr>
          <w:p>
            <w:pPr>
              <w:widowControl/>
              <w:spacing w:line="400" w:lineRule="exact"/>
              <w:ind w:left="118" w:leftChars="56" w:right="84" w:rightChars="40"/>
              <w:jc w:val="center"/>
              <w:rPr>
                <w:rFonts w:ascii="宋体" w:hAnsi="宋体"/>
                <w:szCs w:val="21"/>
                <w:highlight w:val="none"/>
              </w:rPr>
            </w:pPr>
          </w:p>
        </w:tc>
        <w:tc>
          <w:tcPr>
            <w:tcW w:w="6977" w:type="dxa"/>
            <w:noWrap/>
            <w:vAlign w:val="center"/>
          </w:tcPr>
          <w:p>
            <w:pPr>
              <w:widowControl/>
              <w:spacing w:line="400" w:lineRule="exact"/>
              <w:ind w:left="118" w:leftChars="56" w:right="84" w:rightChars="40"/>
              <w:rPr>
                <w:rFonts w:ascii="宋体" w:hAnsi="宋体"/>
                <w:szCs w:val="21"/>
                <w:highlight w:val="none"/>
              </w:rPr>
            </w:pPr>
          </w:p>
        </w:tc>
        <w:tc>
          <w:tcPr>
            <w:tcW w:w="1153" w:type="dxa"/>
            <w:noWrap/>
          </w:tcPr>
          <w:p>
            <w:pPr>
              <w:widowControl/>
              <w:spacing w:line="300" w:lineRule="exact"/>
              <w:ind w:left="118" w:leftChars="56" w:right="84" w:rightChars="40"/>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noWrap/>
            <w:vAlign w:val="center"/>
          </w:tcPr>
          <w:p>
            <w:pPr>
              <w:widowControl/>
              <w:spacing w:line="300" w:lineRule="exact"/>
              <w:ind w:left="147" w:leftChars="70" w:right="84" w:rightChars="40"/>
              <w:rPr>
                <w:rFonts w:ascii="宋体" w:hAnsi="宋体"/>
                <w:szCs w:val="21"/>
                <w:highlight w:val="none"/>
              </w:rPr>
            </w:pPr>
          </w:p>
        </w:tc>
        <w:tc>
          <w:tcPr>
            <w:tcW w:w="949" w:type="dxa"/>
            <w:noWrap/>
            <w:vAlign w:val="center"/>
          </w:tcPr>
          <w:p>
            <w:pPr>
              <w:widowControl/>
              <w:spacing w:line="400" w:lineRule="exact"/>
              <w:ind w:left="118" w:leftChars="56" w:right="84" w:rightChars="40"/>
              <w:jc w:val="center"/>
              <w:rPr>
                <w:rFonts w:ascii="宋体" w:hAnsi="宋体"/>
                <w:szCs w:val="21"/>
                <w:highlight w:val="none"/>
              </w:rPr>
            </w:pPr>
          </w:p>
        </w:tc>
        <w:tc>
          <w:tcPr>
            <w:tcW w:w="6977" w:type="dxa"/>
            <w:noWrap/>
            <w:vAlign w:val="center"/>
          </w:tcPr>
          <w:p>
            <w:pPr>
              <w:widowControl/>
              <w:spacing w:line="400" w:lineRule="exact"/>
              <w:ind w:left="118" w:leftChars="56" w:right="84" w:rightChars="40"/>
              <w:rPr>
                <w:rFonts w:ascii="宋体" w:hAnsi="宋体"/>
                <w:szCs w:val="21"/>
                <w:highlight w:val="none"/>
              </w:rPr>
            </w:pPr>
          </w:p>
        </w:tc>
        <w:tc>
          <w:tcPr>
            <w:tcW w:w="1153" w:type="dxa"/>
            <w:noWrap/>
          </w:tcPr>
          <w:p>
            <w:pPr>
              <w:widowControl/>
              <w:spacing w:line="300" w:lineRule="exact"/>
              <w:ind w:left="118" w:leftChars="56" w:right="84" w:rightChars="40"/>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noWrap/>
            <w:vAlign w:val="center"/>
          </w:tcPr>
          <w:p>
            <w:pPr>
              <w:widowControl/>
              <w:spacing w:line="300" w:lineRule="exact"/>
              <w:ind w:left="147" w:leftChars="70" w:right="84" w:rightChars="40"/>
              <w:rPr>
                <w:rFonts w:ascii="宋体" w:hAnsi="宋体"/>
                <w:szCs w:val="21"/>
                <w:highlight w:val="none"/>
              </w:rPr>
            </w:pPr>
          </w:p>
        </w:tc>
        <w:tc>
          <w:tcPr>
            <w:tcW w:w="949" w:type="dxa"/>
            <w:noWrap/>
            <w:vAlign w:val="center"/>
          </w:tcPr>
          <w:p>
            <w:pPr>
              <w:widowControl/>
              <w:spacing w:line="400" w:lineRule="exact"/>
              <w:ind w:left="118" w:leftChars="56" w:right="84" w:rightChars="40"/>
              <w:jc w:val="center"/>
              <w:rPr>
                <w:rFonts w:ascii="宋体" w:hAnsi="宋体"/>
                <w:szCs w:val="21"/>
                <w:highlight w:val="none"/>
              </w:rPr>
            </w:pPr>
          </w:p>
        </w:tc>
        <w:tc>
          <w:tcPr>
            <w:tcW w:w="6977" w:type="dxa"/>
            <w:noWrap/>
            <w:vAlign w:val="center"/>
          </w:tcPr>
          <w:p>
            <w:pPr>
              <w:widowControl/>
              <w:spacing w:line="400" w:lineRule="exact"/>
              <w:ind w:left="118" w:leftChars="56" w:right="84" w:rightChars="40"/>
              <w:rPr>
                <w:rFonts w:ascii="宋体" w:hAnsi="宋体"/>
                <w:szCs w:val="21"/>
                <w:highlight w:val="none"/>
              </w:rPr>
            </w:pPr>
          </w:p>
        </w:tc>
        <w:tc>
          <w:tcPr>
            <w:tcW w:w="1153" w:type="dxa"/>
            <w:noWrap/>
          </w:tcPr>
          <w:p>
            <w:pPr>
              <w:widowControl/>
              <w:spacing w:line="300" w:lineRule="exact"/>
              <w:ind w:left="118" w:leftChars="56" w:right="84" w:rightChars="40"/>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noWrap/>
            <w:vAlign w:val="center"/>
          </w:tcPr>
          <w:p>
            <w:pPr>
              <w:widowControl/>
              <w:spacing w:line="300" w:lineRule="exact"/>
              <w:ind w:left="147" w:leftChars="70" w:right="84" w:rightChars="40"/>
              <w:rPr>
                <w:rFonts w:ascii="宋体" w:hAnsi="宋体"/>
                <w:szCs w:val="21"/>
                <w:highlight w:val="none"/>
              </w:rPr>
            </w:pPr>
          </w:p>
        </w:tc>
        <w:tc>
          <w:tcPr>
            <w:tcW w:w="949" w:type="dxa"/>
            <w:noWrap/>
            <w:vAlign w:val="center"/>
          </w:tcPr>
          <w:p>
            <w:pPr>
              <w:widowControl/>
              <w:spacing w:line="400" w:lineRule="exact"/>
              <w:ind w:left="118" w:leftChars="56" w:right="84" w:rightChars="40"/>
              <w:jc w:val="center"/>
              <w:rPr>
                <w:rFonts w:ascii="宋体" w:hAnsi="宋体"/>
                <w:szCs w:val="21"/>
                <w:highlight w:val="none"/>
              </w:rPr>
            </w:pPr>
          </w:p>
        </w:tc>
        <w:tc>
          <w:tcPr>
            <w:tcW w:w="6977" w:type="dxa"/>
            <w:noWrap/>
            <w:vAlign w:val="center"/>
          </w:tcPr>
          <w:p>
            <w:pPr>
              <w:widowControl/>
              <w:spacing w:line="400" w:lineRule="exact"/>
              <w:ind w:left="118" w:leftChars="56" w:right="84" w:rightChars="40"/>
              <w:rPr>
                <w:rFonts w:ascii="宋体" w:hAnsi="宋体" w:cs="宋体"/>
                <w:szCs w:val="21"/>
                <w:highlight w:val="none"/>
              </w:rPr>
            </w:pPr>
          </w:p>
        </w:tc>
        <w:tc>
          <w:tcPr>
            <w:tcW w:w="1153" w:type="dxa"/>
            <w:noWrap/>
          </w:tcPr>
          <w:p>
            <w:pPr>
              <w:widowControl/>
              <w:spacing w:line="300" w:lineRule="exact"/>
              <w:ind w:left="118" w:leftChars="56" w:right="84" w:rightChars="40"/>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noWrap/>
            <w:vAlign w:val="center"/>
          </w:tcPr>
          <w:p>
            <w:pPr>
              <w:widowControl/>
              <w:spacing w:line="300" w:lineRule="exact"/>
              <w:ind w:left="147" w:leftChars="70" w:right="84" w:rightChars="40"/>
              <w:rPr>
                <w:rFonts w:ascii="宋体" w:hAnsi="宋体"/>
                <w:szCs w:val="21"/>
                <w:highlight w:val="none"/>
              </w:rPr>
            </w:pPr>
          </w:p>
        </w:tc>
        <w:tc>
          <w:tcPr>
            <w:tcW w:w="949" w:type="dxa"/>
            <w:noWrap/>
            <w:vAlign w:val="center"/>
          </w:tcPr>
          <w:p>
            <w:pPr>
              <w:widowControl/>
              <w:spacing w:line="400" w:lineRule="exact"/>
              <w:ind w:left="118" w:leftChars="56" w:right="84" w:rightChars="40"/>
              <w:jc w:val="center"/>
              <w:rPr>
                <w:rFonts w:ascii="宋体" w:hAnsi="宋体"/>
                <w:szCs w:val="21"/>
                <w:highlight w:val="none"/>
              </w:rPr>
            </w:pPr>
          </w:p>
        </w:tc>
        <w:tc>
          <w:tcPr>
            <w:tcW w:w="6977" w:type="dxa"/>
            <w:noWrap/>
            <w:vAlign w:val="center"/>
          </w:tcPr>
          <w:p>
            <w:pPr>
              <w:widowControl/>
              <w:spacing w:line="400" w:lineRule="exact"/>
              <w:ind w:left="118" w:leftChars="56" w:right="84" w:rightChars="40"/>
              <w:rPr>
                <w:rFonts w:ascii="宋体" w:hAnsi="宋体" w:cs="宋体"/>
                <w:szCs w:val="21"/>
                <w:highlight w:val="none"/>
              </w:rPr>
            </w:pPr>
          </w:p>
        </w:tc>
        <w:tc>
          <w:tcPr>
            <w:tcW w:w="1153" w:type="dxa"/>
            <w:noWrap/>
          </w:tcPr>
          <w:p>
            <w:pPr>
              <w:widowControl/>
              <w:spacing w:line="300" w:lineRule="exact"/>
              <w:ind w:left="118" w:leftChars="56" w:right="84" w:rightChars="40"/>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1115" w:type="dxa"/>
            <w:vMerge w:val="continue"/>
            <w:noWrap/>
            <w:vAlign w:val="center"/>
          </w:tcPr>
          <w:p>
            <w:pPr>
              <w:widowControl/>
              <w:spacing w:line="300" w:lineRule="exact"/>
              <w:ind w:left="147" w:leftChars="70" w:right="84" w:rightChars="40"/>
              <w:rPr>
                <w:rFonts w:ascii="宋体" w:hAnsi="宋体"/>
                <w:szCs w:val="21"/>
                <w:highlight w:val="none"/>
              </w:rPr>
            </w:pPr>
          </w:p>
        </w:tc>
        <w:tc>
          <w:tcPr>
            <w:tcW w:w="949" w:type="dxa"/>
            <w:noWrap/>
            <w:vAlign w:val="center"/>
          </w:tcPr>
          <w:p>
            <w:pPr>
              <w:widowControl/>
              <w:spacing w:line="400" w:lineRule="exact"/>
              <w:ind w:left="118" w:leftChars="56" w:right="84" w:rightChars="40"/>
              <w:jc w:val="center"/>
              <w:rPr>
                <w:rFonts w:ascii="宋体" w:hAnsi="宋体"/>
                <w:szCs w:val="21"/>
                <w:highlight w:val="none"/>
              </w:rPr>
            </w:pPr>
          </w:p>
        </w:tc>
        <w:tc>
          <w:tcPr>
            <w:tcW w:w="6977" w:type="dxa"/>
            <w:noWrap/>
            <w:vAlign w:val="center"/>
          </w:tcPr>
          <w:p>
            <w:pPr>
              <w:widowControl/>
              <w:spacing w:line="400" w:lineRule="exact"/>
              <w:ind w:left="118" w:leftChars="56" w:right="84" w:rightChars="40"/>
              <w:rPr>
                <w:rFonts w:ascii="宋体" w:hAnsi="宋体"/>
                <w:szCs w:val="21"/>
                <w:highlight w:val="none"/>
              </w:rPr>
            </w:pPr>
          </w:p>
        </w:tc>
        <w:tc>
          <w:tcPr>
            <w:tcW w:w="1153" w:type="dxa"/>
            <w:noWrap/>
          </w:tcPr>
          <w:p>
            <w:pPr>
              <w:widowControl/>
              <w:spacing w:line="300" w:lineRule="exact"/>
              <w:ind w:left="118" w:leftChars="56" w:right="84" w:rightChars="40"/>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48" w:hRule="atLeast"/>
          <w:jc w:val="center"/>
        </w:trPr>
        <w:tc>
          <w:tcPr>
            <w:tcW w:w="1115" w:type="dxa"/>
            <w:vMerge w:val="restart"/>
            <w:noWrap/>
            <w:vAlign w:val="center"/>
          </w:tcPr>
          <w:p>
            <w:pPr>
              <w:jc w:val="center"/>
              <w:rPr>
                <w:rFonts w:ascii="宋体" w:hAnsi="宋体"/>
                <w:kern w:val="0"/>
                <w:szCs w:val="21"/>
                <w:highlight w:val="none"/>
              </w:rPr>
            </w:pPr>
            <w:r>
              <w:rPr>
                <w:rFonts w:hint="eastAsia" w:ascii="宋体" w:hAnsi="宋体" w:cs="Arial"/>
                <w:snapToGrid w:val="0"/>
                <w:kern w:val="0"/>
                <w:sz w:val="22"/>
                <w:highlight w:val="none"/>
              </w:rPr>
              <w:t>商务、资信及其他分</w:t>
            </w:r>
          </w:p>
          <w:p>
            <w:pPr>
              <w:widowControl/>
              <w:spacing w:line="300" w:lineRule="exact"/>
              <w:ind w:left="118" w:leftChars="56" w:right="84" w:rightChars="40"/>
              <w:rPr>
                <w:rFonts w:ascii="宋体" w:hAnsi="宋体"/>
                <w:szCs w:val="21"/>
                <w:highlight w:val="none"/>
              </w:rPr>
            </w:pPr>
            <w:r>
              <w:rPr>
                <w:rFonts w:hint="eastAsia" w:ascii="宋体" w:hAnsi="宋体"/>
                <w:kern w:val="0"/>
                <w:szCs w:val="21"/>
                <w:highlight w:val="none"/>
              </w:rPr>
              <w:t>）</w:t>
            </w:r>
          </w:p>
        </w:tc>
        <w:tc>
          <w:tcPr>
            <w:tcW w:w="945" w:type="dxa"/>
            <w:tcBorders>
              <w:right w:val="single" w:color="auto" w:sz="4" w:space="0"/>
            </w:tcBorders>
            <w:noWrap/>
            <w:vAlign w:val="center"/>
          </w:tcPr>
          <w:p>
            <w:pPr>
              <w:rPr>
                <w:rFonts w:ascii="宋体" w:hAnsi="宋体"/>
                <w:color w:val="FF0000"/>
                <w:kern w:val="0"/>
                <w:szCs w:val="21"/>
                <w:highlight w:val="none"/>
              </w:rPr>
            </w:pPr>
          </w:p>
        </w:tc>
        <w:tc>
          <w:tcPr>
            <w:tcW w:w="6981" w:type="dxa"/>
            <w:tcBorders>
              <w:left w:val="single" w:color="auto" w:sz="4" w:space="0"/>
            </w:tcBorders>
            <w:noWrap/>
            <w:vAlign w:val="center"/>
          </w:tcPr>
          <w:p>
            <w:pPr>
              <w:rPr>
                <w:rFonts w:ascii="宋体" w:hAnsi="宋体"/>
                <w:color w:val="FF0000"/>
                <w:kern w:val="0"/>
                <w:szCs w:val="21"/>
                <w:highlight w:val="none"/>
              </w:rPr>
            </w:pPr>
          </w:p>
        </w:tc>
        <w:tc>
          <w:tcPr>
            <w:tcW w:w="1153" w:type="dxa"/>
            <w:noWrap/>
          </w:tcPr>
          <w:p>
            <w:pPr>
              <w:widowControl/>
              <w:spacing w:line="300" w:lineRule="exact"/>
              <w:ind w:left="118" w:leftChars="56" w:right="84" w:rightChars="40"/>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99" w:hRule="atLeast"/>
          <w:jc w:val="center"/>
        </w:trPr>
        <w:tc>
          <w:tcPr>
            <w:tcW w:w="1115" w:type="dxa"/>
            <w:vMerge w:val="continue"/>
            <w:noWrap/>
            <w:vAlign w:val="center"/>
          </w:tcPr>
          <w:p>
            <w:pPr>
              <w:widowControl/>
              <w:spacing w:line="300" w:lineRule="exact"/>
              <w:ind w:left="118" w:leftChars="56" w:right="84" w:rightChars="40"/>
              <w:rPr>
                <w:rFonts w:ascii="宋体" w:hAnsi="宋体"/>
                <w:szCs w:val="21"/>
                <w:highlight w:val="none"/>
              </w:rPr>
            </w:pPr>
          </w:p>
        </w:tc>
        <w:tc>
          <w:tcPr>
            <w:tcW w:w="945" w:type="dxa"/>
            <w:tcBorders>
              <w:right w:val="single" w:color="auto" w:sz="4" w:space="0"/>
            </w:tcBorders>
            <w:noWrap/>
            <w:vAlign w:val="center"/>
          </w:tcPr>
          <w:p>
            <w:pPr>
              <w:rPr>
                <w:rFonts w:ascii="宋体" w:hAnsi="宋体"/>
                <w:kern w:val="0"/>
                <w:szCs w:val="21"/>
                <w:highlight w:val="none"/>
              </w:rPr>
            </w:pPr>
          </w:p>
        </w:tc>
        <w:tc>
          <w:tcPr>
            <w:tcW w:w="6981" w:type="dxa"/>
            <w:tcBorders>
              <w:left w:val="single" w:color="auto" w:sz="4" w:space="0"/>
            </w:tcBorders>
            <w:noWrap/>
            <w:vAlign w:val="center"/>
          </w:tcPr>
          <w:p>
            <w:pPr>
              <w:rPr>
                <w:rFonts w:ascii="宋体" w:hAnsi="宋体"/>
                <w:kern w:val="0"/>
                <w:szCs w:val="21"/>
                <w:highlight w:val="none"/>
              </w:rPr>
            </w:pPr>
          </w:p>
        </w:tc>
        <w:tc>
          <w:tcPr>
            <w:tcW w:w="1153" w:type="dxa"/>
            <w:noWrap/>
          </w:tcPr>
          <w:p>
            <w:pPr>
              <w:widowControl/>
              <w:spacing w:line="300" w:lineRule="exact"/>
              <w:ind w:left="118" w:leftChars="56" w:right="84" w:rightChars="40"/>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672" w:hRule="atLeast"/>
          <w:jc w:val="center"/>
        </w:trPr>
        <w:tc>
          <w:tcPr>
            <w:tcW w:w="1115" w:type="dxa"/>
            <w:vMerge w:val="continue"/>
            <w:noWrap/>
            <w:vAlign w:val="center"/>
          </w:tcPr>
          <w:p>
            <w:pPr>
              <w:widowControl/>
              <w:spacing w:line="300" w:lineRule="exact"/>
              <w:ind w:left="118" w:leftChars="56" w:right="84" w:rightChars="40"/>
              <w:rPr>
                <w:rFonts w:ascii="宋体" w:hAnsi="宋体"/>
                <w:szCs w:val="21"/>
                <w:highlight w:val="none"/>
              </w:rPr>
            </w:pPr>
          </w:p>
        </w:tc>
        <w:tc>
          <w:tcPr>
            <w:tcW w:w="945" w:type="dxa"/>
            <w:tcBorders>
              <w:right w:val="single" w:color="auto" w:sz="4" w:space="0"/>
            </w:tcBorders>
            <w:noWrap/>
            <w:vAlign w:val="center"/>
          </w:tcPr>
          <w:p>
            <w:pPr>
              <w:rPr>
                <w:rFonts w:ascii="宋体" w:hAnsi="宋体"/>
                <w:kern w:val="0"/>
                <w:szCs w:val="21"/>
                <w:highlight w:val="none"/>
              </w:rPr>
            </w:pPr>
          </w:p>
        </w:tc>
        <w:tc>
          <w:tcPr>
            <w:tcW w:w="6981" w:type="dxa"/>
            <w:tcBorders>
              <w:left w:val="single" w:color="auto" w:sz="4" w:space="0"/>
            </w:tcBorders>
            <w:noWrap/>
            <w:vAlign w:val="center"/>
          </w:tcPr>
          <w:p>
            <w:pPr>
              <w:rPr>
                <w:rFonts w:ascii="宋体" w:hAnsi="宋体"/>
                <w:kern w:val="0"/>
                <w:szCs w:val="21"/>
                <w:highlight w:val="none"/>
              </w:rPr>
            </w:pPr>
          </w:p>
        </w:tc>
        <w:tc>
          <w:tcPr>
            <w:tcW w:w="1153" w:type="dxa"/>
            <w:noWrap/>
          </w:tcPr>
          <w:p>
            <w:pPr>
              <w:widowControl/>
              <w:spacing w:line="300" w:lineRule="exact"/>
              <w:ind w:left="118" w:leftChars="56" w:right="84" w:rightChars="40"/>
              <w:rPr>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1115" w:type="dxa"/>
            <w:vMerge w:val="continue"/>
            <w:noWrap/>
            <w:vAlign w:val="center"/>
          </w:tcPr>
          <w:p>
            <w:pPr>
              <w:widowControl/>
              <w:spacing w:line="300" w:lineRule="exact"/>
              <w:ind w:left="118" w:leftChars="56" w:right="84" w:rightChars="40"/>
              <w:rPr>
                <w:rFonts w:ascii="宋体" w:hAnsi="宋体"/>
                <w:szCs w:val="21"/>
                <w:highlight w:val="none"/>
              </w:rPr>
            </w:pPr>
          </w:p>
        </w:tc>
        <w:tc>
          <w:tcPr>
            <w:tcW w:w="945" w:type="dxa"/>
            <w:tcBorders>
              <w:right w:val="single" w:color="auto" w:sz="4" w:space="0"/>
            </w:tcBorders>
            <w:noWrap/>
            <w:vAlign w:val="center"/>
          </w:tcPr>
          <w:p>
            <w:pPr>
              <w:rPr>
                <w:rFonts w:ascii="宋体" w:hAnsi="宋体"/>
                <w:szCs w:val="21"/>
                <w:highlight w:val="none"/>
              </w:rPr>
            </w:pPr>
          </w:p>
        </w:tc>
        <w:tc>
          <w:tcPr>
            <w:tcW w:w="6981" w:type="dxa"/>
            <w:tcBorders>
              <w:left w:val="single" w:color="auto" w:sz="4" w:space="0"/>
            </w:tcBorders>
            <w:noWrap/>
            <w:vAlign w:val="center"/>
          </w:tcPr>
          <w:p>
            <w:pPr>
              <w:rPr>
                <w:rFonts w:ascii="宋体" w:hAnsi="宋体"/>
                <w:szCs w:val="21"/>
                <w:highlight w:val="none"/>
              </w:rPr>
            </w:pPr>
          </w:p>
        </w:tc>
        <w:tc>
          <w:tcPr>
            <w:tcW w:w="1153" w:type="dxa"/>
            <w:noWrap/>
          </w:tcPr>
          <w:p>
            <w:pPr>
              <w:widowControl/>
              <w:spacing w:line="300" w:lineRule="exact"/>
              <w:ind w:left="118" w:leftChars="56" w:right="84" w:rightChars="40"/>
              <w:rPr>
                <w:rFonts w:ascii="宋体" w:hAnsi="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16" w:hRule="atLeast"/>
          <w:jc w:val="center"/>
        </w:trPr>
        <w:tc>
          <w:tcPr>
            <w:tcW w:w="1115" w:type="dxa"/>
            <w:vMerge w:val="continue"/>
            <w:noWrap/>
            <w:vAlign w:val="center"/>
          </w:tcPr>
          <w:p>
            <w:pPr>
              <w:widowControl/>
              <w:spacing w:line="300" w:lineRule="exact"/>
              <w:ind w:left="118" w:leftChars="56" w:right="84" w:rightChars="40"/>
              <w:rPr>
                <w:rFonts w:ascii="宋体" w:hAnsi="宋体"/>
                <w:szCs w:val="21"/>
                <w:highlight w:val="none"/>
              </w:rPr>
            </w:pPr>
          </w:p>
        </w:tc>
        <w:tc>
          <w:tcPr>
            <w:tcW w:w="945" w:type="dxa"/>
            <w:tcBorders>
              <w:right w:val="single" w:color="auto" w:sz="4" w:space="0"/>
            </w:tcBorders>
            <w:noWrap/>
            <w:vAlign w:val="center"/>
          </w:tcPr>
          <w:p>
            <w:pPr>
              <w:rPr>
                <w:rFonts w:ascii="宋体" w:hAnsi="宋体"/>
                <w:kern w:val="0"/>
                <w:szCs w:val="21"/>
                <w:highlight w:val="none"/>
              </w:rPr>
            </w:pPr>
          </w:p>
        </w:tc>
        <w:tc>
          <w:tcPr>
            <w:tcW w:w="6981" w:type="dxa"/>
            <w:tcBorders>
              <w:left w:val="single" w:color="auto" w:sz="4" w:space="0"/>
            </w:tcBorders>
            <w:noWrap/>
            <w:vAlign w:val="center"/>
          </w:tcPr>
          <w:p>
            <w:pPr>
              <w:rPr>
                <w:rFonts w:ascii="宋体" w:hAnsi="宋体"/>
                <w:kern w:val="0"/>
                <w:szCs w:val="21"/>
                <w:highlight w:val="none"/>
              </w:rPr>
            </w:pPr>
          </w:p>
        </w:tc>
        <w:tc>
          <w:tcPr>
            <w:tcW w:w="1153" w:type="dxa"/>
            <w:noWrap/>
          </w:tcPr>
          <w:p>
            <w:pPr>
              <w:widowControl/>
              <w:spacing w:line="300" w:lineRule="exact"/>
              <w:ind w:left="118" w:leftChars="56" w:right="84" w:rightChars="40"/>
              <w:rPr>
                <w:rFonts w:ascii="宋体" w:hAnsi="宋体" w:cs="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4" w:hRule="atLeast"/>
          <w:jc w:val="center"/>
        </w:trPr>
        <w:tc>
          <w:tcPr>
            <w:tcW w:w="1115" w:type="dxa"/>
            <w:vMerge w:val="continue"/>
            <w:noWrap/>
            <w:vAlign w:val="center"/>
          </w:tcPr>
          <w:p>
            <w:pPr>
              <w:widowControl/>
              <w:spacing w:line="300" w:lineRule="exact"/>
              <w:ind w:left="118" w:leftChars="56" w:right="84" w:rightChars="40"/>
              <w:rPr>
                <w:rFonts w:ascii="宋体" w:hAnsi="宋体"/>
                <w:szCs w:val="21"/>
                <w:highlight w:val="none"/>
              </w:rPr>
            </w:pPr>
          </w:p>
        </w:tc>
        <w:tc>
          <w:tcPr>
            <w:tcW w:w="945" w:type="dxa"/>
            <w:tcBorders>
              <w:right w:val="single" w:color="auto" w:sz="4" w:space="0"/>
            </w:tcBorders>
            <w:noWrap/>
            <w:vAlign w:val="center"/>
          </w:tcPr>
          <w:p>
            <w:pPr>
              <w:rPr>
                <w:rFonts w:ascii="宋体" w:hAnsi="宋体"/>
                <w:kern w:val="0"/>
                <w:szCs w:val="21"/>
                <w:highlight w:val="none"/>
              </w:rPr>
            </w:pPr>
          </w:p>
        </w:tc>
        <w:tc>
          <w:tcPr>
            <w:tcW w:w="6981" w:type="dxa"/>
            <w:tcBorders>
              <w:left w:val="single" w:color="auto" w:sz="4" w:space="0"/>
            </w:tcBorders>
            <w:noWrap/>
            <w:vAlign w:val="center"/>
          </w:tcPr>
          <w:p>
            <w:pPr>
              <w:rPr>
                <w:rFonts w:ascii="宋体" w:hAnsi="宋体"/>
                <w:kern w:val="0"/>
                <w:szCs w:val="21"/>
                <w:highlight w:val="none"/>
              </w:rPr>
            </w:pPr>
          </w:p>
        </w:tc>
        <w:tc>
          <w:tcPr>
            <w:tcW w:w="1153" w:type="dxa"/>
            <w:noWrap/>
          </w:tcPr>
          <w:p>
            <w:pPr>
              <w:widowControl/>
              <w:spacing w:line="300" w:lineRule="exact"/>
              <w:ind w:left="118" w:leftChars="56" w:right="84" w:rightChars="40"/>
              <w:rPr>
                <w:rFonts w:ascii="宋体" w:hAnsi="宋体" w:cs="宋体"/>
                <w:szCs w:val="21"/>
                <w:highlight w:val="none"/>
              </w:rPr>
            </w:pPr>
          </w:p>
        </w:tc>
      </w:tr>
    </w:tbl>
    <w:p>
      <w:pPr>
        <w:spacing w:line="360" w:lineRule="auto"/>
        <w:jc w:val="center"/>
        <w:rPr>
          <w:rFonts w:ascii="宋体" w:hAnsi="宋体"/>
          <w:szCs w:val="21"/>
          <w:highlight w:val="none"/>
        </w:rPr>
      </w:pPr>
    </w:p>
    <w:p>
      <w:pPr>
        <w:spacing w:line="360" w:lineRule="auto"/>
        <w:rPr>
          <w:rFonts w:ascii="宋体" w:hAnsi="宋体" w:cs="宋体"/>
          <w:szCs w:val="21"/>
          <w:highlight w:val="none"/>
        </w:rPr>
      </w:pPr>
      <w:r>
        <w:rPr>
          <w:rFonts w:hint="eastAsia" w:ascii="宋体" w:hAnsi="宋体" w:cs="宋体"/>
          <w:szCs w:val="21"/>
          <w:highlight w:val="none"/>
        </w:rPr>
        <w:t>备注：为方便专家评审，请各供应商将本表编入采购响应文件，并置于采购响应文件目录之前。</w:t>
      </w: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tabs>
          <w:tab w:val="center" w:pos="4156"/>
        </w:tabs>
        <w:snapToGrid w:val="0"/>
        <w:spacing w:beforeLines="50" w:after="50"/>
        <w:rPr>
          <w:rFonts w:ascii="宋体" w:hAnsi="宋体"/>
          <w:b/>
          <w:sz w:val="30"/>
          <w:szCs w:val="20"/>
          <w:highlight w:val="none"/>
        </w:rPr>
      </w:pPr>
    </w:p>
    <w:p>
      <w:pPr>
        <w:tabs>
          <w:tab w:val="center" w:pos="4156"/>
        </w:tabs>
        <w:snapToGrid w:val="0"/>
        <w:spacing w:beforeLines="50" w:after="50"/>
        <w:rPr>
          <w:rFonts w:ascii="宋体" w:hAnsi="宋体"/>
          <w:b/>
          <w:sz w:val="30"/>
          <w:szCs w:val="20"/>
          <w:highlight w:val="none"/>
        </w:rPr>
      </w:pPr>
    </w:p>
    <w:p>
      <w:pPr>
        <w:tabs>
          <w:tab w:val="center" w:pos="4156"/>
        </w:tabs>
        <w:snapToGrid w:val="0"/>
        <w:spacing w:beforeLines="50" w:after="50"/>
        <w:rPr>
          <w:rFonts w:ascii="宋体" w:hAnsi="宋体"/>
          <w:b/>
          <w:sz w:val="30"/>
          <w:szCs w:val="20"/>
          <w:highlight w:val="none"/>
        </w:rPr>
      </w:pPr>
    </w:p>
    <w:p>
      <w:pPr>
        <w:tabs>
          <w:tab w:val="center" w:pos="4156"/>
        </w:tabs>
        <w:snapToGrid w:val="0"/>
        <w:spacing w:beforeLines="50" w:after="50"/>
        <w:rPr>
          <w:rFonts w:ascii="宋体" w:hAnsi="宋体"/>
          <w:b/>
          <w:sz w:val="30"/>
          <w:szCs w:val="20"/>
          <w:highlight w:val="none"/>
        </w:rPr>
      </w:pPr>
    </w:p>
    <w:p>
      <w:pPr>
        <w:tabs>
          <w:tab w:val="center" w:pos="4156"/>
        </w:tabs>
        <w:snapToGrid w:val="0"/>
        <w:spacing w:beforeLines="50" w:after="50"/>
        <w:rPr>
          <w:rFonts w:ascii="宋体" w:hAnsi="宋体"/>
          <w:b/>
          <w:sz w:val="30"/>
          <w:szCs w:val="20"/>
          <w:highlight w:val="none"/>
        </w:rPr>
      </w:pPr>
    </w:p>
    <w:p>
      <w:pPr>
        <w:tabs>
          <w:tab w:val="center" w:pos="4156"/>
        </w:tabs>
        <w:snapToGrid w:val="0"/>
        <w:spacing w:beforeLines="50" w:after="50"/>
        <w:rPr>
          <w:rFonts w:ascii="宋体" w:hAnsi="宋体"/>
          <w:b/>
          <w:sz w:val="30"/>
          <w:szCs w:val="20"/>
          <w:highlight w:val="none"/>
        </w:rPr>
      </w:pPr>
    </w:p>
    <w:p>
      <w:pPr>
        <w:tabs>
          <w:tab w:val="center" w:pos="4156"/>
        </w:tabs>
        <w:snapToGrid w:val="0"/>
        <w:spacing w:beforeLines="50" w:after="50"/>
        <w:rPr>
          <w:rFonts w:ascii="宋体" w:hAnsi="宋体"/>
          <w:b/>
          <w:sz w:val="30"/>
          <w:szCs w:val="20"/>
          <w:highlight w:val="none"/>
        </w:rPr>
      </w:pPr>
      <w:r>
        <w:rPr>
          <w:rFonts w:hint="eastAsia" w:ascii="宋体" w:hAnsi="宋体"/>
          <w:b/>
          <w:sz w:val="30"/>
          <w:szCs w:val="20"/>
          <w:highlight w:val="none"/>
        </w:rPr>
        <w:t>附件四：</w:t>
      </w:r>
      <w:r>
        <w:rPr>
          <w:rFonts w:ascii="宋体" w:hAnsi="宋体"/>
          <w:b/>
          <w:sz w:val="30"/>
          <w:szCs w:val="20"/>
          <w:highlight w:val="none"/>
        </w:rPr>
        <w:tab/>
      </w:r>
    </w:p>
    <w:p>
      <w:pPr>
        <w:tabs>
          <w:tab w:val="center" w:pos="4156"/>
        </w:tabs>
        <w:snapToGrid w:val="0"/>
        <w:spacing w:beforeLines="50" w:after="50"/>
        <w:jc w:val="center"/>
        <w:rPr>
          <w:rFonts w:ascii="宋体" w:hAnsi="宋体"/>
          <w:sz w:val="24"/>
          <w:szCs w:val="20"/>
          <w:highlight w:val="none"/>
        </w:rPr>
      </w:pPr>
      <w:r>
        <w:rPr>
          <w:rFonts w:hint="eastAsia" w:ascii="宋体" w:hAnsi="宋体"/>
          <w:sz w:val="30"/>
          <w:szCs w:val="20"/>
          <w:highlight w:val="none"/>
        </w:rPr>
        <w:t>投标声明书</w:t>
      </w:r>
    </w:p>
    <w:p>
      <w:pPr>
        <w:snapToGrid w:val="0"/>
        <w:spacing w:beforeLines="50" w:after="50"/>
        <w:rPr>
          <w:rFonts w:ascii="宋体" w:hAnsi="宋体"/>
          <w:sz w:val="24"/>
          <w:szCs w:val="20"/>
          <w:highlight w:val="none"/>
        </w:rPr>
      </w:pPr>
      <w:r>
        <w:rPr>
          <w:rFonts w:hint="eastAsia" w:ascii="宋体" w:hAnsi="宋体"/>
          <w:sz w:val="24"/>
          <w:szCs w:val="20"/>
          <w:highlight w:val="none"/>
        </w:rPr>
        <w:t>致：</w:t>
      </w:r>
      <w:r>
        <w:rPr>
          <w:rFonts w:ascii="宋体" w:hAnsi="宋体"/>
          <w:sz w:val="24"/>
          <w:szCs w:val="20"/>
          <w:highlight w:val="none"/>
        </w:rPr>
        <w:t>______</w:t>
      </w:r>
      <w:r>
        <w:rPr>
          <w:rFonts w:ascii="宋体" w:hAnsi="宋体"/>
          <w:sz w:val="24"/>
          <w:szCs w:val="20"/>
          <w:highlight w:val="none"/>
          <w:u w:val="single"/>
        </w:rPr>
        <w:t>__</w:t>
      </w:r>
      <w:r>
        <w:rPr>
          <w:rFonts w:ascii="宋体" w:hAnsi="宋体"/>
          <w:sz w:val="24"/>
          <w:szCs w:val="20"/>
          <w:highlight w:val="none"/>
        </w:rPr>
        <w:t>_</w:t>
      </w:r>
      <w:r>
        <w:rPr>
          <w:rFonts w:hint="eastAsia" w:ascii="宋体" w:hAnsi="宋体"/>
          <w:sz w:val="24"/>
          <w:szCs w:val="20"/>
          <w:highlight w:val="none"/>
        </w:rPr>
        <w:t>（招标机构、采购单位名称）：</w:t>
      </w:r>
    </w:p>
    <w:p>
      <w:pPr>
        <w:snapToGrid w:val="0"/>
        <w:spacing w:beforeLines="50" w:after="50"/>
        <w:ind w:firstLine="720" w:firstLineChars="300"/>
        <w:rPr>
          <w:rFonts w:ascii="宋体" w:hAnsi="宋体"/>
          <w:sz w:val="24"/>
          <w:szCs w:val="20"/>
          <w:highlight w:val="none"/>
        </w:rPr>
      </w:pPr>
      <w:r>
        <w:rPr>
          <w:rFonts w:ascii="宋体" w:hAnsi="宋体"/>
          <w:sz w:val="24"/>
          <w:szCs w:val="20"/>
          <w:highlight w:val="none"/>
        </w:rPr>
        <w:t>______</w:t>
      </w:r>
      <w:r>
        <w:rPr>
          <w:rFonts w:ascii="宋体" w:hAnsi="宋体"/>
          <w:sz w:val="24"/>
          <w:szCs w:val="20"/>
          <w:highlight w:val="none"/>
          <w:u w:val="single"/>
        </w:rPr>
        <w:t>__</w:t>
      </w:r>
      <w:r>
        <w:rPr>
          <w:rFonts w:ascii="宋体" w:hAnsi="宋体"/>
          <w:sz w:val="24"/>
          <w:szCs w:val="20"/>
          <w:highlight w:val="none"/>
        </w:rPr>
        <w:t>_</w:t>
      </w:r>
      <w:r>
        <w:rPr>
          <w:rFonts w:hint="eastAsia" w:ascii="宋体" w:hAnsi="宋体"/>
          <w:sz w:val="24"/>
          <w:szCs w:val="20"/>
          <w:highlight w:val="none"/>
        </w:rPr>
        <w:t>（投标人名称）系中华人民共和国合法</w:t>
      </w:r>
      <w:r>
        <w:rPr>
          <w:rFonts w:hint="eastAsia" w:ascii="宋体" w:hAnsi="宋体"/>
          <w:sz w:val="24"/>
          <w:szCs w:val="20"/>
          <w:highlight w:val="none"/>
          <w:u w:val="single"/>
        </w:rPr>
        <w:t xml:space="preserve">      （企业、法人或其他）</w:t>
      </w:r>
      <w:r>
        <w:rPr>
          <w:rFonts w:hint="eastAsia" w:ascii="宋体" w:hAnsi="宋体"/>
          <w:sz w:val="24"/>
          <w:szCs w:val="20"/>
          <w:highlight w:val="none"/>
        </w:rPr>
        <w:t>，经营地址。</w:t>
      </w:r>
    </w:p>
    <w:p>
      <w:pPr>
        <w:snapToGrid w:val="0"/>
        <w:spacing w:beforeLines="50" w:after="50"/>
        <w:ind w:firstLine="645"/>
        <w:rPr>
          <w:rFonts w:ascii="宋体" w:hAnsi="宋体"/>
          <w:sz w:val="24"/>
          <w:szCs w:val="20"/>
          <w:highlight w:val="none"/>
        </w:rPr>
      </w:pPr>
      <w:r>
        <w:rPr>
          <w:rFonts w:hint="eastAsia" w:ascii="宋体" w:hAnsi="宋体"/>
          <w:sz w:val="24"/>
          <w:szCs w:val="20"/>
          <w:highlight w:val="none"/>
        </w:rPr>
        <w:t>我</w:t>
      </w:r>
      <w:r>
        <w:rPr>
          <w:rFonts w:ascii="宋体" w:hAnsi="宋体"/>
          <w:sz w:val="24"/>
          <w:szCs w:val="20"/>
          <w:highlight w:val="none"/>
        </w:rPr>
        <w:t>___</w:t>
      </w:r>
      <w:r>
        <w:rPr>
          <w:rFonts w:ascii="宋体" w:hAnsi="宋体"/>
          <w:sz w:val="24"/>
          <w:szCs w:val="20"/>
          <w:highlight w:val="none"/>
          <w:u w:val="single"/>
        </w:rPr>
        <w:t>_</w:t>
      </w:r>
      <w:r>
        <w:rPr>
          <w:rFonts w:ascii="宋体" w:hAnsi="宋体"/>
          <w:sz w:val="24"/>
          <w:szCs w:val="20"/>
          <w:highlight w:val="none"/>
        </w:rPr>
        <w:t>_</w:t>
      </w:r>
      <w:r>
        <w:rPr>
          <w:rFonts w:hint="eastAsia" w:ascii="宋体" w:hAnsi="宋体"/>
          <w:sz w:val="24"/>
          <w:szCs w:val="20"/>
          <w:highlight w:val="none"/>
        </w:rPr>
        <w:t>（姓名）系</w:t>
      </w:r>
      <w:r>
        <w:rPr>
          <w:rFonts w:ascii="宋体" w:hAnsi="宋体"/>
          <w:sz w:val="24"/>
          <w:szCs w:val="20"/>
          <w:highlight w:val="none"/>
        </w:rPr>
        <w:t>______</w:t>
      </w:r>
      <w:r>
        <w:rPr>
          <w:rFonts w:ascii="宋体" w:hAnsi="宋体"/>
          <w:sz w:val="24"/>
          <w:szCs w:val="20"/>
          <w:highlight w:val="none"/>
          <w:u w:val="single"/>
        </w:rPr>
        <w:t>__</w:t>
      </w:r>
      <w:r>
        <w:rPr>
          <w:rFonts w:ascii="宋体" w:hAnsi="宋体"/>
          <w:sz w:val="24"/>
          <w:szCs w:val="20"/>
          <w:highlight w:val="none"/>
        </w:rPr>
        <w:t>_</w:t>
      </w:r>
      <w:r>
        <w:rPr>
          <w:rFonts w:hint="eastAsia" w:ascii="宋体" w:hAnsi="宋体"/>
          <w:sz w:val="24"/>
          <w:szCs w:val="20"/>
          <w:highlight w:val="none"/>
        </w:rPr>
        <w:t>（投标人名称）的法定代表人，我方愿意参加贵方组织的</w:t>
      </w:r>
      <w:r>
        <w:rPr>
          <w:rFonts w:ascii="宋体" w:hAnsi="宋体"/>
          <w:sz w:val="24"/>
          <w:szCs w:val="20"/>
          <w:highlight w:val="none"/>
        </w:rPr>
        <w:t>_____</w:t>
      </w:r>
      <w:r>
        <w:rPr>
          <w:rFonts w:ascii="宋体" w:hAnsi="宋体"/>
          <w:sz w:val="24"/>
          <w:szCs w:val="20"/>
          <w:highlight w:val="none"/>
          <w:u w:val="single"/>
        </w:rPr>
        <w:t>___</w:t>
      </w:r>
      <w:r>
        <w:rPr>
          <w:rFonts w:ascii="宋体" w:hAnsi="宋体"/>
          <w:sz w:val="24"/>
          <w:szCs w:val="20"/>
          <w:highlight w:val="none"/>
        </w:rPr>
        <w:t>_</w:t>
      </w:r>
      <w:r>
        <w:rPr>
          <w:rFonts w:hint="eastAsia" w:ascii="宋体" w:hAnsi="宋体"/>
          <w:sz w:val="24"/>
          <w:szCs w:val="20"/>
          <w:highlight w:val="none"/>
        </w:rPr>
        <w:t>项目的投标，为便于贵方公正、择优地确定中标人及其投标产品和服务，我方就本次投标有关事项郑重声明如下：</w:t>
      </w:r>
    </w:p>
    <w:p>
      <w:pPr>
        <w:snapToGrid w:val="0"/>
        <w:ind w:firstLine="480" w:firstLineChars="200"/>
        <w:rPr>
          <w:rFonts w:ascii="宋体" w:hAnsi="宋体"/>
          <w:sz w:val="24"/>
          <w:szCs w:val="20"/>
          <w:highlight w:val="none"/>
        </w:rPr>
      </w:pPr>
      <w:r>
        <w:rPr>
          <w:rFonts w:ascii="宋体" w:hAnsi="宋体"/>
          <w:sz w:val="24"/>
          <w:szCs w:val="20"/>
          <w:highlight w:val="none"/>
        </w:rPr>
        <w:t>1</w:t>
      </w:r>
      <w:r>
        <w:rPr>
          <w:rFonts w:hint="eastAsia" w:ascii="宋体" w:hAnsi="宋体"/>
          <w:sz w:val="24"/>
          <w:szCs w:val="20"/>
          <w:highlight w:val="none"/>
        </w:rPr>
        <w:t>.</w:t>
      </w:r>
      <w:r>
        <w:rPr>
          <w:rFonts w:ascii="宋体" w:hAnsi="宋体"/>
          <w:sz w:val="24"/>
          <w:szCs w:val="20"/>
          <w:highlight w:val="none"/>
        </w:rPr>
        <w:t>我方向贵方提交的所有投标文件、资料都是准确的和真实的</w:t>
      </w:r>
      <w:r>
        <w:rPr>
          <w:rFonts w:hint="eastAsia" w:ascii="宋体" w:hAnsi="宋体"/>
          <w:sz w:val="24"/>
          <w:szCs w:val="20"/>
          <w:highlight w:val="none"/>
        </w:rPr>
        <w:t>。</w:t>
      </w:r>
    </w:p>
    <w:p>
      <w:pPr>
        <w:snapToGrid w:val="0"/>
        <w:spacing w:beforeLines="50"/>
        <w:ind w:firstLine="480" w:firstLineChars="200"/>
        <w:rPr>
          <w:rFonts w:ascii="宋体" w:hAnsi="宋体"/>
          <w:sz w:val="24"/>
          <w:szCs w:val="20"/>
          <w:highlight w:val="none"/>
        </w:rPr>
      </w:pPr>
      <w:r>
        <w:rPr>
          <w:rFonts w:ascii="宋体" w:hAnsi="宋体"/>
          <w:sz w:val="24"/>
          <w:szCs w:val="20"/>
          <w:highlight w:val="none"/>
        </w:rPr>
        <w:t>2</w:t>
      </w:r>
      <w:r>
        <w:rPr>
          <w:rFonts w:hint="eastAsia" w:ascii="宋体" w:hAnsi="宋体"/>
          <w:sz w:val="24"/>
          <w:szCs w:val="20"/>
          <w:highlight w:val="none"/>
        </w:rPr>
        <w:t>.</w:t>
      </w:r>
      <w:r>
        <w:rPr>
          <w:rFonts w:ascii="宋体" w:hAnsi="宋体"/>
          <w:sz w:val="24"/>
          <w:szCs w:val="20"/>
          <w:highlight w:val="none"/>
        </w:rPr>
        <w:t>我方</w:t>
      </w:r>
      <w:r>
        <w:rPr>
          <w:rFonts w:hint="eastAsia" w:ascii="宋体" w:hAnsi="宋体"/>
          <w:sz w:val="24"/>
          <w:szCs w:val="20"/>
          <w:highlight w:val="none"/>
        </w:rPr>
        <w:t>现已清楚知道本项目的采购人情况，与之不存在投资关系、行政隶属关系、业务指导关系以及其他可能影响采购公正性的厉害关系。（如有，请如实说明）</w:t>
      </w:r>
    </w:p>
    <w:p>
      <w:pPr>
        <w:snapToGrid w:val="0"/>
        <w:spacing w:beforeLines="50"/>
        <w:ind w:firstLine="480" w:firstLineChars="200"/>
        <w:rPr>
          <w:rFonts w:ascii="宋体" w:hAnsi="宋体"/>
          <w:sz w:val="24"/>
          <w:szCs w:val="20"/>
          <w:highlight w:val="none"/>
        </w:rPr>
      </w:pPr>
      <w:r>
        <w:rPr>
          <w:rFonts w:ascii="宋体" w:hAnsi="宋体"/>
          <w:sz w:val="24"/>
          <w:szCs w:val="20"/>
          <w:highlight w:val="none"/>
        </w:rPr>
        <w:t>3</w:t>
      </w:r>
      <w:r>
        <w:rPr>
          <w:rFonts w:hint="eastAsia" w:ascii="宋体" w:hAnsi="宋体"/>
          <w:sz w:val="24"/>
          <w:szCs w:val="20"/>
          <w:highlight w:val="none"/>
        </w:rPr>
        <w:t>.</w:t>
      </w:r>
      <w:r>
        <w:rPr>
          <w:rFonts w:ascii="宋体" w:hAnsi="宋体"/>
          <w:sz w:val="24"/>
          <w:szCs w:val="20"/>
          <w:highlight w:val="none"/>
        </w:rPr>
        <w:t>在获知本项目采购信息后，与采购人聘请的为此项目提供咨询服务的公司及其附属机构没有任何联系。</w:t>
      </w:r>
      <w:r>
        <w:rPr>
          <w:rFonts w:hint="eastAsia" w:ascii="宋体" w:hAnsi="宋体"/>
          <w:sz w:val="24"/>
          <w:szCs w:val="20"/>
          <w:highlight w:val="none"/>
        </w:rPr>
        <w:t>（如有，请如实说明）</w:t>
      </w:r>
    </w:p>
    <w:p>
      <w:pPr>
        <w:snapToGrid w:val="0"/>
        <w:spacing w:beforeLines="50"/>
        <w:ind w:firstLine="480" w:firstLineChars="200"/>
        <w:rPr>
          <w:rFonts w:ascii="宋体" w:hAnsi="宋体"/>
          <w:sz w:val="24"/>
          <w:szCs w:val="20"/>
          <w:highlight w:val="none"/>
        </w:rPr>
      </w:pPr>
      <w:r>
        <w:rPr>
          <w:rFonts w:hint="eastAsia" w:ascii="宋体" w:hAnsi="宋体"/>
          <w:sz w:val="24"/>
          <w:szCs w:val="20"/>
          <w:highlight w:val="none"/>
        </w:rPr>
        <w:t>4.</w:t>
      </w:r>
      <w:r>
        <w:rPr>
          <w:rFonts w:ascii="宋体" w:hAnsi="宋体"/>
          <w:sz w:val="24"/>
          <w:szCs w:val="20"/>
          <w:highlight w:val="none"/>
        </w:rPr>
        <w:t>我方此次向贵方提供的产品名称为：</w:t>
      </w:r>
    </w:p>
    <w:p>
      <w:pPr>
        <w:snapToGrid w:val="0"/>
        <w:spacing w:beforeLines="50"/>
        <w:ind w:firstLine="480" w:firstLineChars="200"/>
        <w:rPr>
          <w:rFonts w:ascii="宋体" w:hAnsi="宋体"/>
          <w:sz w:val="24"/>
          <w:szCs w:val="20"/>
          <w:highlight w:val="none"/>
        </w:rPr>
      </w:pPr>
      <w:r>
        <w:rPr>
          <w:rFonts w:hint="eastAsia" w:ascii="宋体" w:hAnsi="宋体"/>
          <w:sz w:val="24"/>
          <w:szCs w:val="20"/>
          <w:highlight w:val="none"/>
        </w:rPr>
        <w:t>5.</w:t>
      </w:r>
      <w:r>
        <w:rPr>
          <w:rFonts w:ascii="宋体" w:hAnsi="宋体"/>
          <w:sz w:val="24"/>
          <w:szCs w:val="20"/>
          <w:highlight w:val="none"/>
        </w:rPr>
        <w:t>我方诚意提请贵方关注：</w:t>
      </w:r>
      <w:r>
        <w:rPr>
          <w:rFonts w:hint="eastAsia" w:ascii="宋体" w:hAnsi="宋体"/>
          <w:sz w:val="24"/>
          <w:szCs w:val="20"/>
          <w:highlight w:val="none"/>
        </w:rPr>
        <w:t>近期</w:t>
      </w:r>
      <w:r>
        <w:rPr>
          <w:rFonts w:ascii="宋体" w:hAnsi="宋体"/>
          <w:sz w:val="24"/>
          <w:szCs w:val="20"/>
          <w:highlight w:val="none"/>
        </w:rPr>
        <w:t>有关该</w:t>
      </w:r>
      <w:r>
        <w:rPr>
          <w:rFonts w:hint="eastAsia" w:ascii="宋体" w:hAnsi="宋体"/>
          <w:sz w:val="24"/>
          <w:szCs w:val="20"/>
          <w:highlight w:val="none"/>
        </w:rPr>
        <w:t>类服务的重大决策和事项有：</w:t>
      </w:r>
    </w:p>
    <w:p>
      <w:pPr>
        <w:snapToGrid w:val="0"/>
        <w:spacing w:beforeLines="50"/>
        <w:ind w:firstLine="480" w:firstLineChars="200"/>
        <w:rPr>
          <w:rFonts w:ascii="宋体" w:hAnsi="宋体"/>
          <w:sz w:val="24"/>
          <w:szCs w:val="20"/>
          <w:highlight w:val="none"/>
          <w:u w:val="single"/>
        </w:rPr>
      </w:pPr>
      <w:r>
        <w:rPr>
          <w:rFonts w:hint="eastAsia" w:ascii="宋体" w:hAnsi="宋体"/>
          <w:sz w:val="24"/>
          <w:szCs w:val="20"/>
          <w:highlight w:val="none"/>
          <w:u w:val="single"/>
        </w:rPr>
        <w:t>（如有，请如实说明）　　　　　　　　　　　　　　　　　　　　　</w:t>
      </w:r>
    </w:p>
    <w:p>
      <w:pPr>
        <w:snapToGrid w:val="0"/>
        <w:spacing w:beforeLines="50"/>
        <w:ind w:firstLine="480" w:firstLineChars="200"/>
        <w:rPr>
          <w:rFonts w:ascii="宋体" w:hAnsi="宋体"/>
          <w:sz w:val="24"/>
          <w:szCs w:val="20"/>
          <w:highlight w:val="none"/>
        </w:rPr>
      </w:pPr>
      <w:r>
        <w:rPr>
          <w:rFonts w:hint="eastAsia" w:ascii="宋体" w:hAnsi="宋体"/>
          <w:sz w:val="24"/>
          <w:szCs w:val="20"/>
          <w:highlight w:val="none"/>
          <w:u w:val="single"/>
        </w:rPr>
        <w:t>　　　　　　　　　　　　　　　　　　　　　　　　　　　</w:t>
      </w:r>
    </w:p>
    <w:p>
      <w:pPr>
        <w:snapToGrid w:val="0"/>
        <w:ind w:firstLine="464" w:firstLineChars="200"/>
        <w:rPr>
          <w:rFonts w:ascii="宋体" w:hAnsi="宋体"/>
          <w:spacing w:val="-4"/>
          <w:sz w:val="24"/>
          <w:szCs w:val="20"/>
          <w:highlight w:val="none"/>
        </w:rPr>
      </w:pPr>
      <w:r>
        <w:rPr>
          <w:rFonts w:hint="eastAsia" w:ascii="宋体" w:hAnsi="宋体"/>
          <w:spacing w:val="-4"/>
          <w:sz w:val="24"/>
          <w:szCs w:val="20"/>
          <w:highlight w:val="none"/>
        </w:rPr>
        <w:t>6.我方及由本人担任法定代表人的其他机构</w:t>
      </w:r>
      <w:r>
        <w:rPr>
          <w:rFonts w:ascii="宋体" w:hAnsi="宋体"/>
          <w:spacing w:val="-4"/>
          <w:sz w:val="24"/>
          <w:szCs w:val="20"/>
          <w:highlight w:val="none"/>
        </w:rPr>
        <w:t>最近三年内被</w:t>
      </w:r>
      <w:r>
        <w:rPr>
          <w:rFonts w:hint="eastAsia" w:ascii="宋体" w:hAnsi="宋体"/>
          <w:spacing w:val="-4"/>
          <w:sz w:val="24"/>
          <w:szCs w:val="20"/>
          <w:highlight w:val="none"/>
        </w:rPr>
        <w:t>通报或者被处罚的</w:t>
      </w:r>
      <w:r>
        <w:rPr>
          <w:rFonts w:ascii="宋体" w:hAnsi="宋体"/>
          <w:spacing w:val="-4"/>
          <w:sz w:val="24"/>
          <w:szCs w:val="20"/>
          <w:highlight w:val="none"/>
        </w:rPr>
        <w:t>违法行为有：</w:t>
      </w:r>
    </w:p>
    <w:p>
      <w:pPr>
        <w:snapToGrid w:val="0"/>
        <w:spacing w:beforeLines="50"/>
        <w:ind w:firstLine="480" w:firstLineChars="200"/>
        <w:rPr>
          <w:rFonts w:ascii="宋体" w:hAnsi="宋体"/>
          <w:sz w:val="24"/>
          <w:szCs w:val="20"/>
          <w:highlight w:val="none"/>
          <w:u w:val="single"/>
        </w:rPr>
      </w:pPr>
      <w:r>
        <w:rPr>
          <w:rFonts w:hint="eastAsia" w:ascii="宋体" w:hAnsi="宋体"/>
          <w:sz w:val="24"/>
          <w:szCs w:val="20"/>
          <w:highlight w:val="none"/>
          <w:u w:val="single"/>
        </w:rPr>
        <w:t>（如有，请如实说明）　　　　　　　　　　　　　　　　　　</w:t>
      </w:r>
    </w:p>
    <w:p>
      <w:pPr>
        <w:snapToGrid w:val="0"/>
        <w:spacing w:beforeLines="50"/>
        <w:ind w:firstLine="480" w:firstLineChars="200"/>
        <w:rPr>
          <w:rFonts w:ascii="宋体" w:hAnsi="宋体"/>
          <w:sz w:val="24"/>
          <w:szCs w:val="20"/>
          <w:highlight w:val="none"/>
          <w:u w:val="single"/>
        </w:rPr>
      </w:pPr>
      <w:r>
        <w:rPr>
          <w:rFonts w:hint="eastAsia" w:ascii="宋体" w:hAnsi="宋体"/>
          <w:sz w:val="24"/>
          <w:szCs w:val="20"/>
          <w:highlight w:val="none"/>
          <w:u w:val="single"/>
        </w:rPr>
        <w:t>　　　　　　　　　　　　　　　　　　　　　　　　　　　</w:t>
      </w:r>
    </w:p>
    <w:p>
      <w:pPr>
        <w:snapToGrid w:val="0"/>
        <w:ind w:firstLine="480" w:firstLineChars="200"/>
        <w:rPr>
          <w:rFonts w:ascii="宋体" w:hAnsi="宋体"/>
          <w:sz w:val="24"/>
          <w:szCs w:val="20"/>
          <w:highlight w:val="none"/>
        </w:rPr>
      </w:pPr>
      <w:r>
        <w:rPr>
          <w:rFonts w:hint="eastAsia" w:ascii="宋体" w:hAnsi="宋体"/>
          <w:sz w:val="24"/>
          <w:szCs w:val="20"/>
          <w:highlight w:val="none"/>
        </w:rPr>
        <w:t>7.以上事项如有虚假或隐瞒，我方愿意承担一切后果，并不再寻求任何旨在减轻或免除法律责任的辩解。</w:t>
      </w:r>
    </w:p>
    <w:p>
      <w:pPr>
        <w:tabs>
          <w:tab w:val="left" w:pos="939"/>
        </w:tabs>
        <w:snapToGrid w:val="0"/>
        <w:ind w:left="773" w:leftChars="150" w:hanging="458" w:hangingChars="191"/>
        <w:rPr>
          <w:rFonts w:ascii="宋体" w:hAnsi="宋体"/>
          <w:sz w:val="24"/>
          <w:highlight w:val="none"/>
        </w:rPr>
      </w:pPr>
    </w:p>
    <w:p>
      <w:pPr>
        <w:snapToGrid w:val="0"/>
        <w:spacing w:beforeLines="50"/>
        <w:ind w:firstLine="200"/>
        <w:rPr>
          <w:rFonts w:ascii="宋体" w:hAnsi="宋体"/>
          <w:sz w:val="24"/>
          <w:szCs w:val="20"/>
          <w:highlight w:val="none"/>
        </w:rPr>
      </w:pPr>
    </w:p>
    <w:p>
      <w:pPr>
        <w:snapToGrid w:val="0"/>
        <w:spacing w:beforeLines="50"/>
        <w:ind w:firstLine="200"/>
        <w:rPr>
          <w:rFonts w:ascii="宋体" w:hAnsi="宋体"/>
          <w:sz w:val="24"/>
          <w:szCs w:val="20"/>
          <w:highlight w:val="none"/>
          <w:u w:val="single"/>
        </w:rPr>
      </w:pPr>
      <w:r>
        <w:rPr>
          <w:rFonts w:hint="eastAsia" w:ascii="宋体" w:hAnsi="宋体"/>
          <w:sz w:val="24"/>
          <w:szCs w:val="20"/>
          <w:highlight w:val="none"/>
        </w:rPr>
        <w:t>法定代表人签字或盖章：</w:t>
      </w:r>
    </w:p>
    <w:p>
      <w:pPr>
        <w:snapToGrid w:val="0"/>
        <w:spacing w:beforeLines="50" w:after="50"/>
        <w:ind w:firstLine="240" w:firstLineChars="100"/>
        <w:rPr>
          <w:rFonts w:ascii="宋体" w:hAnsi="宋体"/>
          <w:sz w:val="24"/>
          <w:szCs w:val="20"/>
          <w:highlight w:val="none"/>
        </w:rPr>
      </w:pPr>
      <w:r>
        <w:rPr>
          <w:rFonts w:hint="eastAsia" w:ascii="宋体" w:hAnsi="宋体"/>
          <w:sz w:val="24"/>
          <w:szCs w:val="20"/>
          <w:highlight w:val="none"/>
        </w:rPr>
        <w:t>投标人公章：</w:t>
      </w:r>
    </w:p>
    <w:p>
      <w:pPr>
        <w:snapToGrid w:val="0"/>
        <w:spacing w:beforeLines="50" w:after="50"/>
        <w:ind w:firstLine="240" w:firstLineChars="100"/>
        <w:rPr>
          <w:rFonts w:ascii="宋体" w:hAnsi="宋体"/>
          <w:sz w:val="24"/>
          <w:szCs w:val="20"/>
          <w:highlight w:val="none"/>
        </w:rPr>
      </w:pPr>
      <w:r>
        <w:rPr>
          <w:rFonts w:hint="eastAsia" w:ascii="宋体" w:hAnsi="宋体"/>
          <w:sz w:val="24"/>
          <w:szCs w:val="20"/>
          <w:highlight w:val="none"/>
        </w:rPr>
        <w:t xml:space="preserve">日期： </w:t>
      </w:r>
      <w:r>
        <w:rPr>
          <w:rFonts w:ascii="宋体" w:hAnsi="宋体"/>
          <w:sz w:val="24"/>
          <w:szCs w:val="20"/>
          <w:highlight w:val="none"/>
        </w:rPr>
        <w:t>年月日</w:t>
      </w:r>
    </w:p>
    <w:p>
      <w:pPr>
        <w:snapToGrid w:val="0"/>
        <w:spacing w:beforeLines="50" w:after="50"/>
        <w:rPr>
          <w:rFonts w:ascii="宋体" w:hAnsi="宋体"/>
          <w:szCs w:val="20"/>
          <w:highlight w:val="none"/>
        </w:rPr>
      </w:pPr>
    </w:p>
    <w:p>
      <w:pPr>
        <w:spacing w:after="120" w:line="360" w:lineRule="auto"/>
        <w:rPr>
          <w:rFonts w:ascii="宋体" w:hAnsi="宋体"/>
          <w:b/>
          <w:sz w:val="24"/>
          <w:highlight w:val="none"/>
        </w:rPr>
      </w:pPr>
      <w:r>
        <w:rPr>
          <w:rFonts w:hint="eastAsia" w:ascii="宋体" w:hAnsi="宋体"/>
          <w:b/>
          <w:sz w:val="24"/>
          <w:highlight w:val="none"/>
        </w:rPr>
        <w:t>注：投标声明书格式不得随意变更且内容如实填写完整，否则将可能导致投标文件无效。</w:t>
      </w:r>
    </w:p>
    <w:p>
      <w:pPr>
        <w:spacing w:after="120" w:line="360" w:lineRule="auto"/>
        <w:rPr>
          <w:rFonts w:ascii="宋体" w:hAnsi="宋体"/>
          <w:sz w:val="24"/>
          <w:szCs w:val="20"/>
          <w:highlight w:val="none"/>
        </w:rPr>
      </w:pPr>
    </w:p>
    <w:p>
      <w:pPr>
        <w:snapToGrid w:val="0"/>
        <w:spacing w:beforeLines="50" w:after="50"/>
        <w:jc w:val="center"/>
        <w:rPr>
          <w:rFonts w:ascii="宋体" w:hAnsi="宋体"/>
          <w:sz w:val="24"/>
          <w:szCs w:val="20"/>
          <w:highlight w:val="none"/>
        </w:rPr>
        <w:sectPr>
          <w:headerReference r:id="rId5" w:type="first"/>
          <w:headerReference r:id="rId3" w:type="default"/>
          <w:footerReference r:id="rId6" w:type="default"/>
          <w:headerReference r:id="rId4" w:type="even"/>
          <w:footerReference r:id="rId7" w:type="even"/>
          <w:pgSz w:w="11906" w:h="16838"/>
          <w:pgMar w:top="1474" w:right="1797" w:bottom="1247" w:left="1797" w:header="851" w:footer="851" w:gutter="0"/>
          <w:pgNumType w:start="0"/>
          <w:cols w:space="720" w:num="1"/>
          <w:titlePg/>
          <w:docGrid w:linePitch="312" w:charSpace="0"/>
        </w:sectPr>
      </w:pPr>
    </w:p>
    <w:p>
      <w:pPr>
        <w:snapToGrid w:val="0"/>
        <w:spacing w:before="50" w:afterLines="50"/>
        <w:jc w:val="left"/>
        <w:rPr>
          <w:rFonts w:ascii="宋体" w:hAnsi="宋体"/>
          <w:b/>
          <w:sz w:val="28"/>
          <w:szCs w:val="28"/>
          <w:highlight w:val="none"/>
        </w:rPr>
      </w:pPr>
      <w:r>
        <w:rPr>
          <w:rFonts w:hint="eastAsia" w:ascii="宋体" w:hAnsi="宋体"/>
          <w:b/>
          <w:sz w:val="28"/>
          <w:szCs w:val="28"/>
          <w:highlight w:val="none"/>
        </w:rPr>
        <w:t>附件五：</w:t>
      </w:r>
    </w:p>
    <w:p>
      <w:pPr>
        <w:snapToGrid w:val="0"/>
        <w:spacing w:before="50" w:afterLines="50"/>
        <w:jc w:val="left"/>
        <w:rPr>
          <w:rFonts w:ascii="宋体" w:hAnsi="宋体"/>
          <w:sz w:val="24"/>
          <w:szCs w:val="20"/>
          <w:highlight w:val="none"/>
        </w:rPr>
      </w:pPr>
      <w:r>
        <w:rPr>
          <w:rFonts w:hint="eastAsia" w:ascii="宋体" w:hAnsi="宋体"/>
          <w:sz w:val="24"/>
          <w:szCs w:val="20"/>
          <w:highlight w:val="none"/>
        </w:rPr>
        <w:t>投标方的类似成功案例的业绩证明文件：</w:t>
      </w:r>
    </w:p>
    <w:p>
      <w:pPr>
        <w:snapToGrid w:val="0"/>
        <w:ind w:left="480" w:hanging="480" w:hangingChars="200"/>
        <w:rPr>
          <w:rFonts w:ascii="宋体" w:hAnsi="宋体"/>
          <w:sz w:val="24"/>
          <w:highlight w:val="none"/>
        </w:rPr>
      </w:pPr>
      <w:r>
        <w:rPr>
          <w:rFonts w:ascii="宋体" w:hAnsi="宋体"/>
          <w:sz w:val="24"/>
          <w:highlight w:val="none"/>
        </w:rPr>
        <w:t>投标方同类项目实施情况一览表格式：（投标方同类项目合同复印件、</w:t>
      </w:r>
      <w:r>
        <w:rPr>
          <w:rFonts w:hint="eastAsia" w:ascii="宋体" w:hAnsi="宋体"/>
          <w:sz w:val="24"/>
          <w:highlight w:val="none"/>
        </w:rPr>
        <w:t>业主</w:t>
      </w:r>
      <w:r>
        <w:rPr>
          <w:rFonts w:ascii="宋体" w:hAnsi="宋体"/>
          <w:sz w:val="24"/>
          <w:highlight w:val="none"/>
        </w:rPr>
        <w:t>验收报告、</w:t>
      </w:r>
      <w:r>
        <w:rPr>
          <w:rFonts w:hint="eastAsia" w:ascii="宋体" w:hAnsi="宋体"/>
          <w:sz w:val="24"/>
          <w:highlight w:val="none"/>
        </w:rPr>
        <w:t>业主</w:t>
      </w:r>
      <w:r>
        <w:rPr>
          <w:rFonts w:ascii="宋体" w:hAnsi="宋体"/>
          <w:sz w:val="24"/>
          <w:highlight w:val="none"/>
        </w:rPr>
        <w:t>评价意见</w:t>
      </w:r>
      <w:r>
        <w:rPr>
          <w:rFonts w:hint="eastAsia" w:ascii="宋体" w:hAnsi="宋体"/>
          <w:sz w:val="24"/>
          <w:highlight w:val="none"/>
        </w:rPr>
        <w:t>、资金结算单等</w:t>
      </w:r>
      <w:r>
        <w:rPr>
          <w:rFonts w:ascii="宋体" w:hAnsi="宋体"/>
          <w:sz w:val="24"/>
          <w:highlight w:val="none"/>
        </w:rPr>
        <w:t>格式自拟）</w:t>
      </w:r>
    </w:p>
    <w:tbl>
      <w:tblPr>
        <w:tblStyle w:val="48"/>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628"/>
        <w:gridCol w:w="3420"/>
        <w:gridCol w:w="1080"/>
        <w:gridCol w:w="1080"/>
        <w:gridCol w:w="1440"/>
        <w:gridCol w:w="720"/>
        <w:gridCol w:w="720"/>
        <w:gridCol w:w="72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宋体" w:hAnsi="宋体"/>
                <w:sz w:val="18"/>
                <w:szCs w:val="20"/>
                <w:highlight w:val="none"/>
              </w:rPr>
            </w:pPr>
            <w:r>
              <w:rPr>
                <w:rFonts w:hint="eastAsia" w:ascii="宋体" w:hAnsi="宋体"/>
                <w:sz w:val="18"/>
                <w:szCs w:val="20"/>
                <w:highlight w:val="none"/>
              </w:rPr>
              <w:t>采购单位名称</w:t>
            </w:r>
          </w:p>
        </w:tc>
        <w:tc>
          <w:tcPr>
            <w:tcW w:w="3420"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宋体" w:hAnsi="宋体"/>
                <w:sz w:val="18"/>
                <w:szCs w:val="20"/>
                <w:highlight w:val="none"/>
              </w:rPr>
            </w:pPr>
            <w:r>
              <w:rPr>
                <w:rFonts w:hint="eastAsia" w:ascii="宋体" w:hAnsi="宋体"/>
                <w:sz w:val="18"/>
                <w:szCs w:val="20"/>
                <w:highlight w:val="none"/>
              </w:rPr>
              <w:t>项目名称</w:t>
            </w: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宋体" w:hAnsi="宋体"/>
                <w:sz w:val="18"/>
                <w:szCs w:val="20"/>
                <w:highlight w:val="none"/>
              </w:rPr>
            </w:pPr>
            <w:r>
              <w:rPr>
                <w:rFonts w:hint="eastAsia" w:ascii="宋体" w:hAnsi="宋体"/>
                <w:sz w:val="18"/>
                <w:szCs w:val="20"/>
                <w:highlight w:val="none"/>
              </w:rPr>
              <w:t>采购</w:t>
            </w:r>
          </w:p>
          <w:p>
            <w:pPr>
              <w:snapToGrid w:val="0"/>
              <w:spacing w:line="240" w:lineRule="exact"/>
              <w:jc w:val="center"/>
              <w:rPr>
                <w:rFonts w:ascii="宋体" w:hAnsi="宋体"/>
                <w:sz w:val="18"/>
                <w:szCs w:val="20"/>
                <w:highlight w:val="none"/>
              </w:rPr>
            </w:pPr>
            <w:r>
              <w:rPr>
                <w:rFonts w:hint="eastAsia" w:ascii="宋体" w:hAnsi="宋体"/>
                <w:sz w:val="18"/>
                <w:szCs w:val="20"/>
                <w:highlight w:val="none"/>
              </w:rPr>
              <w:t>数量</w:t>
            </w: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宋体" w:hAnsi="宋体"/>
                <w:sz w:val="18"/>
                <w:szCs w:val="20"/>
                <w:highlight w:val="none"/>
              </w:rPr>
            </w:pPr>
            <w:r>
              <w:rPr>
                <w:rFonts w:hint="eastAsia" w:ascii="宋体" w:hAnsi="宋体"/>
                <w:sz w:val="18"/>
                <w:szCs w:val="20"/>
                <w:highlight w:val="none"/>
              </w:rPr>
              <w:t>单价</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宋体" w:hAnsi="宋体"/>
                <w:sz w:val="18"/>
                <w:szCs w:val="20"/>
                <w:highlight w:val="none"/>
              </w:rPr>
            </w:pPr>
            <w:r>
              <w:rPr>
                <w:rFonts w:hint="eastAsia" w:ascii="宋体" w:hAnsi="宋体"/>
                <w:sz w:val="18"/>
                <w:szCs w:val="20"/>
                <w:highlight w:val="none"/>
              </w:rPr>
              <w:t>合同</w:t>
            </w:r>
          </w:p>
          <w:p>
            <w:pPr>
              <w:snapToGrid w:val="0"/>
              <w:spacing w:line="240" w:lineRule="exact"/>
              <w:jc w:val="center"/>
              <w:rPr>
                <w:rFonts w:ascii="宋体" w:hAnsi="宋体"/>
                <w:sz w:val="18"/>
                <w:szCs w:val="20"/>
                <w:highlight w:val="none"/>
              </w:rPr>
            </w:pPr>
            <w:r>
              <w:rPr>
                <w:rFonts w:hint="eastAsia" w:ascii="宋体" w:hAnsi="宋体"/>
                <w:sz w:val="18"/>
                <w:szCs w:val="20"/>
                <w:highlight w:val="none"/>
              </w:rPr>
              <w:t>金额</w:t>
            </w:r>
          </w:p>
          <w:p>
            <w:pPr>
              <w:snapToGrid w:val="0"/>
              <w:spacing w:line="240" w:lineRule="exact"/>
              <w:jc w:val="center"/>
              <w:rPr>
                <w:rFonts w:ascii="宋体" w:hAnsi="宋体"/>
                <w:sz w:val="18"/>
                <w:szCs w:val="20"/>
                <w:highlight w:val="none"/>
              </w:rPr>
            </w:pPr>
            <w:r>
              <w:rPr>
                <w:rFonts w:hint="eastAsia" w:ascii="宋体" w:hAnsi="宋体"/>
                <w:sz w:val="18"/>
                <w:szCs w:val="20"/>
                <w:highlight w:val="none"/>
              </w:rPr>
              <w:t>（万元）</w:t>
            </w:r>
          </w:p>
        </w:tc>
        <w:tc>
          <w:tcPr>
            <w:tcW w:w="2160" w:type="dxa"/>
            <w:gridSpan w:val="3"/>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宋体" w:hAnsi="宋体"/>
                <w:sz w:val="18"/>
                <w:szCs w:val="20"/>
                <w:highlight w:val="none"/>
              </w:rPr>
            </w:pPr>
            <w:r>
              <w:rPr>
                <w:rFonts w:hint="eastAsia" w:ascii="宋体" w:hAnsi="宋体"/>
                <w:sz w:val="18"/>
                <w:szCs w:val="20"/>
                <w:highlight w:val="none"/>
              </w:rPr>
              <w:t>附件页码</w:t>
            </w:r>
          </w:p>
        </w:tc>
        <w:tc>
          <w:tcPr>
            <w:tcW w:w="2160"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宋体" w:hAnsi="宋体"/>
                <w:sz w:val="18"/>
                <w:szCs w:val="20"/>
                <w:highlight w:val="none"/>
              </w:rPr>
            </w:pPr>
            <w:r>
              <w:rPr>
                <w:rFonts w:hint="eastAsia" w:ascii="宋体" w:hAnsi="宋体"/>
                <w:sz w:val="18"/>
                <w:szCs w:val="20"/>
                <w:highlight w:val="none"/>
              </w:rPr>
              <w:t>采购单位联系人及</w:t>
            </w:r>
          </w:p>
          <w:p>
            <w:pPr>
              <w:snapToGrid w:val="0"/>
              <w:spacing w:line="240" w:lineRule="exact"/>
              <w:jc w:val="center"/>
              <w:rPr>
                <w:rFonts w:ascii="宋体" w:hAnsi="宋体"/>
                <w:sz w:val="18"/>
                <w:szCs w:val="20"/>
                <w:highlight w:val="none"/>
              </w:rPr>
            </w:pPr>
            <w:r>
              <w:rPr>
                <w:rFonts w:hint="eastAsia" w:ascii="宋体" w:hAnsi="宋体"/>
                <w:sz w:val="18"/>
                <w:szCs w:val="20"/>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sz w:val="18"/>
                <w:szCs w:val="20"/>
                <w:highlight w:val="none"/>
              </w:rPr>
            </w:pPr>
          </w:p>
        </w:tc>
        <w:tc>
          <w:tcPr>
            <w:tcW w:w="342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sz w:val="18"/>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sz w:val="18"/>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sz w:val="18"/>
                <w:szCs w:val="20"/>
                <w:highlight w:val="none"/>
              </w:rPr>
            </w:pPr>
          </w:p>
        </w:tc>
        <w:tc>
          <w:tcPr>
            <w:tcW w:w="144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sz w:val="18"/>
                <w:szCs w:val="20"/>
                <w:highlight w:val="none"/>
              </w:rPr>
            </w:pPr>
          </w:p>
        </w:tc>
        <w:tc>
          <w:tcPr>
            <w:tcW w:w="720"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宋体" w:hAnsi="宋体"/>
                <w:sz w:val="18"/>
                <w:szCs w:val="20"/>
                <w:highlight w:val="none"/>
              </w:rPr>
            </w:pPr>
            <w:r>
              <w:rPr>
                <w:rFonts w:hint="eastAsia" w:ascii="宋体" w:hAnsi="宋体"/>
                <w:sz w:val="18"/>
                <w:szCs w:val="20"/>
                <w:highlight w:val="none"/>
              </w:rPr>
              <w:t>合同</w:t>
            </w:r>
          </w:p>
        </w:tc>
        <w:tc>
          <w:tcPr>
            <w:tcW w:w="720"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宋体" w:hAnsi="宋体"/>
                <w:sz w:val="18"/>
                <w:szCs w:val="20"/>
                <w:highlight w:val="none"/>
              </w:rPr>
            </w:pPr>
            <w:r>
              <w:rPr>
                <w:rFonts w:hint="eastAsia" w:ascii="宋体" w:hAnsi="宋体"/>
                <w:sz w:val="18"/>
                <w:szCs w:val="20"/>
                <w:highlight w:val="none"/>
              </w:rPr>
              <w:t>验收报告</w:t>
            </w:r>
          </w:p>
        </w:tc>
        <w:tc>
          <w:tcPr>
            <w:tcW w:w="720" w:type="dxa"/>
            <w:tcBorders>
              <w:top w:val="single" w:color="auto" w:sz="4" w:space="0"/>
              <w:left w:val="single" w:color="auto" w:sz="4" w:space="0"/>
              <w:bottom w:val="single" w:color="auto" w:sz="4" w:space="0"/>
              <w:right w:val="single" w:color="auto" w:sz="4" w:space="0"/>
            </w:tcBorders>
            <w:noWrap/>
            <w:vAlign w:val="center"/>
          </w:tcPr>
          <w:p>
            <w:pPr>
              <w:snapToGrid w:val="0"/>
              <w:spacing w:line="240" w:lineRule="exact"/>
              <w:jc w:val="center"/>
              <w:rPr>
                <w:rFonts w:ascii="宋体" w:hAnsi="宋体"/>
                <w:sz w:val="18"/>
                <w:szCs w:val="20"/>
                <w:highlight w:val="none"/>
              </w:rPr>
            </w:pPr>
            <w:r>
              <w:rPr>
                <w:rFonts w:hint="eastAsia" w:ascii="宋体" w:hAnsi="宋体"/>
                <w:sz w:val="18"/>
                <w:szCs w:val="20"/>
                <w:highlight w:val="none"/>
              </w:rPr>
              <w:t>用户评价</w:t>
            </w:r>
          </w:p>
        </w:tc>
        <w:tc>
          <w:tcPr>
            <w:tcW w:w="216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sz w:val="18"/>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sz w:val="18"/>
                <w:szCs w:val="20"/>
                <w:highlight w:val="none"/>
              </w:rPr>
            </w:pPr>
          </w:p>
        </w:tc>
        <w:tc>
          <w:tcPr>
            <w:tcW w:w="3420"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sz w:val="18"/>
                <w:szCs w:val="20"/>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sz w:val="18"/>
                <w:szCs w:val="20"/>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sz w:val="18"/>
                <w:szCs w:val="20"/>
                <w:highlight w:val="none"/>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sz w:val="18"/>
                <w:szCs w:val="20"/>
                <w:highlight w:val="none"/>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sz w:val="18"/>
                <w:szCs w:val="20"/>
                <w:highlight w:val="none"/>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sz w:val="18"/>
                <w:szCs w:val="20"/>
                <w:highlight w:val="none"/>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sz w:val="18"/>
                <w:szCs w:val="20"/>
                <w:highlight w:val="none"/>
              </w:rPr>
            </w:pPr>
          </w:p>
        </w:tc>
        <w:tc>
          <w:tcPr>
            <w:tcW w:w="2160" w:type="dxa"/>
            <w:tcBorders>
              <w:top w:val="single" w:color="auto" w:sz="4" w:space="0"/>
              <w:left w:val="single" w:color="auto" w:sz="4" w:space="0"/>
              <w:bottom w:val="single" w:color="auto" w:sz="4" w:space="0"/>
              <w:right w:val="single" w:color="auto" w:sz="4" w:space="0"/>
            </w:tcBorders>
            <w:noWrap/>
          </w:tcPr>
          <w:p>
            <w:pPr>
              <w:snapToGrid w:val="0"/>
              <w:spacing w:line="240" w:lineRule="exact"/>
              <w:jc w:val="left"/>
              <w:rPr>
                <w:rFonts w:ascii="宋体" w:hAnsi="宋体"/>
                <w:sz w:val="18"/>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c>
          <w:tcPr>
            <w:tcW w:w="144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c>
          <w:tcPr>
            <w:tcW w:w="72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r>
    </w:tbl>
    <w:p>
      <w:pPr>
        <w:snapToGrid w:val="0"/>
        <w:spacing w:before="152" w:after="160"/>
        <w:rPr>
          <w:rFonts w:ascii="宋体" w:hAnsi="宋体" w:cs="Arial"/>
          <w:sz w:val="24"/>
          <w:szCs w:val="20"/>
          <w:highlight w:val="none"/>
        </w:rPr>
      </w:pPr>
    </w:p>
    <w:p>
      <w:pPr>
        <w:snapToGrid w:val="0"/>
        <w:spacing w:before="50"/>
        <w:ind w:firstLine="480" w:firstLineChars="200"/>
        <w:jc w:val="left"/>
        <w:rPr>
          <w:rFonts w:ascii="宋体" w:hAnsi="宋体"/>
          <w:sz w:val="24"/>
          <w:szCs w:val="20"/>
          <w:highlight w:val="none"/>
        </w:rPr>
      </w:pPr>
      <w:r>
        <w:rPr>
          <w:rFonts w:hint="eastAsia" w:ascii="宋体" w:hAnsi="宋体"/>
          <w:sz w:val="24"/>
          <w:szCs w:val="20"/>
          <w:highlight w:val="none"/>
        </w:rPr>
        <w:t>投标方公章：</w:t>
      </w:r>
    </w:p>
    <w:p>
      <w:pPr>
        <w:snapToGrid w:val="0"/>
        <w:spacing w:before="50"/>
        <w:ind w:firstLine="480" w:firstLineChars="200"/>
        <w:jc w:val="left"/>
        <w:rPr>
          <w:rFonts w:ascii="宋体" w:hAnsi="宋体"/>
          <w:sz w:val="24"/>
          <w:szCs w:val="20"/>
          <w:highlight w:val="none"/>
        </w:rPr>
      </w:pPr>
      <w:r>
        <w:rPr>
          <w:rFonts w:hint="eastAsia" w:ascii="宋体" w:hAnsi="宋体"/>
          <w:sz w:val="24"/>
          <w:szCs w:val="20"/>
          <w:highlight w:val="none"/>
        </w:rPr>
        <w:t>日期：  年  月  日</w:t>
      </w:r>
    </w:p>
    <w:p>
      <w:pPr>
        <w:snapToGrid w:val="0"/>
        <w:spacing w:before="50"/>
        <w:ind w:firstLine="480" w:firstLineChars="200"/>
        <w:jc w:val="left"/>
        <w:rPr>
          <w:rFonts w:ascii="宋体" w:hAnsi="宋体"/>
          <w:sz w:val="24"/>
          <w:szCs w:val="20"/>
          <w:highlight w:val="none"/>
        </w:rPr>
      </w:pPr>
    </w:p>
    <w:p>
      <w:pPr>
        <w:snapToGrid w:val="0"/>
        <w:spacing w:before="50" w:afterLines="50"/>
        <w:jc w:val="left"/>
        <w:rPr>
          <w:rFonts w:ascii="宋体" w:hAnsi="宋体"/>
          <w:sz w:val="24"/>
          <w:szCs w:val="20"/>
          <w:highlight w:val="none"/>
        </w:rPr>
        <w:sectPr>
          <w:pgSz w:w="16838" w:h="11906" w:orient="landscape"/>
          <w:pgMar w:top="1797" w:right="1474" w:bottom="1797" w:left="1247" w:header="851" w:footer="851" w:gutter="0"/>
          <w:cols w:space="720" w:num="1"/>
          <w:docGrid w:linePitch="312" w:charSpace="0"/>
        </w:sectPr>
      </w:pPr>
    </w:p>
    <w:p>
      <w:pPr>
        <w:spacing w:line="400" w:lineRule="exact"/>
        <w:rPr>
          <w:rFonts w:ascii="宋体" w:hAnsi="宋体"/>
          <w:b/>
          <w:sz w:val="30"/>
          <w:szCs w:val="30"/>
          <w:highlight w:val="none"/>
        </w:rPr>
      </w:pPr>
      <w:r>
        <w:rPr>
          <w:rFonts w:hint="eastAsia" w:ascii="宋体" w:hAnsi="宋体"/>
          <w:b/>
          <w:sz w:val="30"/>
          <w:szCs w:val="30"/>
          <w:highlight w:val="none"/>
        </w:rPr>
        <w:t>附件六：</w:t>
      </w:r>
    </w:p>
    <w:p>
      <w:pPr>
        <w:spacing w:line="400" w:lineRule="exact"/>
        <w:rPr>
          <w:rFonts w:ascii="宋体" w:hAnsi="宋体"/>
          <w:sz w:val="24"/>
          <w:highlight w:val="none"/>
        </w:rPr>
      </w:pPr>
      <w:r>
        <w:rPr>
          <w:rFonts w:hint="eastAsia" w:ascii="宋体" w:hAnsi="宋体"/>
          <w:sz w:val="24"/>
          <w:szCs w:val="20"/>
          <w:highlight w:val="none"/>
        </w:rPr>
        <w:t>距采购人最近或者能为本项目提供最优服务的网点情况表</w:t>
      </w:r>
      <w:r>
        <w:rPr>
          <w:rFonts w:hint="eastAsia" w:ascii="宋体" w:hAnsi="宋体"/>
          <w:sz w:val="24"/>
          <w:highlight w:val="none"/>
        </w:rPr>
        <w:t>（如有本地售后服务点，须在投标文件中提供与售后服务点的协议原件）</w:t>
      </w:r>
    </w:p>
    <w:p>
      <w:pPr>
        <w:snapToGrid w:val="0"/>
        <w:ind w:left="480" w:hanging="480" w:hangingChars="200"/>
        <w:rPr>
          <w:rFonts w:ascii="宋体" w:hAnsi="宋体"/>
          <w:sz w:val="24"/>
          <w:highlight w:val="none"/>
        </w:rPr>
      </w:pPr>
    </w:p>
    <w:tbl>
      <w:tblPr>
        <w:tblStyle w:val="4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26"/>
        <w:gridCol w:w="1622"/>
        <w:gridCol w:w="191"/>
        <w:gridCol w:w="1439"/>
        <w:gridCol w:w="888"/>
        <w:gridCol w:w="1435"/>
        <w:gridCol w:w="12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r>
              <w:rPr>
                <w:rFonts w:hint="eastAsia" w:ascii="宋体" w:hAnsi="宋体"/>
                <w:sz w:val="24"/>
                <w:szCs w:val="20"/>
                <w:highlight w:val="none"/>
              </w:rPr>
              <w:t>服务网点名称</w:t>
            </w:r>
          </w:p>
        </w:tc>
        <w:tc>
          <w:tcPr>
            <w:tcW w:w="5575" w:type="dxa"/>
            <w:gridSpan w:val="5"/>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c>
          <w:tcPr>
            <w:tcW w:w="1227" w:type="dxa"/>
            <w:vMerge w:val="restart"/>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r>
              <w:rPr>
                <w:rFonts w:hint="eastAsia" w:ascii="宋体" w:hAnsi="宋体"/>
                <w:sz w:val="24"/>
                <w:szCs w:val="20"/>
                <w:highlight w:val="none"/>
              </w:rPr>
              <w:t>投标文件</w:t>
            </w:r>
          </w:p>
          <w:p>
            <w:pPr>
              <w:snapToGrid w:val="0"/>
              <w:spacing w:before="50" w:afterLines="50" w:line="400" w:lineRule="exact"/>
              <w:jc w:val="center"/>
              <w:rPr>
                <w:rFonts w:ascii="宋体" w:hAnsi="宋体"/>
                <w:sz w:val="24"/>
                <w:szCs w:val="20"/>
                <w:highlight w:val="none"/>
              </w:rPr>
            </w:pPr>
            <w:r>
              <w:rPr>
                <w:rFonts w:hint="eastAsia" w:ascii="宋体" w:hAnsi="宋体"/>
                <w:sz w:val="24"/>
                <w:szCs w:val="20"/>
                <w:highlight w:val="none"/>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r>
              <w:rPr>
                <w:rFonts w:hint="eastAsia" w:ascii="宋体" w:hAnsi="宋体"/>
                <w:sz w:val="24"/>
                <w:szCs w:val="20"/>
                <w:highlight w:val="none"/>
              </w:rPr>
              <w:t>地址</w:t>
            </w:r>
          </w:p>
        </w:tc>
        <w:tc>
          <w:tcPr>
            <w:tcW w:w="5575" w:type="dxa"/>
            <w:gridSpan w:val="5"/>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c>
          <w:tcPr>
            <w:tcW w:w="0" w:type="auto"/>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r>
              <w:rPr>
                <w:rFonts w:hint="eastAsia" w:ascii="宋体" w:hAnsi="宋体"/>
                <w:sz w:val="24"/>
                <w:szCs w:val="20"/>
                <w:highlight w:val="none"/>
              </w:rPr>
              <w:t>注册资本金</w:t>
            </w:r>
          </w:p>
        </w:tc>
        <w:tc>
          <w:tcPr>
            <w:tcW w:w="1622"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c>
          <w:tcPr>
            <w:tcW w:w="2518" w:type="dxa"/>
            <w:gridSpan w:val="3"/>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r>
              <w:rPr>
                <w:rFonts w:hint="eastAsia" w:ascii="宋体" w:hAnsi="宋体"/>
                <w:sz w:val="24"/>
                <w:szCs w:val="20"/>
                <w:highlight w:val="none"/>
              </w:rPr>
              <w:t>其中：投标方出资比例</w:t>
            </w:r>
          </w:p>
        </w:tc>
        <w:tc>
          <w:tcPr>
            <w:tcW w:w="1435"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r>
              <w:rPr>
                <w:rFonts w:hint="eastAsia" w:ascii="宋体" w:hAnsi="宋体"/>
                <w:sz w:val="24"/>
                <w:szCs w:val="20"/>
                <w:highlight w:val="none"/>
              </w:rPr>
              <w:t>员工总人数</w:t>
            </w:r>
          </w:p>
        </w:tc>
        <w:tc>
          <w:tcPr>
            <w:tcW w:w="1622"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c>
          <w:tcPr>
            <w:tcW w:w="2518" w:type="dxa"/>
            <w:gridSpan w:val="3"/>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ind w:left="60"/>
              <w:jc w:val="left"/>
              <w:rPr>
                <w:rFonts w:ascii="宋体" w:hAnsi="宋体"/>
                <w:sz w:val="24"/>
                <w:szCs w:val="20"/>
                <w:highlight w:val="none"/>
              </w:rPr>
            </w:pPr>
            <w:r>
              <w:rPr>
                <w:rFonts w:hint="eastAsia" w:ascii="宋体" w:hAnsi="宋体"/>
                <w:sz w:val="24"/>
                <w:szCs w:val="20"/>
                <w:highlight w:val="none"/>
              </w:rPr>
              <w:t>其中：技术人员数</w:t>
            </w:r>
          </w:p>
        </w:tc>
        <w:tc>
          <w:tcPr>
            <w:tcW w:w="1435"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r>
              <w:rPr>
                <w:rFonts w:hint="eastAsia" w:ascii="宋体" w:hAnsi="宋体"/>
                <w:sz w:val="24"/>
                <w:szCs w:val="20"/>
                <w:highlight w:val="none"/>
              </w:rPr>
              <w:t>经营期限</w:t>
            </w:r>
          </w:p>
        </w:tc>
        <w:tc>
          <w:tcPr>
            <w:tcW w:w="5575" w:type="dxa"/>
            <w:gridSpan w:val="5"/>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r>
              <w:rPr>
                <w:rFonts w:hint="eastAsia" w:ascii="宋体" w:hAnsi="宋体"/>
                <w:sz w:val="24"/>
                <w:szCs w:val="20"/>
                <w:highlight w:val="none"/>
              </w:rPr>
              <w:t>售后服务协议</w:t>
            </w:r>
          </w:p>
        </w:tc>
        <w:tc>
          <w:tcPr>
            <w:tcW w:w="5575" w:type="dxa"/>
            <w:gridSpan w:val="5"/>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r>
              <w:rPr>
                <w:rFonts w:hint="eastAsia" w:ascii="宋体" w:hAnsi="宋体"/>
                <w:sz w:val="24"/>
                <w:szCs w:val="20"/>
                <w:highlight w:val="none"/>
              </w:rPr>
              <w:t>售后服务内容</w:t>
            </w:r>
          </w:p>
        </w:tc>
        <w:tc>
          <w:tcPr>
            <w:tcW w:w="5575" w:type="dxa"/>
            <w:gridSpan w:val="5"/>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r>
              <w:rPr>
                <w:rFonts w:hint="eastAsia" w:ascii="宋体" w:hAnsi="宋体"/>
                <w:sz w:val="24"/>
                <w:szCs w:val="20"/>
                <w:highlight w:val="none"/>
              </w:rPr>
              <w:t>工作业绩</w:t>
            </w:r>
          </w:p>
        </w:tc>
        <w:tc>
          <w:tcPr>
            <w:tcW w:w="5575" w:type="dxa"/>
            <w:gridSpan w:val="5"/>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r>
              <w:rPr>
                <w:rFonts w:hint="eastAsia" w:ascii="宋体" w:hAnsi="宋体"/>
                <w:sz w:val="24"/>
                <w:szCs w:val="20"/>
                <w:highlight w:val="none"/>
              </w:rPr>
              <w:t>服务承诺</w:t>
            </w:r>
          </w:p>
        </w:tc>
        <w:tc>
          <w:tcPr>
            <w:tcW w:w="5575" w:type="dxa"/>
            <w:gridSpan w:val="5"/>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r>
              <w:rPr>
                <w:rFonts w:hint="eastAsia" w:ascii="宋体" w:hAnsi="宋体"/>
                <w:sz w:val="24"/>
                <w:szCs w:val="20"/>
                <w:highlight w:val="none"/>
              </w:rPr>
              <w:t>业务咨询电话</w:t>
            </w:r>
          </w:p>
        </w:tc>
        <w:tc>
          <w:tcPr>
            <w:tcW w:w="1813" w:type="dxa"/>
            <w:gridSpan w:val="2"/>
            <w:tcBorders>
              <w:top w:val="single" w:color="auto" w:sz="4" w:space="0"/>
              <w:left w:val="single" w:color="auto" w:sz="4" w:space="0"/>
              <w:bottom w:val="single" w:color="auto" w:sz="4" w:space="0"/>
              <w:right w:val="single" w:color="auto" w:sz="2" w:space="0"/>
            </w:tcBorders>
            <w:noWrap/>
          </w:tcPr>
          <w:p>
            <w:pPr>
              <w:snapToGrid w:val="0"/>
              <w:spacing w:before="50" w:afterLines="50" w:line="400" w:lineRule="exact"/>
              <w:jc w:val="left"/>
              <w:rPr>
                <w:rFonts w:ascii="宋体" w:hAnsi="宋体"/>
                <w:sz w:val="24"/>
                <w:szCs w:val="20"/>
                <w:highlight w:val="none"/>
              </w:rPr>
            </w:pPr>
          </w:p>
        </w:tc>
        <w:tc>
          <w:tcPr>
            <w:tcW w:w="1439" w:type="dxa"/>
            <w:tcBorders>
              <w:top w:val="single" w:color="auto" w:sz="4" w:space="0"/>
              <w:left w:val="single" w:color="auto" w:sz="2" w:space="0"/>
              <w:bottom w:val="single" w:color="auto" w:sz="4" w:space="0"/>
              <w:right w:val="single" w:color="auto" w:sz="2" w:space="0"/>
            </w:tcBorders>
            <w:noWrap/>
          </w:tcPr>
          <w:p>
            <w:pPr>
              <w:snapToGrid w:val="0"/>
              <w:spacing w:before="50" w:afterLines="50" w:line="400" w:lineRule="exact"/>
              <w:ind w:firstLine="240" w:firstLineChars="100"/>
              <w:jc w:val="left"/>
              <w:rPr>
                <w:rFonts w:ascii="宋体" w:hAnsi="宋体"/>
                <w:sz w:val="24"/>
                <w:szCs w:val="20"/>
                <w:highlight w:val="none"/>
              </w:rPr>
            </w:pPr>
            <w:r>
              <w:rPr>
                <w:rFonts w:hint="eastAsia" w:ascii="宋体" w:hAnsi="宋体"/>
                <w:sz w:val="24"/>
                <w:szCs w:val="20"/>
                <w:highlight w:val="none"/>
              </w:rPr>
              <w:t>传</w:t>
            </w:r>
            <w:r>
              <w:rPr>
                <w:rFonts w:ascii="宋体" w:hAnsi="宋体"/>
                <w:sz w:val="24"/>
                <w:szCs w:val="20"/>
                <w:highlight w:val="none"/>
              </w:rPr>
              <w:t>真</w:t>
            </w:r>
          </w:p>
        </w:tc>
        <w:tc>
          <w:tcPr>
            <w:tcW w:w="2323" w:type="dxa"/>
            <w:gridSpan w:val="2"/>
            <w:tcBorders>
              <w:top w:val="single" w:color="auto" w:sz="4" w:space="0"/>
              <w:left w:val="single" w:color="auto" w:sz="2" w:space="0"/>
              <w:bottom w:val="single" w:color="auto" w:sz="4" w:space="0"/>
              <w:right w:val="single" w:color="auto" w:sz="2" w:space="0"/>
            </w:tcBorders>
            <w:noWrap/>
          </w:tcPr>
          <w:p>
            <w:pPr>
              <w:snapToGrid w:val="0"/>
              <w:spacing w:before="50" w:afterLines="50" w:line="400" w:lineRule="exact"/>
              <w:jc w:val="left"/>
              <w:rPr>
                <w:rFonts w:ascii="宋体" w:hAnsi="宋体"/>
                <w:sz w:val="24"/>
                <w:szCs w:val="20"/>
                <w:highlight w:val="none"/>
              </w:rPr>
            </w:pPr>
          </w:p>
        </w:tc>
        <w:tc>
          <w:tcPr>
            <w:tcW w:w="1227" w:type="dxa"/>
            <w:tcBorders>
              <w:top w:val="single" w:color="auto" w:sz="4" w:space="0"/>
              <w:left w:val="single" w:color="auto" w:sz="2"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r>
              <w:rPr>
                <w:rFonts w:hint="eastAsia" w:ascii="宋体" w:hAnsi="宋体"/>
                <w:sz w:val="24"/>
                <w:szCs w:val="20"/>
                <w:highlight w:val="none"/>
              </w:rPr>
              <w:t>负责人</w:t>
            </w:r>
          </w:p>
        </w:tc>
        <w:tc>
          <w:tcPr>
            <w:tcW w:w="1813" w:type="dxa"/>
            <w:gridSpan w:val="2"/>
            <w:tcBorders>
              <w:top w:val="single" w:color="auto" w:sz="4" w:space="0"/>
              <w:left w:val="single" w:color="auto" w:sz="4" w:space="0"/>
              <w:bottom w:val="single" w:color="auto" w:sz="4" w:space="0"/>
              <w:right w:val="single" w:color="auto" w:sz="2" w:space="0"/>
            </w:tcBorders>
            <w:noWrap/>
          </w:tcPr>
          <w:p>
            <w:pPr>
              <w:snapToGrid w:val="0"/>
              <w:spacing w:before="50" w:afterLines="50" w:line="400" w:lineRule="exact"/>
              <w:jc w:val="left"/>
              <w:rPr>
                <w:rFonts w:ascii="宋体" w:hAnsi="宋体"/>
                <w:sz w:val="24"/>
                <w:szCs w:val="20"/>
                <w:highlight w:val="none"/>
              </w:rPr>
            </w:pPr>
          </w:p>
        </w:tc>
        <w:tc>
          <w:tcPr>
            <w:tcW w:w="1439" w:type="dxa"/>
            <w:tcBorders>
              <w:top w:val="single" w:color="auto" w:sz="4" w:space="0"/>
              <w:left w:val="single" w:color="auto" w:sz="2" w:space="0"/>
              <w:bottom w:val="single" w:color="auto" w:sz="4" w:space="0"/>
              <w:right w:val="single" w:color="auto" w:sz="2" w:space="0"/>
            </w:tcBorders>
            <w:noWrap/>
          </w:tcPr>
          <w:p>
            <w:pPr>
              <w:snapToGrid w:val="0"/>
              <w:spacing w:before="50" w:afterLines="50" w:line="400" w:lineRule="exact"/>
              <w:jc w:val="left"/>
              <w:rPr>
                <w:rFonts w:ascii="宋体" w:hAnsi="宋体"/>
                <w:sz w:val="24"/>
                <w:szCs w:val="20"/>
                <w:highlight w:val="none"/>
              </w:rPr>
            </w:pPr>
            <w:r>
              <w:rPr>
                <w:rFonts w:hint="eastAsia" w:ascii="宋体" w:hAnsi="宋体"/>
                <w:sz w:val="24"/>
                <w:szCs w:val="20"/>
                <w:highlight w:val="none"/>
              </w:rPr>
              <w:t>联系电话</w:t>
            </w:r>
          </w:p>
        </w:tc>
        <w:tc>
          <w:tcPr>
            <w:tcW w:w="2323" w:type="dxa"/>
            <w:gridSpan w:val="2"/>
            <w:tcBorders>
              <w:top w:val="single" w:color="auto" w:sz="4" w:space="0"/>
              <w:left w:val="single" w:color="auto" w:sz="2"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noWrap/>
          </w:tcPr>
          <w:p>
            <w:pPr>
              <w:snapToGrid w:val="0"/>
              <w:spacing w:before="50" w:afterLines="50" w:line="400" w:lineRule="exact"/>
              <w:jc w:val="left"/>
              <w:rPr>
                <w:rFonts w:ascii="宋体" w:hAnsi="宋体"/>
                <w:sz w:val="24"/>
                <w:szCs w:val="20"/>
                <w:highlight w:val="none"/>
              </w:rPr>
            </w:pPr>
          </w:p>
        </w:tc>
      </w:tr>
    </w:tbl>
    <w:p>
      <w:pPr>
        <w:snapToGrid w:val="0"/>
        <w:spacing w:after="120"/>
        <w:rPr>
          <w:rFonts w:ascii="宋体" w:hAnsi="宋体"/>
          <w:sz w:val="24"/>
          <w:szCs w:val="20"/>
          <w:highlight w:val="none"/>
        </w:rPr>
      </w:pPr>
    </w:p>
    <w:p>
      <w:pPr>
        <w:snapToGrid w:val="0"/>
        <w:spacing w:after="120"/>
        <w:rPr>
          <w:rFonts w:ascii="宋体" w:hAnsi="宋体"/>
          <w:sz w:val="24"/>
          <w:highlight w:val="none"/>
        </w:rPr>
      </w:pPr>
    </w:p>
    <w:p>
      <w:pPr>
        <w:snapToGrid w:val="0"/>
        <w:spacing w:after="120"/>
        <w:rPr>
          <w:rFonts w:ascii="宋体" w:hAnsi="宋体"/>
          <w:sz w:val="24"/>
          <w:highlight w:val="none"/>
        </w:rPr>
      </w:pPr>
      <w:r>
        <w:rPr>
          <w:rFonts w:hint="eastAsia" w:ascii="宋体" w:hAnsi="宋体"/>
          <w:sz w:val="24"/>
          <w:highlight w:val="none"/>
        </w:rPr>
        <w:t>投标方公章：　年  月　日</w:t>
      </w:r>
    </w:p>
    <w:p>
      <w:pPr>
        <w:snapToGrid w:val="0"/>
        <w:spacing w:before="50" w:afterLines="50"/>
        <w:jc w:val="left"/>
        <w:rPr>
          <w:rFonts w:ascii="宋体" w:hAnsi="宋体"/>
          <w:sz w:val="24"/>
          <w:szCs w:val="20"/>
          <w:highlight w:val="none"/>
        </w:rPr>
      </w:pPr>
    </w:p>
    <w:p>
      <w:pPr>
        <w:snapToGrid w:val="0"/>
        <w:spacing w:before="50"/>
        <w:ind w:firstLine="480" w:firstLineChars="200"/>
        <w:jc w:val="left"/>
        <w:rPr>
          <w:rFonts w:ascii="宋体" w:hAnsi="宋体"/>
          <w:sz w:val="24"/>
          <w:szCs w:val="20"/>
          <w:highlight w:val="none"/>
        </w:rPr>
      </w:pPr>
    </w:p>
    <w:p>
      <w:pPr>
        <w:widowControl/>
        <w:jc w:val="left"/>
        <w:rPr>
          <w:rFonts w:ascii="宋体" w:hAnsi="宋体"/>
          <w:sz w:val="24"/>
          <w:szCs w:val="20"/>
          <w:highlight w:val="none"/>
        </w:rPr>
      </w:pPr>
    </w:p>
    <w:p>
      <w:pPr>
        <w:widowControl/>
        <w:jc w:val="left"/>
        <w:rPr>
          <w:rFonts w:ascii="宋体" w:hAnsi="宋体"/>
          <w:sz w:val="24"/>
          <w:szCs w:val="20"/>
          <w:highlight w:val="none"/>
        </w:rPr>
      </w:pPr>
    </w:p>
    <w:p>
      <w:pPr>
        <w:widowControl/>
        <w:jc w:val="left"/>
        <w:rPr>
          <w:rFonts w:ascii="宋体" w:hAnsi="宋体"/>
          <w:sz w:val="24"/>
          <w:szCs w:val="20"/>
          <w:highlight w:val="none"/>
        </w:rPr>
      </w:pPr>
    </w:p>
    <w:p>
      <w:pPr>
        <w:widowControl/>
        <w:jc w:val="left"/>
        <w:rPr>
          <w:rFonts w:ascii="宋体" w:hAnsi="宋体"/>
          <w:sz w:val="24"/>
          <w:szCs w:val="20"/>
          <w:highlight w:val="none"/>
        </w:rPr>
      </w:pPr>
    </w:p>
    <w:p>
      <w:pPr>
        <w:widowControl/>
        <w:jc w:val="left"/>
        <w:rPr>
          <w:rFonts w:ascii="宋体" w:hAnsi="宋体"/>
          <w:sz w:val="24"/>
          <w:szCs w:val="20"/>
          <w:highlight w:val="none"/>
        </w:rPr>
      </w:pPr>
    </w:p>
    <w:p>
      <w:pPr>
        <w:widowControl/>
        <w:jc w:val="left"/>
        <w:rPr>
          <w:rFonts w:ascii="宋体" w:hAnsi="宋体"/>
          <w:sz w:val="24"/>
          <w:szCs w:val="20"/>
          <w:highlight w:val="none"/>
        </w:rPr>
      </w:pPr>
    </w:p>
    <w:p>
      <w:pPr>
        <w:widowControl/>
        <w:jc w:val="left"/>
        <w:rPr>
          <w:rFonts w:ascii="宋体" w:hAnsi="宋体"/>
          <w:sz w:val="24"/>
          <w:szCs w:val="20"/>
          <w:highlight w:val="none"/>
        </w:rPr>
      </w:pPr>
    </w:p>
    <w:p>
      <w:pPr>
        <w:widowControl/>
        <w:jc w:val="left"/>
        <w:rPr>
          <w:rFonts w:ascii="宋体" w:hAnsi="宋体"/>
          <w:sz w:val="24"/>
          <w:szCs w:val="20"/>
          <w:highlight w:val="none"/>
        </w:rPr>
      </w:pPr>
    </w:p>
    <w:p>
      <w:pPr>
        <w:widowControl/>
        <w:jc w:val="left"/>
        <w:rPr>
          <w:rFonts w:ascii="宋体" w:hAnsi="宋体"/>
          <w:sz w:val="24"/>
          <w:szCs w:val="20"/>
          <w:highlight w:val="none"/>
        </w:rPr>
      </w:pPr>
    </w:p>
    <w:p>
      <w:pPr>
        <w:widowControl/>
        <w:jc w:val="left"/>
        <w:rPr>
          <w:rFonts w:ascii="宋体" w:hAnsi="宋体"/>
          <w:sz w:val="24"/>
          <w:szCs w:val="20"/>
          <w:highlight w:val="none"/>
        </w:rPr>
      </w:pPr>
    </w:p>
    <w:p>
      <w:pPr>
        <w:widowControl/>
        <w:jc w:val="left"/>
        <w:rPr>
          <w:rFonts w:ascii="宋体" w:hAnsi="宋体"/>
          <w:sz w:val="24"/>
          <w:szCs w:val="20"/>
          <w:highlight w:val="none"/>
        </w:rPr>
      </w:pPr>
    </w:p>
    <w:p>
      <w:pPr>
        <w:widowControl/>
        <w:jc w:val="left"/>
        <w:rPr>
          <w:rFonts w:ascii="宋体" w:hAnsi="宋体"/>
          <w:sz w:val="24"/>
          <w:szCs w:val="20"/>
          <w:highlight w:val="none"/>
        </w:rPr>
      </w:pPr>
    </w:p>
    <w:p>
      <w:pPr>
        <w:widowControl/>
        <w:jc w:val="left"/>
        <w:rPr>
          <w:rFonts w:ascii="宋体" w:hAnsi="宋体"/>
          <w:sz w:val="24"/>
          <w:szCs w:val="20"/>
          <w:highlight w:val="none"/>
        </w:rPr>
      </w:pPr>
    </w:p>
    <w:p>
      <w:pPr>
        <w:snapToGrid w:val="0"/>
        <w:spacing w:before="50" w:afterLines="50"/>
        <w:jc w:val="left"/>
        <w:rPr>
          <w:rFonts w:ascii="宋体" w:hAnsi="宋体"/>
          <w:b/>
          <w:sz w:val="30"/>
          <w:szCs w:val="30"/>
          <w:highlight w:val="none"/>
        </w:rPr>
      </w:pPr>
      <w:r>
        <w:rPr>
          <w:rFonts w:hint="eastAsia" w:ascii="宋体" w:hAnsi="宋体"/>
          <w:b/>
          <w:sz w:val="30"/>
          <w:szCs w:val="30"/>
          <w:highlight w:val="none"/>
        </w:rPr>
        <w:t>附件七 ：</w:t>
      </w:r>
    </w:p>
    <w:p>
      <w:pPr>
        <w:snapToGrid w:val="0"/>
        <w:spacing w:before="50" w:afterLines="50"/>
        <w:jc w:val="left"/>
        <w:rPr>
          <w:rFonts w:ascii="宋体" w:hAnsi="宋体"/>
          <w:sz w:val="24"/>
          <w:szCs w:val="20"/>
          <w:highlight w:val="none"/>
        </w:rPr>
      </w:pPr>
      <w:r>
        <w:rPr>
          <w:rFonts w:hint="eastAsia" w:ascii="宋体" w:hAnsi="宋体"/>
          <w:sz w:val="24"/>
          <w:szCs w:val="20"/>
          <w:highlight w:val="none"/>
        </w:rPr>
        <w:t>详细服务项目清单格式：（仅供参考）</w:t>
      </w:r>
    </w:p>
    <w:tbl>
      <w:tblPr>
        <w:tblStyle w:val="48"/>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2120"/>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highlight w:val="none"/>
              </w:rPr>
            </w:pPr>
            <w:r>
              <w:rPr>
                <w:rFonts w:hint="eastAsia" w:ascii="宋体" w:hAnsi="宋体"/>
                <w:sz w:val="24"/>
                <w:szCs w:val="2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highlight w:val="none"/>
              </w:rPr>
            </w:pPr>
            <w:r>
              <w:rPr>
                <w:rFonts w:hint="eastAsia" w:ascii="宋体" w:hAnsi="宋体"/>
                <w:sz w:val="24"/>
                <w:szCs w:val="20"/>
                <w:highlight w:val="none"/>
              </w:rPr>
              <w:t>项目名称</w:t>
            </w:r>
          </w:p>
        </w:tc>
        <w:tc>
          <w:tcPr>
            <w:tcW w:w="21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highlight w:val="none"/>
              </w:rPr>
            </w:pPr>
            <w:r>
              <w:rPr>
                <w:rFonts w:hint="eastAsia" w:ascii="宋体" w:hAnsi="宋体"/>
                <w:sz w:val="24"/>
                <w:szCs w:val="20"/>
                <w:highlight w:val="none"/>
              </w:rPr>
              <w:t>服务（验收）标准</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highlight w:val="none"/>
              </w:rPr>
            </w:pPr>
            <w:r>
              <w:rPr>
                <w:rFonts w:hint="eastAsia" w:ascii="宋体" w:hAnsi="宋体"/>
                <w:sz w:val="24"/>
                <w:szCs w:val="20"/>
                <w:highlight w:val="none"/>
              </w:rPr>
              <w:t>单位及数量</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highlight w:val="none"/>
              </w:rPr>
            </w:pPr>
            <w:r>
              <w:rPr>
                <w:rFonts w:hint="eastAsia" w:ascii="宋体" w:hAnsi="宋体"/>
                <w:sz w:val="24"/>
                <w:szCs w:val="2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highlight w:val="none"/>
              </w:rPr>
            </w:pPr>
            <w:r>
              <w:rPr>
                <w:rFonts w:hint="eastAsia" w:ascii="宋体" w:hAnsi="宋体"/>
                <w:sz w:val="24"/>
                <w:szCs w:val="20"/>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highlight w:val="none"/>
              </w:rPr>
            </w:pPr>
          </w:p>
          <w:p>
            <w:pPr>
              <w:snapToGrid w:val="0"/>
              <w:spacing w:before="50" w:after="50"/>
              <w:jc w:val="center"/>
              <w:rPr>
                <w:rFonts w:ascii="宋体" w:hAnsi="宋体"/>
                <w:sz w:val="24"/>
                <w:szCs w:val="20"/>
                <w:highlight w:val="none"/>
              </w:rPr>
            </w:pPr>
          </w:p>
        </w:tc>
        <w:tc>
          <w:tcPr>
            <w:tcW w:w="21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highlight w:val="none"/>
              </w:rPr>
            </w:pPr>
          </w:p>
        </w:tc>
        <w:tc>
          <w:tcPr>
            <w:tcW w:w="21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highlight w:val="none"/>
              </w:rPr>
            </w:pPr>
          </w:p>
        </w:tc>
        <w:tc>
          <w:tcPr>
            <w:tcW w:w="21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highlight w:val="none"/>
              </w:rPr>
            </w:pPr>
          </w:p>
        </w:tc>
        <w:tc>
          <w:tcPr>
            <w:tcW w:w="21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highlight w:val="none"/>
              </w:rPr>
            </w:pPr>
          </w:p>
        </w:tc>
        <w:tc>
          <w:tcPr>
            <w:tcW w:w="1080" w:type="dxa"/>
            <w:tcBorders>
              <w:top w:val="single" w:color="auto" w:sz="4" w:space="0"/>
              <w:left w:val="single" w:color="auto" w:sz="4" w:space="0"/>
              <w:bottom w:val="nil"/>
              <w:right w:val="single" w:color="auto" w:sz="4" w:space="0"/>
            </w:tcBorders>
            <w:noWrap/>
            <w:vAlign w:val="center"/>
          </w:tcPr>
          <w:p>
            <w:pPr>
              <w:snapToGrid w:val="0"/>
              <w:spacing w:before="50" w:after="50"/>
              <w:jc w:val="center"/>
              <w:rPr>
                <w:rFonts w:ascii="宋体" w:hAnsi="宋体"/>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highlight w:val="none"/>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highlight w:val="none"/>
              </w:rPr>
            </w:pPr>
          </w:p>
        </w:tc>
        <w:tc>
          <w:tcPr>
            <w:tcW w:w="212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jc w:val="center"/>
              <w:rPr>
                <w:rFonts w:ascii="宋体" w:hAnsi="宋体"/>
                <w:sz w:val="24"/>
                <w:szCs w:val="20"/>
                <w:highlight w:val="none"/>
              </w:rPr>
            </w:pPr>
          </w:p>
        </w:tc>
      </w:tr>
    </w:tbl>
    <w:p>
      <w:pPr>
        <w:snapToGrid w:val="0"/>
        <w:spacing w:before="50" w:after="50"/>
        <w:rPr>
          <w:rFonts w:ascii="宋体" w:hAnsi="宋体"/>
          <w:sz w:val="24"/>
          <w:szCs w:val="20"/>
          <w:highlight w:val="none"/>
        </w:rPr>
      </w:pPr>
    </w:p>
    <w:p>
      <w:pPr>
        <w:snapToGrid w:val="0"/>
        <w:spacing w:before="50" w:after="50"/>
        <w:rPr>
          <w:rFonts w:ascii="宋体" w:hAnsi="宋体"/>
          <w:spacing w:val="20"/>
          <w:sz w:val="24"/>
          <w:szCs w:val="20"/>
          <w:highlight w:val="none"/>
        </w:rPr>
      </w:pPr>
    </w:p>
    <w:p>
      <w:pPr>
        <w:snapToGrid w:val="0"/>
        <w:spacing w:before="50" w:after="50"/>
        <w:rPr>
          <w:rFonts w:ascii="宋体" w:hAnsi="宋体"/>
          <w:sz w:val="24"/>
          <w:szCs w:val="20"/>
          <w:highlight w:val="none"/>
        </w:rPr>
      </w:pPr>
      <w:r>
        <w:rPr>
          <w:rFonts w:hint="eastAsia" w:ascii="宋体" w:hAnsi="宋体"/>
          <w:spacing w:val="20"/>
          <w:sz w:val="24"/>
          <w:szCs w:val="20"/>
          <w:highlight w:val="none"/>
        </w:rPr>
        <w:t>投标方盖章：                  日期：</w:t>
      </w:r>
    </w:p>
    <w:p>
      <w:pPr>
        <w:snapToGrid w:val="0"/>
        <w:spacing w:before="50" w:afterLines="50"/>
        <w:jc w:val="left"/>
        <w:rPr>
          <w:rFonts w:ascii="宋体" w:hAnsi="宋体"/>
          <w:sz w:val="24"/>
          <w:szCs w:val="20"/>
          <w:highlight w:val="none"/>
        </w:rPr>
      </w:pPr>
    </w:p>
    <w:p>
      <w:pPr>
        <w:snapToGrid w:val="0"/>
        <w:spacing w:before="50" w:afterLines="50"/>
        <w:jc w:val="left"/>
        <w:rPr>
          <w:rFonts w:ascii="宋体" w:hAnsi="宋体"/>
          <w:sz w:val="24"/>
          <w:szCs w:val="20"/>
          <w:highlight w:val="none"/>
        </w:rPr>
      </w:pPr>
    </w:p>
    <w:p>
      <w:pPr>
        <w:snapToGrid w:val="0"/>
        <w:spacing w:before="50" w:afterLines="50"/>
        <w:jc w:val="left"/>
        <w:rPr>
          <w:rFonts w:ascii="宋体" w:hAnsi="宋体"/>
          <w:sz w:val="24"/>
          <w:szCs w:val="20"/>
          <w:highlight w:val="none"/>
        </w:rPr>
      </w:pPr>
    </w:p>
    <w:p>
      <w:pPr>
        <w:snapToGrid w:val="0"/>
        <w:spacing w:before="50" w:afterLines="50"/>
        <w:jc w:val="left"/>
        <w:rPr>
          <w:rFonts w:ascii="宋体" w:hAnsi="宋体"/>
          <w:sz w:val="24"/>
          <w:szCs w:val="20"/>
          <w:highlight w:val="none"/>
        </w:rPr>
      </w:pPr>
    </w:p>
    <w:p>
      <w:pPr>
        <w:snapToGrid w:val="0"/>
        <w:spacing w:before="50" w:afterLines="50"/>
        <w:jc w:val="left"/>
        <w:rPr>
          <w:rFonts w:ascii="宋体" w:hAnsi="宋体"/>
          <w:sz w:val="24"/>
          <w:szCs w:val="20"/>
          <w:highlight w:val="none"/>
        </w:rPr>
      </w:pPr>
    </w:p>
    <w:p>
      <w:pPr>
        <w:snapToGrid w:val="0"/>
        <w:spacing w:before="50" w:afterLines="50"/>
        <w:jc w:val="left"/>
        <w:rPr>
          <w:rFonts w:ascii="宋体" w:hAnsi="宋体"/>
          <w:sz w:val="24"/>
          <w:szCs w:val="20"/>
          <w:highlight w:val="none"/>
        </w:rPr>
      </w:pPr>
    </w:p>
    <w:p>
      <w:pPr>
        <w:snapToGrid w:val="0"/>
        <w:spacing w:before="50" w:afterLines="50"/>
        <w:jc w:val="left"/>
        <w:rPr>
          <w:rFonts w:ascii="宋体" w:hAnsi="宋体"/>
          <w:sz w:val="24"/>
          <w:szCs w:val="20"/>
          <w:highlight w:val="none"/>
        </w:rPr>
      </w:pPr>
    </w:p>
    <w:p>
      <w:pPr>
        <w:snapToGrid w:val="0"/>
        <w:spacing w:before="50" w:afterLines="50"/>
        <w:jc w:val="left"/>
        <w:rPr>
          <w:rFonts w:ascii="宋体" w:hAnsi="宋体"/>
          <w:sz w:val="24"/>
          <w:szCs w:val="20"/>
          <w:highlight w:val="none"/>
        </w:rPr>
      </w:pPr>
    </w:p>
    <w:p>
      <w:pPr>
        <w:snapToGrid w:val="0"/>
        <w:spacing w:before="50" w:afterLines="50"/>
        <w:jc w:val="left"/>
        <w:rPr>
          <w:rFonts w:ascii="宋体" w:hAnsi="宋体"/>
          <w:sz w:val="24"/>
          <w:szCs w:val="20"/>
          <w:highlight w:val="none"/>
        </w:rPr>
      </w:pPr>
    </w:p>
    <w:p>
      <w:pPr>
        <w:snapToGrid w:val="0"/>
        <w:spacing w:before="50" w:afterLines="50"/>
        <w:jc w:val="left"/>
        <w:rPr>
          <w:rFonts w:ascii="宋体" w:hAnsi="宋体"/>
          <w:sz w:val="24"/>
          <w:szCs w:val="20"/>
          <w:highlight w:val="none"/>
        </w:rPr>
      </w:pPr>
    </w:p>
    <w:p>
      <w:pPr>
        <w:snapToGrid w:val="0"/>
        <w:spacing w:before="50" w:afterLines="50"/>
        <w:jc w:val="left"/>
        <w:rPr>
          <w:rFonts w:ascii="宋体" w:hAnsi="宋体"/>
          <w:sz w:val="24"/>
          <w:szCs w:val="20"/>
          <w:highlight w:val="none"/>
        </w:rPr>
      </w:pPr>
    </w:p>
    <w:p>
      <w:pPr>
        <w:snapToGrid w:val="0"/>
        <w:spacing w:before="50" w:afterLines="50"/>
        <w:jc w:val="left"/>
        <w:rPr>
          <w:rFonts w:ascii="宋体" w:hAnsi="宋体"/>
          <w:sz w:val="24"/>
          <w:szCs w:val="20"/>
          <w:highlight w:val="none"/>
        </w:rPr>
      </w:pPr>
    </w:p>
    <w:p>
      <w:pPr>
        <w:widowControl/>
        <w:jc w:val="left"/>
        <w:rPr>
          <w:rFonts w:ascii="宋体" w:hAnsi="宋体"/>
          <w:sz w:val="24"/>
          <w:szCs w:val="20"/>
          <w:highlight w:val="none"/>
        </w:rPr>
      </w:pPr>
    </w:p>
    <w:p>
      <w:pPr>
        <w:widowControl/>
        <w:jc w:val="left"/>
        <w:rPr>
          <w:rFonts w:ascii="宋体" w:hAnsi="宋体"/>
          <w:sz w:val="24"/>
          <w:szCs w:val="20"/>
          <w:highlight w:val="none"/>
        </w:rPr>
      </w:pPr>
    </w:p>
    <w:p>
      <w:pPr>
        <w:widowControl/>
        <w:jc w:val="left"/>
        <w:rPr>
          <w:rFonts w:ascii="宋体" w:hAnsi="宋体"/>
          <w:sz w:val="24"/>
          <w:szCs w:val="20"/>
          <w:highlight w:val="none"/>
        </w:rPr>
      </w:pPr>
    </w:p>
    <w:p>
      <w:pPr>
        <w:snapToGrid w:val="0"/>
        <w:rPr>
          <w:rFonts w:ascii="宋体" w:hAnsi="宋体"/>
          <w:b/>
          <w:sz w:val="30"/>
          <w:szCs w:val="30"/>
          <w:highlight w:val="none"/>
        </w:rPr>
      </w:pPr>
      <w:r>
        <w:rPr>
          <w:rFonts w:hint="eastAsia" w:ascii="宋体" w:hAnsi="宋体"/>
          <w:b/>
          <w:sz w:val="30"/>
          <w:szCs w:val="30"/>
          <w:highlight w:val="none"/>
        </w:rPr>
        <w:t>附件八：</w:t>
      </w:r>
    </w:p>
    <w:p>
      <w:pPr>
        <w:snapToGrid w:val="0"/>
        <w:jc w:val="center"/>
        <w:outlineLvl w:val="0"/>
        <w:rPr>
          <w:rFonts w:ascii="宋体" w:hAnsi="宋体"/>
          <w:b/>
          <w:sz w:val="30"/>
          <w:szCs w:val="30"/>
          <w:highlight w:val="none"/>
        </w:rPr>
      </w:pPr>
      <w:r>
        <w:rPr>
          <w:rFonts w:hint="eastAsia" w:ascii="宋体" w:hAnsi="宋体"/>
          <w:b/>
          <w:sz w:val="30"/>
          <w:szCs w:val="30"/>
          <w:highlight w:val="none"/>
        </w:rPr>
        <w:t>针对本项目的相关服务承诺一览表（偏离表）</w:t>
      </w:r>
    </w:p>
    <w:p>
      <w:pPr>
        <w:snapToGrid w:val="0"/>
        <w:outlineLvl w:val="0"/>
        <w:rPr>
          <w:rFonts w:ascii="宋体" w:hAnsi="宋体"/>
          <w:sz w:val="24"/>
          <w:szCs w:val="21"/>
          <w:highlight w:val="none"/>
        </w:rPr>
      </w:pPr>
      <w:r>
        <w:rPr>
          <w:rFonts w:hint="eastAsia" w:ascii="宋体" w:hAnsi="宋体"/>
          <w:sz w:val="24"/>
          <w:szCs w:val="21"/>
          <w:highlight w:val="none"/>
        </w:rPr>
        <w:t xml:space="preserve">投标人全称（加盖公章）：                        </w:t>
      </w:r>
      <w:r>
        <w:rPr>
          <w:rFonts w:ascii="宋体" w:hAnsi="宋体"/>
          <w:sz w:val="24"/>
          <w:szCs w:val="21"/>
          <w:highlight w:val="none"/>
        </w:rPr>
        <w:t>采购文件编号：</w:t>
      </w:r>
    </w:p>
    <w:tbl>
      <w:tblPr>
        <w:tblStyle w:val="4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2160"/>
        <w:gridCol w:w="1980"/>
        <w:gridCol w:w="18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ign w:val="center"/>
          </w:tcPr>
          <w:p>
            <w:pPr>
              <w:snapToGrid w:val="0"/>
              <w:outlineLvl w:val="0"/>
              <w:rPr>
                <w:rFonts w:ascii="宋体" w:hAnsi="宋体"/>
                <w:sz w:val="24"/>
                <w:szCs w:val="21"/>
                <w:highlight w:val="none"/>
              </w:rPr>
            </w:pPr>
            <w:r>
              <w:rPr>
                <w:rFonts w:hint="eastAsia" w:ascii="宋体" w:hAnsi="宋体"/>
                <w:sz w:val="24"/>
                <w:szCs w:val="21"/>
                <w:highlight w:val="none"/>
              </w:rPr>
              <w:t>序号</w:t>
            </w:r>
          </w:p>
        </w:tc>
        <w:tc>
          <w:tcPr>
            <w:tcW w:w="2160" w:type="dxa"/>
            <w:noWrap/>
            <w:vAlign w:val="center"/>
          </w:tcPr>
          <w:p>
            <w:pPr>
              <w:snapToGrid w:val="0"/>
              <w:jc w:val="center"/>
              <w:outlineLvl w:val="0"/>
              <w:rPr>
                <w:rFonts w:ascii="宋体" w:hAnsi="宋体"/>
                <w:sz w:val="24"/>
                <w:szCs w:val="21"/>
                <w:highlight w:val="none"/>
              </w:rPr>
            </w:pPr>
            <w:r>
              <w:rPr>
                <w:rFonts w:hint="eastAsia" w:ascii="宋体" w:hAnsi="宋体"/>
                <w:sz w:val="24"/>
                <w:szCs w:val="21"/>
                <w:highlight w:val="none"/>
              </w:rPr>
              <w:t>采购文件要求</w:t>
            </w:r>
          </w:p>
          <w:p>
            <w:pPr>
              <w:snapToGrid w:val="0"/>
              <w:jc w:val="center"/>
              <w:outlineLvl w:val="0"/>
              <w:rPr>
                <w:rFonts w:ascii="宋体" w:hAnsi="宋体"/>
                <w:sz w:val="24"/>
                <w:szCs w:val="21"/>
                <w:highlight w:val="none"/>
              </w:rPr>
            </w:pPr>
            <w:r>
              <w:rPr>
                <w:rFonts w:hint="eastAsia" w:ascii="宋体" w:hAnsi="宋体"/>
                <w:sz w:val="24"/>
                <w:szCs w:val="21"/>
                <w:highlight w:val="none"/>
              </w:rPr>
              <w:t>技术指标</w:t>
            </w:r>
          </w:p>
        </w:tc>
        <w:tc>
          <w:tcPr>
            <w:tcW w:w="1980" w:type="dxa"/>
            <w:noWrap/>
            <w:vAlign w:val="center"/>
          </w:tcPr>
          <w:p>
            <w:pPr>
              <w:snapToGrid w:val="0"/>
              <w:jc w:val="center"/>
              <w:outlineLvl w:val="0"/>
              <w:rPr>
                <w:rFonts w:ascii="宋体" w:hAnsi="宋体"/>
                <w:sz w:val="24"/>
                <w:szCs w:val="21"/>
                <w:highlight w:val="none"/>
              </w:rPr>
            </w:pPr>
            <w:r>
              <w:rPr>
                <w:rFonts w:hint="eastAsia" w:ascii="宋体" w:hAnsi="宋体"/>
                <w:sz w:val="24"/>
                <w:szCs w:val="21"/>
                <w:highlight w:val="none"/>
              </w:rPr>
              <w:t>投标服务</w:t>
            </w:r>
          </w:p>
          <w:p>
            <w:pPr>
              <w:snapToGrid w:val="0"/>
              <w:jc w:val="center"/>
              <w:outlineLvl w:val="0"/>
              <w:rPr>
                <w:rFonts w:ascii="宋体" w:hAnsi="宋体"/>
                <w:sz w:val="24"/>
                <w:szCs w:val="21"/>
                <w:highlight w:val="none"/>
              </w:rPr>
            </w:pPr>
            <w:r>
              <w:rPr>
                <w:rFonts w:hint="eastAsia" w:ascii="宋体" w:hAnsi="宋体"/>
                <w:sz w:val="24"/>
                <w:szCs w:val="21"/>
                <w:highlight w:val="none"/>
              </w:rPr>
              <w:t>实际技术指标</w:t>
            </w:r>
          </w:p>
        </w:tc>
        <w:tc>
          <w:tcPr>
            <w:tcW w:w="1800" w:type="dxa"/>
            <w:noWrap/>
            <w:vAlign w:val="center"/>
          </w:tcPr>
          <w:p>
            <w:pPr>
              <w:snapToGrid w:val="0"/>
              <w:outlineLvl w:val="0"/>
              <w:rPr>
                <w:rFonts w:ascii="宋体" w:hAnsi="宋体"/>
                <w:sz w:val="24"/>
                <w:szCs w:val="21"/>
                <w:highlight w:val="none"/>
              </w:rPr>
            </w:pPr>
            <w:r>
              <w:rPr>
                <w:rFonts w:hint="eastAsia" w:ascii="宋体" w:hAnsi="宋体"/>
                <w:sz w:val="24"/>
                <w:szCs w:val="21"/>
                <w:highlight w:val="none"/>
              </w:rPr>
              <w:t>偏离情况</w:t>
            </w:r>
          </w:p>
        </w:tc>
        <w:tc>
          <w:tcPr>
            <w:tcW w:w="1620" w:type="dxa"/>
            <w:noWrap/>
            <w:vAlign w:val="center"/>
          </w:tcPr>
          <w:p>
            <w:pPr>
              <w:snapToGrid w:val="0"/>
              <w:outlineLvl w:val="0"/>
              <w:rPr>
                <w:rFonts w:ascii="宋体" w:hAnsi="宋体"/>
                <w:sz w:val="24"/>
                <w:szCs w:val="21"/>
                <w:highlight w:val="none"/>
              </w:rPr>
            </w:pPr>
            <w:r>
              <w:rPr>
                <w:rFonts w:hint="eastAsia" w:ascii="宋体" w:hAnsi="宋体"/>
                <w:sz w:val="24"/>
                <w:szCs w:val="21"/>
                <w:highlight w:val="none"/>
              </w:rPr>
              <w:t>偏离原因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snapToGrid w:val="0"/>
              <w:outlineLvl w:val="0"/>
              <w:rPr>
                <w:rFonts w:ascii="宋体" w:hAnsi="宋体"/>
                <w:sz w:val="24"/>
                <w:szCs w:val="21"/>
                <w:highlight w:val="none"/>
              </w:rPr>
            </w:pPr>
          </w:p>
        </w:tc>
        <w:tc>
          <w:tcPr>
            <w:tcW w:w="2160" w:type="dxa"/>
            <w:noWrap/>
          </w:tcPr>
          <w:p>
            <w:pPr>
              <w:snapToGrid w:val="0"/>
              <w:outlineLvl w:val="0"/>
              <w:rPr>
                <w:rFonts w:ascii="宋体" w:hAnsi="宋体"/>
                <w:sz w:val="24"/>
                <w:szCs w:val="21"/>
                <w:highlight w:val="none"/>
              </w:rPr>
            </w:pPr>
          </w:p>
        </w:tc>
        <w:tc>
          <w:tcPr>
            <w:tcW w:w="1980" w:type="dxa"/>
            <w:noWrap/>
          </w:tcPr>
          <w:p>
            <w:pPr>
              <w:snapToGrid w:val="0"/>
              <w:outlineLvl w:val="0"/>
              <w:rPr>
                <w:rFonts w:ascii="宋体" w:hAnsi="宋体"/>
                <w:sz w:val="24"/>
                <w:szCs w:val="21"/>
                <w:highlight w:val="none"/>
              </w:rPr>
            </w:pPr>
          </w:p>
        </w:tc>
        <w:tc>
          <w:tcPr>
            <w:tcW w:w="1800" w:type="dxa"/>
            <w:noWrap/>
          </w:tcPr>
          <w:p>
            <w:pPr>
              <w:snapToGrid w:val="0"/>
              <w:outlineLvl w:val="0"/>
              <w:rPr>
                <w:rFonts w:ascii="宋体" w:hAnsi="宋体"/>
                <w:sz w:val="24"/>
                <w:szCs w:val="21"/>
                <w:highlight w:val="none"/>
              </w:rPr>
            </w:pPr>
          </w:p>
        </w:tc>
        <w:tc>
          <w:tcPr>
            <w:tcW w:w="1620" w:type="dxa"/>
            <w:noWrap/>
          </w:tcPr>
          <w:p>
            <w:pPr>
              <w:snapToGrid w:val="0"/>
              <w:outlineLvl w:val="0"/>
              <w:rPr>
                <w:rFonts w:ascii="宋体" w:hAnsi="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snapToGrid w:val="0"/>
              <w:outlineLvl w:val="0"/>
              <w:rPr>
                <w:rFonts w:ascii="宋体" w:hAnsi="宋体"/>
                <w:sz w:val="24"/>
                <w:szCs w:val="21"/>
                <w:highlight w:val="none"/>
              </w:rPr>
            </w:pPr>
          </w:p>
        </w:tc>
        <w:tc>
          <w:tcPr>
            <w:tcW w:w="2160" w:type="dxa"/>
            <w:noWrap/>
          </w:tcPr>
          <w:p>
            <w:pPr>
              <w:snapToGrid w:val="0"/>
              <w:outlineLvl w:val="0"/>
              <w:rPr>
                <w:rFonts w:ascii="宋体" w:hAnsi="宋体"/>
                <w:sz w:val="24"/>
                <w:szCs w:val="21"/>
                <w:highlight w:val="none"/>
              </w:rPr>
            </w:pPr>
          </w:p>
        </w:tc>
        <w:tc>
          <w:tcPr>
            <w:tcW w:w="1980" w:type="dxa"/>
            <w:noWrap/>
          </w:tcPr>
          <w:p>
            <w:pPr>
              <w:snapToGrid w:val="0"/>
              <w:outlineLvl w:val="0"/>
              <w:rPr>
                <w:rFonts w:ascii="宋体" w:hAnsi="宋体"/>
                <w:sz w:val="24"/>
                <w:szCs w:val="21"/>
                <w:highlight w:val="none"/>
              </w:rPr>
            </w:pPr>
          </w:p>
        </w:tc>
        <w:tc>
          <w:tcPr>
            <w:tcW w:w="1800" w:type="dxa"/>
            <w:noWrap/>
          </w:tcPr>
          <w:p>
            <w:pPr>
              <w:snapToGrid w:val="0"/>
              <w:outlineLvl w:val="0"/>
              <w:rPr>
                <w:rFonts w:ascii="宋体" w:hAnsi="宋体"/>
                <w:sz w:val="24"/>
                <w:szCs w:val="21"/>
                <w:highlight w:val="none"/>
              </w:rPr>
            </w:pPr>
          </w:p>
        </w:tc>
        <w:tc>
          <w:tcPr>
            <w:tcW w:w="1620" w:type="dxa"/>
            <w:noWrap/>
          </w:tcPr>
          <w:p>
            <w:pPr>
              <w:snapToGrid w:val="0"/>
              <w:outlineLvl w:val="0"/>
              <w:rPr>
                <w:rFonts w:ascii="宋体" w:hAnsi="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snapToGrid w:val="0"/>
              <w:outlineLvl w:val="0"/>
              <w:rPr>
                <w:rFonts w:ascii="宋体" w:hAnsi="宋体"/>
                <w:sz w:val="24"/>
                <w:szCs w:val="21"/>
                <w:highlight w:val="none"/>
              </w:rPr>
            </w:pPr>
          </w:p>
        </w:tc>
        <w:tc>
          <w:tcPr>
            <w:tcW w:w="2160" w:type="dxa"/>
            <w:noWrap/>
          </w:tcPr>
          <w:p>
            <w:pPr>
              <w:snapToGrid w:val="0"/>
              <w:outlineLvl w:val="0"/>
              <w:rPr>
                <w:rFonts w:ascii="宋体" w:hAnsi="宋体"/>
                <w:sz w:val="24"/>
                <w:szCs w:val="21"/>
                <w:highlight w:val="none"/>
              </w:rPr>
            </w:pPr>
          </w:p>
        </w:tc>
        <w:tc>
          <w:tcPr>
            <w:tcW w:w="1980" w:type="dxa"/>
            <w:noWrap/>
          </w:tcPr>
          <w:p>
            <w:pPr>
              <w:snapToGrid w:val="0"/>
              <w:outlineLvl w:val="0"/>
              <w:rPr>
                <w:rFonts w:ascii="宋体" w:hAnsi="宋体"/>
                <w:sz w:val="24"/>
                <w:szCs w:val="21"/>
                <w:highlight w:val="none"/>
              </w:rPr>
            </w:pPr>
          </w:p>
        </w:tc>
        <w:tc>
          <w:tcPr>
            <w:tcW w:w="1800" w:type="dxa"/>
            <w:noWrap/>
          </w:tcPr>
          <w:p>
            <w:pPr>
              <w:snapToGrid w:val="0"/>
              <w:outlineLvl w:val="0"/>
              <w:rPr>
                <w:rFonts w:ascii="宋体" w:hAnsi="宋体"/>
                <w:sz w:val="24"/>
                <w:szCs w:val="21"/>
                <w:highlight w:val="none"/>
              </w:rPr>
            </w:pPr>
          </w:p>
        </w:tc>
        <w:tc>
          <w:tcPr>
            <w:tcW w:w="1620" w:type="dxa"/>
            <w:noWrap/>
          </w:tcPr>
          <w:p>
            <w:pPr>
              <w:snapToGrid w:val="0"/>
              <w:outlineLvl w:val="0"/>
              <w:rPr>
                <w:rFonts w:ascii="宋体" w:hAnsi="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snapToGrid w:val="0"/>
              <w:outlineLvl w:val="0"/>
              <w:rPr>
                <w:rFonts w:ascii="宋体" w:hAnsi="宋体"/>
                <w:sz w:val="24"/>
                <w:szCs w:val="21"/>
                <w:highlight w:val="none"/>
              </w:rPr>
            </w:pPr>
          </w:p>
        </w:tc>
        <w:tc>
          <w:tcPr>
            <w:tcW w:w="2160" w:type="dxa"/>
            <w:noWrap/>
          </w:tcPr>
          <w:p>
            <w:pPr>
              <w:snapToGrid w:val="0"/>
              <w:outlineLvl w:val="0"/>
              <w:rPr>
                <w:rFonts w:ascii="宋体" w:hAnsi="宋体"/>
                <w:sz w:val="24"/>
                <w:szCs w:val="21"/>
                <w:highlight w:val="none"/>
              </w:rPr>
            </w:pPr>
          </w:p>
        </w:tc>
        <w:tc>
          <w:tcPr>
            <w:tcW w:w="1980" w:type="dxa"/>
            <w:noWrap/>
          </w:tcPr>
          <w:p>
            <w:pPr>
              <w:snapToGrid w:val="0"/>
              <w:outlineLvl w:val="0"/>
              <w:rPr>
                <w:rFonts w:ascii="宋体" w:hAnsi="宋体"/>
                <w:sz w:val="24"/>
                <w:szCs w:val="21"/>
                <w:highlight w:val="none"/>
              </w:rPr>
            </w:pPr>
          </w:p>
        </w:tc>
        <w:tc>
          <w:tcPr>
            <w:tcW w:w="1800" w:type="dxa"/>
            <w:noWrap/>
          </w:tcPr>
          <w:p>
            <w:pPr>
              <w:snapToGrid w:val="0"/>
              <w:outlineLvl w:val="0"/>
              <w:rPr>
                <w:rFonts w:ascii="宋体" w:hAnsi="宋体"/>
                <w:sz w:val="24"/>
                <w:szCs w:val="21"/>
                <w:highlight w:val="none"/>
              </w:rPr>
            </w:pPr>
          </w:p>
        </w:tc>
        <w:tc>
          <w:tcPr>
            <w:tcW w:w="1620" w:type="dxa"/>
            <w:noWrap/>
          </w:tcPr>
          <w:p>
            <w:pPr>
              <w:snapToGrid w:val="0"/>
              <w:outlineLvl w:val="0"/>
              <w:rPr>
                <w:rFonts w:ascii="宋体" w:hAnsi="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snapToGrid w:val="0"/>
              <w:outlineLvl w:val="0"/>
              <w:rPr>
                <w:rFonts w:ascii="宋体" w:hAnsi="宋体"/>
                <w:sz w:val="24"/>
                <w:szCs w:val="21"/>
                <w:highlight w:val="none"/>
              </w:rPr>
            </w:pPr>
          </w:p>
        </w:tc>
        <w:tc>
          <w:tcPr>
            <w:tcW w:w="2160" w:type="dxa"/>
            <w:noWrap/>
          </w:tcPr>
          <w:p>
            <w:pPr>
              <w:snapToGrid w:val="0"/>
              <w:outlineLvl w:val="0"/>
              <w:rPr>
                <w:rFonts w:ascii="宋体" w:hAnsi="宋体"/>
                <w:sz w:val="24"/>
                <w:szCs w:val="21"/>
                <w:highlight w:val="none"/>
              </w:rPr>
            </w:pPr>
          </w:p>
        </w:tc>
        <w:tc>
          <w:tcPr>
            <w:tcW w:w="1980" w:type="dxa"/>
            <w:noWrap/>
          </w:tcPr>
          <w:p>
            <w:pPr>
              <w:snapToGrid w:val="0"/>
              <w:outlineLvl w:val="0"/>
              <w:rPr>
                <w:rFonts w:ascii="宋体" w:hAnsi="宋体"/>
                <w:sz w:val="24"/>
                <w:szCs w:val="21"/>
                <w:highlight w:val="none"/>
              </w:rPr>
            </w:pPr>
          </w:p>
        </w:tc>
        <w:tc>
          <w:tcPr>
            <w:tcW w:w="1800" w:type="dxa"/>
            <w:noWrap/>
          </w:tcPr>
          <w:p>
            <w:pPr>
              <w:snapToGrid w:val="0"/>
              <w:outlineLvl w:val="0"/>
              <w:rPr>
                <w:rFonts w:ascii="宋体" w:hAnsi="宋体"/>
                <w:sz w:val="24"/>
                <w:szCs w:val="21"/>
                <w:highlight w:val="none"/>
              </w:rPr>
            </w:pPr>
          </w:p>
        </w:tc>
        <w:tc>
          <w:tcPr>
            <w:tcW w:w="1620" w:type="dxa"/>
            <w:noWrap/>
          </w:tcPr>
          <w:p>
            <w:pPr>
              <w:snapToGrid w:val="0"/>
              <w:outlineLvl w:val="0"/>
              <w:rPr>
                <w:rFonts w:ascii="宋体" w:hAnsi="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snapToGrid w:val="0"/>
              <w:outlineLvl w:val="0"/>
              <w:rPr>
                <w:rFonts w:ascii="宋体" w:hAnsi="宋体"/>
                <w:sz w:val="24"/>
                <w:szCs w:val="21"/>
                <w:highlight w:val="none"/>
              </w:rPr>
            </w:pPr>
          </w:p>
        </w:tc>
        <w:tc>
          <w:tcPr>
            <w:tcW w:w="2160" w:type="dxa"/>
            <w:noWrap/>
          </w:tcPr>
          <w:p>
            <w:pPr>
              <w:snapToGrid w:val="0"/>
              <w:outlineLvl w:val="0"/>
              <w:rPr>
                <w:rFonts w:ascii="宋体" w:hAnsi="宋体"/>
                <w:sz w:val="24"/>
                <w:szCs w:val="21"/>
                <w:highlight w:val="none"/>
              </w:rPr>
            </w:pPr>
          </w:p>
        </w:tc>
        <w:tc>
          <w:tcPr>
            <w:tcW w:w="1980" w:type="dxa"/>
            <w:noWrap/>
          </w:tcPr>
          <w:p>
            <w:pPr>
              <w:snapToGrid w:val="0"/>
              <w:outlineLvl w:val="0"/>
              <w:rPr>
                <w:rFonts w:ascii="宋体" w:hAnsi="宋体"/>
                <w:sz w:val="24"/>
                <w:szCs w:val="21"/>
                <w:highlight w:val="none"/>
              </w:rPr>
            </w:pPr>
          </w:p>
        </w:tc>
        <w:tc>
          <w:tcPr>
            <w:tcW w:w="1800" w:type="dxa"/>
            <w:noWrap/>
          </w:tcPr>
          <w:p>
            <w:pPr>
              <w:snapToGrid w:val="0"/>
              <w:outlineLvl w:val="0"/>
              <w:rPr>
                <w:rFonts w:ascii="宋体" w:hAnsi="宋体"/>
                <w:sz w:val="24"/>
                <w:szCs w:val="21"/>
                <w:highlight w:val="none"/>
              </w:rPr>
            </w:pPr>
          </w:p>
        </w:tc>
        <w:tc>
          <w:tcPr>
            <w:tcW w:w="1620" w:type="dxa"/>
            <w:noWrap/>
          </w:tcPr>
          <w:p>
            <w:pPr>
              <w:snapToGrid w:val="0"/>
              <w:outlineLvl w:val="0"/>
              <w:rPr>
                <w:rFonts w:ascii="宋体" w:hAnsi="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snapToGrid w:val="0"/>
              <w:outlineLvl w:val="0"/>
              <w:rPr>
                <w:rFonts w:ascii="宋体" w:hAnsi="宋体"/>
                <w:sz w:val="24"/>
                <w:szCs w:val="21"/>
                <w:highlight w:val="none"/>
              </w:rPr>
            </w:pPr>
          </w:p>
        </w:tc>
        <w:tc>
          <w:tcPr>
            <w:tcW w:w="2160" w:type="dxa"/>
            <w:noWrap/>
          </w:tcPr>
          <w:p>
            <w:pPr>
              <w:snapToGrid w:val="0"/>
              <w:outlineLvl w:val="0"/>
              <w:rPr>
                <w:rFonts w:ascii="宋体" w:hAnsi="宋体"/>
                <w:sz w:val="24"/>
                <w:szCs w:val="21"/>
                <w:highlight w:val="none"/>
              </w:rPr>
            </w:pPr>
          </w:p>
        </w:tc>
        <w:tc>
          <w:tcPr>
            <w:tcW w:w="1980" w:type="dxa"/>
            <w:noWrap/>
          </w:tcPr>
          <w:p>
            <w:pPr>
              <w:snapToGrid w:val="0"/>
              <w:outlineLvl w:val="0"/>
              <w:rPr>
                <w:rFonts w:ascii="宋体" w:hAnsi="宋体"/>
                <w:sz w:val="24"/>
                <w:szCs w:val="21"/>
                <w:highlight w:val="none"/>
              </w:rPr>
            </w:pPr>
          </w:p>
        </w:tc>
        <w:tc>
          <w:tcPr>
            <w:tcW w:w="1800" w:type="dxa"/>
            <w:noWrap/>
          </w:tcPr>
          <w:p>
            <w:pPr>
              <w:snapToGrid w:val="0"/>
              <w:outlineLvl w:val="0"/>
              <w:rPr>
                <w:rFonts w:ascii="宋体" w:hAnsi="宋体"/>
                <w:sz w:val="24"/>
                <w:szCs w:val="21"/>
                <w:highlight w:val="none"/>
              </w:rPr>
            </w:pPr>
          </w:p>
        </w:tc>
        <w:tc>
          <w:tcPr>
            <w:tcW w:w="1620" w:type="dxa"/>
            <w:noWrap/>
          </w:tcPr>
          <w:p>
            <w:pPr>
              <w:snapToGrid w:val="0"/>
              <w:outlineLvl w:val="0"/>
              <w:rPr>
                <w:rFonts w:ascii="宋体" w:hAnsi="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snapToGrid w:val="0"/>
              <w:outlineLvl w:val="0"/>
              <w:rPr>
                <w:rFonts w:ascii="宋体" w:hAnsi="宋体"/>
                <w:sz w:val="24"/>
                <w:szCs w:val="21"/>
                <w:highlight w:val="none"/>
              </w:rPr>
            </w:pPr>
          </w:p>
        </w:tc>
        <w:tc>
          <w:tcPr>
            <w:tcW w:w="2160" w:type="dxa"/>
            <w:noWrap/>
          </w:tcPr>
          <w:p>
            <w:pPr>
              <w:snapToGrid w:val="0"/>
              <w:outlineLvl w:val="0"/>
              <w:rPr>
                <w:rFonts w:ascii="宋体" w:hAnsi="宋体"/>
                <w:sz w:val="24"/>
                <w:szCs w:val="21"/>
                <w:highlight w:val="none"/>
              </w:rPr>
            </w:pPr>
          </w:p>
        </w:tc>
        <w:tc>
          <w:tcPr>
            <w:tcW w:w="1980" w:type="dxa"/>
            <w:noWrap/>
          </w:tcPr>
          <w:p>
            <w:pPr>
              <w:snapToGrid w:val="0"/>
              <w:outlineLvl w:val="0"/>
              <w:rPr>
                <w:rFonts w:ascii="宋体" w:hAnsi="宋体"/>
                <w:sz w:val="24"/>
                <w:szCs w:val="21"/>
                <w:highlight w:val="none"/>
              </w:rPr>
            </w:pPr>
          </w:p>
        </w:tc>
        <w:tc>
          <w:tcPr>
            <w:tcW w:w="1800" w:type="dxa"/>
            <w:noWrap/>
          </w:tcPr>
          <w:p>
            <w:pPr>
              <w:snapToGrid w:val="0"/>
              <w:outlineLvl w:val="0"/>
              <w:rPr>
                <w:rFonts w:ascii="宋体" w:hAnsi="宋体"/>
                <w:sz w:val="24"/>
                <w:szCs w:val="21"/>
                <w:highlight w:val="none"/>
              </w:rPr>
            </w:pPr>
          </w:p>
        </w:tc>
        <w:tc>
          <w:tcPr>
            <w:tcW w:w="1620" w:type="dxa"/>
            <w:noWrap/>
          </w:tcPr>
          <w:p>
            <w:pPr>
              <w:snapToGrid w:val="0"/>
              <w:outlineLvl w:val="0"/>
              <w:rPr>
                <w:rFonts w:ascii="宋体" w:hAnsi="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snapToGrid w:val="0"/>
              <w:outlineLvl w:val="0"/>
              <w:rPr>
                <w:rFonts w:ascii="宋体" w:hAnsi="宋体"/>
                <w:sz w:val="24"/>
                <w:szCs w:val="21"/>
                <w:highlight w:val="none"/>
              </w:rPr>
            </w:pPr>
          </w:p>
        </w:tc>
        <w:tc>
          <w:tcPr>
            <w:tcW w:w="2160" w:type="dxa"/>
            <w:noWrap/>
          </w:tcPr>
          <w:p>
            <w:pPr>
              <w:snapToGrid w:val="0"/>
              <w:outlineLvl w:val="0"/>
              <w:rPr>
                <w:rFonts w:ascii="宋体" w:hAnsi="宋体"/>
                <w:sz w:val="24"/>
                <w:szCs w:val="21"/>
                <w:highlight w:val="none"/>
              </w:rPr>
            </w:pPr>
          </w:p>
        </w:tc>
        <w:tc>
          <w:tcPr>
            <w:tcW w:w="1980" w:type="dxa"/>
            <w:noWrap/>
          </w:tcPr>
          <w:p>
            <w:pPr>
              <w:snapToGrid w:val="0"/>
              <w:outlineLvl w:val="0"/>
              <w:rPr>
                <w:rFonts w:ascii="宋体" w:hAnsi="宋体"/>
                <w:sz w:val="24"/>
                <w:szCs w:val="21"/>
                <w:highlight w:val="none"/>
              </w:rPr>
            </w:pPr>
          </w:p>
        </w:tc>
        <w:tc>
          <w:tcPr>
            <w:tcW w:w="1800" w:type="dxa"/>
            <w:noWrap/>
          </w:tcPr>
          <w:p>
            <w:pPr>
              <w:snapToGrid w:val="0"/>
              <w:outlineLvl w:val="0"/>
              <w:rPr>
                <w:rFonts w:ascii="宋体" w:hAnsi="宋体"/>
                <w:sz w:val="24"/>
                <w:szCs w:val="21"/>
                <w:highlight w:val="none"/>
              </w:rPr>
            </w:pPr>
          </w:p>
        </w:tc>
        <w:tc>
          <w:tcPr>
            <w:tcW w:w="1620" w:type="dxa"/>
            <w:noWrap/>
          </w:tcPr>
          <w:p>
            <w:pPr>
              <w:snapToGrid w:val="0"/>
              <w:outlineLvl w:val="0"/>
              <w:rPr>
                <w:rFonts w:ascii="宋体" w:hAnsi="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snapToGrid w:val="0"/>
              <w:outlineLvl w:val="0"/>
              <w:rPr>
                <w:rFonts w:ascii="宋体" w:hAnsi="宋体"/>
                <w:sz w:val="24"/>
                <w:szCs w:val="21"/>
                <w:highlight w:val="none"/>
              </w:rPr>
            </w:pPr>
          </w:p>
        </w:tc>
        <w:tc>
          <w:tcPr>
            <w:tcW w:w="2160" w:type="dxa"/>
            <w:noWrap/>
          </w:tcPr>
          <w:p>
            <w:pPr>
              <w:snapToGrid w:val="0"/>
              <w:outlineLvl w:val="0"/>
              <w:rPr>
                <w:rFonts w:ascii="宋体" w:hAnsi="宋体"/>
                <w:sz w:val="24"/>
                <w:szCs w:val="21"/>
                <w:highlight w:val="none"/>
              </w:rPr>
            </w:pPr>
          </w:p>
        </w:tc>
        <w:tc>
          <w:tcPr>
            <w:tcW w:w="1980" w:type="dxa"/>
            <w:noWrap/>
          </w:tcPr>
          <w:p>
            <w:pPr>
              <w:snapToGrid w:val="0"/>
              <w:outlineLvl w:val="0"/>
              <w:rPr>
                <w:rFonts w:ascii="宋体" w:hAnsi="宋体"/>
                <w:sz w:val="24"/>
                <w:szCs w:val="21"/>
                <w:highlight w:val="none"/>
              </w:rPr>
            </w:pPr>
          </w:p>
        </w:tc>
        <w:tc>
          <w:tcPr>
            <w:tcW w:w="1800" w:type="dxa"/>
            <w:noWrap/>
          </w:tcPr>
          <w:p>
            <w:pPr>
              <w:snapToGrid w:val="0"/>
              <w:outlineLvl w:val="0"/>
              <w:rPr>
                <w:rFonts w:ascii="宋体" w:hAnsi="宋体"/>
                <w:sz w:val="24"/>
                <w:szCs w:val="21"/>
                <w:highlight w:val="none"/>
              </w:rPr>
            </w:pPr>
          </w:p>
        </w:tc>
        <w:tc>
          <w:tcPr>
            <w:tcW w:w="1620" w:type="dxa"/>
            <w:noWrap/>
          </w:tcPr>
          <w:p>
            <w:pPr>
              <w:snapToGrid w:val="0"/>
              <w:outlineLvl w:val="0"/>
              <w:rPr>
                <w:rFonts w:ascii="宋体" w:hAnsi="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snapToGrid w:val="0"/>
              <w:outlineLvl w:val="0"/>
              <w:rPr>
                <w:rFonts w:ascii="宋体" w:hAnsi="宋体"/>
                <w:sz w:val="24"/>
                <w:szCs w:val="21"/>
                <w:highlight w:val="none"/>
              </w:rPr>
            </w:pPr>
          </w:p>
        </w:tc>
        <w:tc>
          <w:tcPr>
            <w:tcW w:w="2160" w:type="dxa"/>
            <w:noWrap/>
          </w:tcPr>
          <w:p>
            <w:pPr>
              <w:snapToGrid w:val="0"/>
              <w:outlineLvl w:val="0"/>
              <w:rPr>
                <w:rFonts w:ascii="宋体" w:hAnsi="宋体"/>
                <w:sz w:val="24"/>
                <w:szCs w:val="21"/>
                <w:highlight w:val="none"/>
              </w:rPr>
            </w:pPr>
          </w:p>
        </w:tc>
        <w:tc>
          <w:tcPr>
            <w:tcW w:w="1980" w:type="dxa"/>
            <w:noWrap/>
          </w:tcPr>
          <w:p>
            <w:pPr>
              <w:snapToGrid w:val="0"/>
              <w:outlineLvl w:val="0"/>
              <w:rPr>
                <w:rFonts w:ascii="宋体" w:hAnsi="宋体"/>
                <w:sz w:val="24"/>
                <w:szCs w:val="21"/>
                <w:highlight w:val="none"/>
              </w:rPr>
            </w:pPr>
          </w:p>
        </w:tc>
        <w:tc>
          <w:tcPr>
            <w:tcW w:w="1800" w:type="dxa"/>
            <w:noWrap/>
          </w:tcPr>
          <w:p>
            <w:pPr>
              <w:snapToGrid w:val="0"/>
              <w:outlineLvl w:val="0"/>
              <w:rPr>
                <w:rFonts w:ascii="宋体" w:hAnsi="宋体"/>
                <w:sz w:val="24"/>
                <w:szCs w:val="21"/>
                <w:highlight w:val="none"/>
              </w:rPr>
            </w:pPr>
          </w:p>
        </w:tc>
        <w:tc>
          <w:tcPr>
            <w:tcW w:w="1620" w:type="dxa"/>
            <w:noWrap/>
          </w:tcPr>
          <w:p>
            <w:pPr>
              <w:snapToGrid w:val="0"/>
              <w:outlineLvl w:val="0"/>
              <w:rPr>
                <w:rFonts w:ascii="宋体" w:hAnsi="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snapToGrid w:val="0"/>
              <w:outlineLvl w:val="0"/>
              <w:rPr>
                <w:rFonts w:ascii="宋体" w:hAnsi="宋体"/>
                <w:sz w:val="24"/>
                <w:szCs w:val="21"/>
                <w:highlight w:val="none"/>
              </w:rPr>
            </w:pPr>
          </w:p>
        </w:tc>
        <w:tc>
          <w:tcPr>
            <w:tcW w:w="2160" w:type="dxa"/>
            <w:noWrap/>
          </w:tcPr>
          <w:p>
            <w:pPr>
              <w:snapToGrid w:val="0"/>
              <w:outlineLvl w:val="0"/>
              <w:rPr>
                <w:rFonts w:ascii="宋体" w:hAnsi="宋体"/>
                <w:sz w:val="24"/>
                <w:szCs w:val="21"/>
                <w:highlight w:val="none"/>
              </w:rPr>
            </w:pPr>
          </w:p>
        </w:tc>
        <w:tc>
          <w:tcPr>
            <w:tcW w:w="1980" w:type="dxa"/>
            <w:noWrap/>
          </w:tcPr>
          <w:p>
            <w:pPr>
              <w:snapToGrid w:val="0"/>
              <w:outlineLvl w:val="0"/>
              <w:rPr>
                <w:rFonts w:ascii="宋体" w:hAnsi="宋体"/>
                <w:sz w:val="24"/>
                <w:szCs w:val="21"/>
                <w:highlight w:val="none"/>
              </w:rPr>
            </w:pPr>
          </w:p>
        </w:tc>
        <w:tc>
          <w:tcPr>
            <w:tcW w:w="1800" w:type="dxa"/>
            <w:noWrap/>
          </w:tcPr>
          <w:p>
            <w:pPr>
              <w:snapToGrid w:val="0"/>
              <w:outlineLvl w:val="0"/>
              <w:rPr>
                <w:rFonts w:ascii="宋体" w:hAnsi="宋体"/>
                <w:sz w:val="24"/>
                <w:szCs w:val="21"/>
                <w:highlight w:val="none"/>
              </w:rPr>
            </w:pPr>
          </w:p>
        </w:tc>
        <w:tc>
          <w:tcPr>
            <w:tcW w:w="1620" w:type="dxa"/>
            <w:noWrap/>
          </w:tcPr>
          <w:p>
            <w:pPr>
              <w:snapToGrid w:val="0"/>
              <w:outlineLvl w:val="0"/>
              <w:rPr>
                <w:rFonts w:ascii="宋体" w:hAnsi="宋体"/>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tcPr>
          <w:p>
            <w:pPr>
              <w:snapToGrid w:val="0"/>
              <w:outlineLvl w:val="0"/>
              <w:rPr>
                <w:rFonts w:ascii="宋体" w:hAnsi="宋体"/>
                <w:sz w:val="24"/>
                <w:szCs w:val="21"/>
                <w:highlight w:val="none"/>
              </w:rPr>
            </w:pPr>
          </w:p>
        </w:tc>
        <w:tc>
          <w:tcPr>
            <w:tcW w:w="2160" w:type="dxa"/>
            <w:noWrap/>
          </w:tcPr>
          <w:p>
            <w:pPr>
              <w:snapToGrid w:val="0"/>
              <w:outlineLvl w:val="0"/>
              <w:rPr>
                <w:rFonts w:ascii="宋体" w:hAnsi="宋体"/>
                <w:sz w:val="24"/>
                <w:szCs w:val="21"/>
                <w:highlight w:val="none"/>
              </w:rPr>
            </w:pPr>
          </w:p>
        </w:tc>
        <w:tc>
          <w:tcPr>
            <w:tcW w:w="1980" w:type="dxa"/>
            <w:noWrap/>
          </w:tcPr>
          <w:p>
            <w:pPr>
              <w:snapToGrid w:val="0"/>
              <w:outlineLvl w:val="0"/>
              <w:rPr>
                <w:rFonts w:ascii="宋体" w:hAnsi="宋体"/>
                <w:sz w:val="24"/>
                <w:szCs w:val="21"/>
                <w:highlight w:val="none"/>
              </w:rPr>
            </w:pPr>
          </w:p>
        </w:tc>
        <w:tc>
          <w:tcPr>
            <w:tcW w:w="1800" w:type="dxa"/>
            <w:noWrap/>
          </w:tcPr>
          <w:p>
            <w:pPr>
              <w:snapToGrid w:val="0"/>
              <w:outlineLvl w:val="0"/>
              <w:rPr>
                <w:rFonts w:ascii="宋体" w:hAnsi="宋体"/>
                <w:sz w:val="24"/>
                <w:szCs w:val="21"/>
                <w:highlight w:val="none"/>
              </w:rPr>
            </w:pPr>
          </w:p>
        </w:tc>
        <w:tc>
          <w:tcPr>
            <w:tcW w:w="1620" w:type="dxa"/>
            <w:noWrap/>
          </w:tcPr>
          <w:p>
            <w:pPr>
              <w:snapToGrid w:val="0"/>
              <w:outlineLvl w:val="0"/>
              <w:rPr>
                <w:rFonts w:ascii="宋体" w:hAnsi="宋体"/>
                <w:sz w:val="24"/>
                <w:szCs w:val="21"/>
                <w:highlight w:val="none"/>
              </w:rPr>
            </w:pPr>
          </w:p>
        </w:tc>
      </w:tr>
    </w:tbl>
    <w:p>
      <w:pPr>
        <w:snapToGrid w:val="0"/>
        <w:outlineLvl w:val="0"/>
        <w:rPr>
          <w:rFonts w:ascii="宋体" w:hAnsi="宋体"/>
          <w:sz w:val="24"/>
          <w:szCs w:val="21"/>
          <w:highlight w:val="none"/>
        </w:rPr>
      </w:pPr>
      <w:r>
        <w:rPr>
          <w:rFonts w:hint="eastAsia" w:ascii="宋体" w:hAnsi="宋体"/>
          <w:sz w:val="24"/>
          <w:szCs w:val="21"/>
          <w:highlight w:val="none"/>
        </w:rPr>
        <w:t>日期：  年  月  日</w:t>
      </w:r>
    </w:p>
    <w:p>
      <w:pPr>
        <w:snapToGrid w:val="0"/>
        <w:outlineLvl w:val="0"/>
        <w:rPr>
          <w:rFonts w:ascii="宋体" w:hAnsi="宋体"/>
          <w:sz w:val="24"/>
          <w:szCs w:val="21"/>
          <w:highlight w:val="none"/>
        </w:rPr>
      </w:pPr>
      <w:r>
        <w:rPr>
          <w:rFonts w:hint="eastAsia" w:ascii="宋体" w:hAnsi="宋体"/>
          <w:sz w:val="24"/>
          <w:szCs w:val="21"/>
          <w:highlight w:val="none"/>
        </w:rPr>
        <w:t>注：1、投标人必须按采购需求一一对应,如实填写《针对本项目的相关服务承诺一览表（偏离表）》，未按要求填写的，有可能作负偏离处理</w:t>
      </w:r>
    </w:p>
    <w:p>
      <w:pPr>
        <w:snapToGrid w:val="0"/>
        <w:outlineLvl w:val="0"/>
        <w:rPr>
          <w:rFonts w:ascii="宋体" w:hAnsi="宋体"/>
          <w:sz w:val="24"/>
          <w:szCs w:val="21"/>
          <w:highlight w:val="none"/>
        </w:rPr>
      </w:pPr>
    </w:p>
    <w:p>
      <w:pPr>
        <w:snapToGrid w:val="0"/>
        <w:outlineLvl w:val="0"/>
        <w:rPr>
          <w:rFonts w:ascii="宋体" w:hAnsi="宋体"/>
          <w:sz w:val="24"/>
          <w:szCs w:val="21"/>
          <w:highlight w:val="none"/>
        </w:rPr>
      </w:pPr>
      <w:r>
        <w:rPr>
          <w:rFonts w:hint="eastAsia" w:ascii="宋体" w:hAnsi="宋体"/>
          <w:sz w:val="24"/>
          <w:szCs w:val="21"/>
          <w:highlight w:val="none"/>
        </w:rPr>
        <w:t>2、此表仅提供了表格形式，投标人应根据需要准备足够数量的表格来填写。</w:t>
      </w:r>
    </w:p>
    <w:p>
      <w:pPr>
        <w:snapToGrid w:val="0"/>
        <w:spacing w:before="50" w:afterLines="50"/>
        <w:jc w:val="left"/>
        <w:rPr>
          <w:rFonts w:ascii="宋体" w:hAnsi="宋体"/>
          <w:b/>
          <w:sz w:val="30"/>
          <w:szCs w:val="30"/>
          <w:highlight w:val="none"/>
        </w:rPr>
      </w:pPr>
    </w:p>
    <w:p>
      <w:pPr>
        <w:snapToGrid w:val="0"/>
        <w:spacing w:before="50" w:afterLines="50"/>
        <w:jc w:val="left"/>
        <w:rPr>
          <w:rFonts w:ascii="宋体" w:hAnsi="宋体"/>
          <w:b/>
          <w:sz w:val="30"/>
          <w:szCs w:val="30"/>
          <w:highlight w:val="none"/>
        </w:rPr>
      </w:pPr>
    </w:p>
    <w:p>
      <w:pPr>
        <w:snapToGrid w:val="0"/>
        <w:spacing w:before="50" w:afterLines="50"/>
        <w:jc w:val="left"/>
        <w:rPr>
          <w:rFonts w:ascii="宋体" w:hAnsi="宋体"/>
          <w:b/>
          <w:sz w:val="30"/>
          <w:szCs w:val="30"/>
          <w:highlight w:val="none"/>
        </w:rPr>
      </w:pPr>
    </w:p>
    <w:p>
      <w:pPr>
        <w:snapToGrid w:val="0"/>
        <w:spacing w:before="50" w:afterLines="50"/>
        <w:jc w:val="left"/>
        <w:rPr>
          <w:rFonts w:ascii="宋体" w:hAnsi="宋体"/>
          <w:b/>
          <w:sz w:val="30"/>
          <w:szCs w:val="30"/>
          <w:highlight w:val="none"/>
        </w:rPr>
      </w:pPr>
    </w:p>
    <w:p>
      <w:pPr>
        <w:snapToGrid w:val="0"/>
        <w:spacing w:before="50" w:afterLines="50"/>
        <w:jc w:val="left"/>
        <w:rPr>
          <w:rFonts w:ascii="宋体" w:hAnsi="宋体"/>
          <w:b/>
          <w:sz w:val="30"/>
          <w:szCs w:val="30"/>
          <w:highlight w:val="none"/>
        </w:rPr>
      </w:pPr>
    </w:p>
    <w:p>
      <w:pPr>
        <w:snapToGrid w:val="0"/>
        <w:spacing w:before="50" w:afterLines="50"/>
        <w:jc w:val="left"/>
        <w:rPr>
          <w:rFonts w:ascii="宋体" w:hAnsi="宋体"/>
          <w:b/>
          <w:sz w:val="30"/>
          <w:szCs w:val="30"/>
          <w:highlight w:val="none"/>
        </w:rPr>
      </w:pPr>
    </w:p>
    <w:p>
      <w:pPr>
        <w:snapToGrid w:val="0"/>
        <w:spacing w:before="50" w:afterLines="50"/>
        <w:jc w:val="left"/>
        <w:rPr>
          <w:rFonts w:ascii="宋体" w:hAnsi="宋体"/>
          <w:b/>
          <w:sz w:val="30"/>
          <w:szCs w:val="30"/>
          <w:highlight w:val="none"/>
        </w:rPr>
      </w:pPr>
    </w:p>
    <w:p>
      <w:pPr>
        <w:snapToGrid w:val="0"/>
        <w:spacing w:before="50" w:afterLines="50"/>
        <w:jc w:val="left"/>
        <w:rPr>
          <w:rFonts w:ascii="宋体" w:hAnsi="宋体"/>
          <w:b/>
          <w:sz w:val="30"/>
          <w:szCs w:val="30"/>
          <w:highlight w:val="none"/>
        </w:rPr>
      </w:pPr>
    </w:p>
    <w:p>
      <w:pPr>
        <w:snapToGrid w:val="0"/>
        <w:spacing w:before="50" w:afterLines="50"/>
        <w:jc w:val="left"/>
        <w:rPr>
          <w:rFonts w:ascii="宋体" w:hAnsi="宋体"/>
          <w:b/>
          <w:sz w:val="30"/>
          <w:szCs w:val="30"/>
          <w:highlight w:val="none"/>
        </w:rPr>
      </w:pPr>
    </w:p>
    <w:p>
      <w:pPr>
        <w:snapToGrid w:val="0"/>
        <w:spacing w:before="50" w:afterLines="50"/>
        <w:jc w:val="left"/>
        <w:rPr>
          <w:rFonts w:ascii="宋体" w:hAnsi="宋体"/>
          <w:b/>
          <w:sz w:val="30"/>
          <w:szCs w:val="30"/>
          <w:highlight w:val="none"/>
        </w:rPr>
      </w:pPr>
    </w:p>
    <w:p>
      <w:pPr>
        <w:snapToGrid w:val="0"/>
        <w:spacing w:before="50" w:afterLines="50"/>
        <w:jc w:val="left"/>
        <w:rPr>
          <w:rFonts w:ascii="宋体" w:hAnsi="宋体"/>
          <w:b/>
          <w:sz w:val="30"/>
          <w:szCs w:val="30"/>
          <w:highlight w:val="none"/>
        </w:rPr>
      </w:pPr>
    </w:p>
    <w:p>
      <w:pPr>
        <w:snapToGrid w:val="0"/>
        <w:spacing w:before="50" w:afterLines="50"/>
        <w:jc w:val="left"/>
        <w:rPr>
          <w:rFonts w:ascii="宋体" w:hAnsi="宋体"/>
          <w:b/>
          <w:sz w:val="30"/>
          <w:szCs w:val="30"/>
          <w:highlight w:val="none"/>
        </w:rPr>
      </w:pPr>
    </w:p>
    <w:p>
      <w:pPr>
        <w:widowControl/>
        <w:jc w:val="left"/>
        <w:rPr>
          <w:rFonts w:ascii="宋体" w:hAnsi="宋体"/>
          <w:sz w:val="24"/>
          <w:szCs w:val="20"/>
          <w:highlight w:val="none"/>
        </w:rPr>
      </w:pPr>
    </w:p>
    <w:p>
      <w:pPr>
        <w:tabs>
          <w:tab w:val="left" w:pos="1110"/>
        </w:tabs>
        <w:rPr>
          <w:rFonts w:ascii="宋体" w:hAnsi="宋体"/>
          <w:b/>
          <w:spacing w:val="6"/>
          <w:sz w:val="32"/>
          <w:szCs w:val="32"/>
          <w:highlight w:val="none"/>
        </w:rPr>
      </w:pPr>
      <w:r>
        <w:rPr>
          <w:rFonts w:hint="eastAsia" w:ascii="宋体" w:hAnsi="宋体"/>
          <w:b/>
          <w:sz w:val="32"/>
          <w:szCs w:val="32"/>
          <w:highlight w:val="none"/>
        </w:rPr>
        <w:t>附件九：</w:t>
      </w:r>
    </w:p>
    <w:p>
      <w:pPr>
        <w:pStyle w:val="3"/>
        <w:spacing w:before="162"/>
        <w:jc w:val="center"/>
        <w:rPr>
          <w:sz w:val="36"/>
          <w:szCs w:val="36"/>
          <w:highlight w:val="none"/>
        </w:rPr>
      </w:pPr>
      <w:r>
        <w:rPr>
          <w:sz w:val="36"/>
          <w:szCs w:val="36"/>
          <w:highlight w:val="none"/>
        </w:rPr>
        <w:t>中小企业声明函（</w:t>
      </w:r>
      <w:r>
        <w:rPr>
          <w:rFonts w:hint="eastAsia"/>
          <w:sz w:val="36"/>
          <w:szCs w:val="36"/>
          <w:highlight w:val="none"/>
        </w:rPr>
        <w:t>服务</w:t>
      </w:r>
      <w:r>
        <w:rPr>
          <w:sz w:val="36"/>
          <w:szCs w:val="36"/>
          <w:highlight w:val="none"/>
        </w:rPr>
        <w:t>）</w:t>
      </w:r>
    </w:p>
    <w:p>
      <w:pPr>
        <w:ind w:firstLine="552" w:firstLineChars="200"/>
        <w:rPr>
          <w:rFonts w:cs="仿宋"/>
          <w:spacing w:val="-2"/>
          <w:sz w:val="28"/>
          <w:szCs w:val="28"/>
          <w:highlight w:val="none"/>
          <w:lang w:val="zh-CN" w:bidi="zh-CN"/>
        </w:rPr>
      </w:pPr>
      <w:r>
        <w:rPr>
          <w:rFonts w:hint="eastAsia" w:cs="仿宋"/>
          <w:spacing w:val="-2"/>
          <w:sz w:val="28"/>
          <w:szCs w:val="28"/>
          <w:highlight w:val="none"/>
          <w:lang w:val="zh-CN" w:bidi="zh-CN"/>
        </w:rPr>
        <w:t>本公司（联合体）郑重声明，根据《政府采购促进中小企业发展管理办法》（财库﹝2020﹞46 号）的规定，本公司（联合体）参加</w:t>
      </w:r>
      <w:r>
        <w:rPr>
          <w:rFonts w:hint="eastAsia" w:cs="仿宋"/>
          <w:spacing w:val="-2"/>
          <w:sz w:val="28"/>
          <w:szCs w:val="28"/>
          <w:highlight w:val="none"/>
          <w:u w:val="single"/>
          <w:lang w:val="zh-CN" w:bidi="zh-CN"/>
        </w:rPr>
        <w:t>（单位名称）</w:t>
      </w:r>
      <w:r>
        <w:rPr>
          <w:rFonts w:hint="eastAsia" w:cs="仿宋"/>
          <w:spacing w:val="-2"/>
          <w:sz w:val="28"/>
          <w:szCs w:val="28"/>
          <w:highlight w:val="none"/>
          <w:lang w:val="zh-CN" w:bidi="zh-CN"/>
        </w:rPr>
        <w:t>的</w:t>
      </w:r>
      <w:r>
        <w:rPr>
          <w:rFonts w:hint="eastAsia" w:cs="仿宋"/>
          <w:spacing w:val="-2"/>
          <w:sz w:val="28"/>
          <w:szCs w:val="28"/>
          <w:highlight w:val="none"/>
          <w:u w:val="single"/>
          <w:lang w:val="zh-CN" w:bidi="zh-CN"/>
        </w:rPr>
        <w:t>（项目名称）</w:t>
      </w:r>
      <w:r>
        <w:rPr>
          <w:rFonts w:hint="eastAsia" w:cs="仿宋"/>
          <w:spacing w:val="-2"/>
          <w:sz w:val="28"/>
          <w:szCs w:val="28"/>
          <w:highlight w:val="none"/>
          <w:lang w:val="zh-CN" w:bidi="zh-CN"/>
        </w:rPr>
        <w:t>采购活动，工程的施工单位全部为符合政策要求的中小企业（或者：服务全部由符合政策要求的中小企业承接）。相关企业（含联合体中的中小企业、签订分包意向协议的中小企业）的具体情况如下：</w:t>
      </w:r>
    </w:p>
    <w:p>
      <w:pPr>
        <w:pStyle w:val="20"/>
        <w:spacing w:before="55" w:line="302" w:lineRule="auto"/>
        <w:ind w:right="415" w:firstLine="528" w:firstLineChars="200"/>
        <w:rPr>
          <w:spacing w:val="-8"/>
          <w:sz w:val="28"/>
          <w:szCs w:val="28"/>
          <w:highlight w:val="none"/>
        </w:rPr>
      </w:pPr>
      <w:r>
        <w:rPr>
          <w:rFonts w:hint="eastAsia"/>
          <w:spacing w:val="-8"/>
          <w:sz w:val="28"/>
          <w:szCs w:val="28"/>
          <w:highlight w:val="none"/>
        </w:rPr>
        <w:t>1、</w:t>
      </w:r>
      <w:r>
        <w:rPr>
          <w:rFonts w:hint="eastAsia"/>
          <w:spacing w:val="-8"/>
          <w:sz w:val="28"/>
          <w:szCs w:val="28"/>
          <w:highlight w:val="none"/>
          <w:u w:val="single"/>
        </w:rPr>
        <w:t>（标的名称）</w:t>
      </w:r>
      <w:r>
        <w:rPr>
          <w:rFonts w:hint="eastAsia"/>
          <w:spacing w:val="-8"/>
          <w:sz w:val="28"/>
          <w:szCs w:val="28"/>
          <w:highlight w:val="none"/>
        </w:rPr>
        <w:t>，属于</w:t>
      </w:r>
      <w:r>
        <w:rPr>
          <w:rFonts w:hint="eastAsia"/>
          <w:spacing w:val="-8"/>
          <w:sz w:val="28"/>
          <w:szCs w:val="28"/>
          <w:highlight w:val="none"/>
          <w:u w:val="single"/>
        </w:rPr>
        <w:t>（采购文件中明确的所属行业）</w:t>
      </w:r>
      <w:r>
        <w:rPr>
          <w:rFonts w:hint="eastAsia"/>
          <w:spacing w:val="-8"/>
          <w:sz w:val="28"/>
          <w:szCs w:val="28"/>
          <w:highlight w:val="none"/>
        </w:rPr>
        <w:t>行业；承建（承接）企业为</w:t>
      </w:r>
      <w:r>
        <w:rPr>
          <w:rFonts w:hint="eastAsia"/>
          <w:spacing w:val="-8"/>
          <w:sz w:val="28"/>
          <w:szCs w:val="28"/>
          <w:highlight w:val="none"/>
          <w:u w:val="single"/>
        </w:rPr>
        <w:t>（企业名称）</w:t>
      </w:r>
      <w:r>
        <w:rPr>
          <w:rFonts w:hint="eastAsia"/>
          <w:spacing w:val="-8"/>
          <w:sz w:val="28"/>
          <w:szCs w:val="28"/>
          <w:highlight w:val="none"/>
        </w:rPr>
        <w:t>，从业人员人，营业收入为万元，资产总额为万元，属于（中型企业、小型企业、微型企业）；</w:t>
      </w:r>
    </w:p>
    <w:p>
      <w:pPr>
        <w:pStyle w:val="20"/>
        <w:spacing w:before="55" w:line="302" w:lineRule="auto"/>
        <w:ind w:right="415" w:firstLine="528" w:firstLineChars="200"/>
        <w:rPr>
          <w:spacing w:val="-8"/>
          <w:sz w:val="28"/>
          <w:szCs w:val="28"/>
          <w:highlight w:val="none"/>
        </w:rPr>
      </w:pPr>
      <w:r>
        <w:rPr>
          <w:rFonts w:hint="eastAsia"/>
          <w:spacing w:val="-8"/>
          <w:sz w:val="28"/>
          <w:szCs w:val="28"/>
          <w:highlight w:val="none"/>
        </w:rPr>
        <w:t>2、</w:t>
      </w:r>
      <w:r>
        <w:rPr>
          <w:rFonts w:hint="eastAsia"/>
          <w:spacing w:val="-8"/>
          <w:sz w:val="28"/>
          <w:szCs w:val="28"/>
          <w:highlight w:val="none"/>
          <w:u w:val="single"/>
        </w:rPr>
        <w:t>（标的名称）</w:t>
      </w:r>
      <w:r>
        <w:rPr>
          <w:rFonts w:hint="eastAsia"/>
          <w:spacing w:val="-8"/>
          <w:sz w:val="28"/>
          <w:szCs w:val="28"/>
          <w:highlight w:val="none"/>
        </w:rPr>
        <w:t>，属于</w:t>
      </w:r>
      <w:r>
        <w:rPr>
          <w:rFonts w:hint="eastAsia"/>
          <w:spacing w:val="-8"/>
          <w:sz w:val="28"/>
          <w:szCs w:val="28"/>
          <w:highlight w:val="none"/>
          <w:u w:val="single"/>
        </w:rPr>
        <w:t>（采购文件中明确的所属行业）</w:t>
      </w:r>
      <w:r>
        <w:rPr>
          <w:rFonts w:hint="eastAsia"/>
          <w:spacing w:val="-8"/>
          <w:sz w:val="28"/>
          <w:szCs w:val="28"/>
          <w:highlight w:val="none"/>
        </w:rPr>
        <w:t>行业；承建（承接）企业为</w:t>
      </w:r>
      <w:r>
        <w:rPr>
          <w:rFonts w:hint="eastAsia"/>
          <w:spacing w:val="-8"/>
          <w:sz w:val="28"/>
          <w:szCs w:val="28"/>
          <w:highlight w:val="none"/>
          <w:u w:val="single"/>
        </w:rPr>
        <w:t>（企业名称）</w:t>
      </w:r>
      <w:r>
        <w:rPr>
          <w:rFonts w:hint="eastAsia"/>
          <w:spacing w:val="-8"/>
          <w:sz w:val="28"/>
          <w:szCs w:val="28"/>
          <w:highlight w:val="none"/>
        </w:rPr>
        <w:t>，从业人员人，营业收入为万元，资产总额为万元，属于（中型企业、小型企业、微型企业）；</w:t>
      </w:r>
    </w:p>
    <w:p>
      <w:pPr>
        <w:pStyle w:val="20"/>
        <w:ind w:left="860"/>
        <w:rPr>
          <w:sz w:val="28"/>
          <w:szCs w:val="28"/>
          <w:highlight w:val="none"/>
        </w:rPr>
      </w:pPr>
      <w:r>
        <w:rPr>
          <w:sz w:val="28"/>
          <w:szCs w:val="28"/>
          <w:highlight w:val="none"/>
        </w:rPr>
        <w:t>……</w:t>
      </w:r>
    </w:p>
    <w:p>
      <w:pPr>
        <w:pStyle w:val="20"/>
        <w:spacing w:before="105" w:line="304" w:lineRule="auto"/>
        <w:ind w:right="417" w:firstLine="645"/>
        <w:rPr>
          <w:sz w:val="28"/>
          <w:szCs w:val="28"/>
          <w:highlight w:val="none"/>
        </w:rPr>
      </w:pPr>
      <w:r>
        <w:rPr>
          <w:spacing w:val="-3"/>
          <w:sz w:val="28"/>
          <w:szCs w:val="28"/>
          <w:highlight w:val="none"/>
        </w:rPr>
        <w:t>以上企业，不属于大企业的分支机构，不存在控股股东</w:t>
      </w:r>
      <w:r>
        <w:rPr>
          <w:spacing w:val="-5"/>
          <w:sz w:val="28"/>
          <w:szCs w:val="28"/>
          <w:highlight w:val="none"/>
        </w:rPr>
        <w:t>为大企业的情形，也不存在与大企业的负责人为同一人的情形。</w:t>
      </w:r>
    </w:p>
    <w:p>
      <w:pPr>
        <w:pStyle w:val="20"/>
        <w:spacing w:line="302" w:lineRule="auto"/>
        <w:ind w:right="372" w:firstLine="645"/>
        <w:rPr>
          <w:sz w:val="28"/>
          <w:szCs w:val="28"/>
          <w:highlight w:val="none"/>
        </w:rPr>
      </w:pPr>
      <w:r>
        <w:rPr>
          <w:sz w:val="28"/>
          <w:szCs w:val="28"/>
          <w:highlight w:val="none"/>
        </w:rPr>
        <w:t>本企业对上述声明内容的真实性负责。如有虚假，将依法承担相应责任。</w:t>
      </w:r>
    </w:p>
    <w:p>
      <w:pPr>
        <w:pStyle w:val="20"/>
        <w:spacing w:before="35" w:line="316" w:lineRule="auto"/>
        <w:ind w:left="4060" w:right="2166"/>
        <w:rPr>
          <w:sz w:val="21"/>
          <w:szCs w:val="21"/>
          <w:highlight w:val="none"/>
        </w:rPr>
      </w:pPr>
      <w:r>
        <w:rPr>
          <w:w w:val="99"/>
          <w:sz w:val="28"/>
          <w:szCs w:val="28"/>
          <w:highlight w:val="none"/>
        </w:rPr>
        <w:t>企业名称</w:t>
      </w:r>
      <w:r>
        <w:rPr>
          <w:spacing w:val="2"/>
          <w:w w:val="99"/>
          <w:sz w:val="28"/>
          <w:szCs w:val="28"/>
          <w:highlight w:val="none"/>
        </w:rPr>
        <w:t>（</w:t>
      </w:r>
      <w:r>
        <w:rPr>
          <w:w w:val="99"/>
          <w:sz w:val="28"/>
          <w:szCs w:val="28"/>
          <w:highlight w:val="none"/>
        </w:rPr>
        <w:t>盖章</w:t>
      </w:r>
      <w:r>
        <w:rPr>
          <w:spacing w:val="-167"/>
          <w:w w:val="99"/>
          <w:sz w:val="28"/>
          <w:szCs w:val="28"/>
          <w:highlight w:val="none"/>
        </w:rPr>
        <w:t>）</w:t>
      </w:r>
      <w:r>
        <w:rPr>
          <w:spacing w:val="-8"/>
          <w:w w:val="99"/>
          <w:sz w:val="28"/>
          <w:szCs w:val="28"/>
          <w:highlight w:val="none"/>
        </w:rPr>
        <w:t>：</w:t>
      </w:r>
      <w:r>
        <w:rPr>
          <w:spacing w:val="24"/>
          <w:sz w:val="28"/>
          <w:szCs w:val="28"/>
          <w:highlight w:val="none"/>
        </w:rPr>
        <w:t>日期：</w:t>
      </w:r>
    </w:p>
    <w:p>
      <w:pPr>
        <w:rPr>
          <w:rFonts w:ascii="宋体" w:hAnsi="宋体"/>
          <w:szCs w:val="20"/>
          <w:highlight w:val="none"/>
        </w:rPr>
      </w:pPr>
    </w:p>
    <w:p>
      <w:pPr>
        <w:widowControl/>
        <w:jc w:val="left"/>
        <w:rPr>
          <w:rFonts w:ascii="宋体" w:hAnsi="宋体"/>
          <w:sz w:val="24"/>
          <w:szCs w:val="20"/>
          <w:highlight w:val="none"/>
        </w:rPr>
      </w:pPr>
    </w:p>
    <w:p>
      <w:pPr>
        <w:widowControl/>
        <w:jc w:val="left"/>
        <w:rPr>
          <w:rFonts w:ascii="宋体" w:hAnsi="宋体"/>
          <w:sz w:val="24"/>
          <w:szCs w:val="20"/>
          <w:highlight w:val="none"/>
        </w:rPr>
      </w:pPr>
    </w:p>
    <w:p>
      <w:pPr>
        <w:widowControl/>
        <w:jc w:val="left"/>
        <w:rPr>
          <w:rFonts w:ascii="宋体" w:hAnsi="宋体"/>
          <w:sz w:val="24"/>
          <w:szCs w:val="20"/>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spacing w:line="588" w:lineRule="exact"/>
        <w:jc w:val="center"/>
        <w:rPr>
          <w:rFonts w:ascii="宋体" w:hAnsi="宋体"/>
          <w:b/>
          <w:spacing w:val="6"/>
          <w:sz w:val="44"/>
          <w:szCs w:val="44"/>
          <w:highlight w:val="none"/>
        </w:rPr>
      </w:pPr>
      <w:r>
        <w:rPr>
          <w:rFonts w:hint="eastAsia" w:ascii="宋体" w:hAnsi="宋体"/>
          <w:b/>
          <w:spacing w:val="6"/>
          <w:sz w:val="44"/>
          <w:szCs w:val="44"/>
          <w:highlight w:val="none"/>
        </w:rPr>
        <w:t>残疾人福利性单位声明函</w:t>
      </w:r>
    </w:p>
    <w:p>
      <w:pPr>
        <w:spacing w:line="588" w:lineRule="exact"/>
        <w:jc w:val="center"/>
        <w:rPr>
          <w:rFonts w:ascii="宋体" w:hAnsi="宋体"/>
          <w:b/>
          <w:spacing w:val="6"/>
          <w:sz w:val="32"/>
          <w:szCs w:val="32"/>
          <w:highlight w:val="none"/>
        </w:rPr>
      </w:pPr>
    </w:p>
    <w:p>
      <w:pPr>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本单位对上述声明的真实性负责。如有虚假，将依法承担相应责任。</w:t>
      </w:r>
    </w:p>
    <w:p>
      <w:pPr>
        <w:snapToGrid w:val="0"/>
        <w:spacing w:line="360" w:lineRule="auto"/>
        <w:ind w:firstLine="560" w:firstLineChars="200"/>
        <w:rPr>
          <w:rFonts w:ascii="仿宋" w:hAnsi="仿宋" w:eastAsia="仿宋"/>
          <w:sz w:val="28"/>
          <w:szCs w:val="28"/>
          <w:highlight w:val="none"/>
        </w:rPr>
      </w:pPr>
    </w:p>
    <w:p>
      <w:pPr>
        <w:spacing w:line="588" w:lineRule="exact"/>
        <w:ind w:firstLine="624" w:firstLineChars="200"/>
        <w:rPr>
          <w:rFonts w:ascii="仿宋_GB2312" w:eastAsia="仿宋_GB2312"/>
          <w:spacing w:val="6"/>
          <w:sz w:val="30"/>
          <w:szCs w:val="30"/>
          <w:highlight w:val="none"/>
        </w:rPr>
      </w:pPr>
    </w:p>
    <w:p>
      <w:pPr>
        <w:snapToGrid w:val="0"/>
        <w:spacing w:line="360" w:lineRule="auto"/>
        <w:ind w:firstLine="560" w:firstLineChars="200"/>
        <w:jc w:val="right"/>
        <w:rPr>
          <w:rFonts w:ascii="仿宋" w:hAnsi="仿宋" w:eastAsia="仿宋"/>
          <w:sz w:val="28"/>
          <w:szCs w:val="28"/>
          <w:highlight w:val="none"/>
        </w:rPr>
      </w:pPr>
      <w:r>
        <w:rPr>
          <w:rFonts w:hint="eastAsia" w:ascii="仿宋" w:hAnsi="仿宋" w:eastAsia="仿宋"/>
          <w:sz w:val="28"/>
          <w:szCs w:val="28"/>
          <w:highlight w:val="none"/>
        </w:rPr>
        <w:t xml:space="preserve">      单位名称（盖章）：</w:t>
      </w:r>
    </w:p>
    <w:p>
      <w:pPr>
        <w:snapToGrid w:val="0"/>
        <w:spacing w:line="360" w:lineRule="auto"/>
        <w:ind w:firstLine="560" w:firstLineChars="200"/>
        <w:jc w:val="right"/>
        <w:rPr>
          <w:rFonts w:ascii="仿宋" w:hAnsi="仿宋" w:eastAsia="仿宋"/>
          <w:sz w:val="28"/>
          <w:szCs w:val="28"/>
          <w:highlight w:val="none"/>
        </w:rPr>
      </w:pPr>
      <w:r>
        <w:rPr>
          <w:rFonts w:hint="eastAsia" w:ascii="仿宋" w:hAnsi="仿宋" w:eastAsia="仿宋"/>
          <w:sz w:val="28"/>
          <w:szCs w:val="28"/>
          <w:highlight w:val="none"/>
        </w:rPr>
        <w:t xml:space="preserve">       日  期：</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spacing w:line="588" w:lineRule="exact"/>
        <w:jc w:val="left"/>
        <w:rPr>
          <w:rFonts w:ascii="宋体" w:hAnsi="宋体"/>
          <w:b/>
          <w:spacing w:val="6"/>
          <w:sz w:val="32"/>
          <w:szCs w:val="32"/>
          <w:highlight w:val="none"/>
        </w:rPr>
      </w:pPr>
      <w:r>
        <w:rPr>
          <w:rFonts w:hint="eastAsia" w:ascii="宋体" w:hAnsi="宋体"/>
          <w:b/>
          <w:spacing w:val="6"/>
          <w:sz w:val="32"/>
          <w:szCs w:val="32"/>
          <w:highlight w:val="none"/>
        </w:rPr>
        <w:t>附件十：</w:t>
      </w:r>
    </w:p>
    <w:p>
      <w:pPr>
        <w:spacing w:line="360" w:lineRule="auto"/>
        <w:jc w:val="center"/>
        <w:rPr>
          <w:rFonts w:ascii="仿宋_GB2312" w:hAnsi="宋体" w:eastAsia="仿宋_GB2312"/>
          <w:b/>
          <w:bCs/>
          <w:sz w:val="28"/>
          <w:szCs w:val="28"/>
          <w:highlight w:val="none"/>
        </w:rPr>
      </w:pPr>
      <w:r>
        <w:rPr>
          <w:rFonts w:hint="eastAsia" w:ascii="仿宋_GB2312" w:eastAsia="仿宋_GB2312"/>
          <w:b/>
          <w:bCs/>
          <w:sz w:val="28"/>
          <w:szCs w:val="28"/>
          <w:highlight w:val="none"/>
        </w:rPr>
        <w:t>商务条款偏离表</w:t>
      </w:r>
    </w:p>
    <w:p>
      <w:pPr>
        <w:spacing w:line="360" w:lineRule="auto"/>
        <w:rPr>
          <w:rFonts w:ascii="仿宋_GB2312" w:eastAsia="仿宋_GB2312"/>
          <w:sz w:val="28"/>
          <w:szCs w:val="28"/>
          <w:highlight w:val="none"/>
        </w:rPr>
      </w:pPr>
      <w:r>
        <w:rPr>
          <w:rFonts w:hint="eastAsia" w:ascii="仿宋_GB2312" w:hAnsi="宋体" w:eastAsia="仿宋_GB2312"/>
          <w:sz w:val="28"/>
          <w:szCs w:val="28"/>
          <w:highlight w:val="none"/>
        </w:rPr>
        <w:t>投标人全称（加盖公章）：</w:t>
      </w:r>
    </w:p>
    <w:tbl>
      <w:tblPr>
        <w:tblStyle w:val="48"/>
        <w:tblW w:w="872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8"/>
        <w:gridCol w:w="3060"/>
        <w:gridCol w:w="3060"/>
        <w:gridCol w:w="1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hAnsi="宋体" w:eastAsia="仿宋_GB2312"/>
                <w:sz w:val="28"/>
                <w:szCs w:val="28"/>
                <w:highlight w:val="none"/>
              </w:rPr>
            </w:pPr>
            <w:r>
              <w:rPr>
                <w:rFonts w:hint="eastAsia" w:ascii="仿宋_GB2312" w:hAnsi="宋体" w:eastAsia="仿宋_GB2312"/>
                <w:sz w:val="28"/>
                <w:szCs w:val="28"/>
                <w:highlight w:val="none"/>
              </w:rPr>
              <w:t>序号</w:t>
            </w:r>
          </w:p>
        </w:tc>
        <w:tc>
          <w:tcPr>
            <w:tcW w:w="30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hAnsi="宋体" w:eastAsia="仿宋_GB2312"/>
                <w:sz w:val="28"/>
                <w:szCs w:val="28"/>
                <w:highlight w:val="none"/>
              </w:rPr>
            </w:pPr>
            <w:r>
              <w:rPr>
                <w:rFonts w:hint="eastAsia" w:ascii="仿宋_GB2312" w:hAnsi="宋体" w:eastAsia="仿宋_GB2312"/>
                <w:sz w:val="28"/>
                <w:szCs w:val="28"/>
                <w:highlight w:val="none"/>
              </w:rPr>
              <w:t>采购文件的商务条款</w:t>
            </w:r>
          </w:p>
        </w:tc>
        <w:tc>
          <w:tcPr>
            <w:tcW w:w="30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仿宋_GB2312" w:hAnsi="宋体" w:eastAsia="仿宋_GB2312"/>
                <w:sz w:val="28"/>
                <w:szCs w:val="28"/>
                <w:highlight w:val="none"/>
              </w:rPr>
            </w:pPr>
            <w:r>
              <w:rPr>
                <w:rFonts w:hint="eastAsia" w:ascii="仿宋_GB2312" w:hAnsi="宋体" w:eastAsia="仿宋_GB2312"/>
                <w:sz w:val="28"/>
                <w:szCs w:val="28"/>
                <w:highlight w:val="none"/>
              </w:rPr>
              <w:t>投标文件的商务条款</w:t>
            </w:r>
          </w:p>
        </w:tc>
        <w:tc>
          <w:tcPr>
            <w:tcW w:w="177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_GB2312" w:hAnsi="宋体" w:eastAsia="仿宋_GB2312"/>
                <w:sz w:val="28"/>
                <w:szCs w:val="28"/>
                <w:highlight w:val="none"/>
              </w:rPr>
            </w:pPr>
            <w:r>
              <w:rPr>
                <w:rFonts w:hint="eastAsia" w:ascii="仿宋_GB2312" w:hAnsi="宋体" w:eastAsia="仿宋_GB2312"/>
                <w:sz w:val="28"/>
                <w:szCs w:val="28"/>
                <w:highlight w:val="none"/>
              </w:rPr>
              <w:t>偏离原因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highlight w:val="none"/>
              </w:rPr>
            </w:pPr>
          </w:p>
        </w:tc>
        <w:tc>
          <w:tcPr>
            <w:tcW w:w="1775"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highlight w:val="none"/>
              </w:rPr>
            </w:pPr>
          </w:p>
        </w:tc>
        <w:tc>
          <w:tcPr>
            <w:tcW w:w="1775"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highlight w:val="none"/>
              </w:rPr>
            </w:pPr>
          </w:p>
        </w:tc>
        <w:tc>
          <w:tcPr>
            <w:tcW w:w="1775"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highlight w:val="none"/>
              </w:rPr>
            </w:pPr>
          </w:p>
        </w:tc>
        <w:tc>
          <w:tcPr>
            <w:tcW w:w="1775"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highlight w:val="none"/>
              </w:rPr>
            </w:pPr>
          </w:p>
        </w:tc>
        <w:tc>
          <w:tcPr>
            <w:tcW w:w="1775"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highlight w:val="none"/>
              </w:rPr>
            </w:pPr>
          </w:p>
        </w:tc>
        <w:tc>
          <w:tcPr>
            <w:tcW w:w="1775"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highlight w:val="none"/>
              </w:rPr>
            </w:pPr>
          </w:p>
        </w:tc>
        <w:tc>
          <w:tcPr>
            <w:tcW w:w="1775"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highlight w:val="none"/>
              </w:rPr>
            </w:pPr>
          </w:p>
        </w:tc>
        <w:tc>
          <w:tcPr>
            <w:tcW w:w="1775"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highlight w:val="none"/>
              </w:rPr>
            </w:pPr>
          </w:p>
        </w:tc>
        <w:tc>
          <w:tcPr>
            <w:tcW w:w="1775"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highlight w:val="none"/>
              </w:rPr>
            </w:pPr>
          </w:p>
        </w:tc>
        <w:tc>
          <w:tcPr>
            <w:tcW w:w="3060"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highlight w:val="none"/>
              </w:rPr>
            </w:pPr>
          </w:p>
        </w:tc>
        <w:tc>
          <w:tcPr>
            <w:tcW w:w="1775" w:type="dxa"/>
            <w:tcBorders>
              <w:top w:val="single" w:color="auto" w:sz="4" w:space="0"/>
              <w:left w:val="single" w:color="auto" w:sz="4" w:space="0"/>
              <w:bottom w:val="single" w:color="auto" w:sz="4" w:space="0"/>
              <w:right w:val="single" w:color="auto" w:sz="4" w:space="0"/>
            </w:tcBorders>
            <w:noWrap/>
          </w:tcPr>
          <w:p>
            <w:pPr>
              <w:spacing w:line="360" w:lineRule="auto"/>
              <w:ind w:firstLine="600" w:firstLineChars="200"/>
              <w:rPr>
                <w:rFonts w:ascii="仿宋_GB2312" w:hAnsi="宋体" w:eastAsia="仿宋_GB2312"/>
                <w:sz w:val="30"/>
                <w:highlight w:val="none"/>
              </w:rPr>
            </w:pPr>
          </w:p>
        </w:tc>
      </w:tr>
    </w:tbl>
    <w:p>
      <w:pPr>
        <w:rPr>
          <w:rFonts w:ascii="仿宋_GB2312" w:hAnsi="宋体" w:eastAsia="仿宋_GB2312"/>
          <w:sz w:val="28"/>
          <w:szCs w:val="28"/>
          <w:highlight w:val="none"/>
        </w:rPr>
      </w:pPr>
    </w:p>
    <w:p>
      <w:pPr>
        <w:rPr>
          <w:rFonts w:ascii="仿宋_GB2312" w:hAnsi="宋体" w:eastAsia="仿宋_GB2312"/>
          <w:sz w:val="28"/>
          <w:szCs w:val="28"/>
          <w:highlight w:val="none"/>
        </w:rPr>
      </w:pPr>
      <w:r>
        <w:rPr>
          <w:rFonts w:hint="eastAsia" w:ascii="仿宋_GB2312" w:hAnsi="宋体" w:eastAsia="仿宋_GB2312"/>
          <w:sz w:val="28"/>
          <w:szCs w:val="28"/>
          <w:highlight w:val="none"/>
        </w:rPr>
        <w:t>日期：   年   月   日</w:t>
      </w:r>
    </w:p>
    <w:p>
      <w:pPr>
        <w:spacing w:line="360" w:lineRule="auto"/>
        <w:rPr>
          <w:rFonts w:ascii="宋体" w:hAnsi="宋体"/>
          <w:b/>
          <w:bCs/>
          <w:sz w:val="24"/>
          <w:highlight w:val="none"/>
        </w:rPr>
      </w:pPr>
      <w:r>
        <w:rPr>
          <w:rFonts w:hint="eastAsia" w:ascii="宋体" w:hAnsi="宋体"/>
          <w:b/>
          <w:sz w:val="24"/>
          <w:highlight w:val="none"/>
        </w:rPr>
        <w:t>注：本表格为</w:t>
      </w:r>
      <w:r>
        <w:rPr>
          <w:rFonts w:hint="eastAsia" w:ascii="宋体" w:hAnsi="宋体"/>
          <w:b/>
          <w:bCs/>
          <w:sz w:val="24"/>
          <w:highlight w:val="none"/>
        </w:rPr>
        <w:t>商务要求中除报价以外的其他要求，“偏离原因”项应填写“正偏离”或“负偏离”，填写“无偏离”或未填写项将视同完全响应采购文件要求，</w:t>
      </w:r>
      <w:r>
        <w:rPr>
          <w:rFonts w:hint="eastAsia" w:ascii="宋体" w:hAnsi="宋体"/>
          <w:b/>
          <w:sz w:val="24"/>
          <w:highlight w:val="none"/>
        </w:rPr>
        <w:t>此表可在不改变格式的情况下自行制作。</w:t>
      </w:r>
    </w:p>
    <w:p>
      <w:pPr>
        <w:snapToGrid w:val="0"/>
        <w:rPr>
          <w:rFonts w:ascii="宋体" w:hAnsi="宋体"/>
          <w:b/>
          <w:sz w:val="30"/>
          <w:szCs w:val="30"/>
          <w:highlight w:val="none"/>
        </w:rPr>
      </w:pPr>
    </w:p>
    <w:p>
      <w:pPr>
        <w:snapToGrid w:val="0"/>
        <w:rPr>
          <w:rFonts w:ascii="宋体" w:hAnsi="宋体"/>
          <w:b/>
          <w:sz w:val="30"/>
          <w:szCs w:val="30"/>
          <w:highlight w:val="none"/>
        </w:rPr>
      </w:pPr>
    </w:p>
    <w:p>
      <w:pPr>
        <w:snapToGrid w:val="0"/>
        <w:rPr>
          <w:rFonts w:ascii="宋体" w:hAnsi="宋体"/>
          <w:b/>
          <w:sz w:val="30"/>
          <w:szCs w:val="30"/>
          <w:highlight w:val="none"/>
        </w:rPr>
      </w:pPr>
    </w:p>
    <w:p>
      <w:pPr>
        <w:snapToGrid w:val="0"/>
        <w:rPr>
          <w:rFonts w:ascii="宋体" w:hAnsi="宋体"/>
          <w:b/>
          <w:sz w:val="30"/>
          <w:szCs w:val="30"/>
          <w:highlight w:val="none"/>
        </w:rPr>
      </w:pPr>
    </w:p>
    <w:p>
      <w:pPr>
        <w:snapToGrid w:val="0"/>
        <w:rPr>
          <w:rFonts w:ascii="宋体" w:hAnsi="宋体"/>
          <w:b/>
          <w:sz w:val="30"/>
          <w:szCs w:val="30"/>
          <w:highlight w:val="none"/>
        </w:rPr>
      </w:pPr>
    </w:p>
    <w:p>
      <w:pPr>
        <w:snapToGrid w:val="0"/>
        <w:rPr>
          <w:rFonts w:ascii="宋体" w:hAnsi="宋体"/>
          <w:b/>
          <w:sz w:val="30"/>
          <w:szCs w:val="30"/>
          <w:highlight w:val="none"/>
        </w:rPr>
      </w:pPr>
    </w:p>
    <w:p>
      <w:pPr>
        <w:snapToGrid w:val="0"/>
        <w:rPr>
          <w:rFonts w:ascii="宋体" w:hAnsi="宋体"/>
          <w:b/>
          <w:sz w:val="30"/>
          <w:szCs w:val="30"/>
          <w:highlight w:val="none"/>
        </w:rPr>
      </w:pPr>
    </w:p>
    <w:p>
      <w:pPr>
        <w:snapToGrid w:val="0"/>
        <w:rPr>
          <w:rFonts w:ascii="宋体" w:hAnsi="宋体"/>
          <w:b/>
          <w:sz w:val="30"/>
          <w:szCs w:val="30"/>
          <w:highlight w:val="none"/>
        </w:rPr>
      </w:pPr>
    </w:p>
    <w:p>
      <w:pPr>
        <w:rPr>
          <w:highlight w:val="none"/>
        </w:rPr>
      </w:pPr>
    </w:p>
    <w:p>
      <w:pPr>
        <w:rPr>
          <w:highlight w:val="none"/>
        </w:rPr>
      </w:pPr>
    </w:p>
    <w:p>
      <w:pPr>
        <w:tabs>
          <w:tab w:val="left" w:pos="540"/>
        </w:tabs>
        <w:rPr>
          <w:rFonts w:ascii="宋体" w:hAnsi="宋体"/>
          <w:b/>
          <w:color w:val="000000"/>
          <w:sz w:val="30"/>
          <w:szCs w:val="30"/>
          <w:highlight w:val="none"/>
        </w:rPr>
      </w:pPr>
      <w:r>
        <w:rPr>
          <w:rFonts w:hint="eastAsia" w:ascii="宋体" w:hAnsi="宋体"/>
          <w:b/>
          <w:color w:val="000000"/>
          <w:sz w:val="30"/>
          <w:szCs w:val="30"/>
          <w:highlight w:val="none"/>
        </w:rPr>
        <w:t>附件十一：</w:t>
      </w:r>
    </w:p>
    <w:p>
      <w:pPr>
        <w:tabs>
          <w:tab w:val="left" w:pos="540"/>
        </w:tabs>
        <w:jc w:val="center"/>
        <w:rPr>
          <w:rFonts w:ascii="仿宋_GB2312" w:hAnsi="宋体" w:eastAsia="仿宋_GB2312"/>
          <w:b/>
          <w:sz w:val="28"/>
          <w:szCs w:val="28"/>
          <w:highlight w:val="none"/>
          <w:lang w:val="en-GB"/>
        </w:rPr>
      </w:pPr>
      <w:r>
        <w:rPr>
          <w:rFonts w:hint="eastAsia" w:ascii="仿宋_GB2312" w:hAnsi="宋体" w:eastAsia="仿宋_GB2312"/>
          <w:b/>
          <w:sz w:val="28"/>
          <w:szCs w:val="28"/>
          <w:highlight w:val="none"/>
          <w:lang w:val="en-GB"/>
        </w:rPr>
        <w:t>拟任执行管理及技术人员情况</w:t>
      </w:r>
    </w:p>
    <w:p>
      <w:pPr>
        <w:spacing w:line="500" w:lineRule="exact"/>
        <w:jc w:val="center"/>
        <w:rPr>
          <w:rFonts w:ascii="仿宋_GB2312" w:hAnsi="宋体" w:eastAsia="仿宋_GB2312"/>
          <w:b/>
          <w:sz w:val="28"/>
          <w:szCs w:val="28"/>
          <w:highlight w:val="none"/>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015"/>
        <w:gridCol w:w="1105"/>
        <w:gridCol w:w="3755"/>
        <w:gridCol w:w="600"/>
        <w:gridCol w:w="661"/>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exact"/>
          <w:jc w:val="center"/>
        </w:trPr>
        <w:tc>
          <w:tcPr>
            <w:tcW w:w="1424" w:type="dxa"/>
            <w:tcBorders>
              <w:top w:val="single" w:color="auto" w:sz="4" w:space="0"/>
              <w:left w:val="single" w:color="auto" w:sz="4" w:space="0"/>
              <w:bottom w:val="nil"/>
              <w:right w:val="single" w:color="auto" w:sz="4" w:space="0"/>
            </w:tcBorders>
            <w:shd w:val="clear" w:color="auto" w:fill="F3F3F3"/>
            <w:noWrap/>
            <w:vAlign w:val="center"/>
          </w:tcPr>
          <w:p>
            <w:pPr>
              <w:rPr>
                <w:rFonts w:ascii="宋体" w:hAnsi="宋体"/>
                <w:b/>
                <w:sz w:val="24"/>
                <w:highlight w:val="none"/>
              </w:rPr>
            </w:pPr>
            <w:r>
              <w:rPr>
                <w:rFonts w:hint="eastAsia" w:ascii="宋体" w:hAnsi="宋体"/>
                <w:b/>
                <w:sz w:val="24"/>
                <w:highlight w:val="none"/>
              </w:rPr>
              <w:t>职责分工</w:t>
            </w:r>
          </w:p>
        </w:tc>
        <w:tc>
          <w:tcPr>
            <w:tcW w:w="1015" w:type="dxa"/>
            <w:tcBorders>
              <w:top w:val="single" w:color="auto" w:sz="4" w:space="0"/>
              <w:left w:val="single" w:color="auto" w:sz="4" w:space="0"/>
              <w:bottom w:val="nil"/>
              <w:right w:val="single" w:color="auto" w:sz="4" w:space="0"/>
            </w:tcBorders>
            <w:shd w:val="clear" w:color="auto" w:fill="F3F3F3"/>
            <w:noWrap/>
            <w:vAlign w:val="center"/>
          </w:tcPr>
          <w:p>
            <w:pPr>
              <w:ind w:firstLine="116" w:firstLineChars="48"/>
              <w:rPr>
                <w:rFonts w:ascii="宋体" w:hAnsi="宋体"/>
                <w:b/>
                <w:sz w:val="24"/>
                <w:highlight w:val="none"/>
              </w:rPr>
            </w:pPr>
            <w:r>
              <w:rPr>
                <w:rFonts w:hint="eastAsia" w:ascii="宋体" w:hAnsi="宋体"/>
                <w:b/>
                <w:sz w:val="24"/>
                <w:highlight w:val="none"/>
              </w:rPr>
              <w:t>姓名</w:t>
            </w:r>
          </w:p>
        </w:tc>
        <w:tc>
          <w:tcPr>
            <w:tcW w:w="1105" w:type="dxa"/>
            <w:tcBorders>
              <w:top w:val="single" w:color="auto" w:sz="4" w:space="0"/>
              <w:left w:val="single" w:color="auto" w:sz="4" w:space="0"/>
              <w:bottom w:val="nil"/>
            </w:tcBorders>
            <w:shd w:val="clear" w:color="auto" w:fill="F3F3F3"/>
            <w:noWrap/>
            <w:vAlign w:val="center"/>
          </w:tcPr>
          <w:p>
            <w:pPr>
              <w:rPr>
                <w:rFonts w:ascii="宋体" w:hAnsi="宋体"/>
                <w:b/>
                <w:sz w:val="24"/>
                <w:highlight w:val="none"/>
              </w:rPr>
            </w:pPr>
            <w:r>
              <w:rPr>
                <w:rFonts w:hint="eastAsia" w:ascii="宋体" w:hAnsi="宋体"/>
                <w:b/>
                <w:sz w:val="24"/>
                <w:highlight w:val="none"/>
              </w:rPr>
              <w:t>现职务</w:t>
            </w:r>
          </w:p>
        </w:tc>
        <w:tc>
          <w:tcPr>
            <w:tcW w:w="3755" w:type="dxa"/>
            <w:tcBorders>
              <w:top w:val="single" w:color="auto" w:sz="4" w:space="0"/>
              <w:bottom w:val="nil"/>
            </w:tcBorders>
            <w:shd w:val="clear" w:color="auto" w:fill="F3F3F3"/>
            <w:noWrap/>
            <w:vAlign w:val="center"/>
          </w:tcPr>
          <w:p>
            <w:pPr>
              <w:rPr>
                <w:rFonts w:ascii="宋体" w:hAnsi="宋体"/>
                <w:b/>
                <w:sz w:val="24"/>
                <w:highlight w:val="none"/>
              </w:rPr>
            </w:pPr>
            <w:r>
              <w:rPr>
                <w:rFonts w:hint="eastAsia" w:ascii="宋体" w:hAnsi="宋体"/>
                <w:b/>
                <w:sz w:val="24"/>
                <w:highlight w:val="none"/>
              </w:rPr>
              <w:t>曾主持/参与的同类项目经历</w:t>
            </w:r>
          </w:p>
        </w:tc>
        <w:tc>
          <w:tcPr>
            <w:tcW w:w="600" w:type="dxa"/>
            <w:tcBorders>
              <w:top w:val="single" w:color="auto" w:sz="4" w:space="0"/>
              <w:bottom w:val="nil"/>
            </w:tcBorders>
            <w:shd w:val="clear" w:color="auto" w:fill="F3F3F3"/>
            <w:noWrap/>
            <w:vAlign w:val="center"/>
          </w:tcPr>
          <w:p>
            <w:pPr>
              <w:rPr>
                <w:rFonts w:ascii="宋体" w:hAnsi="宋体"/>
                <w:b/>
                <w:sz w:val="24"/>
                <w:highlight w:val="none"/>
              </w:rPr>
            </w:pPr>
            <w:r>
              <w:rPr>
                <w:rFonts w:hint="eastAsia" w:ascii="宋体" w:hAnsi="宋体"/>
                <w:b/>
                <w:sz w:val="24"/>
                <w:highlight w:val="none"/>
              </w:rPr>
              <w:t>职称</w:t>
            </w:r>
          </w:p>
        </w:tc>
        <w:tc>
          <w:tcPr>
            <w:tcW w:w="661" w:type="dxa"/>
            <w:tcBorders>
              <w:top w:val="single" w:color="auto" w:sz="4" w:space="0"/>
              <w:bottom w:val="nil"/>
              <w:right w:val="single" w:color="auto" w:sz="4" w:space="0"/>
            </w:tcBorders>
            <w:shd w:val="clear" w:color="auto" w:fill="F3F3F3"/>
            <w:noWrap/>
            <w:vAlign w:val="center"/>
          </w:tcPr>
          <w:p>
            <w:pPr>
              <w:ind w:firstLine="12"/>
              <w:jc w:val="center"/>
              <w:rPr>
                <w:rFonts w:ascii="宋体" w:hAnsi="宋体"/>
                <w:b/>
                <w:sz w:val="24"/>
                <w:highlight w:val="none"/>
              </w:rPr>
            </w:pPr>
            <w:r>
              <w:rPr>
                <w:rFonts w:hint="eastAsia" w:ascii="宋体" w:hAnsi="宋体"/>
                <w:b/>
                <w:sz w:val="24"/>
                <w:highlight w:val="none"/>
              </w:rPr>
              <w:t>专业工龄</w:t>
            </w:r>
          </w:p>
        </w:tc>
        <w:tc>
          <w:tcPr>
            <w:tcW w:w="2235" w:type="dxa"/>
            <w:tcBorders>
              <w:top w:val="single" w:color="auto" w:sz="4" w:space="0"/>
              <w:bottom w:val="nil"/>
              <w:right w:val="single" w:color="auto" w:sz="4" w:space="0"/>
            </w:tcBorders>
            <w:shd w:val="clear" w:color="auto" w:fill="F3F3F3"/>
            <w:noWrap/>
            <w:vAlign w:val="center"/>
          </w:tcPr>
          <w:p>
            <w:pPr>
              <w:ind w:firstLine="12"/>
              <w:rPr>
                <w:rFonts w:ascii="宋体" w:hAnsi="宋体"/>
                <w:b/>
                <w:sz w:val="24"/>
                <w:highlight w:val="none"/>
              </w:rPr>
            </w:pPr>
            <w:r>
              <w:rPr>
                <w:rFonts w:hint="eastAsia" w:ascii="宋体" w:hAnsi="宋体"/>
                <w:b/>
                <w:sz w:val="24"/>
                <w:highlight w:val="none"/>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exact"/>
          <w:jc w:val="center"/>
        </w:trPr>
        <w:tc>
          <w:tcPr>
            <w:tcW w:w="1424" w:type="dxa"/>
            <w:tcBorders>
              <w:top w:val="single" w:color="auto" w:sz="4" w:space="0"/>
              <w:left w:val="single" w:color="auto" w:sz="4" w:space="0"/>
              <w:bottom w:val="nil"/>
              <w:right w:val="single" w:color="auto" w:sz="4" w:space="0"/>
            </w:tcBorders>
            <w:noWrap/>
            <w:vAlign w:val="center"/>
          </w:tcPr>
          <w:p>
            <w:pPr>
              <w:rPr>
                <w:rFonts w:ascii="宋体" w:hAnsi="宋体"/>
                <w:sz w:val="24"/>
                <w:highlight w:val="none"/>
              </w:rPr>
            </w:pPr>
            <w:r>
              <w:rPr>
                <w:rFonts w:hint="eastAsia" w:ascii="宋体" w:hAnsi="宋体"/>
                <w:sz w:val="24"/>
                <w:highlight w:val="none"/>
              </w:rPr>
              <w:t>项目负责人</w:t>
            </w:r>
          </w:p>
        </w:tc>
        <w:tc>
          <w:tcPr>
            <w:tcW w:w="1015" w:type="dxa"/>
            <w:tcBorders>
              <w:top w:val="single" w:color="auto" w:sz="4" w:space="0"/>
              <w:left w:val="single" w:color="auto" w:sz="4" w:space="0"/>
              <w:bottom w:val="nil"/>
              <w:right w:val="single" w:color="auto" w:sz="4" w:space="0"/>
            </w:tcBorders>
            <w:noWrap/>
            <w:vAlign w:val="center"/>
          </w:tcPr>
          <w:p>
            <w:pPr>
              <w:jc w:val="center"/>
              <w:rPr>
                <w:rFonts w:ascii="宋体" w:hAnsi="宋体"/>
                <w:sz w:val="24"/>
                <w:highlight w:val="none"/>
              </w:rPr>
            </w:pPr>
          </w:p>
        </w:tc>
        <w:tc>
          <w:tcPr>
            <w:tcW w:w="1105" w:type="dxa"/>
            <w:tcBorders>
              <w:top w:val="single" w:color="auto" w:sz="4" w:space="0"/>
              <w:left w:val="single" w:color="auto" w:sz="4" w:space="0"/>
              <w:bottom w:val="nil"/>
            </w:tcBorders>
            <w:noWrap/>
            <w:vAlign w:val="center"/>
          </w:tcPr>
          <w:p>
            <w:pPr>
              <w:jc w:val="center"/>
              <w:rPr>
                <w:rFonts w:ascii="宋体" w:hAnsi="宋体"/>
                <w:sz w:val="24"/>
                <w:highlight w:val="none"/>
              </w:rPr>
            </w:pPr>
          </w:p>
        </w:tc>
        <w:tc>
          <w:tcPr>
            <w:tcW w:w="3755" w:type="dxa"/>
            <w:tcBorders>
              <w:top w:val="single" w:color="auto" w:sz="4" w:space="0"/>
              <w:bottom w:val="nil"/>
            </w:tcBorders>
            <w:noWrap/>
            <w:vAlign w:val="center"/>
          </w:tcPr>
          <w:p>
            <w:pPr>
              <w:pStyle w:val="278"/>
              <w:keepNext w:val="0"/>
              <w:adjustRightInd/>
              <w:spacing w:before="0" w:after="0" w:line="240" w:lineRule="auto"/>
              <w:textAlignment w:val="auto"/>
              <w:rPr>
                <w:rFonts w:ascii="宋体" w:hAnsi="宋体"/>
                <w:snapToGrid/>
                <w:spacing w:val="0"/>
                <w:kern w:val="2"/>
                <w:szCs w:val="24"/>
                <w:highlight w:val="none"/>
              </w:rPr>
            </w:pPr>
          </w:p>
        </w:tc>
        <w:tc>
          <w:tcPr>
            <w:tcW w:w="600" w:type="dxa"/>
            <w:tcBorders>
              <w:top w:val="single" w:color="auto" w:sz="4" w:space="0"/>
              <w:bottom w:val="nil"/>
            </w:tcBorders>
            <w:noWrap/>
            <w:vAlign w:val="center"/>
          </w:tcPr>
          <w:p>
            <w:pPr>
              <w:jc w:val="center"/>
              <w:rPr>
                <w:rFonts w:ascii="宋体" w:hAnsi="宋体"/>
                <w:sz w:val="24"/>
                <w:highlight w:val="none"/>
              </w:rPr>
            </w:pPr>
          </w:p>
        </w:tc>
        <w:tc>
          <w:tcPr>
            <w:tcW w:w="661" w:type="dxa"/>
            <w:tcBorders>
              <w:top w:val="single" w:color="auto" w:sz="4" w:space="0"/>
              <w:bottom w:val="nil"/>
              <w:right w:val="single" w:color="auto" w:sz="4" w:space="0"/>
            </w:tcBorders>
            <w:noWrap/>
            <w:vAlign w:val="center"/>
          </w:tcPr>
          <w:p>
            <w:pPr>
              <w:ind w:firstLine="12"/>
              <w:jc w:val="center"/>
              <w:rPr>
                <w:rFonts w:ascii="宋体" w:hAnsi="宋体"/>
                <w:sz w:val="24"/>
                <w:highlight w:val="none"/>
              </w:rPr>
            </w:pPr>
          </w:p>
        </w:tc>
        <w:tc>
          <w:tcPr>
            <w:tcW w:w="2235" w:type="dxa"/>
            <w:tcBorders>
              <w:top w:val="single" w:color="auto" w:sz="4" w:space="0"/>
              <w:bottom w:val="nil"/>
              <w:right w:val="single" w:color="auto" w:sz="4" w:space="0"/>
            </w:tcBorders>
            <w:noWrap/>
            <w:vAlign w:val="center"/>
          </w:tcPr>
          <w:p>
            <w:pPr>
              <w:ind w:firstLine="12"/>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restart"/>
            <w:tcBorders>
              <w:left w:val="single" w:color="auto" w:sz="4" w:space="0"/>
              <w:right w:val="single" w:color="auto" w:sz="4" w:space="0"/>
            </w:tcBorders>
            <w:noWrap/>
            <w:vAlign w:val="center"/>
          </w:tcPr>
          <w:p>
            <w:pPr>
              <w:rPr>
                <w:rFonts w:ascii="宋体" w:hAnsi="宋体"/>
                <w:sz w:val="24"/>
                <w:highlight w:val="none"/>
              </w:rPr>
            </w:pPr>
            <w:r>
              <w:rPr>
                <w:rFonts w:hint="eastAsia" w:ascii="宋体" w:hAnsi="宋体"/>
                <w:sz w:val="24"/>
                <w:highlight w:val="none"/>
              </w:rPr>
              <w:t>其他主要技术人员</w:t>
            </w:r>
          </w:p>
        </w:tc>
        <w:tc>
          <w:tcPr>
            <w:tcW w:w="1015" w:type="dxa"/>
            <w:tcBorders>
              <w:left w:val="single" w:color="auto" w:sz="4" w:space="0"/>
              <w:right w:val="single" w:color="auto" w:sz="4" w:space="0"/>
            </w:tcBorders>
            <w:noWrap/>
            <w:vAlign w:val="center"/>
          </w:tcPr>
          <w:p>
            <w:pPr>
              <w:jc w:val="center"/>
              <w:rPr>
                <w:rFonts w:ascii="宋体" w:hAnsi="宋体"/>
                <w:sz w:val="24"/>
                <w:highlight w:val="none"/>
              </w:rPr>
            </w:pPr>
          </w:p>
        </w:tc>
        <w:tc>
          <w:tcPr>
            <w:tcW w:w="1105" w:type="dxa"/>
            <w:tcBorders>
              <w:left w:val="single" w:color="auto" w:sz="4" w:space="0"/>
            </w:tcBorders>
            <w:noWrap/>
            <w:vAlign w:val="center"/>
          </w:tcPr>
          <w:p>
            <w:pPr>
              <w:jc w:val="center"/>
              <w:rPr>
                <w:rFonts w:ascii="宋体" w:hAnsi="宋体"/>
                <w:sz w:val="24"/>
                <w:highlight w:val="none"/>
              </w:rPr>
            </w:pPr>
          </w:p>
        </w:tc>
        <w:tc>
          <w:tcPr>
            <w:tcW w:w="3755" w:type="dxa"/>
            <w:noWrap/>
            <w:vAlign w:val="center"/>
          </w:tcPr>
          <w:p>
            <w:pPr>
              <w:jc w:val="center"/>
              <w:rPr>
                <w:rFonts w:ascii="宋体" w:hAnsi="宋体"/>
                <w:sz w:val="24"/>
                <w:highlight w:val="none"/>
              </w:rPr>
            </w:pPr>
          </w:p>
        </w:tc>
        <w:tc>
          <w:tcPr>
            <w:tcW w:w="600" w:type="dxa"/>
            <w:noWrap/>
            <w:vAlign w:val="center"/>
          </w:tcPr>
          <w:p>
            <w:pPr>
              <w:jc w:val="center"/>
              <w:rPr>
                <w:rFonts w:ascii="宋体" w:hAnsi="宋体"/>
                <w:sz w:val="24"/>
                <w:highlight w:val="none"/>
              </w:rPr>
            </w:pPr>
          </w:p>
        </w:tc>
        <w:tc>
          <w:tcPr>
            <w:tcW w:w="661" w:type="dxa"/>
            <w:tcBorders>
              <w:right w:val="single" w:color="auto" w:sz="4" w:space="0"/>
            </w:tcBorders>
            <w:noWrap/>
            <w:vAlign w:val="center"/>
          </w:tcPr>
          <w:p>
            <w:pPr>
              <w:jc w:val="center"/>
              <w:rPr>
                <w:rFonts w:ascii="宋体" w:hAnsi="宋体"/>
                <w:sz w:val="24"/>
                <w:highlight w:val="none"/>
              </w:rPr>
            </w:pPr>
          </w:p>
        </w:tc>
        <w:tc>
          <w:tcPr>
            <w:tcW w:w="2235" w:type="dxa"/>
            <w:tcBorders>
              <w:right w:val="single" w:color="auto" w:sz="4" w:space="0"/>
            </w:tcBorders>
            <w:noWrap/>
            <w:vAlign w:val="center"/>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noWrap/>
            <w:vAlign w:val="center"/>
          </w:tcPr>
          <w:p>
            <w:pPr>
              <w:rPr>
                <w:rFonts w:ascii="宋体" w:hAnsi="宋体"/>
                <w:sz w:val="24"/>
                <w:highlight w:val="none"/>
              </w:rPr>
            </w:pPr>
          </w:p>
        </w:tc>
        <w:tc>
          <w:tcPr>
            <w:tcW w:w="1015" w:type="dxa"/>
            <w:tcBorders>
              <w:left w:val="single" w:color="auto" w:sz="4" w:space="0"/>
              <w:right w:val="single" w:color="auto" w:sz="4" w:space="0"/>
            </w:tcBorders>
            <w:noWrap/>
            <w:vAlign w:val="center"/>
          </w:tcPr>
          <w:p>
            <w:pPr>
              <w:jc w:val="center"/>
              <w:rPr>
                <w:rFonts w:ascii="宋体" w:hAnsi="宋体"/>
                <w:sz w:val="24"/>
                <w:highlight w:val="none"/>
              </w:rPr>
            </w:pPr>
          </w:p>
        </w:tc>
        <w:tc>
          <w:tcPr>
            <w:tcW w:w="1105" w:type="dxa"/>
            <w:tcBorders>
              <w:left w:val="single" w:color="auto" w:sz="4" w:space="0"/>
            </w:tcBorders>
            <w:noWrap/>
            <w:vAlign w:val="center"/>
          </w:tcPr>
          <w:p>
            <w:pPr>
              <w:jc w:val="center"/>
              <w:rPr>
                <w:rFonts w:ascii="宋体" w:hAnsi="宋体"/>
                <w:sz w:val="24"/>
                <w:highlight w:val="none"/>
              </w:rPr>
            </w:pPr>
          </w:p>
        </w:tc>
        <w:tc>
          <w:tcPr>
            <w:tcW w:w="3755" w:type="dxa"/>
            <w:noWrap/>
            <w:vAlign w:val="center"/>
          </w:tcPr>
          <w:p>
            <w:pPr>
              <w:jc w:val="center"/>
              <w:rPr>
                <w:rFonts w:ascii="宋体" w:hAnsi="宋体"/>
                <w:sz w:val="24"/>
                <w:highlight w:val="none"/>
              </w:rPr>
            </w:pPr>
          </w:p>
        </w:tc>
        <w:tc>
          <w:tcPr>
            <w:tcW w:w="600" w:type="dxa"/>
            <w:noWrap/>
            <w:vAlign w:val="center"/>
          </w:tcPr>
          <w:p>
            <w:pPr>
              <w:jc w:val="center"/>
              <w:rPr>
                <w:rFonts w:ascii="宋体" w:hAnsi="宋体"/>
                <w:sz w:val="24"/>
                <w:highlight w:val="none"/>
              </w:rPr>
            </w:pPr>
          </w:p>
        </w:tc>
        <w:tc>
          <w:tcPr>
            <w:tcW w:w="661" w:type="dxa"/>
            <w:tcBorders>
              <w:right w:val="single" w:color="auto" w:sz="4" w:space="0"/>
            </w:tcBorders>
            <w:noWrap/>
            <w:vAlign w:val="center"/>
          </w:tcPr>
          <w:p>
            <w:pPr>
              <w:jc w:val="center"/>
              <w:rPr>
                <w:rFonts w:ascii="宋体" w:hAnsi="宋体"/>
                <w:sz w:val="24"/>
                <w:highlight w:val="none"/>
              </w:rPr>
            </w:pPr>
          </w:p>
        </w:tc>
        <w:tc>
          <w:tcPr>
            <w:tcW w:w="2235" w:type="dxa"/>
            <w:tcBorders>
              <w:right w:val="single" w:color="auto" w:sz="4" w:space="0"/>
            </w:tcBorders>
            <w:noWrap/>
            <w:vAlign w:val="center"/>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noWrap/>
            <w:vAlign w:val="center"/>
          </w:tcPr>
          <w:p>
            <w:pPr>
              <w:rPr>
                <w:rFonts w:ascii="宋体" w:hAnsi="宋体"/>
                <w:sz w:val="24"/>
                <w:highlight w:val="none"/>
              </w:rPr>
            </w:pPr>
          </w:p>
        </w:tc>
        <w:tc>
          <w:tcPr>
            <w:tcW w:w="1015" w:type="dxa"/>
            <w:tcBorders>
              <w:left w:val="single" w:color="auto" w:sz="4" w:space="0"/>
              <w:right w:val="single" w:color="auto" w:sz="4" w:space="0"/>
            </w:tcBorders>
            <w:noWrap/>
            <w:vAlign w:val="center"/>
          </w:tcPr>
          <w:p>
            <w:pPr>
              <w:jc w:val="center"/>
              <w:rPr>
                <w:rFonts w:ascii="宋体" w:hAnsi="宋体"/>
                <w:sz w:val="24"/>
                <w:highlight w:val="none"/>
              </w:rPr>
            </w:pPr>
          </w:p>
        </w:tc>
        <w:tc>
          <w:tcPr>
            <w:tcW w:w="1105" w:type="dxa"/>
            <w:tcBorders>
              <w:left w:val="single" w:color="auto" w:sz="4" w:space="0"/>
            </w:tcBorders>
            <w:noWrap/>
            <w:vAlign w:val="center"/>
          </w:tcPr>
          <w:p>
            <w:pPr>
              <w:jc w:val="center"/>
              <w:rPr>
                <w:rFonts w:ascii="宋体" w:hAnsi="宋体"/>
                <w:sz w:val="24"/>
                <w:highlight w:val="none"/>
              </w:rPr>
            </w:pPr>
          </w:p>
        </w:tc>
        <w:tc>
          <w:tcPr>
            <w:tcW w:w="3755" w:type="dxa"/>
            <w:noWrap/>
            <w:vAlign w:val="center"/>
          </w:tcPr>
          <w:p>
            <w:pPr>
              <w:jc w:val="center"/>
              <w:rPr>
                <w:rFonts w:ascii="宋体" w:hAnsi="宋体"/>
                <w:sz w:val="24"/>
                <w:highlight w:val="none"/>
              </w:rPr>
            </w:pPr>
          </w:p>
        </w:tc>
        <w:tc>
          <w:tcPr>
            <w:tcW w:w="600" w:type="dxa"/>
            <w:noWrap/>
            <w:vAlign w:val="center"/>
          </w:tcPr>
          <w:p>
            <w:pPr>
              <w:jc w:val="center"/>
              <w:rPr>
                <w:rFonts w:ascii="宋体" w:hAnsi="宋体"/>
                <w:sz w:val="24"/>
                <w:highlight w:val="none"/>
              </w:rPr>
            </w:pPr>
          </w:p>
        </w:tc>
        <w:tc>
          <w:tcPr>
            <w:tcW w:w="661" w:type="dxa"/>
            <w:tcBorders>
              <w:right w:val="single" w:color="auto" w:sz="4" w:space="0"/>
            </w:tcBorders>
            <w:noWrap/>
            <w:vAlign w:val="center"/>
          </w:tcPr>
          <w:p>
            <w:pPr>
              <w:jc w:val="center"/>
              <w:rPr>
                <w:rFonts w:ascii="宋体" w:hAnsi="宋体"/>
                <w:sz w:val="24"/>
                <w:highlight w:val="none"/>
              </w:rPr>
            </w:pPr>
          </w:p>
        </w:tc>
        <w:tc>
          <w:tcPr>
            <w:tcW w:w="2235" w:type="dxa"/>
            <w:tcBorders>
              <w:right w:val="single" w:color="auto" w:sz="4" w:space="0"/>
            </w:tcBorders>
            <w:noWrap/>
            <w:vAlign w:val="center"/>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noWrap/>
            <w:vAlign w:val="center"/>
          </w:tcPr>
          <w:p>
            <w:pPr>
              <w:jc w:val="center"/>
              <w:rPr>
                <w:rFonts w:ascii="宋体" w:hAnsi="宋体"/>
                <w:sz w:val="24"/>
                <w:highlight w:val="none"/>
              </w:rPr>
            </w:pPr>
          </w:p>
        </w:tc>
        <w:tc>
          <w:tcPr>
            <w:tcW w:w="1015" w:type="dxa"/>
            <w:tcBorders>
              <w:left w:val="single" w:color="auto" w:sz="4" w:space="0"/>
              <w:right w:val="single" w:color="auto" w:sz="4" w:space="0"/>
            </w:tcBorders>
            <w:noWrap/>
            <w:vAlign w:val="center"/>
          </w:tcPr>
          <w:p>
            <w:pPr>
              <w:jc w:val="center"/>
              <w:rPr>
                <w:rFonts w:ascii="宋体" w:hAnsi="宋体"/>
                <w:sz w:val="24"/>
                <w:highlight w:val="none"/>
              </w:rPr>
            </w:pPr>
          </w:p>
        </w:tc>
        <w:tc>
          <w:tcPr>
            <w:tcW w:w="1105" w:type="dxa"/>
            <w:tcBorders>
              <w:left w:val="single" w:color="auto" w:sz="4" w:space="0"/>
            </w:tcBorders>
            <w:noWrap/>
            <w:vAlign w:val="center"/>
          </w:tcPr>
          <w:p>
            <w:pPr>
              <w:jc w:val="center"/>
              <w:rPr>
                <w:rFonts w:ascii="宋体" w:hAnsi="宋体"/>
                <w:sz w:val="24"/>
                <w:highlight w:val="none"/>
              </w:rPr>
            </w:pPr>
          </w:p>
        </w:tc>
        <w:tc>
          <w:tcPr>
            <w:tcW w:w="3755" w:type="dxa"/>
            <w:noWrap/>
            <w:vAlign w:val="center"/>
          </w:tcPr>
          <w:p>
            <w:pPr>
              <w:jc w:val="center"/>
              <w:rPr>
                <w:rFonts w:ascii="宋体" w:hAnsi="宋体"/>
                <w:sz w:val="24"/>
                <w:highlight w:val="none"/>
              </w:rPr>
            </w:pPr>
          </w:p>
        </w:tc>
        <w:tc>
          <w:tcPr>
            <w:tcW w:w="600" w:type="dxa"/>
            <w:noWrap/>
            <w:vAlign w:val="center"/>
          </w:tcPr>
          <w:p>
            <w:pPr>
              <w:jc w:val="center"/>
              <w:rPr>
                <w:rFonts w:ascii="宋体" w:hAnsi="宋体"/>
                <w:sz w:val="24"/>
                <w:highlight w:val="none"/>
              </w:rPr>
            </w:pPr>
          </w:p>
        </w:tc>
        <w:tc>
          <w:tcPr>
            <w:tcW w:w="661" w:type="dxa"/>
            <w:tcBorders>
              <w:right w:val="single" w:color="auto" w:sz="4" w:space="0"/>
            </w:tcBorders>
            <w:noWrap/>
            <w:vAlign w:val="center"/>
          </w:tcPr>
          <w:p>
            <w:pPr>
              <w:jc w:val="center"/>
              <w:rPr>
                <w:rFonts w:ascii="宋体" w:hAnsi="宋体"/>
                <w:sz w:val="24"/>
                <w:highlight w:val="none"/>
              </w:rPr>
            </w:pPr>
          </w:p>
        </w:tc>
        <w:tc>
          <w:tcPr>
            <w:tcW w:w="2235" w:type="dxa"/>
            <w:tcBorders>
              <w:right w:val="single" w:color="auto" w:sz="4" w:space="0"/>
            </w:tcBorders>
            <w:noWrap/>
            <w:vAlign w:val="center"/>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24" w:type="dxa"/>
            <w:vMerge w:val="continue"/>
            <w:tcBorders>
              <w:left w:val="single" w:color="auto" w:sz="4" w:space="0"/>
              <w:right w:val="single" w:color="auto" w:sz="4" w:space="0"/>
            </w:tcBorders>
            <w:noWrap/>
            <w:vAlign w:val="center"/>
          </w:tcPr>
          <w:p>
            <w:pPr>
              <w:jc w:val="center"/>
              <w:rPr>
                <w:rFonts w:ascii="宋体" w:hAnsi="宋体"/>
                <w:sz w:val="24"/>
                <w:highlight w:val="none"/>
              </w:rPr>
            </w:pPr>
          </w:p>
        </w:tc>
        <w:tc>
          <w:tcPr>
            <w:tcW w:w="1015" w:type="dxa"/>
            <w:tcBorders>
              <w:left w:val="single" w:color="auto" w:sz="4" w:space="0"/>
              <w:right w:val="single" w:color="auto" w:sz="4" w:space="0"/>
            </w:tcBorders>
            <w:noWrap/>
            <w:vAlign w:val="center"/>
          </w:tcPr>
          <w:p>
            <w:pPr>
              <w:jc w:val="center"/>
              <w:rPr>
                <w:rFonts w:ascii="宋体" w:hAnsi="宋体"/>
                <w:sz w:val="24"/>
                <w:highlight w:val="none"/>
              </w:rPr>
            </w:pPr>
            <w:r>
              <w:rPr>
                <w:rFonts w:hint="eastAsia" w:ascii="宋体" w:hAnsi="宋体"/>
                <w:sz w:val="24"/>
                <w:highlight w:val="none"/>
              </w:rPr>
              <w:t>…</w:t>
            </w:r>
          </w:p>
        </w:tc>
        <w:tc>
          <w:tcPr>
            <w:tcW w:w="1105" w:type="dxa"/>
            <w:tcBorders>
              <w:left w:val="single" w:color="auto" w:sz="4" w:space="0"/>
            </w:tcBorders>
            <w:noWrap/>
            <w:vAlign w:val="center"/>
          </w:tcPr>
          <w:p>
            <w:pPr>
              <w:jc w:val="center"/>
              <w:rPr>
                <w:rFonts w:ascii="宋体" w:hAnsi="宋体"/>
                <w:sz w:val="24"/>
                <w:highlight w:val="none"/>
              </w:rPr>
            </w:pPr>
          </w:p>
        </w:tc>
        <w:tc>
          <w:tcPr>
            <w:tcW w:w="3755" w:type="dxa"/>
            <w:noWrap/>
            <w:vAlign w:val="center"/>
          </w:tcPr>
          <w:p>
            <w:pPr>
              <w:jc w:val="center"/>
              <w:rPr>
                <w:rFonts w:ascii="宋体" w:hAnsi="宋体"/>
                <w:sz w:val="24"/>
                <w:highlight w:val="none"/>
              </w:rPr>
            </w:pPr>
          </w:p>
        </w:tc>
        <w:tc>
          <w:tcPr>
            <w:tcW w:w="600" w:type="dxa"/>
            <w:noWrap/>
            <w:vAlign w:val="center"/>
          </w:tcPr>
          <w:p>
            <w:pPr>
              <w:jc w:val="center"/>
              <w:rPr>
                <w:rFonts w:ascii="宋体" w:hAnsi="宋体"/>
                <w:sz w:val="24"/>
                <w:highlight w:val="none"/>
              </w:rPr>
            </w:pPr>
          </w:p>
        </w:tc>
        <w:tc>
          <w:tcPr>
            <w:tcW w:w="661" w:type="dxa"/>
            <w:tcBorders>
              <w:right w:val="single" w:color="auto" w:sz="4" w:space="0"/>
            </w:tcBorders>
            <w:noWrap/>
            <w:vAlign w:val="center"/>
          </w:tcPr>
          <w:p>
            <w:pPr>
              <w:jc w:val="center"/>
              <w:rPr>
                <w:rFonts w:ascii="宋体" w:hAnsi="宋体"/>
                <w:sz w:val="24"/>
                <w:highlight w:val="none"/>
              </w:rPr>
            </w:pPr>
          </w:p>
        </w:tc>
        <w:tc>
          <w:tcPr>
            <w:tcW w:w="2235" w:type="dxa"/>
            <w:tcBorders>
              <w:right w:val="single" w:color="auto" w:sz="4" w:space="0"/>
            </w:tcBorders>
            <w:noWrap/>
            <w:vAlign w:val="center"/>
          </w:tcPr>
          <w:p>
            <w:pPr>
              <w:jc w:val="center"/>
              <w:rPr>
                <w:rFonts w:ascii="宋体" w:hAnsi="宋体"/>
                <w:sz w:val="24"/>
                <w:highlight w:val="none"/>
              </w:rPr>
            </w:pPr>
          </w:p>
        </w:tc>
      </w:tr>
    </w:tbl>
    <w:p>
      <w:pPr>
        <w:spacing w:line="500" w:lineRule="exact"/>
        <w:jc w:val="center"/>
        <w:rPr>
          <w:rFonts w:ascii="宋体" w:hAnsi="宋体"/>
          <w:b/>
          <w:bCs/>
          <w:sz w:val="28"/>
          <w:szCs w:val="28"/>
          <w:highlight w:val="none"/>
        </w:rPr>
      </w:pPr>
    </w:p>
    <w:p>
      <w:pPr>
        <w:rPr>
          <w:rFonts w:ascii="宋体" w:hAnsi="宋体"/>
          <w:sz w:val="28"/>
          <w:szCs w:val="28"/>
          <w:highlight w:val="none"/>
          <w:lang w:val="en-GB"/>
        </w:rPr>
      </w:pPr>
      <w:r>
        <w:rPr>
          <w:rFonts w:hint="eastAsia" w:ascii="宋体" w:hAnsi="宋体"/>
          <w:sz w:val="28"/>
          <w:szCs w:val="28"/>
          <w:highlight w:val="none"/>
          <w:lang w:val="en-GB"/>
        </w:rPr>
        <w:t>注：项目负责人和其他主要技术人员应附有关身份证明、从业资格证明、职称证、社保缴费等有关证明文件。</w:t>
      </w:r>
    </w:p>
    <w:p>
      <w:pPr>
        <w:tabs>
          <w:tab w:val="left" w:pos="540"/>
        </w:tabs>
        <w:ind w:firstLine="560" w:firstLineChars="200"/>
        <w:rPr>
          <w:rFonts w:ascii="宋体" w:hAnsi="宋体"/>
          <w:b/>
          <w:sz w:val="28"/>
          <w:szCs w:val="28"/>
          <w:highlight w:val="none"/>
          <w:lang w:val="en-GB"/>
        </w:rPr>
      </w:pPr>
      <w:r>
        <w:rPr>
          <w:rFonts w:hint="eastAsia" w:ascii="宋体" w:hAnsi="宋体"/>
          <w:sz w:val="28"/>
          <w:szCs w:val="28"/>
          <w:highlight w:val="none"/>
        </w:rPr>
        <w:t>此表仅提供了表格形式，谈判响应方应根据需要准备足够数量的表格来填写。</w:t>
      </w:r>
    </w:p>
    <w:p>
      <w:pPr>
        <w:tabs>
          <w:tab w:val="left" w:pos="540"/>
        </w:tabs>
        <w:rPr>
          <w:rFonts w:ascii="宋体" w:hAnsi="宋体"/>
          <w:b/>
          <w:sz w:val="28"/>
          <w:szCs w:val="28"/>
          <w:highlight w:val="none"/>
          <w:lang w:val="en-GB"/>
        </w:rPr>
      </w:pPr>
    </w:p>
    <w:p>
      <w:pPr>
        <w:adjustRightInd w:val="0"/>
        <w:snapToGrid w:val="0"/>
        <w:spacing w:line="300" w:lineRule="auto"/>
        <w:rPr>
          <w:rFonts w:ascii="宋体" w:hAnsi="宋体"/>
          <w:sz w:val="28"/>
          <w:szCs w:val="28"/>
          <w:highlight w:val="none"/>
        </w:rPr>
      </w:pPr>
    </w:p>
    <w:p>
      <w:pPr>
        <w:adjustRightInd w:val="0"/>
        <w:snapToGrid w:val="0"/>
        <w:spacing w:line="300" w:lineRule="auto"/>
        <w:rPr>
          <w:rFonts w:ascii="宋体" w:hAnsi="宋体"/>
          <w:sz w:val="28"/>
          <w:szCs w:val="28"/>
          <w:highlight w:val="none"/>
          <w:u w:val="single"/>
        </w:rPr>
      </w:pPr>
      <w:r>
        <w:rPr>
          <w:rFonts w:hint="eastAsia" w:ascii="宋体" w:hAnsi="宋体"/>
          <w:sz w:val="28"/>
          <w:szCs w:val="28"/>
          <w:highlight w:val="none"/>
        </w:rPr>
        <w:t>投标人名称（盖章）：</w:t>
      </w:r>
    </w:p>
    <w:p>
      <w:pPr>
        <w:spacing w:line="500" w:lineRule="exact"/>
        <w:rPr>
          <w:rFonts w:ascii="宋体" w:hAnsi="宋体"/>
          <w:sz w:val="28"/>
          <w:szCs w:val="28"/>
          <w:highlight w:val="none"/>
        </w:rPr>
      </w:pPr>
      <w:r>
        <w:rPr>
          <w:rFonts w:hint="eastAsia" w:ascii="宋体" w:hAnsi="宋体"/>
          <w:sz w:val="28"/>
          <w:szCs w:val="28"/>
          <w:highlight w:val="none"/>
        </w:rPr>
        <w:t>日期：年 月 日</w:t>
      </w:r>
    </w:p>
    <w:p>
      <w:pPr>
        <w:snapToGrid w:val="0"/>
        <w:spacing w:before="50" w:afterLines="50"/>
        <w:jc w:val="right"/>
        <w:rPr>
          <w:rFonts w:ascii="宋体" w:hAnsi="宋体"/>
          <w:b/>
          <w:sz w:val="32"/>
          <w:szCs w:val="32"/>
          <w:highlight w:val="none"/>
        </w:rPr>
      </w:pPr>
    </w:p>
    <w:p>
      <w:pPr>
        <w:snapToGrid w:val="0"/>
        <w:spacing w:before="50" w:afterLines="50"/>
        <w:jc w:val="right"/>
        <w:rPr>
          <w:rFonts w:ascii="宋体" w:hAnsi="宋体"/>
          <w:b/>
          <w:sz w:val="32"/>
          <w:szCs w:val="32"/>
          <w:highlight w:val="none"/>
        </w:rPr>
      </w:pPr>
    </w:p>
    <w:p>
      <w:pPr>
        <w:snapToGrid w:val="0"/>
        <w:spacing w:before="50" w:afterLines="50"/>
        <w:jc w:val="right"/>
        <w:rPr>
          <w:rFonts w:ascii="宋体" w:hAnsi="宋体"/>
          <w:b/>
          <w:sz w:val="32"/>
          <w:szCs w:val="32"/>
          <w:highlight w:val="none"/>
        </w:rPr>
      </w:pPr>
    </w:p>
    <w:p>
      <w:pPr>
        <w:snapToGrid w:val="0"/>
        <w:spacing w:before="50" w:afterLines="50"/>
        <w:jc w:val="right"/>
        <w:rPr>
          <w:rFonts w:ascii="宋体" w:hAnsi="宋体"/>
          <w:b/>
          <w:sz w:val="32"/>
          <w:szCs w:val="32"/>
          <w:highlight w:val="none"/>
        </w:rPr>
      </w:pPr>
    </w:p>
    <w:p>
      <w:pPr>
        <w:snapToGrid w:val="0"/>
        <w:spacing w:before="50" w:afterLines="50"/>
        <w:jc w:val="right"/>
        <w:rPr>
          <w:rFonts w:ascii="宋体" w:hAnsi="宋体"/>
          <w:b/>
          <w:sz w:val="32"/>
          <w:szCs w:val="32"/>
          <w:highlight w:val="none"/>
        </w:rPr>
      </w:pPr>
    </w:p>
    <w:p>
      <w:pPr>
        <w:snapToGrid w:val="0"/>
        <w:spacing w:before="50" w:afterLines="50"/>
        <w:jc w:val="right"/>
        <w:rPr>
          <w:rFonts w:ascii="宋体" w:hAnsi="宋体"/>
          <w:b/>
          <w:sz w:val="32"/>
          <w:szCs w:val="32"/>
          <w:highlight w:val="none"/>
        </w:rPr>
      </w:pPr>
    </w:p>
    <w:p>
      <w:pPr>
        <w:snapToGrid w:val="0"/>
        <w:spacing w:before="50" w:afterLines="50"/>
        <w:jc w:val="right"/>
        <w:rPr>
          <w:rFonts w:ascii="宋体" w:hAnsi="宋体"/>
          <w:b/>
          <w:sz w:val="32"/>
          <w:szCs w:val="32"/>
          <w:highlight w:val="none"/>
        </w:rPr>
      </w:pPr>
    </w:p>
    <w:p>
      <w:pPr>
        <w:snapToGrid w:val="0"/>
        <w:spacing w:before="50" w:afterLines="50"/>
        <w:jc w:val="right"/>
        <w:rPr>
          <w:rFonts w:ascii="宋体" w:hAnsi="宋体"/>
          <w:b/>
          <w:sz w:val="32"/>
          <w:szCs w:val="32"/>
          <w:highlight w:val="none"/>
        </w:rPr>
      </w:pPr>
    </w:p>
    <w:p>
      <w:pPr>
        <w:snapToGrid w:val="0"/>
        <w:spacing w:before="50" w:afterLines="50"/>
        <w:jc w:val="right"/>
        <w:rPr>
          <w:rFonts w:ascii="宋体" w:hAnsi="宋体"/>
          <w:b/>
          <w:sz w:val="32"/>
          <w:szCs w:val="32"/>
          <w:highlight w:val="none"/>
        </w:rPr>
      </w:pPr>
    </w:p>
    <w:p>
      <w:pPr>
        <w:ind w:right="-110"/>
        <w:jc w:val="center"/>
        <w:rPr>
          <w:rFonts w:ascii="宋体" w:hAnsi="宋体"/>
          <w:spacing w:val="40"/>
          <w:sz w:val="32"/>
          <w:szCs w:val="32"/>
          <w:highlight w:val="none"/>
        </w:rPr>
      </w:pPr>
      <w:r>
        <w:rPr>
          <w:rFonts w:hint="eastAsia" w:ascii="宋体" w:hAnsi="宋体"/>
          <w:spacing w:val="40"/>
          <w:sz w:val="32"/>
          <w:szCs w:val="32"/>
          <w:highlight w:val="none"/>
        </w:rPr>
        <w:t>***项目名称</w:t>
      </w:r>
    </w:p>
    <w:p>
      <w:pPr>
        <w:spacing w:beforeLines="100" w:line="240" w:lineRule="atLeast"/>
        <w:ind w:right="-108"/>
        <w:jc w:val="center"/>
        <w:rPr>
          <w:rFonts w:ascii="宋体" w:hAnsi="宋体"/>
          <w:sz w:val="32"/>
          <w:szCs w:val="32"/>
          <w:highlight w:val="none"/>
        </w:rPr>
      </w:pPr>
      <w:r>
        <w:rPr>
          <w:rFonts w:hint="eastAsia" w:ascii="宋体" w:hAnsi="宋体"/>
          <w:sz w:val="32"/>
          <w:szCs w:val="32"/>
          <w:highlight w:val="none"/>
        </w:rPr>
        <w:t>项目编号：</w:t>
      </w:r>
    </w:p>
    <w:p>
      <w:pPr>
        <w:spacing w:beforeLines="100" w:line="240" w:lineRule="atLeast"/>
        <w:ind w:right="-108"/>
        <w:jc w:val="center"/>
        <w:rPr>
          <w:rFonts w:ascii="宋体" w:hAnsi="宋体"/>
          <w:sz w:val="32"/>
          <w:szCs w:val="32"/>
          <w:highlight w:val="none"/>
        </w:rPr>
      </w:pPr>
    </w:p>
    <w:p>
      <w:pPr>
        <w:spacing w:after="100" w:afterAutospacing="1" w:line="360" w:lineRule="auto"/>
        <w:ind w:right="-108"/>
        <w:jc w:val="center"/>
        <w:rPr>
          <w:rFonts w:ascii="宋体" w:hAnsi="宋体"/>
          <w:b/>
          <w:spacing w:val="40"/>
          <w:sz w:val="84"/>
          <w:szCs w:val="84"/>
          <w:highlight w:val="none"/>
        </w:rPr>
      </w:pPr>
      <w:r>
        <w:rPr>
          <w:rFonts w:hint="eastAsia" w:ascii="宋体" w:hAnsi="宋体"/>
          <w:b/>
          <w:spacing w:val="40"/>
          <w:sz w:val="84"/>
          <w:szCs w:val="84"/>
          <w:highlight w:val="none"/>
        </w:rPr>
        <w:t>报</w:t>
      </w:r>
    </w:p>
    <w:p>
      <w:pPr>
        <w:spacing w:after="100" w:afterAutospacing="1" w:line="360" w:lineRule="auto"/>
        <w:ind w:right="-108"/>
        <w:jc w:val="center"/>
        <w:rPr>
          <w:rFonts w:ascii="宋体" w:hAnsi="宋体"/>
          <w:b/>
          <w:spacing w:val="40"/>
          <w:sz w:val="84"/>
          <w:szCs w:val="84"/>
          <w:highlight w:val="none"/>
        </w:rPr>
      </w:pPr>
      <w:r>
        <w:rPr>
          <w:rFonts w:hint="eastAsia" w:ascii="宋体" w:hAnsi="宋体"/>
          <w:b/>
          <w:spacing w:val="40"/>
          <w:sz w:val="84"/>
          <w:szCs w:val="84"/>
          <w:highlight w:val="none"/>
        </w:rPr>
        <w:t>价</w:t>
      </w:r>
    </w:p>
    <w:p>
      <w:pPr>
        <w:spacing w:after="100" w:afterAutospacing="1" w:line="360" w:lineRule="auto"/>
        <w:ind w:right="-108"/>
        <w:jc w:val="center"/>
        <w:rPr>
          <w:rFonts w:ascii="宋体" w:hAnsi="宋体"/>
          <w:b/>
          <w:spacing w:val="40"/>
          <w:sz w:val="84"/>
          <w:szCs w:val="84"/>
          <w:highlight w:val="none"/>
        </w:rPr>
      </w:pPr>
      <w:r>
        <w:rPr>
          <w:rFonts w:hint="eastAsia" w:ascii="宋体" w:hAnsi="宋体"/>
          <w:b/>
          <w:spacing w:val="40"/>
          <w:sz w:val="84"/>
          <w:szCs w:val="84"/>
          <w:highlight w:val="none"/>
        </w:rPr>
        <w:t>文</w:t>
      </w:r>
    </w:p>
    <w:p>
      <w:pPr>
        <w:spacing w:after="100" w:afterAutospacing="1" w:line="360" w:lineRule="auto"/>
        <w:ind w:right="-108"/>
        <w:jc w:val="center"/>
        <w:rPr>
          <w:rFonts w:ascii="宋体" w:hAnsi="宋体"/>
          <w:b/>
          <w:spacing w:val="40"/>
          <w:sz w:val="84"/>
          <w:szCs w:val="84"/>
          <w:highlight w:val="none"/>
        </w:rPr>
      </w:pPr>
      <w:r>
        <w:rPr>
          <w:rFonts w:hint="eastAsia" w:ascii="宋体" w:hAnsi="宋体"/>
          <w:b/>
          <w:spacing w:val="40"/>
          <w:sz w:val="84"/>
          <w:szCs w:val="84"/>
          <w:highlight w:val="none"/>
        </w:rPr>
        <w:t>件</w:t>
      </w:r>
    </w:p>
    <w:p>
      <w:pPr>
        <w:spacing w:line="500" w:lineRule="exact"/>
        <w:ind w:right="532"/>
        <w:jc w:val="center"/>
        <w:rPr>
          <w:rFonts w:ascii="宋体" w:hAnsi="宋体"/>
          <w:sz w:val="36"/>
          <w:szCs w:val="36"/>
          <w:highlight w:val="none"/>
        </w:rPr>
      </w:pPr>
    </w:p>
    <w:p>
      <w:pPr>
        <w:spacing w:line="500" w:lineRule="exact"/>
        <w:ind w:right="532"/>
        <w:jc w:val="center"/>
        <w:rPr>
          <w:rFonts w:ascii="宋体" w:hAnsi="宋体"/>
          <w:sz w:val="36"/>
          <w:szCs w:val="36"/>
          <w:highlight w:val="none"/>
        </w:rPr>
      </w:pPr>
    </w:p>
    <w:p>
      <w:pPr>
        <w:spacing w:line="560" w:lineRule="exact"/>
        <w:ind w:right="532"/>
        <w:rPr>
          <w:rFonts w:ascii="宋体" w:hAnsi="宋体"/>
          <w:sz w:val="32"/>
          <w:szCs w:val="32"/>
          <w:highlight w:val="none"/>
        </w:rPr>
      </w:pPr>
      <w:r>
        <w:rPr>
          <w:rFonts w:hint="eastAsia" w:ascii="宋体" w:hAnsi="宋体"/>
          <w:sz w:val="32"/>
          <w:szCs w:val="32"/>
          <w:highlight w:val="none"/>
        </w:rPr>
        <w:t>单位全称（公章）：</w:t>
      </w:r>
    </w:p>
    <w:p>
      <w:pPr>
        <w:spacing w:line="560" w:lineRule="exact"/>
        <w:ind w:right="-108"/>
        <w:rPr>
          <w:rFonts w:ascii="宋体" w:hAnsi="宋体"/>
          <w:sz w:val="32"/>
          <w:szCs w:val="32"/>
          <w:highlight w:val="none"/>
        </w:rPr>
      </w:pPr>
      <w:r>
        <w:rPr>
          <w:rFonts w:hint="eastAsia" w:ascii="宋体" w:hAnsi="宋体"/>
          <w:sz w:val="32"/>
          <w:szCs w:val="32"/>
          <w:highlight w:val="none"/>
        </w:rPr>
        <w:t>地    址：</w:t>
      </w:r>
    </w:p>
    <w:p>
      <w:pPr>
        <w:spacing w:line="560" w:lineRule="exact"/>
        <w:ind w:right="-108"/>
        <w:rPr>
          <w:rFonts w:ascii="宋体" w:hAnsi="宋体"/>
          <w:sz w:val="32"/>
          <w:szCs w:val="32"/>
          <w:highlight w:val="none"/>
        </w:rPr>
      </w:pPr>
      <w:r>
        <w:rPr>
          <w:rFonts w:hint="eastAsia" w:ascii="宋体" w:hAnsi="宋体"/>
          <w:sz w:val="32"/>
          <w:szCs w:val="32"/>
          <w:highlight w:val="none"/>
        </w:rPr>
        <w:t>时    间：</w:t>
      </w:r>
    </w:p>
    <w:p>
      <w:pPr>
        <w:pStyle w:val="29"/>
        <w:snapToGrid w:val="0"/>
        <w:ind w:leftChars="0"/>
        <w:rPr>
          <w:rFonts w:ascii="宋体" w:hAnsi="宋体"/>
          <w:szCs w:val="32"/>
          <w:highlight w:val="none"/>
        </w:rPr>
      </w:pPr>
    </w:p>
    <w:p>
      <w:pPr>
        <w:snapToGrid w:val="0"/>
        <w:rPr>
          <w:rFonts w:ascii="宋体" w:hAnsi="宋体"/>
          <w:b/>
          <w:sz w:val="30"/>
          <w:szCs w:val="30"/>
          <w:highlight w:val="none"/>
        </w:rPr>
      </w:pPr>
    </w:p>
    <w:p>
      <w:pPr>
        <w:rPr>
          <w:highlight w:val="none"/>
        </w:rPr>
      </w:pPr>
    </w:p>
    <w:p>
      <w:pPr>
        <w:snapToGrid w:val="0"/>
        <w:rPr>
          <w:rFonts w:ascii="宋体" w:hAnsi="宋体"/>
          <w:b/>
          <w:sz w:val="30"/>
          <w:szCs w:val="30"/>
          <w:highlight w:val="none"/>
        </w:rPr>
      </w:pPr>
      <w:r>
        <w:rPr>
          <w:rFonts w:hint="eastAsia" w:ascii="宋体" w:hAnsi="宋体"/>
          <w:b/>
          <w:sz w:val="30"/>
          <w:szCs w:val="30"/>
          <w:highlight w:val="none"/>
        </w:rPr>
        <w:t>目录：</w:t>
      </w:r>
    </w:p>
    <w:p>
      <w:pPr>
        <w:numPr>
          <w:ilvl w:val="0"/>
          <w:numId w:val="21"/>
        </w:numPr>
        <w:spacing w:line="400" w:lineRule="exact"/>
        <w:rPr>
          <w:rFonts w:ascii="宋体" w:hAnsi="宋体"/>
          <w:color w:val="000000"/>
          <w:sz w:val="24"/>
          <w:highlight w:val="none"/>
        </w:rPr>
      </w:pPr>
      <w:r>
        <w:rPr>
          <w:rFonts w:hint="eastAsia" w:ascii="宋体" w:hAnsi="宋体"/>
          <w:color w:val="000000"/>
          <w:sz w:val="24"/>
          <w:highlight w:val="none"/>
        </w:rPr>
        <w:t>投标函（格式见附件）</w:t>
      </w:r>
    </w:p>
    <w:p>
      <w:pPr>
        <w:numPr>
          <w:ilvl w:val="0"/>
          <w:numId w:val="21"/>
        </w:numPr>
        <w:spacing w:line="400" w:lineRule="exact"/>
        <w:rPr>
          <w:rFonts w:ascii="宋体" w:hAnsi="宋体"/>
          <w:color w:val="000000"/>
          <w:sz w:val="24"/>
          <w:highlight w:val="none"/>
        </w:rPr>
      </w:pPr>
      <w:r>
        <w:rPr>
          <w:rFonts w:hint="eastAsia" w:ascii="宋体" w:hAnsi="宋体"/>
          <w:color w:val="000000"/>
          <w:sz w:val="24"/>
          <w:highlight w:val="none"/>
        </w:rPr>
        <w:t>开标一览表（格式见附件）</w:t>
      </w:r>
    </w:p>
    <w:p>
      <w:pPr>
        <w:numPr>
          <w:ilvl w:val="0"/>
          <w:numId w:val="21"/>
        </w:numPr>
        <w:spacing w:line="400" w:lineRule="exact"/>
        <w:rPr>
          <w:rFonts w:ascii="宋体" w:hAnsi="宋体"/>
          <w:color w:val="000000"/>
          <w:sz w:val="24"/>
          <w:highlight w:val="none"/>
        </w:rPr>
      </w:pPr>
      <w:r>
        <w:rPr>
          <w:rFonts w:hint="eastAsia" w:ascii="宋体" w:hAnsi="宋体"/>
          <w:color w:val="000000"/>
          <w:sz w:val="24"/>
          <w:highlight w:val="none"/>
        </w:rPr>
        <w:t>投标项目报价明细表（格式见附件）</w:t>
      </w:r>
    </w:p>
    <w:p>
      <w:pPr>
        <w:numPr>
          <w:ilvl w:val="0"/>
          <w:numId w:val="21"/>
        </w:numPr>
        <w:spacing w:line="400" w:lineRule="exact"/>
        <w:rPr>
          <w:rFonts w:ascii="宋体" w:hAnsi="宋体" w:eastAsia="Calibri"/>
          <w:color w:val="000000"/>
          <w:sz w:val="24"/>
          <w:highlight w:val="none"/>
        </w:rPr>
      </w:pPr>
      <w:r>
        <w:rPr>
          <w:rFonts w:hint="eastAsia" w:ascii="宋体" w:hAnsi="宋体" w:eastAsia="Calibri"/>
          <w:color w:val="000000"/>
          <w:sz w:val="24"/>
          <w:highlight w:val="none"/>
        </w:rPr>
        <w:t>投标企业的《中小企业声明函》</w:t>
      </w:r>
      <w:r>
        <w:rPr>
          <w:rFonts w:hint="eastAsia" w:ascii="宋体" w:hAnsi="宋体"/>
          <w:color w:val="000000"/>
          <w:sz w:val="24"/>
          <w:highlight w:val="none"/>
        </w:rPr>
        <w:t>（格式见前附件）</w:t>
      </w:r>
    </w:p>
    <w:p>
      <w:pPr>
        <w:snapToGrid w:val="0"/>
        <w:rPr>
          <w:rFonts w:ascii="宋体" w:hAnsi="宋体"/>
          <w:b/>
          <w:sz w:val="30"/>
          <w:szCs w:val="30"/>
          <w:highlight w:val="none"/>
        </w:rPr>
      </w:pPr>
      <w:r>
        <w:rPr>
          <w:rFonts w:ascii="宋体" w:hAnsi="宋体"/>
          <w:b/>
          <w:sz w:val="30"/>
          <w:szCs w:val="30"/>
          <w:highlight w:val="none"/>
        </w:rPr>
        <w:br w:type="page"/>
      </w:r>
      <w:r>
        <w:rPr>
          <w:rFonts w:hint="eastAsia" w:ascii="宋体" w:hAnsi="宋体"/>
          <w:b/>
          <w:sz w:val="30"/>
          <w:szCs w:val="30"/>
          <w:highlight w:val="none"/>
        </w:rPr>
        <w:t>附件十二：</w:t>
      </w:r>
    </w:p>
    <w:p>
      <w:pPr>
        <w:snapToGrid w:val="0"/>
        <w:spacing w:beforeLines="50" w:after="50"/>
        <w:rPr>
          <w:rFonts w:ascii="宋体" w:hAnsi="宋体"/>
          <w:sz w:val="24"/>
          <w:szCs w:val="20"/>
          <w:highlight w:val="none"/>
        </w:rPr>
      </w:pPr>
      <w:r>
        <w:rPr>
          <w:rFonts w:hint="eastAsia" w:ascii="宋体" w:hAnsi="宋体"/>
          <w:sz w:val="24"/>
          <w:szCs w:val="20"/>
          <w:highlight w:val="none"/>
        </w:rPr>
        <w:t>投标函格式：</w:t>
      </w:r>
    </w:p>
    <w:p>
      <w:pPr>
        <w:snapToGrid w:val="0"/>
        <w:spacing w:beforeLines="50" w:after="50"/>
        <w:jc w:val="center"/>
        <w:rPr>
          <w:rFonts w:ascii="宋体" w:hAnsi="宋体"/>
          <w:b/>
          <w:sz w:val="44"/>
          <w:szCs w:val="44"/>
          <w:highlight w:val="none"/>
        </w:rPr>
      </w:pPr>
      <w:r>
        <w:rPr>
          <w:rFonts w:hint="eastAsia" w:ascii="宋体" w:hAnsi="宋体"/>
          <w:b/>
          <w:sz w:val="44"/>
          <w:szCs w:val="44"/>
          <w:highlight w:val="none"/>
        </w:rPr>
        <w:t>投 标 函</w:t>
      </w:r>
    </w:p>
    <w:p>
      <w:pPr>
        <w:snapToGrid w:val="0"/>
        <w:spacing w:line="360" w:lineRule="auto"/>
        <w:rPr>
          <w:rFonts w:ascii="宋体" w:hAnsi="宋体"/>
          <w:sz w:val="24"/>
          <w:szCs w:val="20"/>
          <w:highlight w:val="none"/>
        </w:rPr>
      </w:pPr>
      <w:r>
        <w:rPr>
          <w:rFonts w:hint="eastAsia" w:ascii="宋体" w:hAnsi="宋体"/>
          <w:sz w:val="24"/>
          <w:szCs w:val="20"/>
          <w:highlight w:val="none"/>
        </w:rPr>
        <w:t>致：</w:t>
      </w:r>
      <w:r>
        <w:rPr>
          <w:rFonts w:ascii="宋体" w:hAnsi="宋体"/>
          <w:sz w:val="24"/>
          <w:szCs w:val="20"/>
          <w:highlight w:val="none"/>
        </w:rPr>
        <w:t>______</w:t>
      </w:r>
      <w:r>
        <w:rPr>
          <w:rFonts w:ascii="宋体" w:hAnsi="宋体"/>
          <w:sz w:val="24"/>
          <w:szCs w:val="20"/>
          <w:highlight w:val="none"/>
          <w:u w:val="single"/>
        </w:rPr>
        <w:t>__</w:t>
      </w:r>
      <w:r>
        <w:rPr>
          <w:rFonts w:ascii="宋体" w:hAnsi="宋体"/>
          <w:sz w:val="24"/>
          <w:szCs w:val="20"/>
          <w:highlight w:val="none"/>
        </w:rPr>
        <w:t>_</w:t>
      </w:r>
      <w:r>
        <w:rPr>
          <w:rFonts w:hint="eastAsia" w:ascii="宋体" w:hAnsi="宋体"/>
          <w:sz w:val="24"/>
          <w:szCs w:val="20"/>
          <w:highlight w:val="none"/>
        </w:rPr>
        <w:t>（采购人和采购代理机构名称）：</w:t>
      </w:r>
    </w:p>
    <w:p>
      <w:pPr>
        <w:snapToGrid w:val="0"/>
        <w:spacing w:line="360" w:lineRule="auto"/>
        <w:ind w:firstLine="480"/>
        <w:rPr>
          <w:rFonts w:ascii="宋体" w:hAnsi="宋体"/>
          <w:sz w:val="24"/>
          <w:szCs w:val="20"/>
          <w:highlight w:val="none"/>
        </w:rPr>
      </w:pPr>
      <w:r>
        <w:rPr>
          <w:rFonts w:hint="eastAsia" w:ascii="宋体" w:hAnsi="宋体"/>
          <w:sz w:val="24"/>
          <w:szCs w:val="20"/>
          <w:highlight w:val="none"/>
        </w:rPr>
        <w:t>根据贵方关于项目的招标公告</w:t>
      </w:r>
      <w:r>
        <w:rPr>
          <w:rFonts w:ascii="宋体" w:hAnsi="宋体"/>
          <w:sz w:val="24"/>
          <w:szCs w:val="20"/>
          <w:highlight w:val="none"/>
        </w:rPr>
        <w:t>/</w:t>
      </w:r>
      <w:r>
        <w:rPr>
          <w:rFonts w:hint="eastAsia" w:ascii="宋体" w:hAnsi="宋体"/>
          <w:sz w:val="24"/>
          <w:szCs w:val="20"/>
          <w:highlight w:val="none"/>
        </w:rPr>
        <w:t>投标邀请书（项目编号：</w:t>
      </w:r>
      <w:r>
        <w:rPr>
          <w:rFonts w:ascii="宋体" w:hAnsi="宋体"/>
          <w:sz w:val="24"/>
          <w:szCs w:val="20"/>
          <w:highlight w:val="none"/>
        </w:rPr>
        <w:t>____</w:t>
      </w:r>
      <w:r>
        <w:rPr>
          <w:rFonts w:ascii="宋体" w:hAnsi="宋体"/>
          <w:sz w:val="24"/>
          <w:szCs w:val="20"/>
          <w:highlight w:val="none"/>
          <w:u w:val="single"/>
        </w:rPr>
        <w:t>__</w:t>
      </w:r>
      <w:r>
        <w:rPr>
          <w:rFonts w:ascii="宋体" w:hAnsi="宋体"/>
          <w:sz w:val="24"/>
          <w:szCs w:val="20"/>
          <w:highlight w:val="none"/>
        </w:rPr>
        <w:t>_</w:t>
      </w:r>
      <w:r>
        <w:rPr>
          <w:rFonts w:hint="eastAsia" w:ascii="宋体" w:hAnsi="宋体"/>
          <w:sz w:val="24"/>
          <w:szCs w:val="20"/>
          <w:highlight w:val="none"/>
        </w:rPr>
        <w:t>），签字代表</w:t>
      </w:r>
      <w:r>
        <w:rPr>
          <w:rFonts w:ascii="宋体" w:hAnsi="宋体"/>
          <w:sz w:val="24"/>
          <w:szCs w:val="20"/>
          <w:highlight w:val="none"/>
        </w:rPr>
        <w:t>______</w:t>
      </w:r>
      <w:r>
        <w:rPr>
          <w:rFonts w:ascii="宋体" w:hAnsi="宋体"/>
          <w:sz w:val="24"/>
          <w:szCs w:val="20"/>
          <w:highlight w:val="none"/>
          <w:u w:val="single"/>
        </w:rPr>
        <w:t>_</w:t>
      </w:r>
      <w:r>
        <w:rPr>
          <w:rFonts w:hint="eastAsia" w:ascii="宋体" w:hAnsi="宋体"/>
          <w:sz w:val="24"/>
          <w:szCs w:val="20"/>
          <w:highlight w:val="none"/>
        </w:rPr>
        <w:t>（全名）经正式授权并代表投标方</w:t>
      </w:r>
      <w:r>
        <w:rPr>
          <w:rFonts w:ascii="宋体" w:hAnsi="宋体"/>
          <w:sz w:val="24"/>
          <w:szCs w:val="20"/>
          <w:highlight w:val="none"/>
        </w:rPr>
        <w:t>_____</w:t>
      </w:r>
      <w:r>
        <w:rPr>
          <w:rFonts w:ascii="宋体" w:hAnsi="宋体"/>
          <w:sz w:val="24"/>
          <w:szCs w:val="20"/>
          <w:highlight w:val="none"/>
          <w:u w:val="single"/>
        </w:rPr>
        <w:t>____</w:t>
      </w:r>
      <w:r>
        <w:rPr>
          <w:rFonts w:hint="eastAsia" w:ascii="宋体" w:hAnsi="宋体"/>
          <w:sz w:val="24"/>
          <w:szCs w:val="20"/>
          <w:highlight w:val="none"/>
        </w:rPr>
        <w:t>（投标方名称）提交资格文件、商务技术文件、报价文件正本各1份。</w:t>
      </w:r>
    </w:p>
    <w:p>
      <w:pPr>
        <w:snapToGrid w:val="0"/>
        <w:spacing w:line="360" w:lineRule="auto"/>
        <w:ind w:firstLine="480" w:firstLineChars="200"/>
        <w:rPr>
          <w:rFonts w:ascii="宋体" w:hAnsi="宋体"/>
          <w:sz w:val="24"/>
          <w:szCs w:val="20"/>
          <w:highlight w:val="none"/>
        </w:rPr>
      </w:pPr>
      <w:r>
        <w:rPr>
          <w:rFonts w:hint="eastAsia" w:ascii="宋体" w:hAnsi="宋体"/>
          <w:sz w:val="24"/>
          <w:szCs w:val="20"/>
          <w:highlight w:val="none"/>
        </w:rPr>
        <w:t>据此函，签字代表宣布同意如下：</w:t>
      </w:r>
    </w:p>
    <w:p>
      <w:pPr>
        <w:snapToGrid w:val="0"/>
        <w:spacing w:line="360" w:lineRule="auto"/>
        <w:ind w:firstLine="480" w:firstLineChars="200"/>
        <w:rPr>
          <w:rFonts w:ascii="宋体" w:hAnsi="宋体"/>
          <w:sz w:val="24"/>
          <w:szCs w:val="20"/>
          <w:highlight w:val="none"/>
        </w:rPr>
      </w:pPr>
      <w:r>
        <w:rPr>
          <w:rFonts w:ascii="宋体" w:hAnsi="宋体"/>
          <w:sz w:val="24"/>
          <w:szCs w:val="20"/>
          <w:highlight w:val="none"/>
        </w:rPr>
        <w:t>1</w:t>
      </w:r>
      <w:r>
        <w:rPr>
          <w:rFonts w:hint="eastAsia" w:ascii="宋体" w:hAnsi="宋体"/>
          <w:sz w:val="24"/>
          <w:szCs w:val="20"/>
          <w:highlight w:val="none"/>
        </w:rPr>
        <w:t>.我方已详细审查“采购文件”的所有内容，包括澄清、修改文件（如果有）和所有已提供的参考资料以及有关附件，我方完全明白并认为此采购文件没有倾向性和排斥潜在投标人的内容，也不存在引起歧义和误解的内容，已经了解我方对于采购文件、采购过程、采购结果有依法进行询问、质疑、投诉的权利及相关渠道和要求，所以我方同意采购文件的相关条款，放弃对采购文件提出误解和质疑的一切权力。</w:t>
      </w:r>
    </w:p>
    <w:p>
      <w:pPr>
        <w:snapToGrid w:val="0"/>
        <w:spacing w:line="360" w:lineRule="auto"/>
        <w:ind w:firstLine="480" w:firstLineChars="200"/>
        <w:rPr>
          <w:rFonts w:ascii="宋体" w:hAnsi="宋体"/>
          <w:sz w:val="24"/>
          <w:szCs w:val="20"/>
          <w:highlight w:val="none"/>
        </w:rPr>
      </w:pPr>
      <w:r>
        <w:rPr>
          <w:rFonts w:ascii="宋体" w:hAnsi="宋体"/>
          <w:sz w:val="24"/>
          <w:szCs w:val="20"/>
          <w:highlight w:val="none"/>
        </w:rPr>
        <w:t>2</w:t>
      </w:r>
      <w:r>
        <w:rPr>
          <w:rFonts w:hint="eastAsia" w:ascii="宋体" w:hAnsi="宋体"/>
          <w:sz w:val="24"/>
          <w:szCs w:val="20"/>
          <w:highlight w:val="none"/>
        </w:rPr>
        <w:t>.我方在投标之前已经与贵方进行了充分的沟通，完全理解并接受采购文件的各项规定和要求，对采购文件的合理性、合法性不再有异议。</w:t>
      </w:r>
    </w:p>
    <w:p>
      <w:pPr>
        <w:snapToGrid w:val="0"/>
        <w:spacing w:line="360" w:lineRule="auto"/>
        <w:ind w:firstLine="480" w:firstLineChars="200"/>
        <w:rPr>
          <w:rFonts w:ascii="宋体" w:hAnsi="宋体"/>
          <w:sz w:val="24"/>
          <w:szCs w:val="20"/>
          <w:highlight w:val="none"/>
        </w:rPr>
      </w:pPr>
      <w:r>
        <w:rPr>
          <w:rFonts w:ascii="宋体" w:hAnsi="宋体"/>
          <w:sz w:val="24"/>
          <w:szCs w:val="20"/>
          <w:highlight w:val="none"/>
        </w:rPr>
        <w:t>3</w:t>
      </w:r>
      <w:r>
        <w:rPr>
          <w:rFonts w:hint="eastAsia" w:ascii="宋体" w:hAnsi="宋体"/>
          <w:sz w:val="24"/>
          <w:szCs w:val="20"/>
          <w:highlight w:val="none"/>
        </w:rPr>
        <w:t>.本投标有效期自开标日起</w:t>
      </w:r>
      <w:r>
        <w:rPr>
          <w:rFonts w:ascii="宋体" w:hAnsi="宋体"/>
          <w:sz w:val="24"/>
          <w:szCs w:val="20"/>
          <w:highlight w:val="none"/>
        </w:rPr>
        <w:t>_</w:t>
      </w:r>
      <w:r>
        <w:rPr>
          <w:rFonts w:hint="eastAsia" w:ascii="宋体" w:hAnsi="宋体"/>
          <w:sz w:val="24"/>
          <w:szCs w:val="20"/>
          <w:highlight w:val="none"/>
          <w:u w:val="single"/>
        </w:rPr>
        <w:t>120</w:t>
      </w:r>
      <w:r>
        <w:rPr>
          <w:rFonts w:hint="eastAsia" w:ascii="宋体" w:hAnsi="宋体"/>
          <w:sz w:val="24"/>
          <w:szCs w:val="20"/>
          <w:highlight w:val="none"/>
        </w:rPr>
        <w:t>个日历天。</w:t>
      </w:r>
    </w:p>
    <w:p>
      <w:pPr>
        <w:snapToGrid w:val="0"/>
        <w:spacing w:line="360" w:lineRule="auto"/>
        <w:ind w:firstLine="480" w:firstLineChars="200"/>
        <w:rPr>
          <w:rFonts w:ascii="宋体" w:hAnsi="宋体"/>
          <w:sz w:val="24"/>
          <w:szCs w:val="20"/>
          <w:highlight w:val="none"/>
        </w:rPr>
      </w:pPr>
      <w:r>
        <w:rPr>
          <w:rFonts w:ascii="宋体" w:hAnsi="宋体"/>
          <w:sz w:val="24"/>
          <w:szCs w:val="20"/>
          <w:highlight w:val="none"/>
        </w:rPr>
        <w:t>4</w:t>
      </w:r>
      <w:r>
        <w:rPr>
          <w:rFonts w:hint="eastAsia" w:ascii="宋体" w:hAnsi="宋体"/>
          <w:sz w:val="24"/>
          <w:szCs w:val="20"/>
          <w:highlight w:val="none"/>
        </w:rPr>
        <w:t>.如中标，本投标文件至本项目合同履行完毕止均保持有效，本投标方将按“采购文件”及政府采购法律、法规的规定履行合同责任和义务。</w:t>
      </w:r>
    </w:p>
    <w:p>
      <w:pPr>
        <w:snapToGrid w:val="0"/>
        <w:spacing w:line="360" w:lineRule="auto"/>
        <w:ind w:firstLine="480" w:firstLineChars="200"/>
        <w:rPr>
          <w:rFonts w:ascii="宋体" w:hAnsi="宋体"/>
          <w:sz w:val="24"/>
          <w:szCs w:val="20"/>
          <w:highlight w:val="none"/>
        </w:rPr>
      </w:pPr>
      <w:r>
        <w:rPr>
          <w:rFonts w:ascii="宋体" w:hAnsi="宋体"/>
          <w:sz w:val="24"/>
          <w:szCs w:val="20"/>
          <w:highlight w:val="none"/>
        </w:rPr>
        <w:t>5</w:t>
      </w:r>
      <w:r>
        <w:rPr>
          <w:rFonts w:hint="eastAsia" w:ascii="宋体" w:hAnsi="宋体"/>
          <w:sz w:val="24"/>
          <w:szCs w:val="20"/>
          <w:highlight w:val="none"/>
        </w:rPr>
        <w:t>.投标方同意按照贵方要求提供与投标有关的一切数据或资料。</w:t>
      </w:r>
    </w:p>
    <w:p>
      <w:pPr>
        <w:snapToGrid w:val="0"/>
        <w:spacing w:line="360" w:lineRule="auto"/>
        <w:ind w:firstLine="480" w:firstLineChars="200"/>
        <w:rPr>
          <w:rFonts w:ascii="宋体" w:hAnsi="宋体"/>
          <w:sz w:val="24"/>
          <w:szCs w:val="20"/>
          <w:highlight w:val="none"/>
        </w:rPr>
      </w:pPr>
      <w:r>
        <w:rPr>
          <w:rFonts w:ascii="宋体" w:hAnsi="宋体"/>
          <w:sz w:val="24"/>
          <w:szCs w:val="20"/>
          <w:highlight w:val="none"/>
        </w:rPr>
        <w:t>6</w:t>
      </w:r>
      <w:r>
        <w:rPr>
          <w:rFonts w:hint="eastAsia" w:ascii="宋体" w:hAnsi="宋体"/>
          <w:sz w:val="24"/>
          <w:szCs w:val="20"/>
          <w:highlight w:val="none"/>
        </w:rPr>
        <w:t>.与本投标有关的一切正式往来信函请寄：</w:t>
      </w:r>
    </w:p>
    <w:p>
      <w:pPr>
        <w:snapToGrid w:val="0"/>
        <w:spacing w:line="360" w:lineRule="auto"/>
        <w:rPr>
          <w:rFonts w:ascii="宋体" w:hAnsi="宋体"/>
          <w:sz w:val="24"/>
          <w:szCs w:val="20"/>
          <w:highlight w:val="none"/>
        </w:rPr>
      </w:pPr>
      <w:r>
        <w:rPr>
          <w:rFonts w:hint="eastAsia" w:ascii="宋体" w:hAnsi="宋体"/>
          <w:sz w:val="24"/>
          <w:szCs w:val="20"/>
          <w:highlight w:val="none"/>
        </w:rPr>
        <w:t>地址：</w:t>
      </w:r>
      <w:r>
        <w:rPr>
          <w:rFonts w:ascii="宋体" w:hAnsi="宋体"/>
          <w:sz w:val="24"/>
          <w:szCs w:val="20"/>
          <w:highlight w:val="none"/>
        </w:rPr>
        <w:t>__________</w:t>
      </w:r>
      <w:r>
        <w:rPr>
          <w:rFonts w:ascii="宋体" w:hAnsi="宋体"/>
          <w:sz w:val="24"/>
          <w:szCs w:val="20"/>
          <w:highlight w:val="none"/>
          <w:u w:val="single"/>
        </w:rPr>
        <w:t>_</w:t>
      </w:r>
      <w:r>
        <w:rPr>
          <w:rFonts w:ascii="宋体" w:hAnsi="宋体"/>
          <w:sz w:val="24"/>
          <w:szCs w:val="20"/>
          <w:highlight w:val="none"/>
        </w:rPr>
        <w:t>____</w:t>
      </w:r>
      <w:r>
        <w:rPr>
          <w:rFonts w:hint="eastAsia" w:ascii="宋体" w:hAnsi="宋体"/>
          <w:sz w:val="24"/>
          <w:szCs w:val="20"/>
          <w:highlight w:val="none"/>
        </w:rPr>
        <w:t>邮编：</w:t>
      </w:r>
      <w:r>
        <w:rPr>
          <w:rFonts w:ascii="宋体" w:hAnsi="宋体"/>
          <w:sz w:val="24"/>
          <w:szCs w:val="20"/>
          <w:highlight w:val="none"/>
        </w:rPr>
        <w:t>__________</w:t>
      </w:r>
      <w:r>
        <w:rPr>
          <w:rFonts w:hint="eastAsia" w:ascii="宋体" w:hAnsi="宋体"/>
          <w:sz w:val="24"/>
          <w:szCs w:val="20"/>
          <w:highlight w:val="none"/>
        </w:rPr>
        <w:t>电话：</w:t>
      </w:r>
      <w:r>
        <w:rPr>
          <w:rFonts w:ascii="宋体" w:hAnsi="宋体"/>
          <w:sz w:val="24"/>
          <w:szCs w:val="20"/>
          <w:highlight w:val="none"/>
        </w:rPr>
        <w:t>______________</w:t>
      </w:r>
    </w:p>
    <w:p>
      <w:pPr>
        <w:snapToGrid w:val="0"/>
        <w:spacing w:line="360" w:lineRule="auto"/>
        <w:rPr>
          <w:rFonts w:ascii="宋体" w:hAnsi="宋体"/>
          <w:sz w:val="24"/>
          <w:szCs w:val="20"/>
          <w:highlight w:val="none"/>
        </w:rPr>
      </w:pPr>
      <w:r>
        <w:rPr>
          <w:rFonts w:hint="eastAsia" w:ascii="宋体" w:hAnsi="宋体"/>
          <w:sz w:val="24"/>
          <w:szCs w:val="20"/>
          <w:highlight w:val="none"/>
        </w:rPr>
        <w:t>传真：</w:t>
      </w:r>
      <w:r>
        <w:rPr>
          <w:rFonts w:ascii="宋体" w:hAnsi="宋体"/>
          <w:sz w:val="24"/>
          <w:szCs w:val="20"/>
          <w:highlight w:val="none"/>
        </w:rPr>
        <w:t>______________</w:t>
      </w:r>
      <w:r>
        <w:rPr>
          <w:rFonts w:hint="eastAsia" w:ascii="宋体" w:hAnsi="宋体"/>
          <w:sz w:val="24"/>
          <w:szCs w:val="20"/>
          <w:highlight w:val="none"/>
        </w:rPr>
        <w:t>投标方法人代表姓名</w:t>
      </w:r>
      <w:r>
        <w:rPr>
          <w:rFonts w:ascii="宋体" w:hAnsi="宋体"/>
          <w:sz w:val="24"/>
          <w:szCs w:val="20"/>
          <w:highlight w:val="none"/>
        </w:rPr>
        <w:t>___________</w:t>
      </w:r>
      <w:r>
        <w:rPr>
          <w:rFonts w:hint="eastAsia" w:ascii="宋体" w:hAnsi="宋体"/>
          <w:sz w:val="24"/>
          <w:szCs w:val="20"/>
          <w:highlight w:val="none"/>
        </w:rPr>
        <w:t>职务：</w:t>
      </w:r>
      <w:r>
        <w:rPr>
          <w:rFonts w:ascii="宋体" w:hAnsi="宋体"/>
          <w:sz w:val="24"/>
          <w:szCs w:val="20"/>
          <w:highlight w:val="none"/>
        </w:rPr>
        <w:t>_____________</w:t>
      </w:r>
    </w:p>
    <w:p>
      <w:pPr>
        <w:snapToGrid w:val="0"/>
        <w:spacing w:line="360" w:lineRule="auto"/>
        <w:rPr>
          <w:rFonts w:ascii="宋体" w:hAnsi="宋体"/>
          <w:sz w:val="24"/>
          <w:szCs w:val="20"/>
          <w:highlight w:val="none"/>
        </w:rPr>
      </w:pPr>
      <w:r>
        <w:rPr>
          <w:rFonts w:hint="eastAsia" w:ascii="宋体" w:hAnsi="宋体"/>
          <w:sz w:val="24"/>
          <w:szCs w:val="20"/>
          <w:highlight w:val="none"/>
        </w:rPr>
        <w:t>投标方名称</w:t>
      </w:r>
      <w:r>
        <w:rPr>
          <w:rFonts w:ascii="宋体" w:hAnsi="宋体"/>
          <w:sz w:val="24"/>
          <w:szCs w:val="20"/>
          <w:highlight w:val="none"/>
        </w:rPr>
        <w:t>(</w:t>
      </w:r>
      <w:r>
        <w:rPr>
          <w:rFonts w:hint="eastAsia" w:ascii="宋体" w:hAnsi="宋体"/>
          <w:sz w:val="24"/>
          <w:szCs w:val="20"/>
          <w:highlight w:val="none"/>
        </w:rPr>
        <w:t>公章</w:t>
      </w:r>
      <w:r>
        <w:rPr>
          <w:rFonts w:ascii="宋体" w:hAnsi="宋体"/>
          <w:sz w:val="24"/>
          <w:szCs w:val="20"/>
          <w:highlight w:val="none"/>
        </w:rPr>
        <w:t>):___________________</w:t>
      </w:r>
    </w:p>
    <w:p>
      <w:pPr>
        <w:snapToGrid w:val="0"/>
        <w:spacing w:line="360" w:lineRule="auto"/>
        <w:rPr>
          <w:rFonts w:ascii="宋体" w:hAnsi="宋体"/>
          <w:sz w:val="24"/>
          <w:szCs w:val="20"/>
          <w:highlight w:val="none"/>
        </w:rPr>
      </w:pPr>
      <w:r>
        <w:rPr>
          <w:rFonts w:hint="eastAsia" w:ascii="宋体" w:hAnsi="宋体"/>
          <w:sz w:val="24"/>
          <w:szCs w:val="20"/>
          <w:highlight w:val="none"/>
        </w:rPr>
        <w:t>开户银行：                              银行帐号：</w:t>
      </w:r>
    </w:p>
    <w:p>
      <w:pPr>
        <w:snapToGrid w:val="0"/>
        <w:spacing w:line="360" w:lineRule="auto"/>
        <w:jc w:val="center"/>
        <w:rPr>
          <w:rFonts w:ascii="宋体" w:hAnsi="宋体"/>
          <w:sz w:val="30"/>
          <w:szCs w:val="20"/>
          <w:highlight w:val="none"/>
        </w:rPr>
      </w:pPr>
      <w:r>
        <w:rPr>
          <w:rFonts w:hint="eastAsia" w:ascii="宋体" w:hAnsi="宋体"/>
          <w:sz w:val="24"/>
          <w:szCs w:val="20"/>
          <w:highlight w:val="none"/>
        </w:rPr>
        <w:t>法定代表人签字或盖章</w:t>
      </w:r>
      <w:r>
        <w:rPr>
          <w:rFonts w:ascii="宋体" w:hAnsi="宋体"/>
          <w:sz w:val="24"/>
          <w:szCs w:val="20"/>
          <w:highlight w:val="none"/>
        </w:rPr>
        <w:t>:___________</w:t>
      </w:r>
      <w:r>
        <w:rPr>
          <w:rFonts w:hint="eastAsia" w:ascii="宋体" w:hAnsi="宋体"/>
          <w:sz w:val="24"/>
          <w:szCs w:val="20"/>
          <w:highlight w:val="none"/>
        </w:rPr>
        <w:t>日期</w:t>
      </w:r>
      <w:r>
        <w:rPr>
          <w:rFonts w:ascii="宋体" w:hAnsi="宋体"/>
          <w:sz w:val="24"/>
          <w:szCs w:val="20"/>
          <w:highlight w:val="none"/>
        </w:rPr>
        <w:t>:_____</w:t>
      </w:r>
      <w:r>
        <w:rPr>
          <w:rFonts w:hint="eastAsia" w:ascii="宋体" w:hAnsi="宋体"/>
          <w:sz w:val="24"/>
          <w:szCs w:val="20"/>
          <w:highlight w:val="none"/>
        </w:rPr>
        <w:t>年</w:t>
      </w:r>
      <w:r>
        <w:rPr>
          <w:rFonts w:ascii="宋体" w:hAnsi="宋体"/>
          <w:sz w:val="24"/>
          <w:szCs w:val="20"/>
          <w:highlight w:val="none"/>
        </w:rPr>
        <w:t>___</w:t>
      </w:r>
      <w:r>
        <w:rPr>
          <w:rFonts w:hint="eastAsia" w:ascii="宋体" w:hAnsi="宋体"/>
          <w:sz w:val="24"/>
          <w:szCs w:val="20"/>
          <w:highlight w:val="none"/>
        </w:rPr>
        <w:t>月</w:t>
      </w:r>
      <w:r>
        <w:rPr>
          <w:rFonts w:ascii="宋体" w:hAnsi="宋体"/>
          <w:sz w:val="24"/>
          <w:szCs w:val="20"/>
          <w:highlight w:val="none"/>
        </w:rPr>
        <w:t>___</w:t>
      </w:r>
      <w:r>
        <w:rPr>
          <w:rFonts w:hint="eastAsia" w:ascii="宋体" w:hAnsi="宋体"/>
          <w:sz w:val="24"/>
          <w:szCs w:val="20"/>
          <w:highlight w:val="none"/>
        </w:rPr>
        <w:t>日</w:t>
      </w:r>
    </w:p>
    <w:p>
      <w:pPr>
        <w:snapToGrid w:val="0"/>
        <w:rPr>
          <w:rFonts w:ascii="宋体" w:hAnsi="宋体"/>
          <w:sz w:val="24"/>
          <w:highlight w:val="none"/>
        </w:rPr>
      </w:pPr>
    </w:p>
    <w:p>
      <w:pPr>
        <w:spacing w:after="120" w:line="360" w:lineRule="auto"/>
        <w:rPr>
          <w:rFonts w:ascii="宋体" w:hAnsi="宋体"/>
          <w:b/>
          <w:sz w:val="24"/>
          <w:highlight w:val="none"/>
        </w:rPr>
      </w:pPr>
      <w:r>
        <w:rPr>
          <w:rFonts w:hint="eastAsia" w:ascii="宋体" w:hAnsi="宋体"/>
          <w:b/>
          <w:sz w:val="24"/>
          <w:highlight w:val="none"/>
        </w:rPr>
        <w:t>注：投标函格式不得随意变更且内容如实填写完整，否则将可能导致投标文件无效。</w:t>
      </w:r>
    </w:p>
    <w:p>
      <w:pPr>
        <w:snapToGrid w:val="0"/>
        <w:rPr>
          <w:rFonts w:ascii="宋体" w:hAnsi="宋体"/>
          <w:b/>
          <w:sz w:val="30"/>
          <w:szCs w:val="30"/>
          <w:highlight w:val="none"/>
        </w:rPr>
      </w:pPr>
      <w:r>
        <w:rPr>
          <w:rFonts w:hint="eastAsia" w:ascii="宋体" w:hAnsi="宋体"/>
          <w:b/>
          <w:sz w:val="30"/>
          <w:szCs w:val="30"/>
          <w:highlight w:val="none"/>
        </w:rPr>
        <w:t>附件十三:</w:t>
      </w:r>
    </w:p>
    <w:p>
      <w:pPr>
        <w:spacing w:beforeLines="100" w:afterLines="50" w:line="400" w:lineRule="exact"/>
        <w:jc w:val="center"/>
        <w:rPr>
          <w:b/>
          <w:bCs/>
          <w:sz w:val="30"/>
          <w:szCs w:val="20"/>
          <w:highlight w:val="none"/>
        </w:rPr>
      </w:pPr>
    </w:p>
    <w:p>
      <w:pPr>
        <w:spacing w:beforeLines="100" w:afterLines="50" w:line="400" w:lineRule="exact"/>
        <w:jc w:val="center"/>
        <w:rPr>
          <w:b/>
          <w:bCs/>
          <w:sz w:val="24"/>
          <w:szCs w:val="20"/>
          <w:highlight w:val="none"/>
        </w:rPr>
      </w:pPr>
      <w:r>
        <w:rPr>
          <w:b/>
          <w:bCs/>
          <w:sz w:val="30"/>
          <w:szCs w:val="20"/>
          <w:highlight w:val="none"/>
        </w:rPr>
        <w:t>开标一览表</w:t>
      </w:r>
    </w:p>
    <w:p>
      <w:pPr>
        <w:tabs>
          <w:tab w:val="left" w:pos="4477"/>
        </w:tabs>
        <w:spacing w:line="400" w:lineRule="exact"/>
        <w:rPr>
          <w:highlight w:val="none"/>
        </w:rPr>
      </w:pPr>
      <w:r>
        <w:rPr>
          <w:rFonts w:hint="eastAsia"/>
          <w:highlight w:val="none"/>
        </w:rPr>
        <w:t>招标项目名称：招标编号：</w:t>
      </w:r>
    </w:p>
    <w:tbl>
      <w:tblPr>
        <w:tblStyle w:val="48"/>
        <w:tblW w:w="91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9"/>
        <w:gridCol w:w="2268"/>
        <w:gridCol w:w="1701"/>
        <w:gridCol w:w="1701"/>
        <w:gridCol w:w="1418"/>
        <w:gridCol w:w="14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39" w:type="dxa"/>
            <w:noWrap/>
            <w:vAlign w:val="center"/>
          </w:tcPr>
          <w:p>
            <w:pPr>
              <w:spacing w:line="360" w:lineRule="auto"/>
              <w:ind w:right="-21" w:rightChars="-10"/>
              <w:jc w:val="center"/>
              <w:rPr>
                <w:rFonts w:ascii="宋体" w:hAnsi="宋体"/>
                <w:sz w:val="24"/>
                <w:szCs w:val="20"/>
                <w:highlight w:val="none"/>
              </w:rPr>
            </w:pPr>
            <w:r>
              <w:rPr>
                <w:rFonts w:hint="eastAsia" w:ascii="宋体" w:hAnsi="宋体"/>
                <w:sz w:val="24"/>
                <w:szCs w:val="20"/>
                <w:highlight w:val="none"/>
              </w:rPr>
              <w:t>序号</w:t>
            </w:r>
          </w:p>
        </w:tc>
        <w:tc>
          <w:tcPr>
            <w:tcW w:w="2268" w:type="dxa"/>
            <w:noWrap/>
            <w:vAlign w:val="center"/>
          </w:tcPr>
          <w:p>
            <w:pPr>
              <w:spacing w:line="360" w:lineRule="auto"/>
              <w:ind w:right="-21" w:rightChars="-10"/>
              <w:jc w:val="center"/>
              <w:rPr>
                <w:rFonts w:ascii="宋体" w:hAnsi="宋体"/>
                <w:sz w:val="24"/>
                <w:szCs w:val="20"/>
                <w:highlight w:val="none"/>
              </w:rPr>
            </w:pPr>
            <w:r>
              <w:rPr>
                <w:rFonts w:hint="eastAsia" w:ascii="宋体" w:hAnsi="宋体"/>
                <w:sz w:val="24"/>
                <w:szCs w:val="20"/>
                <w:highlight w:val="none"/>
              </w:rPr>
              <w:t>投标项目</w:t>
            </w:r>
          </w:p>
        </w:tc>
        <w:tc>
          <w:tcPr>
            <w:tcW w:w="1701" w:type="dxa"/>
            <w:noWrap/>
            <w:vAlign w:val="center"/>
          </w:tcPr>
          <w:p>
            <w:pPr>
              <w:spacing w:line="360" w:lineRule="auto"/>
              <w:ind w:right="-21" w:rightChars="-10"/>
              <w:jc w:val="center"/>
              <w:rPr>
                <w:rFonts w:ascii="宋体" w:hAnsi="宋体"/>
                <w:sz w:val="24"/>
                <w:szCs w:val="20"/>
                <w:highlight w:val="none"/>
              </w:rPr>
            </w:pPr>
            <w:r>
              <w:rPr>
                <w:rFonts w:hint="eastAsia" w:ascii="宋体" w:hAnsi="宋体"/>
                <w:sz w:val="24"/>
                <w:szCs w:val="20"/>
                <w:highlight w:val="none"/>
              </w:rPr>
              <w:t>投标总价</w:t>
            </w:r>
          </w:p>
          <w:p>
            <w:pPr>
              <w:spacing w:line="360" w:lineRule="auto"/>
              <w:ind w:right="-21" w:rightChars="-10"/>
              <w:jc w:val="center"/>
              <w:rPr>
                <w:rFonts w:ascii="宋体" w:hAnsi="宋体"/>
                <w:sz w:val="18"/>
                <w:szCs w:val="20"/>
                <w:highlight w:val="none"/>
              </w:rPr>
            </w:pPr>
            <w:r>
              <w:rPr>
                <w:rFonts w:hint="eastAsia" w:ascii="宋体" w:hAnsi="宋体"/>
                <w:sz w:val="24"/>
                <w:szCs w:val="20"/>
                <w:highlight w:val="none"/>
              </w:rPr>
              <w:t>（优惠率</w:t>
            </w:r>
            <w:r>
              <w:rPr>
                <w:rFonts w:ascii="宋体" w:hAnsi="宋体"/>
                <w:sz w:val="24"/>
                <w:szCs w:val="20"/>
                <w:highlight w:val="none"/>
              </w:rPr>
              <w:t>）</w:t>
            </w:r>
          </w:p>
        </w:tc>
        <w:tc>
          <w:tcPr>
            <w:tcW w:w="1701" w:type="dxa"/>
            <w:noWrap/>
            <w:vAlign w:val="center"/>
          </w:tcPr>
          <w:p>
            <w:pPr>
              <w:spacing w:line="360" w:lineRule="auto"/>
              <w:ind w:right="-21" w:rightChars="-10"/>
              <w:jc w:val="center"/>
              <w:rPr>
                <w:rFonts w:ascii="宋体" w:hAnsi="宋体"/>
                <w:sz w:val="24"/>
                <w:szCs w:val="20"/>
                <w:highlight w:val="none"/>
              </w:rPr>
            </w:pPr>
            <w:r>
              <w:rPr>
                <w:rFonts w:hint="eastAsia" w:ascii="宋体" w:hAnsi="宋体"/>
                <w:sz w:val="24"/>
                <w:szCs w:val="20"/>
                <w:highlight w:val="none"/>
              </w:rPr>
              <w:t>主要服务内容(团队负责人)</w:t>
            </w:r>
          </w:p>
        </w:tc>
        <w:tc>
          <w:tcPr>
            <w:tcW w:w="1418" w:type="dxa"/>
            <w:tcBorders>
              <w:right w:val="single" w:color="auto" w:sz="4" w:space="0"/>
            </w:tcBorders>
            <w:noWrap/>
            <w:vAlign w:val="center"/>
          </w:tcPr>
          <w:p>
            <w:pPr>
              <w:spacing w:line="360" w:lineRule="auto"/>
              <w:ind w:right="-21" w:rightChars="-10"/>
              <w:jc w:val="center"/>
              <w:rPr>
                <w:rFonts w:ascii="宋体" w:hAnsi="宋体"/>
                <w:sz w:val="24"/>
                <w:szCs w:val="20"/>
                <w:highlight w:val="none"/>
              </w:rPr>
            </w:pPr>
            <w:r>
              <w:rPr>
                <w:rFonts w:hint="eastAsia" w:ascii="宋体" w:hAnsi="宋体"/>
                <w:sz w:val="24"/>
                <w:szCs w:val="20"/>
                <w:highlight w:val="none"/>
              </w:rPr>
              <w:t>服务时间（周期）</w:t>
            </w:r>
          </w:p>
        </w:tc>
        <w:tc>
          <w:tcPr>
            <w:tcW w:w="1479" w:type="dxa"/>
            <w:tcBorders>
              <w:left w:val="single" w:color="auto" w:sz="4" w:space="0"/>
            </w:tcBorders>
            <w:noWrap/>
            <w:vAlign w:val="center"/>
          </w:tcPr>
          <w:p>
            <w:pPr>
              <w:spacing w:line="360" w:lineRule="auto"/>
              <w:ind w:right="-21" w:rightChars="-10"/>
              <w:jc w:val="center"/>
              <w:rPr>
                <w:rFonts w:ascii="宋体" w:hAnsi="宋体"/>
                <w:sz w:val="24"/>
                <w:szCs w:val="20"/>
                <w:highlight w:val="none"/>
              </w:rPr>
            </w:pPr>
            <w:r>
              <w:rPr>
                <w:rFonts w:hint="eastAsia" w:ascii="宋体" w:hAnsi="宋体"/>
                <w:sz w:val="24"/>
                <w:szCs w:val="20"/>
                <w:highlight w:val="none"/>
              </w:rPr>
              <w:t>是否符合小微企业价格扣除政策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539" w:type="dxa"/>
            <w:noWrap/>
            <w:vAlign w:val="center"/>
          </w:tcPr>
          <w:p>
            <w:pPr>
              <w:spacing w:line="360" w:lineRule="auto"/>
              <w:ind w:right="-21" w:rightChars="-10"/>
              <w:jc w:val="center"/>
              <w:rPr>
                <w:rFonts w:ascii="宋体" w:hAnsi="宋体"/>
                <w:sz w:val="28"/>
                <w:szCs w:val="20"/>
                <w:highlight w:val="none"/>
              </w:rPr>
            </w:pPr>
            <w:r>
              <w:rPr>
                <w:rFonts w:hint="eastAsia" w:ascii="宋体" w:hAnsi="宋体"/>
                <w:sz w:val="28"/>
                <w:szCs w:val="20"/>
                <w:highlight w:val="none"/>
              </w:rPr>
              <w:t>1</w:t>
            </w:r>
          </w:p>
        </w:tc>
        <w:tc>
          <w:tcPr>
            <w:tcW w:w="2268" w:type="dxa"/>
            <w:noWrap/>
            <w:vAlign w:val="center"/>
          </w:tcPr>
          <w:p>
            <w:pPr>
              <w:spacing w:line="360" w:lineRule="auto"/>
              <w:ind w:right="-21" w:rightChars="-10"/>
              <w:jc w:val="center"/>
              <w:rPr>
                <w:rFonts w:ascii="宋体" w:hAnsi="宋体"/>
                <w:sz w:val="24"/>
                <w:highlight w:val="none"/>
              </w:rPr>
            </w:pPr>
          </w:p>
        </w:tc>
        <w:tc>
          <w:tcPr>
            <w:tcW w:w="1701" w:type="dxa"/>
            <w:noWrap/>
            <w:vAlign w:val="center"/>
          </w:tcPr>
          <w:p>
            <w:pPr>
              <w:spacing w:line="360" w:lineRule="auto"/>
              <w:ind w:right="-21" w:rightChars="-10"/>
              <w:jc w:val="center"/>
              <w:rPr>
                <w:rFonts w:ascii="宋体" w:hAnsi="宋体"/>
                <w:sz w:val="28"/>
                <w:szCs w:val="20"/>
                <w:highlight w:val="none"/>
              </w:rPr>
            </w:pPr>
            <w:r>
              <w:rPr>
                <w:rFonts w:hint="eastAsia" w:ascii="宋体" w:hAnsi="宋体"/>
                <w:sz w:val="28"/>
                <w:szCs w:val="20"/>
                <w:highlight w:val="none"/>
              </w:rPr>
              <w:t>%</w:t>
            </w:r>
          </w:p>
        </w:tc>
        <w:tc>
          <w:tcPr>
            <w:tcW w:w="1701" w:type="dxa"/>
            <w:noWrap/>
          </w:tcPr>
          <w:p>
            <w:pPr>
              <w:spacing w:line="360" w:lineRule="auto"/>
              <w:ind w:right="-21" w:rightChars="-10"/>
              <w:jc w:val="center"/>
              <w:rPr>
                <w:rFonts w:ascii="宋体" w:hAnsi="宋体"/>
                <w:sz w:val="28"/>
                <w:szCs w:val="20"/>
                <w:highlight w:val="none"/>
              </w:rPr>
            </w:pPr>
          </w:p>
        </w:tc>
        <w:tc>
          <w:tcPr>
            <w:tcW w:w="1418" w:type="dxa"/>
            <w:tcBorders>
              <w:right w:val="single" w:color="auto" w:sz="4" w:space="0"/>
            </w:tcBorders>
            <w:noWrap/>
            <w:vAlign w:val="center"/>
          </w:tcPr>
          <w:p>
            <w:pPr>
              <w:spacing w:line="360" w:lineRule="auto"/>
              <w:ind w:right="-21" w:rightChars="-10"/>
              <w:jc w:val="center"/>
              <w:rPr>
                <w:rFonts w:ascii="宋体" w:hAnsi="宋体"/>
                <w:sz w:val="28"/>
                <w:szCs w:val="20"/>
                <w:highlight w:val="none"/>
              </w:rPr>
            </w:pPr>
          </w:p>
        </w:tc>
        <w:tc>
          <w:tcPr>
            <w:tcW w:w="1479" w:type="dxa"/>
            <w:tcBorders>
              <w:left w:val="single" w:color="auto" w:sz="4" w:space="0"/>
            </w:tcBorders>
            <w:noWrap/>
            <w:vAlign w:val="center"/>
          </w:tcPr>
          <w:p>
            <w:pPr>
              <w:spacing w:line="360" w:lineRule="auto"/>
              <w:ind w:right="-21" w:rightChars="-10"/>
              <w:jc w:val="center"/>
              <w:rPr>
                <w:rFonts w:ascii="宋体" w:hAnsi="宋体"/>
                <w:sz w:val="28"/>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106" w:type="dxa"/>
            <w:gridSpan w:val="6"/>
            <w:noWrap/>
            <w:vAlign w:val="center"/>
          </w:tcPr>
          <w:p>
            <w:pPr>
              <w:spacing w:line="360" w:lineRule="auto"/>
              <w:ind w:left="99" w:leftChars="47" w:right="-21" w:rightChars="-10"/>
              <w:rPr>
                <w:rFonts w:hAnsi="宋体"/>
                <w:szCs w:val="20"/>
                <w:highlight w:val="none"/>
              </w:rPr>
            </w:pPr>
            <w:r>
              <w:rPr>
                <w:rFonts w:hint="eastAsia" w:hAnsi="宋体"/>
                <w:szCs w:val="20"/>
                <w:highlight w:val="none"/>
              </w:rPr>
              <w:t>投标总价（大写）：￥：</w:t>
            </w:r>
          </w:p>
        </w:tc>
      </w:tr>
    </w:tbl>
    <w:p>
      <w:pPr>
        <w:snapToGrid w:val="0"/>
        <w:spacing w:before="50" w:after="50"/>
        <w:ind w:firstLine="480" w:firstLineChars="200"/>
        <w:jc w:val="left"/>
        <w:rPr>
          <w:rFonts w:ascii="宋体" w:hAnsi="宋体"/>
          <w:sz w:val="24"/>
          <w:szCs w:val="20"/>
          <w:highlight w:val="none"/>
        </w:rPr>
      </w:pPr>
      <w:r>
        <w:rPr>
          <w:rFonts w:hint="eastAsia" w:ascii="宋体" w:hAnsi="宋体"/>
          <w:sz w:val="24"/>
          <w:szCs w:val="20"/>
          <w:highlight w:val="none"/>
        </w:rPr>
        <w:t>注:1、报价一经涂改，应在涂改处加盖单位公章或者由法定代表人或授权委托人签字或盖章，否则其投标作无效标处理。</w:t>
      </w:r>
    </w:p>
    <w:p>
      <w:pPr>
        <w:snapToGrid w:val="0"/>
        <w:spacing w:before="50" w:after="50"/>
        <w:ind w:firstLine="480" w:firstLineChars="200"/>
        <w:jc w:val="left"/>
        <w:rPr>
          <w:rFonts w:ascii="宋体" w:hAnsi="宋体"/>
          <w:sz w:val="24"/>
          <w:szCs w:val="20"/>
          <w:highlight w:val="none"/>
        </w:rPr>
      </w:pPr>
      <w:r>
        <w:rPr>
          <w:rFonts w:hint="eastAsia" w:ascii="宋体" w:hAnsi="宋体"/>
          <w:sz w:val="24"/>
          <w:szCs w:val="20"/>
          <w:highlight w:val="none"/>
        </w:rPr>
        <w:t>2、投标费用包括项目实施所需的人员住宿、所需工具、验收费、技术支持与培训费、购买及制作标书费和税费及其他一切费用。</w:t>
      </w:r>
    </w:p>
    <w:p>
      <w:pPr>
        <w:snapToGrid w:val="0"/>
        <w:spacing w:before="50" w:after="50"/>
        <w:ind w:firstLine="480" w:firstLineChars="200"/>
        <w:jc w:val="left"/>
        <w:rPr>
          <w:rFonts w:ascii="宋体" w:hAnsi="宋体"/>
          <w:sz w:val="24"/>
          <w:szCs w:val="20"/>
          <w:highlight w:val="none"/>
        </w:rPr>
      </w:pPr>
      <w:r>
        <w:rPr>
          <w:rFonts w:hint="eastAsia" w:ascii="宋体" w:hAnsi="宋体"/>
          <w:sz w:val="24"/>
          <w:szCs w:val="20"/>
          <w:highlight w:val="none"/>
        </w:rPr>
        <w:t>3、以上报价应与“投标产品报价明细表”中的“投标总价”相一致。</w:t>
      </w:r>
    </w:p>
    <w:p>
      <w:pPr>
        <w:snapToGrid w:val="0"/>
        <w:spacing w:before="50" w:after="50"/>
        <w:ind w:firstLine="482" w:firstLineChars="200"/>
        <w:jc w:val="left"/>
        <w:rPr>
          <w:rFonts w:ascii="宋体" w:hAnsi="宋体"/>
          <w:b/>
          <w:sz w:val="24"/>
          <w:szCs w:val="20"/>
          <w:highlight w:val="none"/>
        </w:rPr>
      </w:pPr>
      <w:r>
        <w:rPr>
          <w:rFonts w:hint="eastAsia" w:ascii="宋体" w:hAnsi="宋体"/>
          <w:b/>
          <w:sz w:val="24"/>
          <w:szCs w:val="20"/>
          <w:highlight w:val="none"/>
        </w:rPr>
        <w:t>4、仅对符合小微企业价格扣除政策的产品进行价格扣除，扣除后的价格仅作为价格分计算。</w:t>
      </w:r>
    </w:p>
    <w:p>
      <w:pPr>
        <w:snapToGrid w:val="0"/>
        <w:spacing w:before="50" w:after="50"/>
        <w:ind w:firstLine="480" w:firstLineChars="200"/>
        <w:jc w:val="left"/>
        <w:rPr>
          <w:rFonts w:ascii="宋体" w:hAnsi="宋体"/>
          <w:sz w:val="24"/>
          <w:szCs w:val="20"/>
          <w:highlight w:val="none"/>
        </w:rPr>
      </w:pPr>
    </w:p>
    <w:p>
      <w:pPr>
        <w:snapToGrid w:val="0"/>
        <w:spacing w:before="50" w:after="50"/>
        <w:ind w:left="-3" w:leftChars="-72" w:right="-817" w:rightChars="-389" w:hanging="148" w:hangingChars="62"/>
        <w:rPr>
          <w:rFonts w:ascii="宋体" w:hAnsi="宋体"/>
          <w:sz w:val="24"/>
          <w:szCs w:val="20"/>
          <w:highlight w:val="none"/>
        </w:rPr>
      </w:pPr>
    </w:p>
    <w:p>
      <w:pPr>
        <w:snapToGrid w:val="0"/>
        <w:spacing w:before="50" w:after="50"/>
        <w:ind w:right="-817" w:rightChars="-389"/>
        <w:rPr>
          <w:rFonts w:ascii="宋体" w:hAnsi="宋体"/>
          <w:sz w:val="24"/>
          <w:szCs w:val="20"/>
          <w:highlight w:val="none"/>
        </w:rPr>
      </w:pPr>
    </w:p>
    <w:p>
      <w:pPr>
        <w:snapToGrid w:val="0"/>
        <w:spacing w:before="50" w:after="50"/>
        <w:ind w:right="-817" w:rightChars="-389"/>
        <w:rPr>
          <w:rFonts w:ascii="宋体" w:hAnsi="宋体"/>
          <w:sz w:val="24"/>
          <w:szCs w:val="20"/>
          <w:highlight w:val="none"/>
        </w:rPr>
      </w:pPr>
    </w:p>
    <w:p>
      <w:pPr>
        <w:snapToGrid w:val="0"/>
        <w:spacing w:before="50" w:after="50"/>
        <w:ind w:left="-3" w:leftChars="-72" w:right="-817" w:rightChars="-389" w:hanging="148" w:hangingChars="62"/>
        <w:rPr>
          <w:rFonts w:ascii="宋体" w:hAnsi="宋体"/>
          <w:sz w:val="24"/>
          <w:szCs w:val="20"/>
          <w:highlight w:val="none"/>
        </w:rPr>
      </w:pPr>
      <w:r>
        <w:rPr>
          <w:rFonts w:hint="eastAsia" w:ascii="宋体" w:hAnsi="宋体"/>
          <w:sz w:val="24"/>
          <w:szCs w:val="20"/>
          <w:highlight w:val="none"/>
        </w:rPr>
        <w:t>投标方名称（盖章）：</w:t>
      </w:r>
    </w:p>
    <w:p>
      <w:pPr>
        <w:snapToGrid w:val="0"/>
        <w:spacing w:before="50" w:after="50"/>
        <w:ind w:left="-3" w:leftChars="-72" w:right="-817" w:rightChars="-389" w:hanging="148" w:hangingChars="62"/>
        <w:rPr>
          <w:rFonts w:ascii="宋体" w:hAnsi="宋体"/>
          <w:sz w:val="24"/>
          <w:szCs w:val="20"/>
          <w:highlight w:val="none"/>
        </w:rPr>
      </w:pPr>
      <w:r>
        <w:rPr>
          <w:rFonts w:hint="eastAsia" w:ascii="宋体" w:hAnsi="宋体"/>
          <w:sz w:val="24"/>
          <w:szCs w:val="20"/>
          <w:highlight w:val="none"/>
        </w:rPr>
        <w:t>日期：  年   月   日</w:t>
      </w:r>
    </w:p>
    <w:p>
      <w:pPr>
        <w:snapToGrid w:val="0"/>
        <w:rPr>
          <w:rFonts w:ascii="宋体" w:hAnsi="宋体"/>
          <w:sz w:val="24"/>
          <w:highlight w:val="none"/>
        </w:rPr>
      </w:pPr>
    </w:p>
    <w:p>
      <w:pPr>
        <w:snapToGrid w:val="0"/>
        <w:rPr>
          <w:rFonts w:ascii="宋体" w:hAnsi="宋体"/>
          <w:sz w:val="24"/>
          <w:highlight w:val="none"/>
        </w:rPr>
      </w:pPr>
    </w:p>
    <w:p>
      <w:pPr>
        <w:snapToGrid w:val="0"/>
        <w:rPr>
          <w:rFonts w:ascii="宋体" w:hAnsi="宋体"/>
          <w:sz w:val="24"/>
          <w:highlight w:val="none"/>
        </w:rPr>
      </w:pPr>
    </w:p>
    <w:p>
      <w:pPr>
        <w:snapToGrid w:val="0"/>
        <w:rPr>
          <w:rFonts w:ascii="宋体" w:hAnsi="宋体"/>
          <w:sz w:val="24"/>
          <w:highlight w:val="none"/>
        </w:rPr>
      </w:pPr>
    </w:p>
    <w:p>
      <w:pPr>
        <w:snapToGrid w:val="0"/>
        <w:rPr>
          <w:rFonts w:ascii="宋体" w:hAnsi="宋体"/>
          <w:sz w:val="24"/>
          <w:highlight w:val="none"/>
        </w:rPr>
      </w:pPr>
    </w:p>
    <w:p>
      <w:pPr>
        <w:snapToGrid w:val="0"/>
        <w:rPr>
          <w:rFonts w:ascii="宋体" w:hAnsi="宋体"/>
          <w:sz w:val="24"/>
          <w:highlight w:val="none"/>
        </w:rPr>
      </w:pPr>
    </w:p>
    <w:p>
      <w:pPr>
        <w:snapToGrid w:val="0"/>
        <w:rPr>
          <w:rFonts w:ascii="宋体" w:hAnsi="宋体"/>
          <w:sz w:val="24"/>
          <w:highlight w:val="none"/>
        </w:rPr>
      </w:pPr>
    </w:p>
    <w:p>
      <w:pPr>
        <w:snapToGrid w:val="0"/>
        <w:rPr>
          <w:rFonts w:ascii="宋体" w:hAnsi="宋体"/>
          <w:sz w:val="24"/>
          <w:highlight w:val="none"/>
        </w:rPr>
      </w:pPr>
    </w:p>
    <w:p>
      <w:pPr>
        <w:snapToGrid w:val="0"/>
        <w:rPr>
          <w:rFonts w:ascii="宋体" w:hAnsi="宋体"/>
          <w:sz w:val="24"/>
          <w:highlight w:val="none"/>
        </w:rPr>
      </w:pPr>
    </w:p>
    <w:p>
      <w:pPr>
        <w:snapToGrid w:val="0"/>
        <w:rPr>
          <w:rFonts w:ascii="宋体" w:hAnsi="宋体"/>
          <w:sz w:val="24"/>
          <w:highlight w:val="none"/>
        </w:rPr>
      </w:pPr>
    </w:p>
    <w:p>
      <w:pPr>
        <w:snapToGrid w:val="0"/>
        <w:rPr>
          <w:rFonts w:ascii="宋体" w:hAnsi="宋体"/>
          <w:sz w:val="24"/>
          <w:highlight w:val="none"/>
        </w:rPr>
      </w:pPr>
    </w:p>
    <w:p>
      <w:pPr>
        <w:snapToGrid w:val="0"/>
        <w:rPr>
          <w:rFonts w:ascii="宋体" w:hAnsi="宋体"/>
          <w:sz w:val="24"/>
          <w:highlight w:val="none"/>
        </w:rPr>
      </w:pPr>
    </w:p>
    <w:p>
      <w:pPr>
        <w:snapToGrid w:val="0"/>
        <w:rPr>
          <w:rFonts w:ascii="宋体" w:hAnsi="宋体"/>
          <w:sz w:val="24"/>
          <w:highlight w:val="none"/>
        </w:rPr>
      </w:pPr>
    </w:p>
    <w:p>
      <w:pPr>
        <w:snapToGrid w:val="0"/>
        <w:rPr>
          <w:rFonts w:ascii="宋体" w:hAnsi="宋体"/>
          <w:sz w:val="24"/>
          <w:highlight w:val="none"/>
        </w:rPr>
      </w:pPr>
    </w:p>
    <w:p>
      <w:pPr>
        <w:snapToGrid w:val="0"/>
        <w:rPr>
          <w:rFonts w:ascii="宋体" w:hAnsi="宋体"/>
          <w:sz w:val="24"/>
          <w:highlight w:val="none"/>
        </w:rPr>
      </w:pPr>
    </w:p>
    <w:p>
      <w:pPr>
        <w:widowControl/>
        <w:jc w:val="left"/>
        <w:rPr>
          <w:rFonts w:ascii="宋体" w:hAnsi="宋体"/>
          <w:sz w:val="24"/>
          <w:szCs w:val="20"/>
          <w:highlight w:val="none"/>
        </w:rPr>
      </w:pPr>
    </w:p>
    <w:p>
      <w:pPr>
        <w:spacing w:line="400" w:lineRule="exact"/>
        <w:rPr>
          <w:rFonts w:ascii="宋体" w:hAnsi="宋体"/>
          <w:b/>
          <w:sz w:val="32"/>
          <w:szCs w:val="32"/>
          <w:highlight w:val="none"/>
        </w:rPr>
      </w:pPr>
      <w:r>
        <w:rPr>
          <w:rFonts w:hint="eastAsia" w:ascii="宋体" w:hAnsi="宋体"/>
          <w:b/>
          <w:sz w:val="32"/>
          <w:szCs w:val="32"/>
          <w:highlight w:val="none"/>
        </w:rPr>
        <w:t>附件十四：</w:t>
      </w:r>
    </w:p>
    <w:p>
      <w:pPr>
        <w:snapToGrid w:val="0"/>
        <w:jc w:val="center"/>
        <w:rPr>
          <w:rFonts w:ascii="宋体" w:hAnsi="Courier New"/>
          <w:b/>
          <w:bCs/>
          <w:sz w:val="30"/>
          <w:highlight w:val="none"/>
        </w:rPr>
      </w:pPr>
      <w:r>
        <w:rPr>
          <w:rFonts w:hint="eastAsia" w:ascii="宋体" w:hAnsi="Courier New"/>
          <w:b/>
          <w:bCs/>
          <w:sz w:val="30"/>
          <w:highlight w:val="none"/>
        </w:rPr>
        <w:t>投标产品报价明细表</w:t>
      </w:r>
    </w:p>
    <w:p>
      <w:pPr>
        <w:spacing w:line="400" w:lineRule="exact"/>
        <w:rPr>
          <w:b/>
          <w:bCs/>
          <w:sz w:val="24"/>
          <w:highlight w:val="none"/>
        </w:rPr>
      </w:pPr>
      <w:r>
        <w:rPr>
          <w:rFonts w:hint="eastAsia"/>
          <w:sz w:val="24"/>
          <w:highlight w:val="none"/>
        </w:rPr>
        <w:t>招标项目名称：                                招标编号：</w:t>
      </w:r>
    </w:p>
    <w:tbl>
      <w:tblPr>
        <w:tblStyle w:val="48"/>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3203"/>
        <w:gridCol w:w="1650"/>
        <w:gridCol w:w="1125"/>
        <w:gridCol w:w="1035"/>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top w:val="single" w:color="auto" w:sz="12" w:space="0"/>
              <w:left w:val="single" w:color="auto" w:sz="12" w:space="0"/>
              <w:bottom w:val="single" w:color="auto" w:sz="12" w:space="0"/>
            </w:tcBorders>
            <w:noWrap/>
            <w:vAlign w:val="center"/>
          </w:tcPr>
          <w:p>
            <w:pPr>
              <w:ind w:right="-11"/>
              <w:rPr>
                <w:b/>
                <w:bCs/>
                <w:szCs w:val="21"/>
                <w:highlight w:val="none"/>
              </w:rPr>
            </w:pPr>
            <w:r>
              <w:rPr>
                <w:rFonts w:hint="eastAsia"/>
                <w:b/>
                <w:bCs/>
                <w:szCs w:val="21"/>
                <w:highlight w:val="none"/>
              </w:rPr>
              <w:t>序号</w:t>
            </w:r>
          </w:p>
        </w:tc>
        <w:tc>
          <w:tcPr>
            <w:tcW w:w="3203" w:type="dxa"/>
            <w:tcBorders>
              <w:top w:val="single" w:color="auto" w:sz="12" w:space="0"/>
              <w:bottom w:val="single" w:color="auto" w:sz="12" w:space="0"/>
            </w:tcBorders>
            <w:noWrap/>
            <w:vAlign w:val="center"/>
          </w:tcPr>
          <w:p>
            <w:pPr>
              <w:ind w:right="-11"/>
              <w:jc w:val="center"/>
              <w:rPr>
                <w:b/>
                <w:bCs/>
                <w:szCs w:val="21"/>
                <w:highlight w:val="none"/>
              </w:rPr>
            </w:pPr>
            <w:r>
              <w:rPr>
                <w:rFonts w:hint="eastAsia"/>
                <w:b/>
                <w:bCs/>
                <w:szCs w:val="21"/>
                <w:highlight w:val="none"/>
              </w:rPr>
              <w:t>服务项目名称</w:t>
            </w:r>
          </w:p>
        </w:tc>
        <w:tc>
          <w:tcPr>
            <w:tcW w:w="1650" w:type="dxa"/>
            <w:tcBorders>
              <w:top w:val="single" w:color="auto" w:sz="12" w:space="0"/>
              <w:bottom w:val="single" w:color="auto" w:sz="12" w:space="0"/>
            </w:tcBorders>
            <w:noWrap/>
            <w:vAlign w:val="center"/>
          </w:tcPr>
          <w:p>
            <w:pPr>
              <w:ind w:right="-11"/>
              <w:jc w:val="center"/>
              <w:rPr>
                <w:b/>
                <w:bCs/>
                <w:szCs w:val="21"/>
                <w:highlight w:val="none"/>
              </w:rPr>
            </w:pPr>
            <w:r>
              <w:rPr>
                <w:rFonts w:hint="eastAsia"/>
                <w:b/>
                <w:bCs/>
                <w:szCs w:val="21"/>
                <w:highlight w:val="none"/>
              </w:rPr>
              <w:t>计量单位</w:t>
            </w:r>
          </w:p>
        </w:tc>
        <w:tc>
          <w:tcPr>
            <w:tcW w:w="1125" w:type="dxa"/>
            <w:tcBorders>
              <w:top w:val="single" w:color="auto" w:sz="12" w:space="0"/>
              <w:bottom w:val="single" w:color="auto" w:sz="12" w:space="0"/>
            </w:tcBorders>
            <w:noWrap/>
            <w:vAlign w:val="center"/>
          </w:tcPr>
          <w:p>
            <w:pPr>
              <w:ind w:right="-11"/>
              <w:jc w:val="center"/>
              <w:rPr>
                <w:szCs w:val="21"/>
                <w:highlight w:val="none"/>
              </w:rPr>
            </w:pPr>
            <w:r>
              <w:rPr>
                <w:rFonts w:hint="eastAsia"/>
                <w:szCs w:val="21"/>
                <w:highlight w:val="none"/>
              </w:rPr>
              <w:t>单价上限</w:t>
            </w:r>
          </w:p>
          <w:p>
            <w:pPr>
              <w:ind w:right="-11"/>
              <w:jc w:val="center"/>
              <w:rPr>
                <w:szCs w:val="21"/>
                <w:highlight w:val="none"/>
              </w:rPr>
            </w:pPr>
            <w:r>
              <w:rPr>
                <w:rFonts w:hint="eastAsia"/>
                <w:szCs w:val="21"/>
                <w:highlight w:val="none"/>
              </w:rPr>
              <w:t>（人民币元）</w:t>
            </w:r>
          </w:p>
        </w:tc>
        <w:tc>
          <w:tcPr>
            <w:tcW w:w="1035" w:type="dxa"/>
            <w:tcBorders>
              <w:top w:val="single" w:color="auto" w:sz="12" w:space="0"/>
              <w:bottom w:val="single" w:color="auto" w:sz="12" w:space="0"/>
            </w:tcBorders>
            <w:noWrap/>
            <w:vAlign w:val="center"/>
          </w:tcPr>
          <w:p>
            <w:pPr>
              <w:ind w:right="-11"/>
              <w:jc w:val="center"/>
              <w:rPr>
                <w:szCs w:val="21"/>
                <w:highlight w:val="none"/>
              </w:rPr>
            </w:pPr>
            <w:r>
              <w:rPr>
                <w:rFonts w:hint="eastAsia"/>
                <w:b/>
                <w:bCs/>
                <w:szCs w:val="21"/>
                <w:highlight w:val="none"/>
              </w:rPr>
              <w:t>投标单价（人民币元）</w:t>
            </w:r>
          </w:p>
        </w:tc>
        <w:tc>
          <w:tcPr>
            <w:tcW w:w="1241" w:type="dxa"/>
            <w:tcBorders>
              <w:top w:val="single" w:color="auto" w:sz="12" w:space="0"/>
              <w:bottom w:val="single" w:color="auto" w:sz="12" w:space="0"/>
              <w:right w:val="single" w:color="auto" w:sz="12" w:space="0"/>
            </w:tcBorders>
            <w:noWrap/>
            <w:vAlign w:val="center"/>
          </w:tcPr>
          <w:p>
            <w:pPr>
              <w:ind w:right="-11"/>
              <w:jc w:val="center"/>
              <w:rPr>
                <w:b/>
                <w:bCs/>
                <w:szCs w:val="21"/>
                <w:highlight w:val="none"/>
              </w:rPr>
            </w:pPr>
            <w:r>
              <w:rPr>
                <w:rFonts w:hint="eastAsia"/>
                <w:b/>
                <w:bCs/>
                <w:szCs w:val="21"/>
                <w:highlight w:val="none"/>
              </w:rPr>
              <w:t>优惠率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noWrap/>
          </w:tcPr>
          <w:p>
            <w:pPr>
              <w:spacing w:beforeLines="50"/>
              <w:ind w:right="-11"/>
              <w:jc w:val="center"/>
              <w:rPr>
                <w:sz w:val="24"/>
                <w:highlight w:val="none"/>
              </w:rPr>
            </w:pPr>
          </w:p>
        </w:tc>
        <w:tc>
          <w:tcPr>
            <w:tcW w:w="3203" w:type="dxa"/>
            <w:noWrap/>
          </w:tcPr>
          <w:p>
            <w:pPr>
              <w:spacing w:beforeLines="50"/>
              <w:ind w:right="-11"/>
              <w:jc w:val="center"/>
              <w:rPr>
                <w:sz w:val="24"/>
                <w:highlight w:val="none"/>
              </w:rPr>
            </w:pPr>
          </w:p>
        </w:tc>
        <w:tc>
          <w:tcPr>
            <w:tcW w:w="1650" w:type="dxa"/>
            <w:noWrap/>
          </w:tcPr>
          <w:p>
            <w:pPr>
              <w:spacing w:beforeLines="50"/>
              <w:ind w:right="-11"/>
              <w:jc w:val="center"/>
              <w:rPr>
                <w:sz w:val="24"/>
                <w:highlight w:val="none"/>
              </w:rPr>
            </w:pPr>
          </w:p>
        </w:tc>
        <w:tc>
          <w:tcPr>
            <w:tcW w:w="1125" w:type="dxa"/>
            <w:noWrap/>
          </w:tcPr>
          <w:p>
            <w:pPr>
              <w:spacing w:beforeLines="50"/>
              <w:ind w:right="-11"/>
              <w:jc w:val="center"/>
              <w:rPr>
                <w:sz w:val="24"/>
                <w:highlight w:val="none"/>
              </w:rPr>
            </w:pPr>
          </w:p>
        </w:tc>
        <w:tc>
          <w:tcPr>
            <w:tcW w:w="1035" w:type="dxa"/>
            <w:noWrap/>
          </w:tcPr>
          <w:p>
            <w:pPr>
              <w:spacing w:beforeLines="50"/>
              <w:ind w:right="-11"/>
              <w:jc w:val="center"/>
              <w:rPr>
                <w:sz w:val="24"/>
                <w:highlight w:val="none"/>
              </w:rPr>
            </w:pPr>
          </w:p>
        </w:tc>
        <w:tc>
          <w:tcPr>
            <w:tcW w:w="1241" w:type="dxa"/>
            <w:vMerge w:val="restart"/>
            <w:tcBorders>
              <w:right w:val="single" w:color="auto" w:sz="12" w:space="0"/>
            </w:tcBorders>
            <w:noWrap/>
          </w:tcPr>
          <w:p>
            <w:pPr>
              <w:spacing w:beforeLines="50"/>
              <w:ind w:right="-11"/>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noWrap/>
          </w:tcPr>
          <w:p>
            <w:pPr>
              <w:spacing w:beforeLines="50"/>
              <w:ind w:right="-11"/>
              <w:jc w:val="center"/>
              <w:rPr>
                <w:sz w:val="24"/>
                <w:highlight w:val="none"/>
              </w:rPr>
            </w:pPr>
          </w:p>
        </w:tc>
        <w:tc>
          <w:tcPr>
            <w:tcW w:w="3203" w:type="dxa"/>
            <w:noWrap/>
          </w:tcPr>
          <w:p>
            <w:pPr>
              <w:spacing w:beforeLines="50"/>
              <w:ind w:right="-11"/>
              <w:jc w:val="center"/>
              <w:rPr>
                <w:sz w:val="24"/>
                <w:highlight w:val="none"/>
              </w:rPr>
            </w:pPr>
          </w:p>
        </w:tc>
        <w:tc>
          <w:tcPr>
            <w:tcW w:w="1650" w:type="dxa"/>
            <w:noWrap/>
          </w:tcPr>
          <w:p>
            <w:pPr>
              <w:spacing w:beforeLines="50"/>
              <w:ind w:right="-11"/>
              <w:jc w:val="center"/>
              <w:rPr>
                <w:sz w:val="24"/>
                <w:highlight w:val="none"/>
              </w:rPr>
            </w:pPr>
          </w:p>
        </w:tc>
        <w:tc>
          <w:tcPr>
            <w:tcW w:w="1125" w:type="dxa"/>
            <w:noWrap/>
          </w:tcPr>
          <w:p>
            <w:pPr>
              <w:spacing w:beforeLines="50"/>
              <w:ind w:right="-11"/>
              <w:jc w:val="center"/>
              <w:rPr>
                <w:sz w:val="24"/>
                <w:highlight w:val="none"/>
              </w:rPr>
            </w:pPr>
          </w:p>
        </w:tc>
        <w:tc>
          <w:tcPr>
            <w:tcW w:w="1035" w:type="dxa"/>
            <w:noWrap/>
          </w:tcPr>
          <w:p>
            <w:pPr>
              <w:spacing w:beforeLines="50"/>
              <w:ind w:right="-11"/>
              <w:jc w:val="center"/>
              <w:rPr>
                <w:sz w:val="24"/>
                <w:highlight w:val="none"/>
              </w:rPr>
            </w:pPr>
          </w:p>
        </w:tc>
        <w:tc>
          <w:tcPr>
            <w:tcW w:w="1241" w:type="dxa"/>
            <w:vMerge w:val="continue"/>
            <w:tcBorders>
              <w:right w:val="single" w:color="auto" w:sz="12" w:space="0"/>
            </w:tcBorders>
            <w:noWrap/>
          </w:tcPr>
          <w:p>
            <w:pPr>
              <w:spacing w:beforeLines="50"/>
              <w:ind w:right="-11"/>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noWrap/>
          </w:tcPr>
          <w:p>
            <w:pPr>
              <w:spacing w:beforeLines="50"/>
              <w:ind w:right="-11"/>
              <w:jc w:val="center"/>
              <w:rPr>
                <w:sz w:val="24"/>
                <w:highlight w:val="none"/>
              </w:rPr>
            </w:pPr>
          </w:p>
        </w:tc>
        <w:tc>
          <w:tcPr>
            <w:tcW w:w="3203" w:type="dxa"/>
            <w:noWrap/>
          </w:tcPr>
          <w:p>
            <w:pPr>
              <w:spacing w:beforeLines="50"/>
              <w:ind w:right="-11"/>
              <w:jc w:val="center"/>
              <w:rPr>
                <w:sz w:val="24"/>
                <w:highlight w:val="none"/>
              </w:rPr>
            </w:pPr>
          </w:p>
        </w:tc>
        <w:tc>
          <w:tcPr>
            <w:tcW w:w="1650" w:type="dxa"/>
            <w:noWrap/>
          </w:tcPr>
          <w:p>
            <w:pPr>
              <w:spacing w:beforeLines="50"/>
              <w:ind w:right="-11"/>
              <w:jc w:val="center"/>
              <w:rPr>
                <w:sz w:val="24"/>
                <w:highlight w:val="none"/>
              </w:rPr>
            </w:pPr>
          </w:p>
        </w:tc>
        <w:tc>
          <w:tcPr>
            <w:tcW w:w="1125" w:type="dxa"/>
            <w:noWrap/>
          </w:tcPr>
          <w:p>
            <w:pPr>
              <w:spacing w:beforeLines="50"/>
              <w:ind w:right="-11"/>
              <w:jc w:val="center"/>
              <w:rPr>
                <w:sz w:val="24"/>
                <w:highlight w:val="none"/>
              </w:rPr>
            </w:pPr>
          </w:p>
        </w:tc>
        <w:tc>
          <w:tcPr>
            <w:tcW w:w="1035" w:type="dxa"/>
            <w:noWrap/>
          </w:tcPr>
          <w:p>
            <w:pPr>
              <w:spacing w:beforeLines="50"/>
              <w:ind w:right="-11"/>
              <w:jc w:val="center"/>
              <w:rPr>
                <w:sz w:val="24"/>
                <w:highlight w:val="none"/>
              </w:rPr>
            </w:pPr>
          </w:p>
        </w:tc>
        <w:tc>
          <w:tcPr>
            <w:tcW w:w="1241" w:type="dxa"/>
            <w:vMerge w:val="continue"/>
            <w:tcBorders>
              <w:right w:val="single" w:color="auto" w:sz="12" w:space="0"/>
            </w:tcBorders>
            <w:noWrap/>
          </w:tcPr>
          <w:p>
            <w:pPr>
              <w:spacing w:beforeLines="50"/>
              <w:ind w:right="-11"/>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noWrap/>
          </w:tcPr>
          <w:p>
            <w:pPr>
              <w:spacing w:beforeLines="50"/>
              <w:ind w:right="-11"/>
              <w:jc w:val="center"/>
              <w:rPr>
                <w:sz w:val="24"/>
                <w:highlight w:val="none"/>
              </w:rPr>
            </w:pPr>
          </w:p>
        </w:tc>
        <w:tc>
          <w:tcPr>
            <w:tcW w:w="3203" w:type="dxa"/>
            <w:noWrap/>
          </w:tcPr>
          <w:p>
            <w:pPr>
              <w:spacing w:beforeLines="50"/>
              <w:ind w:right="-11"/>
              <w:jc w:val="center"/>
              <w:rPr>
                <w:sz w:val="24"/>
                <w:highlight w:val="none"/>
              </w:rPr>
            </w:pPr>
          </w:p>
        </w:tc>
        <w:tc>
          <w:tcPr>
            <w:tcW w:w="1650" w:type="dxa"/>
            <w:noWrap/>
          </w:tcPr>
          <w:p>
            <w:pPr>
              <w:spacing w:beforeLines="50"/>
              <w:ind w:right="-11"/>
              <w:jc w:val="center"/>
              <w:rPr>
                <w:sz w:val="24"/>
                <w:highlight w:val="none"/>
              </w:rPr>
            </w:pPr>
          </w:p>
        </w:tc>
        <w:tc>
          <w:tcPr>
            <w:tcW w:w="1125" w:type="dxa"/>
            <w:noWrap/>
          </w:tcPr>
          <w:p>
            <w:pPr>
              <w:spacing w:beforeLines="50"/>
              <w:ind w:right="-11"/>
              <w:jc w:val="center"/>
              <w:rPr>
                <w:sz w:val="24"/>
                <w:highlight w:val="none"/>
              </w:rPr>
            </w:pPr>
          </w:p>
        </w:tc>
        <w:tc>
          <w:tcPr>
            <w:tcW w:w="1035" w:type="dxa"/>
            <w:noWrap/>
          </w:tcPr>
          <w:p>
            <w:pPr>
              <w:spacing w:beforeLines="50"/>
              <w:ind w:right="-11"/>
              <w:jc w:val="center"/>
              <w:rPr>
                <w:sz w:val="24"/>
                <w:highlight w:val="none"/>
              </w:rPr>
            </w:pPr>
          </w:p>
        </w:tc>
        <w:tc>
          <w:tcPr>
            <w:tcW w:w="1241" w:type="dxa"/>
            <w:vMerge w:val="continue"/>
            <w:tcBorders>
              <w:right w:val="single" w:color="auto" w:sz="12" w:space="0"/>
            </w:tcBorders>
            <w:noWrap/>
          </w:tcPr>
          <w:p>
            <w:pPr>
              <w:spacing w:beforeLines="50"/>
              <w:ind w:right="-11"/>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noWrap/>
          </w:tcPr>
          <w:p>
            <w:pPr>
              <w:spacing w:beforeLines="50"/>
              <w:ind w:right="-11"/>
              <w:jc w:val="center"/>
              <w:rPr>
                <w:sz w:val="24"/>
                <w:highlight w:val="none"/>
              </w:rPr>
            </w:pPr>
          </w:p>
        </w:tc>
        <w:tc>
          <w:tcPr>
            <w:tcW w:w="3203" w:type="dxa"/>
            <w:noWrap/>
          </w:tcPr>
          <w:p>
            <w:pPr>
              <w:spacing w:beforeLines="50"/>
              <w:ind w:right="-11"/>
              <w:jc w:val="center"/>
              <w:rPr>
                <w:sz w:val="24"/>
                <w:highlight w:val="none"/>
              </w:rPr>
            </w:pPr>
          </w:p>
        </w:tc>
        <w:tc>
          <w:tcPr>
            <w:tcW w:w="1650" w:type="dxa"/>
            <w:noWrap/>
          </w:tcPr>
          <w:p>
            <w:pPr>
              <w:spacing w:beforeLines="50"/>
              <w:ind w:right="-11"/>
              <w:jc w:val="center"/>
              <w:rPr>
                <w:sz w:val="24"/>
                <w:highlight w:val="none"/>
              </w:rPr>
            </w:pPr>
          </w:p>
        </w:tc>
        <w:tc>
          <w:tcPr>
            <w:tcW w:w="1125" w:type="dxa"/>
            <w:noWrap/>
          </w:tcPr>
          <w:p>
            <w:pPr>
              <w:spacing w:beforeLines="50"/>
              <w:ind w:right="-11"/>
              <w:jc w:val="center"/>
              <w:rPr>
                <w:sz w:val="24"/>
                <w:highlight w:val="none"/>
              </w:rPr>
            </w:pPr>
          </w:p>
        </w:tc>
        <w:tc>
          <w:tcPr>
            <w:tcW w:w="1035" w:type="dxa"/>
            <w:noWrap/>
          </w:tcPr>
          <w:p>
            <w:pPr>
              <w:spacing w:beforeLines="50"/>
              <w:ind w:right="-11"/>
              <w:jc w:val="center"/>
              <w:rPr>
                <w:sz w:val="24"/>
                <w:highlight w:val="none"/>
              </w:rPr>
            </w:pPr>
          </w:p>
        </w:tc>
        <w:tc>
          <w:tcPr>
            <w:tcW w:w="1241" w:type="dxa"/>
            <w:vMerge w:val="continue"/>
            <w:tcBorders>
              <w:right w:val="single" w:color="auto" w:sz="12" w:space="0"/>
            </w:tcBorders>
            <w:noWrap/>
          </w:tcPr>
          <w:p>
            <w:pPr>
              <w:spacing w:beforeLines="50"/>
              <w:ind w:right="-11"/>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noWrap/>
          </w:tcPr>
          <w:p>
            <w:pPr>
              <w:spacing w:beforeLines="50"/>
              <w:ind w:right="-11"/>
              <w:jc w:val="center"/>
              <w:rPr>
                <w:sz w:val="24"/>
                <w:highlight w:val="none"/>
              </w:rPr>
            </w:pPr>
          </w:p>
        </w:tc>
        <w:tc>
          <w:tcPr>
            <w:tcW w:w="3203" w:type="dxa"/>
            <w:noWrap/>
          </w:tcPr>
          <w:p>
            <w:pPr>
              <w:spacing w:beforeLines="50"/>
              <w:ind w:right="-11"/>
              <w:jc w:val="center"/>
              <w:rPr>
                <w:sz w:val="24"/>
                <w:highlight w:val="none"/>
              </w:rPr>
            </w:pPr>
          </w:p>
        </w:tc>
        <w:tc>
          <w:tcPr>
            <w:tcW w:w="1650" w:type="dxa"/>
            <w:noWrap/>
          </w:tcPr>
          <w:p>
            <w:pPr>
              <w:spacing w:beforeLines="50"/>
              <w:ind w:right="-11"/>
              <w:jc w:val="center"/>
              <w:rPr>
                <w:sz w:val="24"/>
                <w:highlight w:val="none"/>
              </w:rPr>
            </w:pPr>
          </w:p>
        </w:tc>
        <w:tc>
          <w:tcPr>
            <w:tcW w:w="1125" w:type="dxa"/>
            <w:noWrap/>
          </w:tcPr>
          <w:p>
            <w:pPr>
              <w:spacing w:beforeLines="50"/>
              <w:ind w:right="-11"/>
              <w:jc w:val="center"/>
              <w:rPr>
                <w:sz w:val="24"/>
                <w:highlight w:val="none"/>
              </w:rPr>
            </w:pPr>
          </w:p>
        </w:tc>
        <w:tc>
          <w:tcPr>
            <w:tcW w:w="1035" w:type="dxa"/>
            <w:noWrap/>
          </w:tcPr>
          <w:p>
            <w:pPr>
              <w:spacing w:beforeLines="50"/>
              <w:ind w:right="-11"/>
              <w:jc w:val="center"/>
              <w:rPr>
                <w:sz w:val="24"/>
                <w:highlight w:val="none"/>
              </w:rPr>
            </w:pPr>
          </w:p>
        </w:tc>
        <w:tc>
          <w:tcPr>
            <w:tcW w:w="1241" w:type="dxa"/>
            <w:vMerge w:val="continue"/>
            <w:tcBorders>
              <w:right w:val="single" w:color="auto" w:sz="12" w:space="0"/>
            </w:tcBorders>
            <w:noWrap/>
          </w:tcPr>
          <w:p>
            <w:pPr>
              <w:spacing w:beforeLines="50"/>
              <w:ind w:right="-11"/>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noWrap/>
          </w:tcPr>
          <w:p>
            <w:pPr>
              <w:spacing w:beforeLines="50"/>
              <w:ind w:right="-11"/>
              <w:jc w:val="center"/>
              <w:rPr>
                <w:sz w:val="24"/>
                <w:highlight w:val="none"/>
              </w:rPr>
            </w:pPr>
          </w:p>
        </w:tc>
        <w:tc>
          <w:tcPr>
            <w:tcW w:w="3203" w:type="dxa"/>
            <w:noWrap/>
          </w:tcPr>
          <w:p>
            <w:pPr>
              <w:spacing w:beforeLines="50"/>
              <w:ind w:right="-11"/>
              <w:jc w:val="center"/>
              <w:rPr>
                <w:sz w:val="24"/>
                <w:highlight w:val="none"/>
              </w:rPr>
            </w:pPr>
          </w:p>
        </w:tc>
        <w:tc>
          <w:tcPr>
            <w:tcW w:w="1650" w:type="dxa"/>
            <w:noWrap/>
          </w:tcPr>
          <w:p>
            <w:pPr>
              <w:spacing w:beforeLines="50"/>
              <w:ind w:right="-11"/>
              <w:jc w:val="center"/>
              <w:rPr>
                <w:sz w:val="24"/>
                <w:highlight w:val="none"/>
              </w:rPr>
            </w:pPr>
          </w:p>
        </w:tc>
        <w:tc>
          <w:tcPr>
            <w:tcW w:w="1125" w:type="dxa"/>
            <w:noWrap/>
          </w:tcPr>
          <w:p>
            <w:pPr>
              <w:spacing w:beforeLines="50"/>
              <w:ind w:right="-11"/>
              <w:jc w:val="center"/>
              <w:rPr>
                <w:sz w:val="24"/>
                <w:highlight w:val="none"/>
              </w:rPr>
            </w:pPr>
          </w:p>
        </w:tc>
        <w:tc>
          <w:tcPr>
            <w:tcW w:w="1035" w:type="dxa"/>
            <w:noWrap/>
          </w:tcPr>
          <w:p>
            <w:pPr>
              <w:spacing w:beforeLines="50"/>
              <w:ind w:right="-11"/>
              <w:jc w:val="center"/>
              <w:rPr>
                <w:sz w:val="24"/>
                <w:highlight w:val="none"/>
              </w:rPr>
            </w:pPr>
          </w:p>
        </w:tc>
        <w:tc>
          <w:tcPr>
            <w:tcW w:w="1241" w:type="dxa"/>
            <w:vMerge w:val="continue"/>
            <w:tcBorders>
              <w:right w:val="single" w:color="auto" w:sz="12" w:space="0"/>
            </w:tcBorders>
            <w:noWrap/>
          </w:tcPr>
          <w:p>
            <w:pPr>
              <w:spacing w:beforeLines="50"/>
              <w:ind w:right="-11"/>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tcBorders>
              <w:left w:val="single" w:color="auto" w:sz="12" w:space="0"/>
            </w:tcBorders>
            <w:noWrap/>
          </w:tcPr>
          <w:p>
            <w:pPr>
              <w:spacing w:beforeLines="50"/>
              <w:ind w:right="-11"/>
              <w:jc w:val="center"/>
              <w:rPr>
                <w:sz w:val="24"/>
                <w:highlight w:val="none"/>
              </w:rPr>
            </w:pPr>
          </w:p>
        </w:tc>
        <w:tc>
          <w:tcPr>
            <w:tcW w:w="3203" w:type="dxa"/>
            <w:noWrap/>
          </w:tcPr>
          <w:p>
            <w:pPr>
              <w:spacing w:beforeLines="50"/>
              <w:ind w:right="-11"/>
              <w:jc w:val="center"/>
              <w:rPr>
                <w:sz w:val="24"/>
                <w:highlight w:val="none"/>
              </w:rPr>
            </w:pPr>
          </w:p>
        </w:tc>
        <w:tc>
          <w:tcPr>
            <w:tcW w:w="1650" w:type="dxa"/>
            <w:noWrap/>
          </w:tcPr>
          <w:p>
            <w:pPr>
              <w:spacing w:beforeLines="50"/>
              <w:ind w:right="-11"/>
              <w:jc w:val="center"/>
              <w:rPr>
                <w:sz w:val="24"/>
                <w:highlight w:val="none"/>
              </w:rPr>
            </w:pPr>
          </w:p>
        </w:tc>
        <w:tc>
          <w:tcPr>
            <w:tcW w:w="1125" w:type="dxa"/>
            <w:noWrap/>
          </w:tcPr>
          <w:p>
            <w:pPr>
              <w:spacing w:beforeLines="50"/>
              <w:ind w:right="-11"/>
              <w:jc w:val="center"/>
              <w:rPr>
                <w:sz w:val="24"/>
                <w:highlight w:val="none"/>
              </w:rPr>
            </w:pPr>
          </w:p>
        </w:tc>
        <w:tc>
          <w:tcPr>
            <w:tcW w:w="1035" w:type="dxa"/>
            <w:noWrap/>
          </w:tcPr>
          <w:p>
            <w:pPr>
              <w:spacing w:beforeLines="50"/>
              <w:ind w:right="-11"/>
              <w:jc w:val="center"/>
              <w:rPr>
                <w:sz w:val="24"/>
                <w:highlight w:val="none"/>
              </w:rPr>
            </w:pPr>
          </w:p>
        </w:tc>
        <w:tc>
          <w:tcPr>
            <w:tcW w:w="1241" w:type="dxa"/>
            <w:vMerge w:val="continue"/>
            <w:tcBorders>
              <w:right w:val="single" w:color="auto" w:sz="12" w:space="0"/>
            </w:tcBorders>
            <w:noWrap/>
          </w:tcPr>
          <w:p>
            <w:pPr>
              <w:spacing w:beforeLines="50"/>
              <w:ind w:right="-11"/>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844" w:type="dxa"/>
            <w:gridSpan w:val="2"/>
            <w:tcBorders>
              <w:left w:val="single" w:color="auto" w:sz="12" w:space="0"/>
              <w:bottom w:val="single" w:color="auto" w:sz="12" w:space="0"/>
            </w:tcBorders>
            <w:noWrap/>
          </w:tcPr>
          <w:p>
            <w:pPr>
              <w:spacing w:beforeLines="50" w:afterLines="50"/>
              <w:ind w:right="-10"/>
              <w:jc w:val="center"/>
              <w:rPr>
                <w:sz w:val="24"/>
                <w:highlight w:val="none"/>
              </w:rPr>
            </w:pPr>
            <w:r>
              <w:rPr>
                <w:rFonts w:hint="eastAsia"/>
                <w:sz w:val="24"/>
                <w:highlight w:val="none"/>
              </w:rPr>
              <w:t>服务总价</w:t>
            </w:r>
          </w:p>
        </w:tc>
        <w:tc>
          <w:tcPr>
            <w:tcW w:w="5051" w:type="dxa"/>
            <w:gridSpan w:val="4"/>
            <w:tcBorders>
              <w:bottom w:val="single" w:color="auto" w:sz="12" w:space="0"/>
              <w:right w:val="single" w:color="auto" w:sz="12" w:space="0"/>
            </w:tcBorders>
            <w:noWrap/>
          </w:tcPr>
          <w:p>
            <w:pPr>
              <w:spacing w:beforeLines="50" w:afterLines="50"/>
              <w:ind w:right="-1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844" w:type="dxa"/>
            <w:gridSpan w:val="2"/>
            <w:tcBorders>
              <w:left w:val="single" w:color="auto" w:sz="12" w:space="0"/>
            </w:tcBorders>
            <w:noWrap/>
          </w:tcPr>
          <w:p>
            <w:pPr>
              <w:spacing w:beforeLines="50" w:afterLines="50"/>
              <w:ind w:right="-10"/>
              <w:rPr>
                <w:sz w:val="24"/>
                <w:highlight w:val="none"/>
              </w:rPr>
            </w:pPr>
            <w:r>
              <w:rPr>
                <w:rFonts w:hint="eastAsia"/>
                <w:sz w:val="24"/>
                <w:highlight w:val="none"/>
              </w:rPr>
              <w:t>其它相关费用</w:t>
            </w:r>
          </w:p>
        </w:tc>
        <w:tc>
          <w:tcPr>
            <w:tcW w:w="5051" w:type="dxa"/>
            <w:gridSpan w:val="4"/>
            <w:tcBorders>
              <w:right w:val="single" w:color="auto" w:sz="12" w:space="0"/>
            </w:tcBorders>
            <w:noWrap/>
          </w:tcPr>
          <w:p>
            <w:pPr>
              <w:spacing w:beforeLines="50" w:afterLines="50"/>
              <w:ind w:right="-1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844" w:type="dxa"/>
            <w:gridSpan w:val="2"/>
            <w:tcBorders>
              <w:left w:val="single" w:color="auto" w:sz="12" w:space="0"/>
              <w:bottom w:val="single" w:color="auto" w:sz="12" w:space="0"/>
            </w:tcBorders>
            <w:noWrap/>
          </w:tcPr>
          <w:p>
            <w:pPr>
              <w:spacing w:beforeLines="50" w:afterLines="50"/>
              <w:ind w:right="-10"/>
              <w:rPr>
                <w:sz w:val="24"/>
                <w:highlight w:val="none"/>
              </w:rPr>
            </w:pPr>
            <w:r>
              <w:rPr>
                <w:rFonts w:hint="eastAsia"/>
                <w:sz w:val="24"/>
                <w:highlight w:val="none"/>
              </w:rPr>
              <w:t>合计总价</w:t>
            </w:r>
            <w:r>
              <w:rPr>
                <w:rFonts w:hint="eastAsia" w:eastAsia="楷体_GB2312"/>
                <w:sz w:val="24"/>
                <w:highlight w:val="none"/>
              </w:rPr>
              <w:t>（应与开标一览表中投标总价相一致）</w:t>
            </w:r>
          </w:p>
        </w:tc>
        <w:tc>
          <w:tcPr>
            <w:tcW w:w="5051" w:type="dxa"/>
            <w:gridSpan w:val="4"/>
            <w:tcBorders>
              <w:bottom w:val="single" w:color="auto" w:sz="12" w:space="0"/>
              <w:right w:val="single" w:color="auto" w:sz="12" w:space="0"/>
            </w:tcBorders>
            <w:noWrap/>
          </w:tcPr>
          <w:p>
            <w:pPr>
              <w:spacing w:beforeLines="50" w:afterLines="50"/>
              <w:ind w:right="-10"/>
              <w:jc w:val="center"/>
              <w:rPr>
                <w:sz w:val="24"/>
                <w:highlight w:val="none"/>
              </w:rPr>
            </w:pPr>
          </w:p>
        </w:tc>
      </w:tr>
    </w:tbl>
    <w:p>
      <w:pPr>
        <w:spacing w:beforeLines="50" w:line="240" w:lineRule="exact"/>
        <w:ind w:right="-11"/>
        <w:rPr>
          <w:rFonts w:ascii="宋体" w:hAnsi="宋体"/>
          <w:b/>
          <w:sz w:val="24"/>
          <w:highlight w:val="none"/>
        </w:rPr>
      </w:pPr>
      <w:r>
        <w:rPr>
          <w:rFonts w:hint="eastAsia" w:ascii="宋体" w:hAnsi="宋体"/>
          <w:b/>
          <w:sz w:val="24"/>
          <w:highlight w:val="none"/>
        </w:rPr>
        <w:t>注：1.投标方在填报投标报价明细表时应按照采购需求货物清单内容逐项报价，不得随意更改序号、货物名称、单位、数量，否则有可能被视为无效投标。</w:t>
      </w:r>
    </w:p>
    <w:p>
      <w:pPr>
        <w:spacing w:beforeLines="50" w:line="240" w:lineRule="exact"/>
        <w:ind w:right="-11" w:firstLine="480"/>
        <w:rPr>
          <w:rFonts w:ascii="宋体" w:hAnsi="宋体"/>
          <w:b/>
          <w:sz w:val="24"/>
          <w:szCs w:val="20"/>
          <w:highlight w:val="none"/>
        </w:rPr>
      </w:pPr>
      <w:r>
        <w:rPr>
          <w:rFonts w:hint="eastAsia" w:ascii="宋体" w:hAnsi="宋体"/>
          <w:b/>
          <w:sz w:val="24"/>
          <w:highlight w:val="none"/>
        </w:rPr>
        <w:t>2.</w:t>
      </w:r>
      <w:r>
        <w:rPr>
          <w:rFonts w:hint="eastAsia" w:ascii="宋体" w:hAnsi="宋体"/>
          <w:b/>
          <w:sz w:val="24"/>
          <w:szCs w:val="20"/>
          <w:highlight w:val="none"/>
        </w:rPr>
        <w:t>若投标人所投产品具有符合小微企业价格扣除政策的情形，本表所填价格为扣除前价格。所投产品既有小微企业制造的，也有大中型企业制造的，不享受小微企业价格扣除政策。</w:t>
      </w:r>
    </w:p>
    <w:p>
      <w:pPr>
        <w:spacing w:beforeLines="50" w:afterLines="50" w:line="240" w:lineRule="exact"/>
        <w:rPr>
          <w:sz w:val="24"/>
          <w:highlight w:val="none"/>
        </w:rPr>
      </w:pPr>
    </w:p>
    <w:p>
      <w:pPr>
        <w:spacing w:beforeLines="50" w:afterLines="50" w:line="240" w:lineRule="exact"/>
        <w:rPr>
          <w:sz w:val="24"/>
          <w:highlight w:val="none"/>
        </w:rPr>
      </w:pPr>
    </w:p>
    <w:p>
      <w:pPr>
        <w:spacing w:beforeLines="50" w:afterLines="50" w:line="240" w:lineRule="exact"/>
        <w:rPr>
          <w:sz w:val="24"/>
          <w:highlight w:val="none"/>
        </w:rPr>
      </w:pPr>
      <w:r>
        <w:rPr>
          <w:rFonts w:hint="eastAsia"/>
          <w:sz w:val="24"/>
          <w:highlight w:val="none"/>
        </w:rPr>
        <w:t>投标方（盖章）：</w:t>
      </w:r>
    </w:p>
    <w:p>
      <w:pPr>
        <w:snapToGrid w:val="0"/>
        <w:spacing w:before="50" w:after="50"/>
        <w:ind w:left="88" w:leftChars="42" w:right="-817" w:rightChars="-389" w:firstLine="88" w:firstLineChars="37"/>
        <w:rPr>
          <w:rFonts w:ascii="宋体" w:hAnsi="宋体"/>
          <w:sz w:val="24"/>
          <w:szCs w:val="20"/>
          <w:highlight w:val="none"/>
        </w:rPr>
      </w:pPr>
      <w:r>
        <w:rPr>
          <w:rFonts w:hint="eastAsia" w:ascii="宋体" w:hAnsi="Courier New"/>
          <w:sz w:val="24"/>
          <w:highlight w:val="none"/>
        </w:rPr>
        <w:t>日期：</w:t>
      </w:r>
      <w:r>
        <w:rPr>
          <w:rFonts w:hint="eastAsia" w:ascii="宋体" w:hAnsi="宋体"/>
          <w:sz w:val="24"/>
          <w:szCs w:val="20"/>
          <w:highlight w:val="none"/>
        </w:rPr>
        <w:t xml:space="preserve">  年   月   日</w:t>
      </w:r>
    </w:p>
    <w:p>
      <w:pPr>
        <w:snapToGrid w:val="0"/>
        <w:spacing w:beforeLines="50" w:afterLines="50"/>
        <w:rPr>
          <w:rFonts w:ascii="宋体" w:hAnsi="宋体"/>
          <w:sz w:val="24"/>
          <w:highlight w:val="none"/>
        </w:rPr>
      </w:pPr>
    </w:p>
    <w:p>
      <w:pPr>
        <w:spacing w:beforeLines="50" w:afterLines="50" w:line="400" w:lineRule="exact"/>
        <w:ind w:left="5250"/>
        <w:jc w:val="center"/>
        <w:outlineLvl w:val="0"/>
        <w:rPr>
          <w:rFonts w:ascii="宋体" w:hAnsi="宋体"/>
          <w:b/>
          <w:sz w:val="30"/>
          <w:szCs w:val="30"/>
          <w:highlight w:val="none"/>
        </w:rPr>
      </w:pPr>
    </w:p>
    <w:p>
      <w:pPr>
        <w:snapToGrid w:val="0"/>
        <w:spacing w:beforeLines="50" w:afterLines="50"/>
        <w:rPr>
          <w:rFonts w:ascii="宋体" w:hAnsi="宋体"/>
          <w:sz w:val="24"/>
          <w:highlight w:val="none"/>
        </w:rPr>
      </w:pPr>
    </w:p>
    <w:p>
      <w:pPr>
        <w:snapToGrid w:val="0"/>
        <w:spacing w:beforeLines="50" w:afterLines="50"/>
        <w:rPr>
          <w:color w:val="000000"/>
          <w:highlight w:val="none"/>
        </w:rPr>
      </w:pPr>
    </w:p>
    <w:sectPr>
      <w:headerReference r:id="rId10" w:type="first"/>
      <w:headerReference r:id="rId8" w:type="default"/>
      <w:footerReference r:id="rId11" w:type="default"/>
      <w:headerReference r:id="rId9" w:type="even"/>
      <w:footerReference r:id="rId12" w:type="even"/>
      <w:pgSz w:w="11906" w:h="16838"/>
      <w:pgMar w:top="1474" w:right="1797" w:bottom="1247" w:left="1797" w:header="851" w:footer="851"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Helvetica">
    <w:panose1 w:val="020B0604020202020204"/>
    <w:charset w:val="00"/>
    <w:family w:val="swiss"/>
    <w:pitch w:val="default"/>
    <w:sig w:usb0="00000000" w:usb1="00000000" w:usb2="00000000" w:usb3="00000000" w:csb0="00000000" w:csb1="00000000"/>
  </w:font>
  <w:font w:name="长城仿宋">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PAGE   \* MERGEFORMAT</w:instrText>
    </w:r>
    <w:r>
      <w:fldChar w:fldCharType="separate"/>
    </w:r>
    <w:r>
      <w:rPr>
        <w:lang w:val="zh-CN"/>
      </w:rPr>
      <w:t>61</w:t>
    </w:r>
    <w:r>
      <w:fldChar w:fldCharType="end"/>
    </w:r>
  </w:p>
  <w:p>
    <w:pPr>
      <w:pStyle w:val="3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outside" w:y="1"/>
      <w:rPr>
        <w:rStyle w:val="54"/>
      </w:rPr>
    </w:pPr>
    <w:r>
      <w:fldChar w:fldCharType="begin"/>
    </w:r>
    <w:r>
      <w:rPr>
        <w:rStyle w:val="54"/>
      </w:rPr>
      <w:instrText xml:space="preserve">PAGE  </w:instrText>
    </w:r>
    <w:r>
      <w:fldChar w:fldCharType="end"/>
    </w:r>
  </w:p>
  <w:p>
    <w:pPr>
      <w:pStyle w:val="3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4"/>
      </w:rPr>
    </w:pPr>
    <w:r>
      <w:fldChar w:fldCharType="begin"/>
    </w:r>
    <w:r>
      <w:rPr>
        <w:rStyle w:val="54"/>
      </w:rPr>
      <w:instrText xml:space="preserve">PAGE  </w:instrText>
    </w:r>
    <w:r>
      <w:fldChar w:fldCharType="separate"/>
    </w:r>
    <w:r>
      <w:rPr>
        <w:rStyle w:val="54"/>
      </w:rPr>
      <w:t>11</w:t>
    </w:r>
    <w:r>
      <w:fldChar w:fldCharType="end"/>
    </w:r>
  </w:p>
  <w:p>
    <w:pPr>
      <w:autoSpaceDE w:val="0"/>
      <w:autoSpaceDN w:val="0"/>
      <w:adjustRightInd w:val="0"/>
      <w:ind w:firstLine="480"/>
      <w:jc w:val="left"/>
      <w:rPr>
        <w:rFonts w:ascii="宋体"/>
        <w:kern w:val="0"/>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4"/>
      </w:rPr>
    </w:pPr>
    <w:r>
      <w:fldChar w:fldCharType="begin"/>
    </w:r>
    <w:r>
      <w:rPr>
        <w:rStyle w:val="54"/>
      </w:rPr>
      <w:instrText xml:space="preserve">PAGE  </w:instrText>
    </w:r>
    <w:r>
      <w:fldChar w:fldCharType="end"/>
    </w:r>
  </w:p>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ind w:firstLine="480"/>
      <w:jc w:val="left"/>
      <w:rPr>
        <w:rFonts w:ascii="宋体"/>
        <w:kern w:val="0"/>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01BE42"/>
    <w:multiLevelType w:val="singleLevel"/>
    <w:tmpl w:val="C801BE42"/>
    <w:lvl w:ilvl="0" w:tentative="0">
      <w:start w:val="6"/>
      <w:numFmt w:val="chineseCounting"/>
      <w:suff w:val="nothing"/>
      <w:lvlText w:val="%1、"/>
      <w:lvlJc w:val="left"/>
      <w:rPr>
        <w:rFonts w:hint="eastAsia"/>
      </w:rPr>
    </w:lvl>
  </w:abstractNum>
  <w:abstractNum w:abstractNumId="1">
    <w:nsid w:val="D352C349"/>
    <w:multiLevelType w:val="singleLevel"/>
    <w:tmpl w:val="D352C349"/>
    <w:lvl w:ilvl="0" w:tentative="0">
      <w:start w:val="1"/>
      <w:numFmt w:val="decimal"/>
      <w:suff w:val="nothing"/>
      <w:lvlText w:val="%1、"/>
      <w:lvlJc w:val="left"/>
      <w:pPr>
        <w:ind w:left="360"/>
      </w:pPr>
    </w:lvl>
  </w:abstractNum>
  <w:abstractNum w:abstractNumId="2">
    <w:nsid w:val="E4DF9366"/>
    <w:multiLevelType w:val="singleLevel"/>
    <w:tmpl w:val="E4DF9366"/>
    <w:lvl w:ilvl="0" w:tentative="0">
      <w:start w:val="1"/>
      <w:numFmt w:val="decimal"/>
      <w:suff w:val="nothing"/>
      <w:lvlText w:val="%1、"/>
      <w:lvlJc w:val="left"/>
    </w:lvl>
  </w:abstractNum>
  <w:abstractNum w:abstractNumId="3">
    <w:nsid w:val="FFFFFF7E"/>
    <w:multiLevelType w:val="singleLevel"/>
    <w:tmpl w:val="FFFFFF7E"/>
    <w:lvl w:ilvl="0" w:tentative="0">
      <w:start w:val="1"/>
      <w:numFmt w:val="decimal"/>
      <w:pStyle w:val="21"/>
      <w:lvlText w:val="%1."/>
      <w:lvlJc w:val="left"/>
      <w:pPr>
        <w:tabs>
          <w:tab w:val="left" w:pos="1200"/>
        </w:tabs>
        <w:ind w:left="1200" w:hanging="360"/>
      </w:pPr>
    </w:lvl>
  </w:abstractNum>
  <w:abstractNum w:abstractNumId="4">
    <w:nsid w:val="00000003"/>
    <w:multiLevelType w:val="multilevel"/>
    <w:tmpl w:val="00000003"/>
    <w:lvl w:ilvl="0" w:tentative="0">
      <w:start w:val="1"/>
      <w:numFmt w:val="japaneseCounting"/>
      <w:lvlText w:val="%1、"/>
      <w:lvlJc w:val="left"/>
      <w:pPr>
        <w:tabs>
          <w:tab w:val="left" w:pos="420"/>
        </w:tabs>
        <w:ind w:left="420" w:hanging="420"/>
      </w:pPr>
      <w:rPr>
        <w:rFonts w:hint="default"/>
      </w:rPr>
    </w:lvl>
    <w:lvl w:ilvl="1" w:tentative="0">
      <w:start w:val="1"/>
      <w:numFmt w:val="decimal"/>
      <w:lvlText w:val="%2、"/>
      <w:lvlJc w:val="left"/>
      <w:pPr>
        <w:tabs>
          <w:tab w:val="left" w:pos="360"/>
        </w:tabs>
        <w:ind w:left="360" w:hanging="360"/>
      </w:pPr>
      <w:rPr>
        <w:rFonts w:hint="default"/>
        <w:b/>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600"/>
        </w:tabs>
        <w:ind w:left="60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3690DAD"/>
    <w:multiLevelType w:val="multilevel"/>
    <w:tmpl w:val="03690DAD"/>
    <w:lvl w:ilvl="0" w:tentative="0">
      <w:start w:val="1"/>
      <w:numFmt w:val="upperLetter"/>
      <w:lvlText w:val="%1."/>
      <w:lvlJc w:val="left"/>
      <w:pPr>
        <w:tabs>
          <w:tab w:val="left" w:pos="420"/>
        </w:tabs>
        <w:ind w:left="420" w:hanging="420"/>
      </w:pPr>
      <w:rPr>
        <w:rFonts w:ascii="宋体" w:hAnsi="宋体" w:eastAsia="宋体"/>
        <w:sz w:val="24"/>
        <w:szCs w:val="24"/>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4C52B23"/>
    <w:multiLevelType w:val="multilevel"/>
    <w:tmpl w:val="04C52B23"/>
    <w:lvl w:ilvl="0" w:tentative="0">
      <w:start w:val="1"/>
      <w:numFmt w:val="upperLetter"/>
      <w:lvlText w:val="%1."/>
      <w:lvlJc w:val="left"/>
      <w:pPr>
        <w:ind w:left="1271" w:hanging="420"/>
      </w:pPr>
      <w:rPr>
        <w:b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DB639E9"/>
    <w:multiLevelType w:val="multilevel"/>
    <w:tmpl w:val="0DB639E9"/>
    <w:lvl w:ilvl="0" w:tentative="0">
      <w:start w:val="1"/>
      <w:numFmt w:val="decimal"/>
      <w:pStyle w:val="285"/>
      <w:lvlText w:val="%1"/>
      <w:lvlJc w:val="left"/>
      <w:pPr>
        <w:tabs>
          <w:tab w:val="left" w:pos="360"/>
        </w:tabs>
        <w:ind w:left="0" w:firstLine="0"/>
      </w:pPr>
    </w:lvl>
    <w:lvl w:ilvl="1" w:tentative="0">
      <w:start w:val="1"/>
      <w:numFmt w:val="decimal"/>
      <w:pStyle w:val="34"/>
      <w:isLgl/>
      <w:lvlText w:val="%1.%2"/>
      <w:lvlJc w:val="left"/>
      <w:pPr>
        <w:tabs>
          <w:tab w:val="left" w:pos="720"/>
        </w:tabs>
        <w:ind w:left="0" w:firstLine="0"/>
      </w:pPr>
    </w:lvl>
    <w:lvl w:ilvl="2" w:tentative="0">
      <w:start w:val="1"/>
      <w:numFmt w:val="decimal"/>
      <w:isLgl/>
      <w:lvlText w:val="%1.%2.%3"/>
      <w:lvlJc w:val="left"/>
      <w:pPr>
        <w:tabs>
          <w:tab w:val="left" w:pos="1440"/>
        </w:tabs>
        <w:ind w:left="0" w:firstLine="0"/>
      </w:pPr>
    </w:lvl>
    <w:lvl w:ilvl="3" w:tentative="0">
      <w:start w:val="1"/>
      <w:numFmt w:val="decimal"/>
      <w:isLgl/>
      <w:lvlText w:val="%1.%2.%3.%4"/>
      <w:lvlJc w:val="left"/>
      <w:pPr>
        <w:tabs>
          <w:tab w:val="left" w:pos="1800"/>
        </w:tabs>
        <w:ind w:left="0" w:firstLine="0"/>
      </w:pPr>
    </w:lvl>
    <w:lvl w:ilvl="4" w:tentative="0">
      <w:start w:val="1"/>
      <w:numFmt w:val="decimal"/>
      <w:isLgl/>
      <w:lvlText w:val="%1.%2.%3.%4.%5"/>
      <w:lvlJc w:val="left"/>
      <w:pPr>
        <w:tabs>
          <w:tab w:val="left" w:pos="570"/>
        </w:tabs>
        <w:ind w:left="570" w:hanging="570"/>
      </w:pPr>
    </w:lvl>
    <w:lvl w:ilvl="5" w:tentative="0">
      <w:start w:val="1"/>
      <w:numFmt w:val="decimal"/>
      <w:isLgl/>
      <w:lvlText w:val="%1.%2.%3.%4.%5.%6"/>
      <w:lvlJc w:val="left"/>
      <w:pPr>
        <w:tabs>
          <w:tab w:val="left" w:pos="570"/>
        </w:tabs>
        <w:ind w:left="570" w:hanging="570"/>
      </w:pPr>
    </w:lvl>
    <w:lvl w:ilvl="6" w:tentative="0">
      <w:start w:val="1"/>
      <w:numFmt w:val="decimal"/>
      <w:isLgl/>
      <w:lvlText w:val="%1.%2.%3.%4.%5.%6.%7"/>
      <w:lvlJc w:val="left"/>
      <w:pPr>
        <w:tabs>
          <w:tab w:val="left" w:pos="570"/>
        </w:tabs>
        <w:ind w:left="570" w:hanging="570"/>
      </w:pPr>
    </w:lvl>
    <w:lvl w:ilvl="7" w:tentative="0">
      <w:start w:val="1"/>
      <w:numFmt w:val="decimal"/>
      <w:isLgl/>
      <w:lvlText w:val="%1.%2.%3.%4.%5.%6.%7.%8"/>
      <w:lvlJc w:val="left"/>
      <w:pPr>
        <w:tabs>
          <w:tab w:val="left" w:pos="570"/>
        </w:tabs>
        <w:ind w:left="570" w:hanging="570"/>
      </w:pPr>
    </w:lvl>
    <w:lvl w:ilvl="8" w:tentative="0">
      <w:start w:val="1"/>
      <w:numFmt w:val="decimal"/>
      <w:isLgl/>
      <w:lvlText w:val="%1.%2.%3.%4.%5.%6.%7.%8.%9"/>
      <w:lvlJc w:val="left"/>
      <w:pPr>
        <w:tabs>
          <w:tab w:val="left" w:pos="570"/>
        </w:tabs>
        <w:ind w:left="570" w:hanging="570"/>
      </w:pPr>
    </w:lvl>
  </w:abstractNum>
  <w:abstractNum w:abstractNumId="8">
    <w:nsid w:val="10635673"/>
    <w:multiLevelType w:val="multilevel"/>
    <w:tmpl w:val="10635673"/>
    <w:lvl w:ilvl="0" w:tentative="0">
      <w:start w:val="1"/>
      <w:numFmt w:val="decimal"/>
      <w:pStyle w:val="41"/>
      <w:lvlText w:val="%1."/>
      <w:lvlJc w:val="left"/>
      <w:pPr>
        <w:tabs>
          <w:tab w:val="left" w:pos="1000"/>
        </w:tabs>
        <w:ind w:left="1000" w:hanging="36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9">
    <w:nsid w:val="171359DD"/>
    <w:multiLevelType w:val="multilevel"/>
    <w:tmpl w:val="171359D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pStyle w:val="23"/>
      <w:lvlText w:val=""/>
      <w:lvlJc w:val="left"/>
      <w:pPr>
        <w:tabs>
          <w:tab w:val="left" w:pos="3780"/>
        </w:tabs>
        <w:ind w:left="3780" w:hanging="420"/>
      </w:pPr>
      <w:rPr>
        <w:rFonts w:hint="default" w:ascii="Wingdings" w:hAnsi="Wingdings"/>
      </w:rPr>
    </w:lvl>
  </w:abstractNum>
  <w:abstractNum w:abstractNumId="10">
    <w:nsid w:val="17486058"/>
    <w:multiLevelType w:val="multilevel"/>
    <w:tmpl w:val="17486058"/>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pStyle w:val="179"/>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1">
    <w:nsid w:val="1F1468F9"/>
    <w:multiLevelType w:val="multilevel"/>
    <w:tmpl w:val="1F1468F9"/>
    <w:lvl w:ilvl="0" w:tentative="0">
      <w:start w:val="1"/>
      <w:numFmt w:val="japaneseCounting"/>
      <w:pStyle w:val="174"/>
      <w:lvlText w:val="%1、"/>
      <w:lvlJc w:val="left"/>
      <w:pPr>
        <w:tabs>
          <w:tab w:val="left" w:pos="1360"/>
        </w:tabs>
        <w:ind w:left="1360" w:hanging="720"/>
      </w:pPr>
      <w:rPr>
        <w:rFonts w:hint="default"/>
      </w:rPr>
    </w:lvl>
    <w:lvl w:ilvl="1" w:tentative="0">
      <w:start w:val="1"/>
      <w:numFmt w:val="lowerLetter"/>
      <w:pStyle w:val="246"/>
      <w:lvlText w:val="%2)"/>
      <w:lvlJc w:val="left"/>
      <w:pPr>
        <w:tabs>
          <w:tab w:val="left" w:pos="1480"/>
        </w:tabs>
        <w:ind w:left="1480" w:hanging="420"/>
      </w:pPr>
    </w:lvl>
    <w:lvl w:ilvl="2" w:tentative="0">
      <w:start w:val="1"/>
      <w:numFmt w:val="lowerRoman"/>
      <w:pStyle w:val="180"/>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12">
    <w:nsid w:val="26845082"/>
    <w:multiLevelType w:val="multilevel"/>
    <w:tmpl w:val="26845082"/>
    <w:lvl w:ilvl="0" w:tentative="0">
      <w:start w:val="1"/>
      <w:numFmt w:val="decimal"/>
      <w:pStyle w:val="199"/>
      <w:lvlText w:val="%1."/>
      <w:lvlJc w:val="left"/>
      <w:pPr>
        <w:ind w:left="420" w:hanging="420"/>
      </w:pPr>
    </w:lvl>
    <w:lvl w:ilvl="1" w:tentative="0">
      <w:start w:val="1"/>
      <w:numFmt w:val="decimal"/>
      <w:lvlText w:val="(%2)"/>
      <w:lvlJc w:val="left"/>
      <w:pPr>
        <w:ind w:left="90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6AE7F0A"/>
    <w:multiLevelType w:val="multilevel"/>
    <w:tmpl w:val="36AE7F0A"/>
    <w:lvl w:ilvl="0" w:tentative="0">
      <w:start w:val="1"/>
      <w:numFmt w:val="decimal"/>
      <w:lvlText w:val="%1、"/>
      <w:lvlJc w:val="left"/>
      <w:pPr>
        <w:ind w:left="885" w:hanging="360"/>
      </w:pPr>
      <w:rPr>
        <w:rFonts w:hint="default"/>
      </w:rPr>
    </w:lvl>
    <w:lvl w:ilvl="1" w:tentative="0">
      <w:start w:val="6"/>
      <w:numFmt w:val="japaneseCounting"/>
      <w:lvlText w:val="第%2章"/>
      <w:lvlJc w:val="left"/>
      <w:pPr>
        <w:tabs>
          <w:tab w:val="left" w:pos="2025"/>
        </w:tabs>
        <w:ind w:left="2025" w:hanging="1080"/>
      </w:pPr>
      <w:rPr>
        <w:rFonts w:hint="default"/>
      </w:r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14">
    <w:nsid w:val="4A525829"/>
    <w:multiLevelType w:val="singleLevel"/>
    <w:tmpl w:val="4A525829"/>
    <w:lvl w:ilvl="0" w:tentative="0">
      <w:start w:val="1"/>
      <w:numFmt w:val="decimal"/>
      <w:suff w:val="nothing"/>
      <w:lvlText w:val="%1、"/>
      <w:lvlJc w:val="left"/>
    </w:lvl>
  </w:abstractNum>
  <w:abstractNum w:abstractNumId="15">
    <w:nsid w:val="53C45313"/>
    <w:multiLevelType w:val="multilevel"/>
    <w:tmpl w:val="53C45313"/>
    <w:lvl w:ilvl="0" w:tentative="0">
      <w:start w:val="2"/>
      <w:numFmt w:val="decimal"/>
      <w:lvlText w:val="%1、"/>
      <w:lvlJc w:val="left"/>
      <w:pPr>
        <w:ind w:left="375" w:hanging="375"/>
      </w:pPr>
      <w:rPr>
        <w:rFonts w:hint="default" w:ascii="Times New Roman" w:hAnsi="Times New Roman"/>
        <w:b/>
        <w:color w:val="000000"/>
      </w:rPr>
    </w:lvl>
    <w:lvl w:ilvl="1" w:tentative="0">
      <w:start w:val="1"/>
      <w:numFmt w:val="upperLetter"/>
      <w:lvlText w:val="%2."/>
      <w:lvlJc w:val="left"/>
      <w:pPr>
        <w:tabs>
          <w:tab w:val="left" w:pos="360"/>
        </w:tabs>
        <w:ind w:left="360" w:hanging="360"/>
      </w:pPr>
      <w:rPr>
        <w:rFonts w:hint="default" w:ascii="宋体" w:hAnsi="宋体" w:eastAsia="宋体"/>
        <w:sz w:val="24"/>
        <w:szCs w:val="24"/>
      </w:rPr>
    </w:lvl>
    <w:lvl w:ilvl="2" w:tentative="0">
      <w:start w:val="1"/>
      <w:numFmt w:val="lowerLetter"/>
      <w:lvlText w:val="%3、"/>
      <w:lvlJc w:val="left"/>
      <w:pPr>
        <w:tabs>
          <w:tab w:val="left" w:pos="1200"/>
        </w:tabs>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FC71506"/>
    <w:multiLevelType w:val="multilevel"/>
    <w:tmpl w:val="5FC71506"/>
    <w:lvl w:ilvl="0" w:tentative="0">
      <w:start w:val="12"/>
      <w:numFmt w:val="upperLetter"/>
      <w:lvlText w:val="%1．"/>
      <w:lvlJc w:val="left"/>
      <w:pPr>
        <w:tabs>
          <w:tab w:val="left" w:pos="720"/>
        </w:tabs>
        <w:ind w:left="720" w:hanging="720"/>
      </w:pPr>
      <w:rPr>
        <w:rFonts w:hint="default"/>
        <w:b w:val="0"/>
        <w:color w:val="auto"/>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6A9A5F31"/>
    <w:multiLevelType w:val="multilevel"/>
    <w:tmpl w:val="6A9A5F31"/>
    <w:lvl w:ilvl="0" w:tentative="0">
      <w:start w:val="1"/>
      <w:numFmt w:val="decimal"/>
      <w:pStyle w:val="353"/>
      <w:lvlText w:val="%1."/>
      <w:lvlJc w:val="left"/>
      <w:pPr>
        <w:tabs>
          <w:tab w:val="left" w:pos="1000"/>
        </w:tabs>
        <w:ind w:left="1000" w:hanging="36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pStyle w:val="258"/>
      <w:lvlText w:val="%9."/>
      <w:lvlJc w:val="right"/>
      <w:pPr>
        <w:tabs>
          <w:tab w:val="left" w:pos="4420"/>
        </w:tabs>
        <w:ind w:left="4420" w:hanging="420"/>
      </w:pPr>
    </w:lvl>
  </w:abstractNum>
  <w:abstractNum w:abstractNumId="18">
    <w:nsid w:val="6D9F4248"/>
    <w:multiLevelType w:val="singleLevel"/>
    <w:tmpl w:val="6D9F4248"/>
    <w:lvl w:ilvl="0" w:tentative="0">
      <w:start w:val="1"/>
      <w:numFmt w:val="decimal"/>
      <w:pStyle w:val="265"/>
      <w:lvlText w:val="%1）"/>
      <w:lvlJc w:val="left"/>
      <w:pPr>
        <w:tabs>
          <w:tab w:val="left" w:pos="1050"/>
        </w:tabs>
        <w:ind w:left="1050" w:hanging="450"/>
      </w:pPr>
      <w:rPr>
        <w:rFonts w:hint="eastAsia"/>
      </w:rPr>
    </w:lvl>
  </w:abstractNum>
  <w:abstractNum w:abstractNumId="19">
    <w:nsid w:val="763060DB"/>
    <w:multiLevelType w:val="multilevel"/>
    <w:tmpl w:val="763060DB"/>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20">
    <w:nsid w:val="779E305B"/>
    <w:multiLevelType w:val="multilevel"/>
    <w:tmpl w:val="779E305B"/>
    <w:lvl w:ilvl="0" w:tentative="0">
      <w:start w:val="1"/>
      <w:numFmt w:val="upperLetter"/>
      <w:lvlText w:val="%1."/>
      <w:lvlJc w:val="left"/>
      <w:pPr>
        <w:ind w:left="1271" w:hanging="420"/>
      </w:pPr>
      <w:rPr>
        <w:b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1"/>
  </w:num>
  <w:num w:numId="6">
    <w:abstractNumId w:val="10"/>
  </w:num>
  <w:num w:numId="7">
    <w:abstractNumId w:val="12"/>
  </w:num>
  <w:num w:numId="8">
    <w:abstractNumId w:val="17"/>
  </w:num>
  <w:num w:numId="9">
    <w:abstractNumId w:val="18"/>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4"/>
  </w:num>
  <w:num w:numId="13">
    <w:abstractNumId w:val="5"/>
  </w:num>
  <w:num w:numId="14">
    <w:abstractNumId w:val="16"/>
  </w:num>
  <w:num w:numId="15">
    <w:abstractNumId w:val="15"/>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4"/>
  </w:num>
  <w:num w:numId="19">
    <w:abstractNumId w:val="2"/>
  </w:num>
  <w:num w:numId="20">
    <w:abstractNumId w:val="1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VkNTc2ZDk2MGRkOWEwNDFkZjRiMzU0Y2E0ZGI5OWQifQ=="/>
  </w:docVars>
  <w:rsids>
    <w:rsidRoot w:val="00DB210A"/>
    <w:rsid w:val="000007B1"/>
    <w:rsid w:val="000052EC"/>
    <w:rsid w:val="000075B7"/>
    <w:rsid w:val="00007951"/>
    <w:rsid w:val="00007B7F"/>
    <w:rsid w:val="000107CB"/>
    <w:rsid w:val="00012360"/>
    <w:rsid w:val="000177FE"/>
    <w:rsid w:val="00017B26"/>
    <w:rsid w:val="00020924"/>
    <w:rsid w:val="00027A0C"/>
    <w:rsid w:val="000302B3"/>
    <w:rsid w:val="00032A7A"/>
    <w:rsid w:val="0003380F"/>
    <w:rsid w:val="0004210D"/>
    <w:rsid w:val="00043847"/>
    <w:rsid w:val="00054E39"/>
    <w:rsid w:val="00066B8F"/>
    <w:rsid w:val="00067234"/>
    <w:rsid w:val="000707BD"/>
    <w:rsid w:val="00070B69"/>
    <w:rsid w:val="00070E23"/>
    <w:rsid w:val="000717E9"/>
    <w:rsid w:val="00073BA8"/>
    <w:rsid w:val="00080187"/>
    <w:rsid w:val="0008313B"/>
    <w:rsid w:val="00085123"/>
    <w:rsid w:val="00085523"/>
    <w:rsid w:val="00085556"/>
    <w:rsid w:val="0008669F"/>
    <w:rsid w:val="0009027E"/>
    <w:rsid w:val="00090C9B"/>
    <w:rsid w:val="00090D4B"/>
    <w:rsid w:val="00097507"/>
    <w:rsid w:val="000A02EC"/>
    <w:rsid w:val="000A0422"/>
    <w:rsid w:val="000A1DA2"/>
    <w:rsid w:val="000A7D04"/>
    <w:rsid w:val="000B194E"/>
    <w:rsid w:val="000B1B11"/>
    <w:rsid w:val="000B46F1"/>
    <w:rsid w:val="000B59EC"/>
    <w:rsid w:val="000C052F"/>
    <w:rsid w:val="000C5CEE"/>
    <w:rsid w:val="000C7143"/>
    <w:rsid w:val="000D2122"/>
    <w:rsid w:val="000E1268"/>
    <w:rsid w:val="000E14FE"/>
    <w:rsid w:val="000E3D10"/>
    <w:rsid w:val="000E4F69"/>
    <w:rsid w:val="000E53E7"/>
    <w:rsid w:val="000E717B"/>
    <w:rsid w:val="000F1129"/>
    <w:rsid w:val="000F2489"/>
    <w:rsid w:val="00100DCE"/>
    <w:rsid w:val="00106A39"/>
    <w:rsid w:val="00107AAC"/>
    <w:rsid w:val="001104EF"/>
    <w:rsid w:val="00111255"/>
    <w:rsid w:val="001146CC"/>
    <w:rsid w:val="0011575C"/>
    <w:rsid w:val="00120A77"/>
    <w:rsid w:val="00122872"/>
    <w:rsid w:val="00123308"/>
    <w:rsid w:val="00125B84"/>
    <w:rsid w:val="00131134"/>
    <w:rsid w:val="00135F97"/>
    <w:rsid w:val="00137383"/>
    <w:rsid w:val="001405EF"/>
    <w:rsid w:val="00142843"/>
    <w:rsid w:val="00144631"/>
    <w:rsid w:val="00145C3B"/>
    <w:rsid w:val="00147357"/>
    <w:rsid w:val="00154B53"/>
    <w:rsid w:val="001611E6"/>
    <w:rsid w:val="0016425A"/>
    <w:rsid w:val="001658C8"/>
    <w:rsid w:val="00165E9C"/>
    <w:rsid w:val="0017067C"/>
    <w:rsid w:val="00170B87"/>
    <w:rsid w:val="001718DD"/>
    <w:rsid w:val="00172AFD"/>
    <w:rsid w:val="001741F0"/>
    <w:rsid w:val="00174480"/>
    <w:rsid w:val="00174FA8"/>
    <w:rsid w:val="0017698C"/>
    <w:rsid w:val="00183178"/>
    <w:rsid w:val="001831F6"/>
    <w:rsid w:val="00185AAA"/>
    <w:rsid w:val="0018724A"/>
    <w:rsid w:val="00187485"/>
    <w:rsid w:val="001904BF"/>
    <w:rsid w:val="001946A8"/>
    <w:rsid w:val="001952DC"/>
    <w:rsid w:val="0019634D"/>
    <w:rsid w:val="001A3D68"/>
    <w:rsid w:val="001B27E0"/>
    <w:rsid w:val="001B392B"/>
    <w:rsid w:val="001B7F0F"/>
    <w:rsid w:val="001C0342"/>
    <w:rsid w:val="001E5113"/>
    <w:rsid w:val="00200AF1"/>
    <w:rsid w:val="002023CB"/>
    <w:rsid w:val="00202884"/>
    <w:rsid w:val="00205221"/>
    <w:rsid w:val="0020684F"/>
    <w:rsid w:val="00206BAA"/>
    <w:rsid w:val="002107C4"/>
    <w:rsid w:val="0021436C"/>
    <w:rsid w:val="002203F4"/>
    <w:rsid w:val="002230FB"/>
    <w:rsid w:val="00226D5A"/>
    <w:rsid w:val="002275D4"/>
    <w:rsid w:val="00233CF8"/>
    <w:rsid w:val="00236A81"/>
    <w:rsid w:val="00236E06"/>
    <w:rsid w:val="00242274"/>
    <w:rsid w:val="0024362D"/>
    <w:rsid w:val="00247C60"/>
    <w:rsid w:val="00251079"/>
    <w:rsid w:val="00257F8A"/>
    <w:rsid w:val="00260D6D"/>
    <w:rsid w:val="0026191A"/>
    <w:rsid w:val="0026466C"/>
    <w:rsid w:val="002673BB"/>
    <w:rsid w:val="00274795"/>
    <w:rsid w:val="00277A98"/>
    <w:rsid w:val="00280562"/>
    <w:rsid w:val="00280D84"/>
    <w:rsid w:val="00283561"/>
    <w:rsid w:val="002856B9"/>
    <w:rsid w:val="002866FE"/>
    <w:rsid w:val="0028707C"/>
    <w:rsid w:val="002872C8"/>
    <w:rsid w:val="002903CD"/>
    <w:rsid w:val="002905D4"/>
    <w:rsid w:val="0029502C"/>
    <w:rsid w:val="002959A1"/>
    <w:rsid w:val="00296387"/>
    <w:rsid w:val="002A6510"/>
    <w:rsid w:val="002A6E4C"/>
    <w:rsid w:val="002C0CC4"/>
    <w:rsid w:val="002C19F3"/>
    <w:rsid w:val="002D03C0"/>
    <w:rsid w:val="002D1FFD"/>
    <w:rsid w:val="002D2EA7"/>
    <w:rsid w:val="002D5410"/>
    <w:rsid w:val="002D5DD2"/>
    <w:rsid w:val="002D7B3C"/>
    <w:rsid w:val="002E310A"/>
    <w:rsid w:val="002E4C10"/>
    <w:rsid w:val="002E571B"/>
    <w:rsid w:val="002F02C6"/>
    <w:rsid w:val="002F06C5"/>
    <w:rsid w:val="002F10A3"/>
    <w:rsid w:val="002F3761"/>
    <w:rsid w:val="002F5A64"/>
    <w:rsid w:val="002F6962"/>
    <w:rsid w:val="00300BDC"/>
    <w:rsid w:val="00305513"/>
    <w:rsid w:val="00305862"/>
    <w:rsid w:val="00306F1F"/>
    <w:rsid w:val="0031108A"/>
    <w:rsid w:val="00312328"/>
    <w:rsid w:val="00313C95"/>
    <w:rsid w:val="003157D6"/>
    <w:rsid w:val="00316916"/>
    <w:rsid w:val="0032074A"/>
    <w:rsid w:val="00320CB6"/>
    <w:rsid w:val="00320D6B"/>
    <w:rsid w:val="0032182D"/>
    <w:rsid w:val="00322C7C"/>
    <w:rsid w:val="00324981"/>
    <w:rsid w:val="00325037"/>
    <w:rsid w:val="00331EF1"/>
    <w:rsid w:val="00332C98"/>
    <w:rsid w:val="0033575B"/>
    <w:rsid w:val="00350D03"/>
    <w:rsid w:val="00362FAC"/>
    <w:rsid w:val="0036451B"/>
    <w:rsid w:val="00371383"/>
    <w:rsid w:val="003818F8"/>
    <w:rsid w:val="00386391"/>
    <w:rsid w:val="00391CF3"/>
    <w:rsid w:val="0039312E"/>
    <w:rsid w:val="003A171E"/>
    <w:rsid w:val="003A327D"/>
    <w:rsid w:val="003A4C1A"/>
    <w:rsid w:val="003A6D2B"/>
    <w:rsid w:val="003B3D51"/>
    <w:rsid w:val="003B407C"/>
    <w:rsid w:val="003B6319"/>
    <w:rsid w:val="003C057E"/>
    <w:rsid w:val="003C2AE2"/>
    <w:rsid w:val="003C3124"/>
    <w:rsid w:val="003D1391"/>
    <w:rsid w:val="003D32B1"/>
    <w:rsid w:val="003D37C8"/>
    <w:rsid w:val="003D4BA9"/>
    <w:rsid w:val="003E09F6"/>
    <w:rsid w:val="003E11BD"/>
    <w:rsid w:val="003F1458"/>
    <w:rsid w:val="003F4B47"/>
    <w:rsid w:val="003F586D"/>
    <w:rsid w:val="003F6143"/>
    <w:rsid w:val="003F7579"/>
    <w:rsid w:val="004003D9"/>
    <w:rsid w:val="00400ACD"/>
    <w:rsid w:val="004013DF"/>
    <w:rsid w:val="0040239A"/>
    <w:rsid w:val="00402ED9"/>
    <w:rsid w:val="004035EC"/>
    <w:rsid w:val="004053F8"/>
    <w:rsid w:val="00406F50"/>
    <w:rsid w:val="004077CE"/>
    <w:rsid w:val="004100FF"/>
    <w:rsid w:val="0041016F"/>
    <w:rsid w:val="00413E2F"/>
    <w:rsid w:val="0042117E"/>
    <w:rsid w:val="004229E6"/>
    <w:rsid w:val="00423DB5"/>
    <w:rsid w:val="004255C6"/>
    <w:rsid w:val="00425647"/>
    <w:rsid w:val="00425705"/>
    <w:rsid w:val="004265FA"/>
    <w:rsid w:val="0043114C"/>
    <w:rsid w:val="00432AC6"/>
    <w:rsid w:val="00433C3D"/>
    <w:rsid w:val="00433EA9"/>
    <w:rsid w:val="004352E1"/>
    <w:rsid w:val="00443D12"/>
    <w:rsid w:val="00444014"/>
    <w:rsid w:val="004507D0"/>
    <w:rsid w:val="004518C9"/>
    <w:rsid w:val="004527CD"/>
    <w:rsid w:val="0045466E"/>
    <w:rsid w:val="00454F49"/>
    <w:rsid w:val="0045580A"/>
    <w:rsid w:val="004560B4"/>
    <w:rsid w:val="00462387"/>
    <w:rsid w:val="00463281"/>
    <w:rsid w:val="00466311"/>
    <w:rsid w:val="004700DA"/>
    <w:rsid w:val="00470EAA"/>
    <w:rsid w:val="0047237E"/>
    <w:rsid w:val="00477681"/>
    <w:rsid w:val="00477989"/>
    <w:rsid w:val="00480EA0"/>
    <w:rsid w:val="00483701"/>
    <w:rsid w:val="00492115"/>
    <w:rsid w:val="00493593"/>
    <w:rsid w:val="00494D7D"/>
    <w:rsid w:val="00495DCA"/>
    <w:rsid w:val="00496752"/>
    <w:rsid w:val="0049753F"/>
    <w:rsid w:val="004A04B0"/>
    <w:rsid w:val="004A0BAD"/>
    <w:rsid w:val="004A3AE4"/>
    <w:rsid w:val="004A569E"/>
    <w:rsid w:val="004B5DDF"/>
    <w:rsid w:val="004B6F1B"/>
    <w:rsid w:val="004D09F5"/>
    <w:rsid w:val="004D48C9"/>
    <w:rsid w:val="004D7B02"/>
    <w:rsid w:val="004E5B71"/>
    <w:rsid w:val="004E7E34"/>
    <w:rsid w:val="004F00DA"/>
    <w:rsid w:val="004F0A63"/>
    <w:rsid w:val="004F2506"/>
    <w:rsid w:val="004F4EE4"/>
    <w:rsid w:val="004F7B88"/>
    <w:rsid w:val="00501C1E"/>
    <w:rsid w:val="00502AFB"/>
    <w:rsid w:val="0050342C"/>
    <w:rsid w:val="0050369D"/>
    <w:rsid w:val="0050413E"/>
    <w:rsid w:val="00504948"/>
    <w:rsid w:val="00504FBE"/>
    <w:rsid w:val="005059A7"/>
    <w:rsid w:val="005077EF"/>
    <w:rsid w:val="005104A9"/>
    <w:rsid w:val="00513A8D"/>
    <w:rsid w:val="00514813"/>
    <w:rsid w:val="00515384"/>
    <w:rsid w:val="00515C11"/>
    <w:rsid w:val="00520AA2"/>
    <w:rsid w:val="005231E6"/>
    <w:rsid w:val="0052792F"/>
    <w:rsid w:val="00530ED5"/>
    <w:rsid w:val="00531DD9"/>
    <w:rsid w:val="00532B83"/>
    <w:rsid w:val="00533918"/>
    <w:rsid w:val="005419E4"/>
    <w:rsid w:val="00541DFD"/>
    <w:rsid w:val="005424AA"/>
    <w:rsid w:val="0054480E"/>
    <w:rsid w:val="0054561C"/>
    <w:rsid w:val="00546178"/>
    <w:rsid w:val="00550128"/>
    <w:rsid w:val="00557F27"/>
    <w:rsid w:val="005604B7"/>
    <w:rsid w:val="00562518"/>
    <w:rsid w:val="00571080"/>
    <w:rsid w:val="00582C0D"/>
    <w:rsid w:val="00586784"/>
    <w:rsid w:val="005872D8"/>
    <w:rsid w:val="0059157A"/>
    <w:rsid w:val="00591B8D"/>
    <w:rsid w:val="00596ACC"/>
    <w:rsid w:val="005A00BE"/>
    <w:rsid w:val="005A106C"/>
    <w:rsid w:val="005A1846"/>
    <w:rsid w:val="005B2AF2"/>
    <w:rsid w:val="005B2E95"/>
    <w:rsid w:val="005B6754"/>
    <w:rsid w:val="005D26D4"/>
    <w:rsid w:val="005D77AC"/>
    <w:rsid w:val="005D7852"/>
    <w:rsid w:val="005E0BE4"/>
    <w:rsid w:val="005E184F"/>
    <w:rsid w:val="005E3B1A"/>
    <w:rsid w:val="005E42FE"/>
    <w:rsid w:val="005E4EBD"/>
    <w:rsid w:val="005F2DAE"/>
    <w:rsid w:val="005F383D"/>
    <w:rsid w:val="005F3BCB"/>
    <w:rsid w:val="005F4BF8"/>
    <w:rsid w:val="005F716A"/>
    <w:rsid w:val="00600433"/>
    <w:rsid w:val="00600A05"/>
    <w:rsid w:val="00600B58"/>
    <w:rsid w:val="00602C5E"/>
    <w:rsid w:val="00603E88"/>
    <w:rsid w:val="00604EF6"/>
    <w:rsid w:val="0060738C"/>
    <w:rsid w:val="00611696"/>
    <w:rsid w:val="00611A71"/>
    <w:rsid w:val="00616E6E"/>
    <w:rsid w:val="006200EB"/>
    <w:rsid w:val="0062152F"/>
    <w:rsid w:val="00621D07"/>
    <w:rsid w:val="00624054"/>
    <w:rsid w:val="00624496"/>
    <w:rsid w:val="00625EF0"/>
    <w:rsid w:val="00626FEB"/>
    <w:rsid w:val="0062748B"/>
    <w:rsid w:val="00630644"/>
    <w:rsid w:val="00630A20"/>
    <w:rsid w:val="00631F3F"/>
    <w:rsid w:val="00635D27"/>
    <w:rsid w:val="006365BE"/>
    <w:rsid w:val="00636DBB"/>
    <w:rsid w:val="00640F78"/>
    <w:rsid w:val="006440D7"/>
    <w:rsid w:val="006444C7"/>
    <w:rsid w:val="0064671A"/>
    <w:rsid w:val="0065192F"/>
    <w:rsid w:val="00653D2D"/>
    <w:rsid w:val="00656932"/>
    <w:rsid w:val="006578E4"/>
    <w:rsid w:val="0066296A"/>
    <w:rsid w:val="00664B90"/>
    <w:rsid w:val="006656DA"/>
    <w:rsid w:val="00665DC2"/>
    <w:rsid w:val="00666A5E"/>
    <w:rsid w:val="00670E23"/>
    <w:rsid w:val="00670E78"/>
    <w:rsid w:val="00671D74"/>
    <w:rsid w:val="00673194"/>
    <w:rsid w:val="00673827"/>
    <w:rsid w:val="00673A30"/>
    <w:rsid w:val="00674EF6"/>
    <w:rsid w:val="00676537"/>
    <w:rsid w:val="006776E9"/>
    <w:rsid w:val="006805A5"/>
    <w:rsid w:val="00680BB3"/>
    <w:rsid w:val="00680E09"/>
    <w:rsid w:val="00682F11"/>
    <w:rsid w:val="00682F24"/>
    <w:rsid w:val="0068451E"/>
    <w:rsid w:val="00685BEE"/>
    <w:rsid w:val="006902DA"/>
    <w:rsid w:val="00690C7D"/>
    <w:rsid w:val="00692CFD"/>
    <w:rsid w:val="00692E50"/>
    <w:rsid w:val="00693BCB"/>
    <w:rsid w:val="00694F2F"/>
    <w:rsid w:val="006A04D8"/>
    <w:rsid w:val="006A39EC"/>
    <w:rsid w:val="006A3A93"/>
    <w:rsid w:val="006B0E11"/>
    <w:rsid w:val="006B1198"/>
    <w:rsid w:val="006B1A43"/>
    <w:rsid w:val="006B2F60"/>
    <w:rsid w:val="006B5D12"/>
    <w:rsid w:val="006C4B21"/>
    <w:rsid w:val="006C5ACB"/>
    <w:rsid w:val="006D25E7"/>
    <w:rsid w:val="006D2E6E"/>
    <w:rsid w:val="006D3D0E"/>
    <w:rsid w:val="006D4630"/>
    <w:rsid w:val="006D49D5"/>
    <w:rsid w:val="006D570B"/>
    <w:rsid w:val="006D598C"/>
    <w:rsid w:val="006E08E8"/>
    <w:rsid w:val="006E366C"/>
    <w:rsid w:val="006F02BF"/>
    <w:rsid w:val="006F32E1"/>
    <w:rsid w:val="006F63D8"/>
    <w:rsid w:val="006F700F"/>
    <w:rsid w:val="00700028"/>
    <w:rsid w:val="00700B92"/>
    <w:rsid w:val="00701B57"/>
    <w:rsid w:val="007079B6"/>
    <w:rsid w:val="00707B7C"/>
    <w:rsid w:val="0071289C"/>
    <w:rsid w:val="0072051E"/>
    <w:rsid w:val="00725EB9"/>
    <w:rsid w:val="007337EF"/>
    <w:rsid w:val="00740D56"/>
    <w:rsid w:val="0074215E"/>
    <w:rsid w:val="007431F4"/>
    <w:rsid w:val="0074651E"/>
    <w:rsid w:val="00746544"/>
    <w:rsid w:val="00746847"/>
    <w:rsid w:val="0075245D"/>
    <w:rsid w:val="00753496"/>
    <w:rsid w:val="00754653"/>
    <w:rsid w:val="007547CB"/>
    <w:rsid w:val="007552A6"/>
    <w:rsid w:val="00763E6B"/>
    <w:rsid w:val="007641B7"/>
    <w:rsid w:val="00766465"/>
    <w:rsid w:val="007840D5"/>
    <w:rsid w:val="007845DE"/>
    <w:rsid w:val="00790048"/>
    <w:rsid w:val="0079101A"/>
    <w:rsid w:val="007942DD"/>
    <w:rsid w:val="007973B7"/>
    <w:rsid w:val="007A2B01"/>
    <w:rsid w:val="007A494F"/>
    <w:rsid w:val="007A5F71"/>
    <w:rsid w:val="007A6135"/>
    <w:rsid w:val="007B081D"/>
    <w:rsid w:val="007B46A4"/>
    <w:rsid w:val="007B5113"/>
    <w:rsid w:val="007B7C8A"/>
    <w:rsid w:val="007C08BB"/>
    <w:rsid w:val="007C5521"/>
    <w:rsid w:val="007C5B1B"/>
    <w:rsid w:val="007C7225"/>
    <w:rsid w:val="007D0591"/>
    <w:rsid w:val="007D3597"/>
    <w:rsid w:val="007D4C0A"/>
    <w:rsid w:val="007E056C"/>
    <w:rsid w:val="007E32A8"/>
    <w:rsid w:val="007F1CC8"/>
    <w:rsid w:val="007F70CF"/>
    <w:rsid w:val="008006DF"/>
    <w:rsid w:val="00801631"/>
    <w:rsid w:val="00802016"/>
    <w:rsid w:val="0080303C"/>
    <w:rsid w:val="00803AEC"/>
    <w:rsid w:val="008104B1"/>
    <w:rsid w:val="00813E32"/>
    <w:rsid w:val="00824C01"/>
    <w:rsid w:val="00827A14"/>
    <w:rsid w:val="00830547"/>
    <w:rsid w:val="008323ED"/>
    <w:rsid w:val="008325A4"/>
    <w:rsid w:val="008418D0"/>
    <w:rsid w:val="008430D4"/>
    <w:rsid w:val="00844EA1"/>
    <w:rsid w:val="008456D6"/>
    <w:rsid w:val="00846EE9"/>
    <w:rsid w:val="00850C7A"/>
    <w:rsid w:val="0085376B"/>
    <w:rsid w:val="00854760"/>
    <w:rsid w:val="00860E37"/>
    <w:rsid w:val="00867542"/>
    <w:rsid w:val="00872D9F"/>
    <w:rsid w:val="00873BF4"/>
    <w:rsid w:val="00875785"/>
    <w:rsid w:val="00880365"/>
    <w:rsid w:val="008818A8"/>
    <w:rsid w:val="00886DAB"/>
    <w:rsid w:val="00887058"/>
    <w:rsid w:val="00887D9E"/>
    <w:rsid w:val="00894398"/>
    <w:rsid w:val="0089476A"/>
    <w:rsid w:val="00897964"/>
    <w:rsid w:val="008A0F44"/>
    <w:rsid w:val="008A142B"/>
    <w:rsid w:val="008A24AC"/>
    <w:rsid w:val="008A78D8"/>
    <w:rsid w:val="008B0282"/>
    <w:rsid w:val="008B2C8E"/>
    <w:rsid w:val="008B5962"/>
    <w:rsid w:val="008C7457"/>
    <w:rsid w:val="008C7533"/>
    <w:rsid w:val="008D2853"/>
    <w:rsid w:val="008D2C7E"/>
    <w:rsid w:val="008D3827"/>
    <w:rsid w:val="008D6C52"/>
    <w:rsid w:val="008D708C"/>
    <w:rsid w:val="008D756E"/>
    <w:rsid w:val="008E3EDE"/>
    <w:rsid w:val="008E4EAE"/>
    <w:rsid w:val="008F4354"/>
    <w:rsid w:val="008F6F60"/>
    <w:rsid w:val="00904BD1"/>
    <w:rsid w:val="00907822"/>
    <w:rsid w:val="00911E1B"/>
    <w:rsid w:val="0091566E"/>
    <w:rsid w:val="00916A9F"/>
    <w:rsid w:val="00921417"/>
    <w:rsid w:val="0093036E"/>
    <w:rsid w:val="00934DE5"/>
    <w:rsid w:val="00935319"/>
    <w:rsid w:val="00935B40"/>
    <w:rsid w:val="009404D3"/>
    <w:rsid w:val="00940C7F"/>
    <w:rsid w:val="00946256"/>
    <w:rsid w:val="009462BA"/>
    <w:rsid w:val="00953B8F"/>
    <w:rsid w:val="009578F6"/>
    <w:rsid w:val="00963FD6"/>
    <w:rsid w:val="00964CF3"/>
    <w:rsid w:val="00965893"/>
    <w:rsid w:val="00965E8A"/>
    <w:rsid w:val="00967B57"/>
    <w:rsid w:val="00967F70"/>
    <w:rsid w:val="009716EE"/>
    <w:rsid w:val="009734F1"/>
    <w:rsid w:val="00973C7F"/>
    <w:rsid w:val="0097431C"/>
    <w:rsid w:val="009853E2"/>
    <w:rsid w:val="00985B4F"/>
    <w:rsid w:val="00991365"/>
    <w:rsid w:val="0099261A"/>
    <w:rsid w:val="0099375B"/>
    <w:rsid w:val="00995C6C"/>
    <w:rsid w:val="0099608C"/>
    <w:rsid w:val="00996B8C"/>
    <w:rsid w:val="00997E8F"/>
    <w:rsid w:val="009A0DAE"/>
    <w:rsid w:val="009A33A1"/>
    <w:rsid w:val="009A3C85"/>
    <w:rsid w:val="009A3CBA"/>
    <w:rsid w:val="009B229F"/>
    <w:rsid w:val="009B546A"/>
    <w:rsid w:val="009D0BC9"/>
    <w:rsid w:val="009D0D72"/>
    <w:rsid w:val="009D3FA6"/>
    <w:rsid w:val="009D5758"/>
    <w:rsid w:val="009D68F7"/>
    <w:rsid w:val="009E19A1"/>
    <w:rsid w:val="009E1A26"/>
    <w:rsid w:val="009E1CAF"/>
    <w:rsid w:val="009E543C"/>
    <w:rsid w:val="009E7154"/>
    <w:rsid w:val="009F2639"/>
    <w:rsid w:val="009F437B"/>
    <w:rsid w:val="009F4692"/>
    <w:rsid w:val="009F6E7F"/>
    <w:rsid w:val="009F7393"/>
    <w:rsid w:val="00A01B78"/>
    <w:rsid w:val="00A01FA9"/>
    <w:rsid w:val="00A02203"/>
    <w:rsid w:val="00A0248B"/>
    <w:rsid w:val="00A0361A"/>
    <w:rsid w:val="00A0487F"/>
    <w:rsid w:val="00A05B4C"/>
    <w:rsid w:val="00A0742A"/>
    <w:rsid w:val="00A109D9"/>
    <w:rsid w:val="00A14C2C"/>
    <w:rsid w:val="00A24097"/>
    <w:rsid w:val="00A27619"/>
    <w:rsid w:val="00A30EB3"/>
    <w:rsid w:val="00A32559"/>
    <w:rsid w:val="00A400A6"/>
    <w:rsid w:val="00A43D0D"/>
    <w:rsid w:val="00A468AB"/>
    <w:rsid w:val="00A504BF"/>
    <w:rsid w:val="00A51ECB"/>
    <w:rsid w:val="00A52CFF"/>
    <w:rsid w:val="00A56D28"/>
    <w:rsid w:val="00A61F47"/>
    <w:rsid w:val="00A64D72"/>
    <w:rsid w:val="00A64E3F"/>
    <w:rsid w:val="00A67A24"/>
    <w:rsid w:val="00A714FD"/>
    <w:rsid w:val="00A7357F"/>
    <w:rsid w:val="00A81580"/>
    <w:rsid w:val="00A836EC"/>
    <w:rsid w:val="00A845DF"/>
    <w:rsid w:val="00A86177"/>
    <w:rsid w:val="00A865D2"/>
    <w:rsid w:val="00A9200E"/>
    <w:rsid w:val="00A96336"/>
    <w:rsid w:val="00AA4BC5"/>
    <w:rsid w:val="00AA6170"/>
    <w:rsid w:val="00AA62A5"/>
    <w:rsid w:val="00AA7D11"/>
    <w:rsid w:val="00AB1BE4"/>
    <w:rsid w:val="00AB3D1E"/>
    <w:rsid w:val="00AB4B08"/>
    <w:rsid w:val="00AB6E1A"/>
    <w:rsid w:val="00AC2C36"/>
    <w:rsid w:val="00AC3D1E"/>
    <w:rsid w:val="00AD0009"/>
    <w:rsid w:val="00AD23DB"/>
    <w:rsid w:val="00AD4418"/>
    <w:rsid w:val="00AD737A"/>
    <w:rsid w:val="00AD7C6C"/>
    <w:rsid w:val="00AD7EC3"/>
    <w:rsid w:val="00AE2189"/>
    <w:rsid w:val="00AE55E7"/>
    <w:rsid w:val="00AF30AD"/>
    <w:rsid w:val="00AF3BE3"/>
    <w:rsid w:val="00AF7023"/>
    <w:rsid w:val="00AF74B5"/>
    <w:rsid w:val="00B04097"/>
    <w:rsid w:val="00B07FBA"/>
    <w:rsid w:val="00B10C01"/>
    <w:rsid w:val="00B13D30"/>
    <w:rsid w:val="00B22252"/>
    <w:rsid w:val="00B2253B"/>
    <w:rsid w:val="00B23A76"/>
    <w:rsid w:val="00B24BA5"/>
    <w:rsid w:val="00B306C6"/>
    <w:rsid w:val="00B342B0"/>
    <w:rsid w:val="00B37D5E"/>
    <w:rsid w:val="00B409CC"/>
    <w:rsid w:val="00B41896"/>
    <w:rsid w:val="00B44CB6"/>
    <w:rsid w:val="00B45F63"/>
    <w:rsid w:val="00B502DB"/>
    <w:rsid w:val="00B5160D"/>
    <w:rsid w:val="00B52CE3"/>
    <w:rsid w:val="00B5771E"/>
    <w:rsid w:val="00B63BDF"/>
    <w:rsid w:val="00B71F51"/>
    <w:rsid w:val="00B7440A"/>
    <w:rsid w:val="00B838D1"/>
    <w:rsid w:val="00B85E96"/>
    <w:rsid w:val="00B90AE9"/>
    <w:rsid w:val="00B9157E"/>
    <w:rsid w:val="00B93511"/>
    <w:rsid w:val="00B97A34"/>
    <w:rsid w:val="00BA326A"/>
    <w:rsid w:val="00BA3DD0"/>
    <w:rsid w:val="00BA5CBA"/>
    <w:rsid w:val="00BA5F48"/>
    <w:rsid w:val="00BA766D"/>
    <w:rsid w:val="00BB10B9"/>
    <w:rsid w:val="00BB636A"/>
    <w:rsid w:val="00BB7B34"/>
    <w:rsid w:val="00BC1D2B"/>
    <w:rsid w:val="00BC3CAA"/>
    <w:rsid w:val="00BC3EBB"/>
    <w:rsid w:val="00BC410E"/>
    <w:rsid w:val="00BC49BE"/>
    <w:rsid w:val="00BC4B36"/>
    <w:rsid w:val="00BC5F3F"/>
    <w:rsid w:val="00BD0FB4"/>
    <w:rsid w:val="00BD5648"/>
    <w:rsid w:val="00BE1B31"/>
    <w:rsid w:val="00BE255B"/>
    <w:rsid w:val="00BE2B6D"/>
    <w:rsid w:val="00BF23D0"/>
    <w:rsid w:val="00BF4254"/>
    <w:rsid w:val="00C00C3F"/>
    <w:rsid w:val="00C01515"/>
    <w:rsid w:val="00C0566D"/>
    <w:rsid w:val="00C13265"/>
    <w:rsid w:val="00C13CBD"/>
    <w:rsid w:val="00C1579C"/>
    <w:rsid w:val="00C17A2B"/>
    <w:rsid w:val="00C217B8"/>
    <w:rsid w:val="00C30A33"/>
    <w:rsid w:val="00C31E53"/>
    <w:rsid w:val="00C3407D"/>
    <w:rsid w:val="00C35546"/>
    <w:rsid w:val="00C366A2"/>
    <w:rsid w:val="00C409B1"/>
    <w:rsid w:val="00C43E50"/>
    <w:rsid w:val="00C44497"/>
    <w:rsid w:val="00C46022"/>
    <w:rsid w:val="00C46DD4"/>
    <w:rsid w:val="00C47883"/>
    <w:rsid w:val="00C54D56"/>
    <w:rsid w:val="00C57FD6"/>
    <w:rsid w:val="00C62633"/>
    <w:rsid w:val="00C63071"/>
    <w:rsid w:val="00C64D5B"/>
    <w:rsid w:val="00C65257"/>
    <w:rsid w:val="00C666CE"/>
    <w:rsid w:val="00C80AC9"/>
    <w:rsid w:val="00C85CA6"/>
    <w:rsid w:val="00C860F7"/>
    <w:rsid w:val="00C93112"/>
    <w:rsid w:val="00C932D8"/>
    <w:rsid w:val="00C934A4"/>
    <w:rsid w:val="00C960F9"/>
    <w:rsid w:val="00C96730"/>
    <w:rsid w:val="00C970CA"/>
    <w:rsid w:val="00C97555"/>
    <w:rsid w:val="00CA18E8"/>
    <w:rsid w:val="00CA450C"/>
    <w:rsid w:val="00CA5072"/>
    <w:rsid w:val="00CB03AC"/>
    <w:rsid w:val="00CB0595"/>
    <w:rsid w:val="00CB6DC8"/>
    <w:rsid w:val="00CC054D"/>
    <w:rsid w:val="00CC225B"/>
    <w:rsid w:val="00CC343C"/>
    <w:rsid w:val="00CC5052"/>
    <w:rsid w:val="00CD0429"/>
    <w:rsid w:val="00CD1525"/>
    <w:rsid w:val="00CD3906"/>
    <w:rsid w:val="00CD3B7E"/>
    <w:rsid w:val="00CD52C3"/>
    <w:rsid w:val="00CD620B"/>
    <w:rsid w:val="00CE2589"/>
    <w:rsid w:val="00CE4F3B"/>
    <w:rsid w:val="00CE5527"/>
    <w:rsid w:val="00CE71AF"/>
    <w:rsid w:val="00CF0AA4"/>
    <w:rsid w:val="00CF19A4"/>
    <w:rsid w:val="00CF1BEA"/>
    <w:rsid w:val="00CF47E3"/>
    <w:rsid w:val="00CF7F02"/>
    <w:rsid w:val="00D00690"/>
    <w:rsid w:val="00D00B38"/>
    <w:rsid w:val="00D01C1F"/>
    <w:rsid w:val="00D043F4"/>
    <w:rsid w:val="00D1231A"/>
    <w:rsid w:val="00D14465"/>
    <w:rsid w:val="00D14D33"/>
    <w:rsid w:val="00D2178D"/>
    <w:rsid w:val="00D27BB5"/>
    <w:rsid w:val="00D3087F"/>
    <w:rsid w:val="00D31741"/>
    <w:rsid w:val="00D3766A"/>
    <w:rsid w:val="00D402DD"/>
    <w:rsid w:val="00D44462"/>
    <w:rsid w:val="00D445AA"/>
    <w:rsid w:val="00D47426"/>
    <w:rsid w:val="00D5001C"/>
    <w:rsid w:val="00D50F48"/>
    <w:rsid w:val="00D53298"/>
    <w:rsid w:val="00D5329D"/>
    <w:rsid w:val="00D60112"/>
    <w:rsid w:val="00D60543"/>
    <w:rsid w:val="00D60A53"/>
    <w:rsid w:val="00D63580"/>
    <w:rsid w:val="00D639A4"/>
    <w:rsid w:val="00D64D24"/>
    <w:rsid w:val="00D67ADF"/>
    <w:rsid w:val="00D67C78"/>
    <w:rsid w:val="00D72335"/>
    <w:rsid w:val="00D75181"/>
    <w:rsid w:val="00D766E8"/>
    <w:rsid w:val="00D76EBC"/>
    <w:rsid w:val="00D80D74"/>
    <w:rsid w:val="00D82705"/>
    <w:rsid w:val="00D83FE2"/>
    <w:rsid w:val="00D84D67"/>
    <w:rsid w:val="00D90DDF"/>
    <w:rsid w:val="00D91112"/>
    <w:rsid w:val="00D929CB"/>
    <w:rsid w:val="00D9676A"/>
    <w:rsid w:val="00D97372"/>
    <w:rsid w:val="00DA77A3"/>
    <w:rsid w:val="00DA785F"/>
    <w:rsid w:val="00DB210A"/>
    <w:rsid w:val="00DB3DAD"/>
    <w:rsid w:val="00DB4083"/>
    <w:rsid w:val="00DB451E"/>
    <w:rsid w:val="00DB7DBC"/>
    <w:rsid w:val="00DC0B88"/>
    <w:rsid w:val="00DC2007"/>
    <w:rsid w:val="00DD0B98"/>
    <w:rsid w:val="00DD2AC7"/>
    <w:rsid w:val="00DD38E5"/>
    <w:rsid w:val="00DD4394"/>
    <w:rsid w:val="00DE3809"/>
    <w:rsid w:val="00DE4F65"/>
    <w:rsid w:val="00DF5B5D"/>
    <w:rsid w:val="00DF5F0F"/>
    <w:rsid w:val="00DF770E"/>
    <w:rsid w:val="00E01F82"/>
    <w:rsid w:val="00E02FE3"/>
    <w:rsid w:val="00E05B9C"/>
    <w:rsid w:val="00E071BD"/>
    <w:rsid w:val="00E076D8"/>
    <w:rsid w:val="00E1718E"/>
    <w:rsid w:val="00E17247"/>
    <w:rsid w:val="00E209CF"/>
    <w:rsid w:val="00E2682F"/>
    <w:rsid w:val="00E26BD5"/>
    <w:rsid w:val="00E31CC0"/>
    <w:rsid w:val="00E3442F"/>
    <w:rsid w:val="00E36826"/>
    <w:rsid w:val="00E369D2"/>
    <w:rsid w:val="00E379DC"/>
    <w:rsid w:val="00E42857"/>
    <w:rsid w:val="00E44893"/>
    <w:rsid w:val="00E44B04"/>
    <w:rsid w:val="00E46037"/>
    <w:rsid w:val="00E46C86"/>
    <w:rsid w:val="00E52909"/>
    <w:rsid w:val="00E53F2F"/>
    <w:rsid w:val="00E5724A"/>
    <w:rsid w:val="00E60A34"/>
    <w:rsid w:val="00E631B8"/>
    <w:rsid w:val="00E64009"/>
    <w:rsid w:val="00E66349"/>
    <w:rsid w:val="00E71EB4"/>
    <w:rsid w:val="00E80399"/>
    <w:rsid w:val="00E86615"/>
    <w:rsid w:val="00E931BD"/>
    <w:rsid w:val="00E94609"/>
    <w:rsid w:val="00EA1317"/>
    <w:rsid w:val="00EA2AD8"/>
    <w:rsid w:val="00EA3E6A"/>
    <w:rsid w:val="00EA6108"/>
    <w:rsid w:val="00EB1D23"/>
    <w:rsid w:val="00EB2F99"/>
    <w:rsid w:val="00EB4863"/>
    <w:rsid w:val="00EB6511"/>
    <w:rsid w:val="00EC4932"/>
    <w:rsid w:val="00EC5A78"/>
    <w:rsid w:val="00EC5F3D"/>
    <w:rsid w:val="00ED2DC2"/>
    <w:rsid w:val="00ED5A18"/>
    <w:rsid w:val="00ED78F0"/>
    <w:rsid w:val="00ED7F82"/>
    <w:rsid w:val="00EE0BBB"/>
    <w:rsid w:val="00EE11E1"/>
    <w:rsid w:val="00EE448A"/>
    <w:rsid w:val="00EF0FB1"/>
    <w:rsid w:val="00EF1E06"/>
    <w:rsid w:val="00EF60CC"/>
    <w:rsid w:val="00F03208"/>
    <w:rsid w:val="00F07F7F"/>
    <w:rsid w:val="00F12046"/>
    <w:rsid w:val="00F14CC0"/>
    <w:rsid w:val="00F151B2"/>
    <w:rsid w:val="00F1567D"/>
    <w:rsid w:val="00F26F59"/>
    <w:rsid w:val="00F328D0"/>
    <w:rsid w:val="00F3320F"/>
    <w:rsid w:val="00F35287"/>
    <w:rsid w:val="00F35408"/>
    <w:rsid w:val="00F43FB5"/>
    <w:rsid w:val="00F46148"/>
    <w:rsid w:val="00F50ADC"/>
    <w:rsid w:val="00F52F57"/>
    <w:rsid w:val="00F60958"/>
    <w:rsid w:val="00F631E0"/>
    <w:rsid w:val="00F65195"/>
    <w:rsid w:val="00F74813"/>
    <w:rsid w:val="00F75597"/>
    <w:rsid w:val="00F75F2A"/>
    <w:rsid w:val="00F774D3"/>
    <w:rsid w:val="00F84E3F"/>
    <w:rsid w:val="00F85459"/>
    <w:rsid w:val="00F86A4E"/>
    <w:rsid w:val="00F92133"/>
    <w:rsid w:val="00F92459"/>
    <w:rsid w:val="00F94C60"/>
    <w:rsid w:val="00FA025C"/>
    <w:rsid w:val="00FA1646"/>
    <w:rsid w:val="00FA2170"/>
    <w:rsid w:val="00FA2FC0"/>
    <w:rsid w:val="00FA5C26"/>
    <w:rsid w:val="00FB1C8D"/>
    <w:rsid w:val="00FB290C"/>
    <w:rsid w:val="00FB31BC"/>
    <w:rsid w:val="00FB38F3"/>
    <w:rsid w:val="00FB522A"/>
    <w:rsid w:val="00FB7758"/>
    <w:rsid w:val="00FC05FD"/>
    <w:rsid w:val="00FC1556"/>
    <w:rsid w:val="00FC272F"/>
    <w:rsid w:val="00FC2F2C"/>
    <w:rsid w:val="00FC3F70"/>
    <w:rsid w:val="00FC7940"/>
    <w:rsid w:val="00FD3C30"/>
    <w:rsid w:val="00FD3E0D"/>
    <w:rsid w:val="00FD4FC1"/>
    <w:rsid w:val="00FE79F7"/>
    <w:rsid w:val="020831FA"/>
    <w:rsid w:val="050E718A"/>
    <w:rsid w:val="06AE5AD6"/>
    <w:rsid w:val="06CB54B5"/>
    <w:rsid w:val="07161791"/>
    <w:rsid w:val="07F01693"/>
    <w:rsid w:val="087F5C7B"/>
    <w:rsid w:val="09C0187F"/>
    <w:rsid w:val="0B4E78DA"/>
    <w:rsid w:val="0B782690"/>
    <w:rsid w:val="0B7D2C8D"/>
    <w:rsid w:val="114E032D"/>
    <w:rsid w:val="16CB0CF9"/>
    <w:rsid w:val="1748317F"/>
    <w:rsid w:val="193309FA"/>
    <w:rsid w:val="1BD014EE"/>
    <w:rsid w:val="1F730041"/>
    <w:rsid w:val="207C446C"/>
    <w:rsid w:val="208D02AE"/>
    <w:rsid w:val="24FB1509"/>
    <w:rsid w:val="25324FE6"/>
    <w:rsid w:val="255240CB"/>
    <w:rsid w:val="2682580D"/>
    <w:rsid w:val="283C7FA5"/>
    <w:rsid w:val="2A462E09"/>
    <w:rsid w:val="2A49681C"/>
    <w:rsid w:val="2D257375"/>
    <w:rsid w:val="30860FB2"/>
    <w:rsid w:val="3318167D"/>
    <w:rsid w:val="3B5C25EA"/>
    <w:rsid w:val="3C56107C"/>
    <w:rsid w:val="3ED03BC3"/>
    <w:rsid w:val="3F79731D"/>
    <w:rsid w:val="3FF10318"/>
    <w:rsid w:val="451C086F"/>
    <w:rsid w:val="46DC544B"/>
    <w:rsid w:val="474238D4"/>
    <w:rsid w:val="4AD11721"/>
    <w:rsid w:val="4B93624C"/>
    <w:rsid w:val="528457A1"/>
    <w:rsid w:val="539A764B"/>
    <w:rsid w:val="5E1158EE"/>
    <w:rsid w:val="60D82048"/>
    <w:rsid w:val="61774D16"/>
    <w:rsid w:val="62144B28"/>
    <w:rsid w:val="63317C4A"/>
    <w:rsid w:val="63C45248"/>
    <w:rsid w:val="64BF38F4"/>
    <w:rsid w:val="64FD2EB6"/>
    <w:rsid w:val="668C2983"/>
    <w:rsid w:val="68D77BE5"/>
    <w:rsid w:val="6C1D3E09"/>
    <w:rsid w:val="6C9065CD"/>
    <w:rsid w:val="6D9B1378"/>
    <w:rsid w:val="6EAB2A6E"/>
    <w:rsid w:val="732242C7"/>
    <w:rsid w:val="751B7A93"/>
    <w:rsid w:val="77E079D9"/>
    <w:rsid w:val="7947694C"/>
    <w:rsid w:val="7A1F7163"/>
    <w:rsid w:val="7BE427E2"/>
    <w:rsid w:val="7D6F5A1B"/>
    <w:rsid w:val="7DCC096D"/>
    <w:rsid w:val="7F607D4D"/>
    <w:rsid w:val="7F6F41D3"/>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0"/>
    <w:qFormat/>
    <w:uiPriority w:val="0"/>
    <w:pPr>
      <w:keepNext/>
      <w:keepLines/>
      <w:adjustRightInd w:val="0"/>
      <w:spacing w:beforeLines="50" w:afterLines="50"/>
      <w:ind w:firstLine="200" w:firstLineChars="200"/>
      <w:jc w:val="left"/>
      <w:textAlignment w:val="baseline"/>
      <w:outlineLvl w:val="1"/>
    </w:pPr>
    <w:rPr>
      <w:rFonts w:ascii="Arial" w:hAnsi="Arial" w:eastAsia="黑体"/>
      <w:b/>
      <w:kern w:val="0"/>
      <w:sz w:val="24"/>
    </w:rPr>
  </w:style>
  <w:style w:type="paragraph" w:styleId="5">
    <w:name w:val="heading 3"/>
    <w:basedOn w:val="1"/>
    <w:next w:val="1"/>
    <w:link w:val="61"/>
    <w:qFormat/>
    <w:uiPriority w:val="0"/>
    <w:pPr>
      <w:keepNext/>
      <w:keepLines/>
      <w:spacing w:before="260" w:after="260" w:line="415" w:lineRule="auto"/>
      <w:outlineLvl w:val="2"/>
    </w:pPr>
    <w:rPr>
      <w:b/>
      <w:bCs/>
      <w:sz w:val="32"/>
      <w:szCs w:val="32"/>
    </w:rPr>
  </w:style>
  <w:style w:type="paragraph" w:styleId="6">
    <w:name w:val="heading 4"/>
    <w:basedOn w:val="1"/>
    <w:next w:val="1"/>
    <w:link w:val="62"/>
    <w:qFormat/>
    <w:uiPriority w:val="0"/>
    <w:pPr>
      <w:keepNext/>
      <w:keepLines/>
      <w:autoSpaceDE w:val="0"/>
      <w:autoSpaceDN w:val="0"/>
      <w:adjustRightInd w:val="0"/>
      <w:spacing w:before="280" w:after="290" w:line="376" w:lineRule="atLeast"/>
      <w:jc w:val="left"/>
      <w:textAlignment w:val="baseline"/>
      <w:outlineLvl w:val="3"/>
    </w:pPr>
    <w:rPr>
      <w:rFonts w:ascii="黑体" w:hAnsi="黑体" w:eastAsia="黑体"/>
      <w:b/>
      <w:kern w:val="0"/>
      <w:sz w:val="28"/>
      <w:szCs w:val="20"/>
    </w:rPr>
  </w:style>
  <w:style w:type="paragraph" w:styleId="7">
    <w:name w:val="heading 5"/>
    <w:basedOn w:val="1"/>
    <w:next w:val="1"/>
    <w:link w:val="63"/>
    <w:qFormat/>
    <w:uiPriority w:val="0"/>
    <w:pPr>
      <w:spacing w:before="240" w:after="60"/>
      <w:outlineLvl w:val="4"/>
    </w:pPr>
    <w:rPr>
      <w:sz w:val="22"/>
      <w:szCs w:val="20"/>
    </w:rPr>
  </w:style>
  <w:style w:type="paragraph" w:styleId="8">
    <w:name w:val="heading 6"/>
    <w:basedOn w:val="1"/>
    <w:next w:val="1"/>
    <w:link w:val="64"/>
    <w:qFormat/>
    <w:uiPriority w:val="0"/>
    <w:pPr>
      <w:spacing w:before="240" w:after="60"/>
      <w:outlineLvl w:val="5"/>
    </w:pPr>
    <w:rPr>
      <w:i/>
      <w:iCs/>
      <w:sz w:val="22"/>
      <w:szCs w:val="20"/>
    </w:rPr>
  </w:style>
  <w:style w:type="paragraph" w:styleId="9">
    <w:name w:val="heading 7"/>
    <w:basedOn w:val="1"/>
    <w:next w:val="1"/>
    <w:link w:val="65"/>
    <w:qFormat/>
    <w:uiPriority w:val="0"/>
    <w:pPr>
      <w:spacing w:before="240" w:after="60"/>
      <w:outlineLvl w:val="6"/>
    </w:pPr>
    <w:rPr>
      <w:rFonts w:ascii="Arial" w:hAnsi="Arial"/>
      <w:sz w:val="20"/>
      <w:szCs w:val="20"/>
    </w:rPr>
  </w:style>
  <w:style w:type="paragraph" w:styleId="10">
    <w:name w:val="heading 8"/>
    <w:basedOn w:val="1"/>
    <w:next w:val="1"/>
    <w:link w:val="66"/>
    <w:qFormat/>
    <w:uiPriority w:val="0"/>
    <w:pPr>
      <w:spacing w:before="240" w:after="60"/>
      <w:outlineLvl w:val="7"/>
    </w:pPr>
    <w:rPr>
      <w:rFonts w:ascii="Arial" w:hAnsi="Arial"/>
      <w:i/>
      <w:iCs/>
      <w:sz w:val="20"/>
      <w:szCs w:val="20"/>
    </w:rPr>
  </w:style>
  <w:style w:type="paragraph" w:styleId="11">
    <w:name w:val="heading 9"/>
    <w:basedOn w:val="1"/>
    <w:next w:val="1"/>
    <w:link w:val="67"/>
    <w:qFormat/>
    <w:uiPriority w:val="0"/>
    <w:pPr>
      <w:spacing w:before="240" w:after="60"/>
      <w:outlineLvl w:val="8"/>
    </w:pPr>
    <w:rPr>
      <w:rFonts w:ascii="Arial" w:hAnsi="Arial"/>
      <w:b/>
      <w:i/>
      <w:iCs/>
      <w:sz w:val="18"/>
      <w:szCs w:val="20"/>
    </w:rPr>
  </w:style>
  <w:style w:type="character" w:default="1" w:styleId="52">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4"/>
    <w:qFormat/>
    <w:uiPriority w:val="0"/>
    <w:pPr>
      <w:autoSpaceDE w:val="0"/>
      <w:autoSpaceDN w:val="0"/>
      <w:adjustRightInd w:val="0"/>
      <w:spacing w:line="360" w:lineRule="auto"/>
      <w:ind w:firstLine="480"/>
      <w:jc w:val="left"/>
    </w:pPr>
    <w:rPr>
      <w:rFonts w:eastAsia="仿宋_GB2312"/>
      <w:b/>
      <w:bCs/>
      <w:color w:val="000000"/>
      <w:kern w:val="0"/>
      <w:sz w:val="32"/>
      <w:szCs w:val="28"/>
    </w:rPr>
  </w:style>
  <w:style w:type="paragraph" w:styleId="12">
    <w:name w:val="toc 7"/>
    <w:basedOn w:val="1"/>
    <w:next w:val="1"/>
    <w:qFormat/>
    <w:uiPriority w:val="0"/>
    <w:pPr>
      <w:ind w:left="1680"/>
      <w:jc w:val="left"/>
    </w:pPr>
    <w:rPr>
      <w:rFonts w:ascii="Calibri" w:hAnsi="Calibri"/>
      <w:sz w:val="18"/>
      <w:szCs w:val="20"/>
    </w:rPr>
  </w:style>
  <w:style w:type="paragraph" w:styleId="13">
    <w:name w:val="List Number"/>
    <w:basedOn w:val="1"/>
    <w:qFormat/>
    <w:uiPriority w:val="0"/>
    <w:pPr>
      <w:spacing w:line="360" w:lineRule="auto"/>
      <w:ind w:firstLine="425"/>
    </w:pPr>
    <w:rPr>
      <w:sz w:val="24"/>
      <w:szCs w:val="20"/>
    </w:rPr>
  </w:style>
  <w:style w:type="paragraph" w:styleId="14">
    <w:name w:val="Normal Indent"/>
    <w:basedOn w:val="1"/>
    <w:link w:val="68"/>
    <w:qFormat/>
    <w:uiPriority w:val="0"/>
    <w:pPr>
      <w:spacing w:line="360" w:lineRule="auto"/>
      <w:ind w:firstLine="420"/>
    </w:pPr>
    <w:rPr>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69"/>
    <w:qFormat/>
    <w:uiPriority w:val="0"/>
    <w:pPr>
      <w:shd w:val="clear" w:color="auto" w:fill="000080"/>
    </w:pPr>
  </w:style>
  <w:style w:type="paragraph" w:styleId="17">
    <w:name w:val="annotation text"/>
    <w:basedOn w:val="1"/>
    <w:link w:val="70"/>
    <w:qFormat/>
    <w:uiPriority w:val="0"/>
    <w:pPr>
      <w:jc w:val="left"/>
    </w:pPr>
  </w:style>
  <w:style w:type="paragraph" w:styleId="18">
    <w:name w:val="Salutation"/>
    <w:basedOn w:val="1"/>
    <w:next w:val="1"/>
    <w:link w:val="71"/>
    <w:qFormat/>
    <w:uiPriority w:val="0"/>
    <w:pPr>
      <w:spacing w:line="520" w:lineRule="exact"/>
    </w:pPr>
    <w:rPr>
      <w:rFonts w:ascii="华文宋体" w:hAnsi="Arial Unicode MS" w:eastAsia="华文宋体"/>
      <w:sz w:val="24"/>
      <w:szCs w:val="20"/>
    </w:rPr>
  </w:style>
  <w:style w:type="paragraph" w:styleId="19">
    <w:name w:val="Body Text 3"/>
    <w:basedOn w:val="1"/>
    <w:link w:val="72"/>
    <w:qFormat/>
    <w:uiPriority w:val="0"/>
    <w:pPr>
      <w:spacing w:after="120"/>
      <w:ind w:left="283"/>
    </w:pPr>
    <w:rPr>
      <w:rFonts w:ascii="Arial" w:hAnsi="Arial"/>
      <w:szCs w:val="20"/>
    </w:rPr>
  </w:style>
  <w:style w:type="paragraph" w:styleId="20">
    <w:name w:val="Body Text"/>
    <w:basedOn w:val="1"/>
    <w:link w:val="73"/>
    <w:qFormat/>
    <w:uiPriority w:val="0"/>
    <w:pPr>
      <w:spacing w:line="360" w:lineRule="auto"/>
    </w:pPr>
    <w:rPr>
      <w:sz w:val="24"/>
      <w:szCs w:val="20"/>
    </w:rPr>
  </w:style>
  <w:style w:type="paragraph" w:styleId="21">
    <w:name w:val="List Number 3"/>
    <w:basedOn w:val="1"/>
    <w:qFormat/>
    <w:uiPriority w:val="0"/>
    <w:pPr>
      <w:numPr>
        <w:ilvl w:val="0"/>
        <w:numId w:val="1"/>
      </w:numPr>
    </w:pPr>
  </w:style>
  <w:style w:type="paragraph" w:styleId="22">
    <w:name w:val="List 2"/>
    <w:basedOn w:val="1"/>
    <w:qFormat/>
    <w:uiPriority w:val="0"/>
    <w:pPr>
      <w:ind w:left="100" w:leftChars="200" w:hanging="200" w:hangingChars="200"/>
    </w:pPr>
    <w:rPr>
      <w:sz w:val="28"/>
    </w:rPr>
  </w:style>
  <w:style w:type="paragraph" w:styleId="23">
    <w:name w:val="List Continue"/>
    <w:basedOn w:val="1"/>
    <w:qFormat/>
    <w:uiPriority w:val="0"/>
    <w:pPr>
      <w:numPr>
        <w:ilvl w:val="8"/>
        <w:numId w:val="2"/>
      </w:numPr>
      <w:tabs>
        <w:tab w:val="clear" w:pos="3780"/>
      </w:tabs>
      <w:spacing w:after="120"/>
      <w:ind w:left="420" w:leftChars="200" w:firstLine="0"/>
    </w:pPr>
  </w:style>
  <w:style w:type="paragraph" w:styleId="24">
    <w:name w:val="Block Text"/>
    <w:basedOn w:val="1"/>
    <w:qFormat/>
    <w:uiPriority w:val="0"/>
    <w:pPr>
      <w:ind w:left="1200" w:right="-72" w:hanging="30"/>
    </w:pPr>
    <w:rPr>
      <w:rFonts w:ascii="Arial" w:hAnsi="Arial" w:eastAsia="幼圆" w:cs="Arial"/>
      <w:sz w:val="22"/>
      <w:szCs w:val="20"/>
    </w:rPr>
  </w:style>
  <w:style w:type="paragraph" w:styleId="25">
    <w:name w:val="toc 5"/>
    <w:basedOn w:val="1"/>
    <w:next w:val="1"/>
    <w:qFormat/>
    <w:uiPriority w:val="0"/>
    <w:pPr>
      <w:ind w:left="1120"/>
      <w:jc w:val="left"/>
    </w:pPr>
    <w:rPr>
      <w:rFonts w:ascii="Calibri" w:hAnsi="Calibri"/>
      <w:sz w:val="18"/>
      <w:szCs w:val="20"/>
    </w:rPr>
  </w:style>
  <w:style w:type="paragraph" w:styleId="26">
    <w:name w:val="toc 3"/>
    <w:basedOn w:val="1"/>
    <w:next w:val="1"/>
    <w:qFormat/>
    <w:uiPriority w:val="0"/>
    <w:pPr>
      <w:ind w:left="560"/>
      <w:jc w:val="left"/>
    </w:pPr>
    <w:rPr>
      <w:rFonts w:ascii="Calibri" w:hAnsi="Calibri"/>
      <w:i/>
      <w:sz w:val="20"/>
      <w:szCs w:val="20"/>
    </w:rPr>
  </w:style>
  <w:style w:type="paragraph" w:styleId="27">
    <w:name w:val="Plain Text"/>
    <w:basedOn w:val="1"/>
    <w:next w:val="1"/>
    <w:link w:val="75"/>
    <w:qFormat/>
    <w:uiPriority w:val="0"/>
    <w:rPr>
      <w:rFonts w:ascii="宋体" w:hAnsi="宋体"/>
      <w:szCs w:val="21"/>
    </w:rPr>
  </w:style>
  <w:style w:type="paragraph" w:styleId="28">
    <w:name w:val="toc 8"/>
    <w:basedOn w:val="1"/>
    <w:next w:val="1"/>
    <w:qFormat/>
    <w:uiPriority w:val="0"/>
    <w:pPr>
      <w:ind w:left="1960"/>
      <w:jc w:val="left"/>
    </w:pPr>
    <w:rPr>
      <w:rFonts w:ascii="Calibri" w:hAnsi="Calibri"/>
      <w:sz w:val="18"/>
      <w:szCs w:val="20"/>
    </w:rPr>
  </w:style>
  <w:style w:type="paragraph" w:styleId="29">
    <w:name w:val="Date"/>
    <w:basedOn w:val="1"/>
    <w:next w:val="1"/>
    <w:link w:val="76"/>
    <w:qFormat/>
    <w:uiPriority w:val="0"/>
    <w:pPr>
      <w:ind w:left="100" w:leftChars="2500"/>
    </w:pPr>
  </w:style>
  <w:style w:type="paragraph" w:styleId="30">
    <w:name w:val="Body Text Indent 2"/>
    <w:basedOn w:val="1"/>
    <w:link w:val="77"/>
    <w:qFormat/>
    <w:uiPriority w:val="0"/>
    <w:pPr>
      <w:autoSpaceDE w:val="0"/>
      <w:autoSpaceDN w:val="0"/>
      <w:adjustRightInd w:val="0"/>
      <w:spacing w:line="620" w:lineRule="exact"/>
      <w:ind w:firstLine="480"/>
    </w:pPr>
    <w:rPr>
      <w:rFonts w:eastAsia="仿宋_GB2312"/>
      <w:color w:val="000000"/>
      <w:kern w:val="0"/>
      <w:sz w:val="32"/>
      <w:szCs w:val="28"/>
    </w:rPr>
  </w:style>
  <w:style w:type="paragraph" w:styleId="31">
    <w:name w:val="Balloon Text"/>
    <w:basedOn w:val="1"/>
    <w:link w:val="78"/>
    <w:qFormat/>
    <w:uiPriority w:val="0"/>
    <w:rPr>
      <w:sz w:val="18"/>
      <w:szCs w:val="18"/>
    </w:rPr>
  </w:style>
  <w:style w:type="paragraph" w:styleId="32">
    <w:name w:val="footer"/>
    <w:basedOn w:val="1"/>
    <w:link w:val="79"/>
    <w:qFormat/>
    <w:uiPriority w:val="0"/>
    <w:pPr>
      <w:tabs>
        <w:tab w:val="center" w:pos="4153"/>
        <w:tab w:val="right" w:pos="8306"/>
      </w:tabs>
      <w:snapToGrid w:val="0"/>
      <w:jc w:val="left"/>
    </w:pPr>
    <w:rPr>
      <w:sz w:val="18"/>
      <w:szCs w:val="18"/>
    </w:rPr>
  </w:style>
  <w:style w:type="paragraph" w:styleId="33">
    <w:name w:val="header"/>
    <w:basedOn w:val="1"/>
    <w:link w:val="80"/>
    <w:qFormat/>
    <w:uiPriority w:val="0"/>
    <w:pPr>
      <w:pBdr>
        <w:bottom w:val="single" w:color="auto" w:sz="6" w:space="1"/>
      </w:pBdr>
      <w:tabs>
        <w:tab w:val="center" w:pos="4153"/>
        <w:tab w:val="right" w:pos="8306"/>
      </w:tabs>
      <w:snapToGrid w:val="0"/>
      <w:ind w:firstLine="200" w:firstLineChars="200"/>
      <w:jc w:val="center"/>
    </w:pPr>
    <w:rPr>
      <w:sz w:val="18"/>
      <w:szCs w:val="21"/>
    </w:rPr>
  </w:style>
  <w:style w:type="paragraph" w:styleId="34">
    <w:name w:val="toc 1"/>
    <w:basedOn w:val="1"/>
    <w:next w:val="1"/>
    <w:qFormat/>
    <w:uiPriority w:val="0"/>
    <w:pPr>
      <w:numPr>
        <w:ilvl w:val="1"/>
        <w:numId w:val="3"/>
      </w:numPr>
      <w:tabs>
        <w:tab w:val="right" w:leader="dot" w:pos="9060"/>
        <w:tab w:val="clear" w:pos="720"/>
      </w:tabs>
      <w:snapToGrid w:val="0"/>
      <w:spacing w:beforeLines="20" w:afterLines="20" w:line="288" w:lineRule="auto"/>
      <w:ind w:firstLine="200" w:firstLineChars="200"/>
      <w:jc w:val="left"/>
    </w:pPr>
    <w:rPr>
      <w:rFonts w:eastAsia="黑体"/>
      <w:caps/>
      <w:szCs w:val="21"/>
    </w:rPr>
  </w:style>
  <w:style w:type="paragraph" w:styleId="35">
    <w:name w:val="toc 4"/>
    <w:basedOn w:val="1"/>
    <w:next w:val="1"/>
    <w:qFormat/>
    <w:uiPriority w:val="0"/>
    <w:pPr>
      <w:ind w:left="840"/>
      <w:jc w:val="left"/>
    </w:pPr>
    <w:rPr>
      <w:rFonts w:ascii="Calibri" w:hAnsi="Calibri"/>
      <w:sz w:val="18"/>
      <w:szCs w:val="20"/>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0"/>
    <w:pPr>
      <w:ind w:left="1400"/>
      <w:jc w:val="left"/>
    </w:pPr>
    <w:rPr>
      <w:rFonts w:ascii="Calibri" w:hAnsi="Calibri"/>
      <w:sz w:val="18"/>
      <w:szCs w:val="20"/>
    </w:rPr>
  </w:style>
  <w:style w:type="paragraph" w:styleId="38">
    <w:name w:val="Body Text Indent 3"/>
    <w:basedOn w:val="1"/>
    <w:link w:val="81"/>
    <w:qFormat/>
    <w:uiPriority w:val="0"/>
    <w:pPr>
      <w:spacing w:line="620" w:lineRule="exact"/>
      <w:ind w:firstLine="640" w:firstLineChars="200"/>
    </w:pPr>
    <w:rPr>
      <w:rFonts w:eastAsia="仿宋_GB2312"/>
      <w:sz w:val="32"/>
    </w:rPr>
  </w:style>
  <w:style w:type="paragraph" w:styleId="39">
    <w:name w:val="toc 2"/>
    <w:basedOn w:val="1"/>
    <w:next w:val="1"/>
    <w:qFormat/>
    <w:uiPriority w:val="0"/>
    <w:pPr>
      <w:tabs>
        <w:tab w:val="right" w:leader="dot" w:pos="9060"/>
      </w:tabs>
      <w:snapToGrid w:val="0"/>
      <w:spacing w:line="288" w:lineRule="auto"/>
      <w:ind w:left="210" w:firstLine="200" w:firstLineChars="200"/>
      <w:jc w:val="left"/>
    </w:pPr>
    <w:rPr>
      <w:smallCaps/>
      <w:sz w:val="20"/>
      <w:szCs w:val="21"/>
    </w:rPr>
  </w:style>
  <w:style w:type="paragraph" w:styleId="40">
    <w:name w:val="toc 9"/>
    <w:basedOn w:val="1"/>
    <w:next w:val="1"/>
    <w:qFormat/>
    <w:uiPriority w:val="0"/>
    <w:pPr>
      <w:ind w:left="2240"/>
      <w:jc w:val="left"/>
    </w:pPr>
    <w:rPr>
      <w:rFonts w:ascii="Calibri" w:hAnsi="Calibri"/>
      <w:sz w:val="18"/>
      <w:szCs w:val="20"/>
    </w:rPr>
  </w:style>
  <w:style w:type="paragraph" w:styleId="41">
    <w:name w:val="Body Text 2"/>
    <w:basedOn w:val="1"/>
    <w:link w:val="82"/>
    <w:qFormat/>
    <w:uiPriority w:val="0"/>
    <w:pPr>
      <w:numPr>
        <w:ilvl w:val="0"/>
        <w:numId w:val="4"/>
      </w:numPr>
      <w:spacing w:line="360" w:lineRule="auto"/>
    </w:pPr>
    <w:rPr>
      <w:sz w:val="24"/>
      <w:szCs w:val="20"/>
    </w:rPr>
  </w:style>
  <w:style w:type="paragraph" w:styleId="4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qFormat/>
    <w:uiPriority w:val="0"/>
    <w:pPr>
      <w:spacing w:line="360" w:lineRule="auto"/>
      <w:jc w:val="center"/>
    </w:pPr>
    <w:rPr>
      <w:rFonts w:ascii="宋体" w:hAnsi="宋体"/>
      <w:bCs/>
    </w:rPr>
  </w:style>
  <w:style w:type="paragraph" w:styleId="44">
    <w:name w:val="Title"/>
    <w:basedOn w:val="27"/>
    <w:next w:val="27"/>
    <w:link w:val="83"/>
    <w:qFormat/>
    <w:uiPriority w:val="0"/>
    <w:pPr>
      <w:spacing w:before="240" w:after="60"/>
    </w:pPr>
    <w:rPr>
      <w:rFonts w:ascii="Arial" w:hAnsi="Arial"/>
      <w:b/>
      <w:kern w:val="18"/>
      <w:sz w:val="30"/>
      <w:szCs w:val="20"/>
    </w:rPr>
  </w:style>
  <w:style w:type="paragraph" w:styleId="45">
    <w:name w:val="annotation subject"/>
    <w:basedOn w:val="17"/>
    <w:next w:val="17"/>
    <w:qFormat/>
    <w:uiPriority w:val="0"/>
    <w:rPr>
      <w:b/>
      <w:bCs/>
    </w:rPr>
  </w:style>
  <w:style w:type="paragraph" w:styleId="46">
    <w:name w:val="Body Text First Indent"/>
    <w:basedOn w:val="20"/>
    <w:link w:val="84"/>
    <w:qFormat/>
    <w:uiPriority w:val="0"/>
    <w:pPr>
      <w:spacing w:after="120" w:line="520" w:lineRule="exact"/>
      <w:ind w:firstLine="100" w:firstLineChars="100"/>
      <w:jc w:val="left"/>
    </w:pPr>
    <w:rPr>
      <w:sz w:val="28"/>
    </w:rPr>
  </w:style>
  <w:style w:type="paragraph" w:styleId="47">
    <w:name w:val="Body Text First Indent 2"/>
    <w:basedOn w:val="2"/>
    <w:unhideWhenUsed/>
    <w:qFormat/>
    <w:uiPriority w:val="99"/>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0">
    <w:name w:val="Table Theme"/>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1">
    <w:name w:val="Table Elegant"/>
    <w:basedOn w:val="4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53">
    <w:name w:val="Strong"/>
    <w:qFormat/>
    <w:uiPriority w:val="0"/>
    <w:rPr>
      <w:b/>
      <w:bCs/>
    </w:rPr>
  </w:style>
  <w:style w:type="character" w:styleId="54">
    <w:name w:val="page number"/>
    <w:basedOn w:val="52"/>
    <w:qFormat/>
    <w:uiPriority w:val="0"/>
  </w:style>
  <w:style w:type="character" w:styleId="55">
    <w:name w:val="FollowedHyperlink"/>
    <w:qFormat/>
    <w:uiPriority w:val="0"/>
    <w:rPr>
      <w:color w:val="800080"/>
      <w:u w:val="single"/>
    </w:rPr>
  </w:style>
  <w:style w:type="character" w:styleId="56">
    <w:name w:val="Emphasis"/>
    <w:qFormat/>
    <w:uiPriority w:val="0"/>
    <w:rPr>
      <w:color w:val="CC0033"/>
    </w:rPr>
  </w:style>
  <w:style w:type="character" w:styleId="57">
    <w:name w:val="Hyperlink"/>
    <w:qFormat/>
    <w:uiPriority w:val="0"/>
    <w:rPr>
      <w:color w:val="0000FF"/>
      <w:u w:val="single"/>
    </w:rPr>
  </w:style>
  <w:style w:type="character" w:styleId="58">
    <w:name w:val="annotation reference"/>
    <w:uiPriority w:val="0"/>
    <w:rPr>
      <w:sz w:val="21"/>
      <w:szCs w:val="21"/>
    </w:rPr>
  </w:style>
  <w:style w:type="character" w:customStyle="1" w:styleId="59">
    <w:name w:val="标题 1 Char"/>
    <w:link w:val="3"/>
    <w:uiPriority w:val="0"/>
    <w:rPr>
      <w:rFonts w:eastAsia="宋体"/>
      <w:b/>
      <w:bCs/>
      <w:kern w:val="44"/>
      <w:sz w:val="44"/>
      <w:szCs w:val="44"/>
      <w:lang w:bidi="ar-SA"/>
    </w:rPr>
  </w:style>
  <w:style w:type="character" w:customStyle="1" w:styleId="60">
    <w:name w:val="标题 2 Char"/>
    <w:link w:val="4"/>
    <w:uiPriority w:val="0"/>
    <w:rPr>
      <w:rFonts w:ascii="Arial" w:hAnsi="Arial" w:eastAsia="黑体"/>
      <w:b/>
      <w:sz w:val="24"/>
      <w:szCs w:val="24"/>
      <w:lang w:bidi="ar-SA"/>
    </w:rPr>
  </w:style>
  <w:style w:type="character" w:customStyle="1" w:styleId="61">
    <w:name w:val="标题 3 Char"/>
    <w:link w:val="5"/>
    <w:uiPriority w:val="0"/>
    <w:rPr>
      <w:rFonts w:eastAsia="宋体"/>
      <w:b/>
      <w:bCs/>
      <w:kern w:val="2"/>
      <w:sz w:val="32"/>
      <w:szCs w:val="32"/>
      <w:lang w:bidi="ar-SA"/>
    </w:rPr>
  </w:style>
  <w:style w:type="character" w:customStyle="1" w:styleId="62">
    <w:name w:val="标题 4 Char"/>
    <w:link w:val="6"/>
    <w:qFormat/>
    <w:uiPriority w:val="0"/>
    <w:rPr>
      <w:rFonts w:ascii="黑体" w:hAnsi="黑体" w:eastAsia="黑体"/>
      <w:b/>
      <w:sz w:val="28"/>
      <w:lang w:bidi="ar-SA"/>
    </w:rPr>
  </w:style>
  <w:style w:type="character" w:customStyle="1" w:styleId="63">
    <w:name w:val="标题 5 Char"/>
    <w:link w:val="7"/>
    <w:uiPriority w:val="0"/>
    <w:rPr>
      <w:rFonts w:eastAsia="宋体"/>
      <w:kern w:val="2"/>
      <w:sz w:val="22"/>
      <w:lang w:bidi="ar-SA"/>
    </w:rPr>
  </w:style>
  <w:style w:type="character" w:customStyle="1" w:styleId="64">
    <w:name w:val="标题 6 Char"/>
    <w:link w:val="8"/>
    <w:uiPriority w:val="0"/>
    <w:rPr>
      <w:rFonts w:eastAsia="宋体"/>
      <w:i/>
      <w:iCs/>
      <w:kern w:val="2"/>
      <w:sz w:val="22"/>
      <w:lang w:bidi="ar-SA"/>
    </w:rPr>
  </w:style>
  <w:style w:type="character" w:customStyle="1" w:styleId="65">
    <w:name w:val="标题 7 Char"/>
    <w:link w:val="9"/>
    <w:uiPriority w:val="0"/>
    <w:rPr>
      <w:rFonts w:ascii="Arial" w:hAnsi="Arial" w:eastAsia="宋体"/>
      <w:kern w:val="2"/>
      <w:lang w:bidi="ar-SA"/>
    </w:rPr>
  </w:style>
  <w:style w:type="character" w:customStyle="1" w:styleId="66">
    <w:name w:val="标题 8 Char"/>
    <w:link w:val="10"/>
    <w:uiPriority w:val="0"/>
    <w:rPr>
      <w:rFonts w:ascii="Arial" w:hAnsi="Arial" w:eastAsia="宋体"/>
      <w:i/>
      <w:iCs/>
      <w:kern w:val="2"/>
      <w:lang w:bidi="ar-SA"/>
    </w:rPr>
  </w:style>
  <w:style w:type="character" w:customStyle="1" w:styleId="67">
    <w:name w:val="标题 9 Char"/>
    <w:link w:val="11"/>
    <w:uiPriority w:val="0"/>
    <w:rPr>
      <w:rFonts w:ascii="Arial" w:hAnsi="Arial" w:eastAsia="宋体"/>
      <w:b/>
      <w:i/>
      <w:iCs/>
      <w:kern w:val="2"/>
      <w:sz w:val="18"/>
      <w:lang w:bidi="ar-SA"/>
    </w:rPr>
  </w:style>
  <w:style w:type="character" w:customStyle="1" w:styleId="68">
    <w:name w:val="正文缩进 Char"/>
    <w:link w:val="14"/>
    <w:locked/>
    <w:uiPriority w:val="0"/>
    <w:rPr>
      <w:rFonts w:eastAsia="宋体"/>
      <w:kern w:val="2"/>
      <w:sz w:val="24"/>
      <w:lang w:bidi="ar-SA"/>
    </w:rPr>
  </w:style>
  <w:style w:type="character" w:customStyle="1" w:styleId="69">
    <w:name w:val="文档结构图 Char"/>
    <w:link w:val="16"/>
    <w:uiPriority w:val="0"/>
    <w:rPr>
      <w:rFonts w:eastAsia="宋体"/>
      <w:kern w:val="2"/>
      <w:sz w:val="21"/>
      <w:szCs w:val="24"/>
      <w:lang w:bidi="ar-SA"/>
    </w:rPr>
  </w:style>
  <w:style w:type="character" w:customStyle="1" w:styleId="70">
    <w:name w:val="批注文字 Char"/>
    <w:link w:val="17"/>
    <w:uiPriority w:val="0"/>
    <w:rPr>
      <w:rFonts w:eastAsia="宋体"/>
      <w:kern w:val="2"/>
      <w:sz w:val="21"/>
      <w:szCs w:val="24"/>
      <w:lang w:bidi="ar-SA"/>
    </w:rPr>
  </w:style>
  <w:style w:type="character" w:customStyle="1" w:styleId="71">
    <w:name w:val="称呼 Char"/>
    <w:link w:val="18"/>
    <w:qFormat/>
    <w:uiPriority w:val="0"/>
    <w:rPr>
      <w:rFonts w:ascii="华文宋体" w:hAnsi="Arial Unicode MS" w:eastAsia="华文宋体"/>
      <w:kern w:val="2"/>
      <w:sz w:val="24"/>
      <w:lang w:bidi="ar-SA"/>
    </w:rPr>
  </w:style>
  <w:style w:type="character" w:customStyle="1" w:styleId="72">
    <w:name w:val="正文文本 3 Char"/>
    <w:link w:val="19"/>
    <w:qFormat/>
    <w:uiPriority w:val="0"/>
    <w:rPr>
      <w:rFonts w:ascii="Arial" w:hAnsi="Arial" w:eastAsia="宋体"/>
      <w:kern w:val="2"/>
      <w:sz w:val="21"/>
      <w:lang w:bidi="ar-SA"/>
    </w:rPr>
  </w:style>
  <w:style w:type="character" w:customStyle="1" w:styleId="73">
    <w:name w:val="正文文本 Char"/>
    <w:link w:val="20"/>
    <w:qFormat/>
    <w:uiPriority w:val="0"/>
    <w:rPr>
      <w:rFonts w:eastAsia="宋体"/>
      <w:kern w:val="2"/>
      <w:sz w:val="24"/>
      <w:lang w:bidi="ar-SA"/>
    </w:rPr>
  </w:style>
  <w:style w:type="character" w:customStyle="1" w:styleId="74">
    <w:name w:val="正文文本缩进 Char"/>
    <w:link w:val="2"/>
    <w:qFormat/>
    <w:uiPriority w:val="0"/>
    <w:rPr>
      <w:rFonts w:eastAsia="仿宋_GB2312"/>
      <w:b/>
      <w:bCs/>
      <w:color w:val="000000"/>
      <w:sz w:val="32"/>
      <w:szCs w:val="28"/>
      <w:lang w:bidi="ar-SA"/>
    </w:rPr>
  </w:style>
  <w:style w:type="character" w:customStyle="1" w:styleId="75">
    <w:name w:val="纯文本 Char1"/>
    <w:link w:val="27"/>
    <w:qFormat/>
    <w:uiPriority w:val="0"/>
    <w:rPr>
      <w:rFonts w:ascii="宋体" w:hAnsi="宋体" w:eastAsia="宋体"/>
      <w:kern w:val="2"/>
      <w:sz w:val="21"/>
      <w:szCs w:val="21"/>
      <w:lang w:bidi="ar-SA"/>
    </w:rPr>
  </w:style>
  <w:style w:type="character" w:customStyle="1" w:styleId="76">
    <w:name w:val="日期 Char"/>
    <w:link w:val="29"/>
    <w:qFormat/>
    <w:uiPriority w:val="0"/>
    <w:rPr>
      <w:rFonts w:eastAsia="宋体"/>
      <w:kern w:val="2"/>
      <w:sz w:val="21"/>
      <w:szCs w:val="24"/>
      <w:lang w:bidi="ar-SA"/>
    </w:rPr>
  </w:style>
  <w:style w:type="character" w:customStyle="1" w:styleId="77">
    <w:name w:val="正文文本缩进 2 Char"/>
    <w:link w:val="30"/>
    <w:qFormat/>
    <w:uiPriority w:val="0"/>
    <w:rPr>
      <w:rFonts w:eastAsia="仿宋_GB2312"/>
      <w:color w:val="000000"/>
      <w:sz w:val="32"/>
      <w:szCs w:val="28"/>
      <w:lang w:bidi="ar-SA"/>
    </w:rPr>
  </w:style>
  <w:style w:type="character" w:customStyle="1" w:styleId="78">
    <w:name w:val="批注框文本 Char"/>
    <w:link w:val="31"/>
    <w:qFormat/>
    <w:uiPriority w:val="0"/>
    <w:rPr>
      <w:rFonts w:eastAsia="宋体"/>
      <w:kern w:val="2"/>
      <w:sz w:val="18"/>
      <w:szCs w:val="18"/>
      <w:lang w:bidi="ar-SA"/>
    </w:rPr>
  </w:style>
  <w:style w:type="character" w:customStyle="1" w:styleId="79">
    <w:name w:val="页脚 Char"/>
    <w:link w:val="32"/>
    <w:qFormat/>
    <w:uiPriority w:val="0"/>
    <w:rPr>
      <w:rFonts w:eastAsia="宋体"/>
      <w:kern w:val="2"/>
      <w:sz w:val="18"/>
      <w:szCs w:val="18"/>
      <w:lang w:bidi="ar-SA"/>
    </w:rPr>
  </w:style>
  <w:style w:type="character" w:customStyle="1" w:styleId="80">
    <w:name w:val="页眉 Char"/>
    <w:link w:val="33"/>
    <w:qFormat/>
    <w:uiPriority w:val="0"/>
    <w:rPr>
      <w:rFonts w:eastAsia="宋体"/>
      <w:kern w:val="2"/>
      <w:sz w:val="18"/>
      <w:szCs w:val="21"/>
      <w:lang w:bidi="ar-SA"/>
    </w:rPr>
  </w:style>
  <w:style w:type="character" w:customStyle="1" w:styleId="81">
    <w:name w:val="正文文本缩进 3 Char"/>
    <w:link w:val="38"/>
    <w:qFormat/>
    <w:uiPriority w:val="0"/>
    <w:rPr>
      <w:rFonts w:eastAsia="仿宋_GB2312"/>
      <w:kern w:val="2"/>
      <w:sz w:val="32"/>
      <w:szCs w:val="24"/>
      <w:lang w:bidi="ar-SA"/>
    </w:rPr>
  </w:style>
  <w:style w:type="character" w:customStyle="1" w:styleId="82">
    <w:name w:val="正文文本 2 Char"/>
    <w:link w:val="41"/>
    <w:qFormat/>
    <w:uiPriority w:val="0"/>
    <w:rPr>
      <w:rFonts w:eastAsia="宋体"/>
      <w:kern w:val="2"/>
      <w:sz w:val="24"/>
      <w:lang w:val="en-US" w:eastAsia="zh-CN" w:bidi="ar-SA"/>
    </w:rPr>
  </w:style>
  <w:style w:type="character" w:customStyle="1" w:styleId="83">
    <w:name w:val="标题 Char"/>
    <w:link w:val="44"/>
    <w:uiPriority w:val="0"/>
    <w:rPr>
      <w:rFonts w:ascii="Arial" w:hAnsi="Arial" w:eastAsia="宋体"/>
      <w:b/>
      <w:kern w:val="18"/>
      <w:sz w:val="30"/>
      <w:lang w:bidi="ar-SA"/>
    </w:rPr>
  </w:style>
  <w:style w:type="character" w:customStyle="1" w:styleId="84">
    <w:name w:val="正文首行缩进 Char"/>
    <w:link w:val="46"/>
    <w:uiPriority w:val="0"/>
    <w:rPr>
      <w:rFonts w:eastAsia="宋体"/>
      <w:kern w:val="2"/>
      <w:sz w:val="28"/>
      <w:lang w:bidi="ar-SA"/>
    </w:rPr>
  </w:style>
  <w:style w:type="character" w:customStyle="1" w:styleId="85">
    <w:name w:val="标准文本 Char"/>
    <w:link w:val="86"/>
    <w:locked/>
    <w:uiPriority w:val="0"/>
    <w:rPr>
      <w:rFonts w:ascii="宋体" w:hAnsi="宋体"/>
      <w:color w:val="000000"/>
      <w:szCs w:val="21"/>
      <w:lang w:bidi="ar-SA"/>
    </w:rPr>
  </w:style>
  <w:style w:type="paragraph" w:customStyle="1" w:styleId="86">
    <w:name w:val="标准文本"/>
    <w:basedOn w:val="1"/>
    <w:link w:val="85"/>
    <w:uiPriority w:val="0"/>
    <w:pPr>
      <w:tabs>
        <w:tab w:val="left" w:pos="3060"/>
        <w:tab w:val="left" w:pos="6048"/>
        <w:tab w:val="left" w:pos="7668"/>
      </w:tabs>
      <w:spacing w:line="312" w:lineRule="auto"/>
      <w:ind w:firstLine="420" w:firstLineChars="200"/>
    </w:pPr>
    <w:rPr>
      <w:rFonts w:ascii="宋体" w:hAnsi="宋体"/>
      <w:color w:val="000000"/>
      <w:kern w:val="0"/>
      <w:sz w:val="20"/>
      <w:szCs w:val="21"/>
    </w:rPr>
  </w:style>
  <w:style w:type="character" w:customStyle="1" w:styleId="87">
    <w:name w:val="Level 3 Head Char"/>
    <w:uiPriority w:val="0"/>
    <w:rPr>
      <w:b/>
      <w:bCs/>
      <w:kern w:val="2"/>
      <w:sz w:val="32"/>
      <w:szCs w:val="32"/>
    </w:rPr>
  </w:style>
  <w:style w:type="character" w:customStyle="1" w:styleId="88">
    <w:name w:val="marklong"/>
    <w:uiPriority w:val="0"/>
  </w:style>
  <w:style w:type="character" w:customStyle="1" w:styleId="89">
    <w:name w:val="批注文字 Char Char"/>
    <w:uiPriority w:val="0"/>
    <w:rPr>
      <w:kern w:val="2"/>
      <w:sz w:val="21"/>
    </w:rPr>
  </w:style>
  <w:style w:type="character" w:customStyle="1" w:styleId="90">
    <w:name w:val="para1"/>
    <w:uiPriority w:val="0"/>
    <w:rPr>
      <w:rFonts w:hint="default" w:ascii="Arial" w:hAnsi="Arial"/>
      <w:sz w:val="18"/>
    </w:rPr>
  </w:style>
  <w:style w:type="character" w:customStyle="1" w:styleId="91">
    <w:name w:val="正文2 Char"/>
    <w:link w:val="92"/>
    <w:uiPriority w:val="0"/>
    <w:rPr>
      <w:kern w:val="2"/>
      <w:sz w:val="24"/>
      <w:lang w:bidi="ar-SA"/>
    </w:rPr>
  </w:style>
  <w:style w:type="paragraph" w:customStyle="1" w:styleId="92">
    <w:name w:val="正文2"/>
    <w:basedOn w:val="1"/>
    <w:link w:val="91"/>
    <w:uiPriority w:val="0"/>
    <w:pPr>
      <w:spacing w:before="156" w:line="360" w:lineRule="auto"/>
      <w:ind w:firstLine="510" w:firstLineChars="200"/>
    </w:pPr>
    <w:rPr>
      <w:sz w:val="24"/>
      <w:szCs w:val="20"/>
    </w:rPr>
  </w:style>
  <w:style w:type="character" w:customStyle="1" w:styleId="93">
    <w:name w:val="large1"/>
    <w:uiPriority w:val="0"/>
    <w:rPr>
      <w:rFonts w:hint="eastAsia" w:ascii="宋体" w:hAnsi="宋体" w:eastAsia="宋体"/>
      <w:sz w:val="21"/>
      <w:szCs w:val="21"/>
    </w:rPr>
  </w:style>
  <w:style w:type="character" w:customStyle="1" w:styleId="94">
    <w:name w:val="纯文本 Char"/>
    <w:uiPriority w:val="0"/>
    <w:rPr>
      <w:rFonts w:ascii="宋体" w:hAnsi="Courier New" w:cs="Courier New"/>
      <w:kern w:val="2"/>
      <w:sz w:val="21"/>
      <w:szCs w:val="21"/>
    </w:rPr>
  </w:style>
  <w:style w:type="character" w:customStyle="1" w:styleId="95">
    <w:name w:val="font3"/>
    <w:qFormat/>
    <w:uiPriority w:val="0"/>
  </w:style>
  <w:style w:type="character" w:customStyle="1" w:styleId="96">
    <w:name w:val="style31"/>
    <w:qFormat/>
    <w:uiPriority w:val="0"/>
    <w:rPr>
      <w:sz w:val="18"/>
    </w:rPr>
  </w:style>
  <w:style w:type="character" w:customStyle="1" w:styleId="97">
    <w:name w:val="自定义正文 Char Char"/>
    <w:link w:val="98"/>
    <w:qFormat/>
    <w:uiPriority w:val="0"/>
    <w:rPr>
      <w:rFonts w:ascii="宋体" w:hAnsi="宋体" w:eastAsia="宋体"/>
      <w:kern w:val="2"/>
      <w:sz w:val="24"/>
      <w:szCs w:val="24"/>
      <w:lang w:bidi="ar-SA"/>
    </w:rPr>
  </w:style>
  <w:style w:type="paragraph" w:customStyle="1" w:styleId="98">
    <w:name w:val="自定义正文"/>
    <w:basedOn w:val="1"/>
    <w:link w:val="97"/>
    <w:qFormat/>
    <w:uiPriority w:val="0"/>
    <w:pPr>
      <w:spacing w:after="60" w:line="360" w:lineRule="auto"/>
      <w:ind w:firstLine="200" w:firstLineChars="200"/>
      <w:jc w:val="left"/>
    </w:pPr>
    <w:rPr>
      <w:rFonts w:ascii="宋体" w:hAnsi="宋体"/>
      <w:sz w:val="24"/>
    </w:rPr>
  </w:style>
  <w:style w:type="character" w:customStyle="1" w:styleId="99">
    <w:name w:val="a-标题3 Char"/>
    <w:uiPriority w:val="0"/>
    <w:rPr>
      <w:rFonts w:ascii="楷体_GB2312" w:eastAsia="楷体_GB2312"/>
      <w:b/>
      <w:bCs/>
      <w:kern w:val="2"/>
      <w:sz w:val="28"/>
      <w:lang w:val="en-US" w:eastAsia="zh-CN" w:bidi="ar-SA"/>
    </w:rPr>
  </w:style>
  <w:style w:type="character" w:customStyle="1" w:styleId="100">
    <w:name w:val="unnamed11"/>
    <w:uiPriority w:val="0"/>
    <w:rPr>
      <w:sz w:val="26"/>
    </w:rPr>
  </w:style>
  <w:style w:type="character" w:customStyle="1" w:styleId="101">
    <w:name w:val="List Paragraph Char"/>
    <w:link w:val="102"/>
    <w:uiPriority w:val="0"/>
    <w:rPr>
      <w:rFonts w:eastAsia="宋体"/>
      <w:kern w:val="2"/>
      <w:sz w:val="21"/>
      <w:lang w:val="en-US" w:eastAsia="zh-CN" w:bidi="ar-SA"/>
    </w:rPr>
  </w:style>
  <w:style w:type="paragraph" w:customStyle="1" w:styleId="102">
    <w:name w:val="列出段落1"/>
    <w:basedOn w:val="1"/>
    <w:link w:val="101"/>
    <w:uiPriority w:val="0"/>
    <w:pPr>
      <w:ind w:firstLine="200" w:firstLineChars="200"/>
    </w:pPr>
    <w:rPr>
      <w:szCs w:val="20"/>
    </w:rPr>
  </w:style>
  <w:style w:type="character" w:customStyle="1" w:styleId="103">
    <w:name w:val="Heading 2 Hidden Char1"/>
    <w:uiPriority w:val="0"/>
    <w:rPr>
      <w:rFonts w:ascii="Arial" w:hAnsi="Arial" w:eastAsia="黑体" w:cs="Arial"/>
      <w:b/>
      <w:sz w:val="24"/>
      <w:szCs w:val="24"/>
    </w:rPr>
  </w:style>
  <w:style w:type="character" w:customStyle="1" w:styleId="104">
    <w:name w:val="标题 4 Char1"/>
    <w:uiPriority w:val="0"/>
    <w:rPr>
      <w:rFonts w:ascii="Arial" w:hAnsi="Arial" w:eastAsia="黑体"/>
      <w:b/>
      <w:kern w:val="2"/>
      <w:sz w:val="28"/>
      <w:lang w:val="en-US" w:eastAsia="zh-CN"/>
    </w:rPr>
  </w:style>
  <w:style w:type="character" w:customStyle="1" w:styleId="105">
    <w:name w:val="style15"/>
    <w:basedOn w:val="52"/>
    <w:uiPriority w:val="0"/>
  </w:style>
  <w:style w:type="character" w:customStyle="1" w:styleId="106">
    <w:name w:val="彩色列表 - 着色 1 Char"/>
    <w:locked/>
    <w:uiPriority w:val="0"/>
    <w:rPr>
      <w:rFonts w:ascii="Calibri" w:hAnsi="Calibri" w:eastAsia="宋体"/>
      <w:kern w:val="2"/>
      <w:sz w:val="21"/>
      <w:szCs w:val="22"/>
      <w:lang w:val="en-US" w:eastAsia="zh-CN" w:bidi="ar-SA"/>
    </w:rPr>
  </w:style>
  <w:style w:type="character" w:customStyle="1" w:styleId="107">
    <w:name w:val="无间隔 Char"/>
    <w:link w:val="108"/>
    <w:uiPriority w:val="0"/>
    <w:rPr>
      <w:rFonts w:ascii="Calibri" w:hAnsi="Calibri"/>
      <w:sz w:val="22"/>
      <w:szCs w:val="22"/>
      <w:lang w:val="en-US" w:eastAsia="zh-CN" w:bidi="ar-SA"/>
    </w:rPr>
  </w:style>
  <w:style w:type="paragraph" w:styleId="108">
    <w:name w:val="No Spacing"/>
    <w:link w:val="107"/>
    <w:qFormat/>
    <w:uiPriority w:val="0"/>
    <w:rPr>
      <w:rFonts w:ascii="Calibri" w:hAnsi="Calibri" w:eastAsia="宋体" w:cs="Times New Roman"/>
      <w:sz w:val="22"/>
      <w:szCs w:val="22"/>
      <w:lang w:val="en-US" w:eastAsia="zh-CN" w:bidi="ar-SA"/>
    </w:rPr>
  </w:style>
  <w:style w:type="character" w:customStyle="1" w:styleId="109">
    <w:name w:val="正文文本样式 Char Char"/>
    <w:link w:val="110"/>
    <w:uiPriority w:val="0"/>
    <w:rPr>
      <w:rFonts w:eastAsia="宋体"/>
      <w:sz w:val="24"/>
      <w:lang w:bidi="ar-SA"/>
    </w:rPr>
  </w:style>
  <w:style w:type="paragraph" w:customStyle="1" w:styleId="110">
    <w:name w:val="正文文本样式"/>
    <w:basedOn w:val="1"/>
    <w:link w:val="109"/>
    <w:uiPriority w:val="0"/>
    <w:pPr>
      <w:spacing w:line="360" w:lineRule="auto"/>
      <w:ind w:firstLine="482"/>
    </w:pPr>
    <w:rPr>
      <w:kern w:val="0"/>
      <w:sz w:val="24"/>
      <w:szCs w:val="20"/>
    </w:rPr>
  </w:style>
  <w:style w:type="character" w:customStyle="1" w:styleId="111">
    <w:name w:val="正文缩进 Char1"/>
    <w:link w:val="112"/>
    <w:uiPriority w:val="0"/>
    <w:rPr>
      <w:rFonts w:eastAsia="宋体"/>
      <w:kern w:val="2"/>
      <w:sz w:val="21"/>
      <w:lang w:val="en-US" w:eastAsia="zh-CN" w:bidi="ar-SA"/>
    </w:rPr>
  </w:style>
  <w:style w:type="paragraph" w:customStyle="1" w:styleId="112">
    <w:name w:val="正文缩进1"/>
    <w:basedOn w:val="1"/>
    <w:link w:val="111"/>
    <w:uiPriority w:val="0"/>
    <w:pPr>
      <w:ind w:firstLine="420" w:firstLineChars="200"/>
    </w:pPr>
    <w:rPr>
      <w:szCs w:val="20"/>
    </w:rPr>
  </w:style>
  <w:style w:type="character" w:customStyle="1" w:styleId="113">
    <w:name w:val="apple-converted-space"/>
    <w:basedOn w:val="52"/>
    <w:uiPriority w:val="0"/>
  </w:style>
  <w:style w:type="character" w:customStyle="1" w:styleId="114">
    <w:name w:val="列出段落 Char"/>
    <w:link w:val="115"/>
    <w:locked/>
    <w:uiPriority w:val="0"/>
    <w:rPr>
      <w:rFonts w:ascii="Calibri" w:hAnsi="Calibri" w:eastAsia="宋体"/>
      <w:kern w:val="2"/>
      <w:sz w:val="21"/>
      <w:szCs w:val="22"/>
      <w:lang w:val="en-US" w:eastAsia="zh-CN" w:bidi="ar-SA"/>
    </w:rPr>
  </w:style>
  <w:style w:type="paragraph" w:customStyle="1" w:styleId="115">
    <w:name w:val="列出段落2"/>
    <w:basedOn w:val="1"/>
    <w:link w:val="114"/>
    <w:qFormat/>
    <w:uiPriority w:val="0"/>
    <w:pPr>
      <w:ind w:firstLine="420" w:firstLineChars="200"/>
    </w:pPr>
    <w:rPr>
      <w:rFonts w:ascii="Calibri" w:hAnsi="Calibri"/>
      <w:szCs w:val="22"/>
    </w:rPr>
  </w:style>
  <w:style w:type="character" w:customStyle="1" w:styleId="116">
    <w:name w:val="text-content11"/>
    <w:uiPriority w:val="0"/>
    <w:rPr>
      <w:rFonts w:hint="default" w:ascii="Tahoma" w:hAnsi="Tahoma" w:cs="Tahoma"/>
      <w:color w:val="555555"/>
      <w:sz w:val="18"/>
      <w:szCs w:val="18"/>
    </w:rPr>
  </w:style>
  <w:style w:type="character" w:customStyle="1" w:styleId="117">
    <w:name w:val="引文目录标题 Char"/>
    <w:uiPriority w:val="0"/>
    <w:rPr>
      <w:rFonts w:ascii="Arial" w:hAnsi="Arial" w:eastAsia="宋体"/>
      <w:kern w:val="2"/>
      <w:sz w:val="24"/>
      <w:lang w:val="en-US" w:eastAsia="zh-CN"/>
    </w:rPr>
  </w:style>
  <w:style w:type="character" w:customStyle="1" w:styleId="118">
    <w:name w:val="Heading 2 Hidden Char"/>
    <w:uiPriority w:val="0"/>
    <w:rPr>
      <w:rFonts w:ascii="Arial" w:hAnsi="Arial" w:eastAsia="黑体"/>
      <w:b/>
      <w:kern w:val="2"/>
      <w:sz w:val="32"/>
      <w:lang w:val="en-US" w:eastAsia="zh-CN"/>
    </w:rPr>
  </w:style>
  <w:style w:type="character" w:customStyle="1" w:styleId="119">
    <w:name w:val="H1 Char"/>
    <w:uiPriority w:val="0"/>
    <w:rPr>
      <w:b/>
      <w:bCs/>
      <w:kern w:val="44"/>
      <w:sz w:val="44"/>
      <w:szCs w:val="44"/>
    </w:rPr>
  </w:style>
  <w:style w:type="character" w:customStyle="1" w:styleId="120">
    <w:name w:val="small"/>
    <w:qFormat/>
    <w:uiPriority w:val="0"/>
  </w:style>
  <w:style w:type="character" w:customStyle="1" w:styleId="121">
    <w:name w:val="标题 1 Char Char"/>
    <w:uiPriority w:val="0"/>
    <w:rPr>
      <w:rFonts w:eastAsia="宋体"/>
      <w:b/>
      <w:spacing w:val="-2"/>
      <w:sz w:val="24"/>
      <w:lang w:val="en-US" w:eastAsia="zh-CN" w:bidi="ar-SA"/>
    </w:rPr>
  </w:style>
  <w:style w:type="paragraph" w:customStyle="1" w:styleId="122">
    <w:name w:val="font20"/>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3">
    <w:name w:val="xl134"/>
    <w:basedOn w:val="1"/>
    <w:qFormat/>
    <w:uiPriority w:val="0"/>
    <w:pPr>
      <w:widowControl/>
      <w:pBdr>
        <w:top w:val="single" w:color="auto" w:sz="4" w:space="0"/>
        <w:left w:val="single" w:color="auto" w:sz="4" w:space="0"/>
        <w:bottom w:val="single" w:color="auto" w:sz="4" w:space="0"/>
      </w:pBdr>
      <w:shd w:val="clear" w:color="auto" w:fill="C0C0C0"/>
      <w:spacing w:before="100" w:beforeAutospacing="1" w:after="100" w:afterAutospacing="1"/>
      <w:jc w:val="center"/>
      <w:textAlignment w:val="center"/>
    </w:pPr>
    <w:rPr>
      <w:b/>
      <w:bCs/>
      <w:kern w:val="0"/>
      <w:sz w:val="20"/>
      <w:szCs w:val="20"/>
    </w:rPr>
  </w:style>
  <w:style w:type="paragraph" w:customStyle="1" w:styleId="124">
    <w:name w:val="xl138"/>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25">
    <w:name w:val="xl141"/>
    <w:basedOn w:val="1"/>
    <w:qFormat/>
    <w:uiPriority w:val="0"/>
    <w:pPr>
      <w:widowControl/>
      <w:pBdr>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12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27">
    <w:name w:val="No Spacing1"/>
    <w:uiPriority w:val="0"/>
    <w:rPr>
      <w:rFonts w:ascii="Calibri" w:hAnsi="Calibri" w:eastAsia="宋体" w:cs="Times New Roman"/>
      <w:sz w:val="22"/>
      <w:szCs w:val="22"/>
      <w:lang w:val="en-US" w:eastAsia="en-US" w:bidi="ar-SA"/>
    </w:rPr>
  </w:style>
  <w:style w:type="paragraph" w:customStyle="1" w:styleId="12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20"/>
    </w:rPr>
  </w:style>
  <w:style w:type="paragraph" w:customStyle="1" w:styleId="129">
    <w:name w:val="font7"/>
    <w:basedOn w:val="1"/>
    <w:qFormat/>
    <w:uiPriority w:val="0"/>
    <w:pPr>
      <w:widowControl/>
      <w:spacing w:before="100" w:beforeAutospacing="1" w:after="100" w:afterAutospacing="1"/>
      <w:jc w:val="left"/>
    </w:pPr>
    <w:rPr>
      <w:rFonts w:hint="eastAsia" w:ascii="宋体" w:hAnsi="宋体"/>
      <w:kern w:val="0"/>
      <w:sz w:val="22"/>
      <w:szCs w:val="20"/>
    </w:rPr>
  </w:style>
  <w:style w:type="paragraph" w:customStyle="1" w:styleId="130">
    <w:name w:val="font18"/>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3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32">
    <w:name w:val="font11"/>
    <w:basedOn w:val="1"/>
    <w:qFormat/>
    <w:uiPriority w:val="0"/>
    <w:pPr>
      <w:widowControl/>
      <w:spacing w:before="100" w:beforeAutospacing="1" w:after="100" w:afterAutospacing="1"/>
      <w:jc w:val="left"/>
    </w:pPr>
    <w:rPr>
      <w:kern w:val="0"/>
      <w:sz w:val="36"/>
      <w:szCs w:val="20"/>
    </w:rPr>
  </w:style>
  <w:style w:type="paragraph" w:customStyle="1" w:styleId="133">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34">
    <w:name w:val="样式 标题 2 + 段前: 0.5 行 段后: 0.5 行"/>
    <w:basedOn w:val="4"/>
    <w:qFormat/>
    <w:uiPriority w:val="0"/>
    <w:pPr>
      <w:spacing w:beforeLines="0" w:afterLines="0"/>
    </w:pPr>
    <w:rPr>
      <w:rFonts w:ascii="Times New Roman" w:hAnsi="Times New Roman" w:cs="宋体"/>
      <w:b w:val="0"/>
      <w:bCs/>
      <w:sz w:val="21"/>
      <w:szCs w:val="21"/>
    </w:rPr>
  </w:style>
  <w:style w:type="paragraph" w:customStyle="1" w:styleId="135">
    <w:name w:val="正文文本缩进 31"/>
    <w:basedOn w:val="1"/>
    <w:uiPriority w:val="0"/>
    <w:pPr>
      <w:adjustRightInd w:val="0"/>
      <w:spacing w:line="360" w:lineRule="auto"/>
      <w:ind w:firstLine="420"/>
      <w:textAlignment w:val="baseline"/>
    </w:pPr>
    <w:rPr>
      <w:sz w:val="24"/>
      <w:szCs w:val="20"/>
    </w:rPr>
  </w:style>
  <w:style w:type="paragraph" w:customStyle="1" w:styleId="136">
    <w:name w:val="xl7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137">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38">
    <w:name w:val="标题6"/>
    <w:basedOn w:val="1"/>
    <w:next w:val="3"/>
    <w:uiPriority w:val="0"/>
    <w:pPr>
      <w:widowControl/>
      <w:snapToGrid w:val="0"/>
      <w:spacing w:beforeLines="50" w:afterLines="50" w:line="520" w:lineRule="atLeast"/>
      <w:ind w:firstLine="200" w:firstLineChars="200"/>
    </w:pPr>
  </w:style>
  <w:style w:type="paragraph" w:customStyle="1" w:styleId="139">
    <w:name w:val="xl79"/>
    <w:basedOn w:val="1"/>
    <w:qFormat/>
    <w:uiPriority w:val="0"/>
    <w:pPr>
      <w:widowControl/>
      <w:pBdr>
        <w:bottom w:val="single" w:color="auto" w:sz="4" w:space="0"/>
      </w:pBdr>
      <w:spacing w:before="100" w:beforeAutospacing="1" w:after="100" w:afterAutospacing="1"/>
      <w:jc w:val="right"/>
    </w:pPr>
    <w:rPr>
      <w:kern w:val="0"/>
      <w:sz w:val="22"/>
      <w:szCs w:val="20"/>
    </w:rPr>
  </w:style>
  <w:style w:type="paragraph" w:customStyle="1" w:styleId="140">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41">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2">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43">
    <w:name w:val="样式 样式 标题 2 + 段前: 0.5 行 段后: 0.5 行 + 首行缩进:  2 字符 段前: 0.5 行 段后: 0..."/>
    <w:basedOn w:val="134"/>
    <w:qFormat/>
    <w:uiPriority w:val="0"/>
    <w:pPr>
      <w:spacing w:before="50" w:after="50"/>
      <w:ind w:firstLine="0" w:firstLineChars="0"/>
    </w:pPr>
    <w:rPr>
      <w:rFonts w:cs="Times New Roman"/>
      <w:bCs w:val="0"/>
      <w:szCs w:val="20"/>
    </w:rPr>
  </w:style>
  <w:style w:type="paragraph" w:customStyle="1" w:styleId="144">
    <w:name w:val="font16"/>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145">
    <w:name w:val="图表文字"/>
    <w:qFormat/>
    <w:uiPriority w:val="0"/>
    <w:pPr>
      <w:tabs>
        <w:tab w:val="left" w:pos="3850"/>
      </w:tabs>
      <w:spacing w:line="320" w:lineRule="exact"/>
      <w:jc w:val="both"/>
    </w:pPr>
    <w:rPr>
      <w:rFonts w:ascii="Times New Roman" w:hAnsi="Times New Roman" w:eastAsia="宋体" w:cs="Times New Roman"/>
      <w:sz w:val="21"/>
      <w:szCs w:val="21"/>
      <w:lang w:val="en-US" w:eastAsia="zh-CN" w:bidi="ar-SA"/>
    </w:rPr>
  </w:style>
  <w:style w:type="paragraph" w:customStyle="1" w:styleId="146">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7">
    <w:name w:val="a-标题2"/>
    <w:basedOn w:val="1"/>
    <w:uiPriority w:val="0"/>
    <w:pPr>
      <w:spacing w:line="440" w:lineRule="exact"/>
      <w:jc w:val="left"/>
    </w:pPr>
    <w:rPr>
      <w:rFonts w:ascii="楷体_GB2312" w:hAnsi="Arial Unicode MS" w:eastAsia="楷体_GB2312" w:cs="Arial Unicode MS"/>
      <w:b/>
      <w:sz w:val="30"/>
      <w:szCs w:val="20"/>
    </w:rPr>
  </w:style>
  <w:style w:type="paragraph" w:customStyle="1" w:styleId="148">
    <w:name w:val="font19"/>
    <w:basedOn w:val="1"/>
    <w:qFormat/>
    <w:uiPriority w:val="0"/>
    <w:pPr>
      <w:widowControl/>
      <w:spacing w:before="100" w:beforeAutospacing="1" w:after="100" w:afterAutospacing="1"/>
      <w:jc w:val="left"/>
    </w:pPr>
    <w:rPr>
      <w:rFonts w:ascii="宋体" w:hAnsi="宋体" w:cs="宋体"/>
      <w:b/>
      <w:bCs/>
      <w:color w:val="DD0806"/>
      <w:kern w:val="0"/>
      <w:sz w:val="20"/>
      <w:szCs w:val="20"/>
    </w:rPr>
  </w:style>
  <w:style w:type="paragraph" w:customStyle="1" w:styleId="149">
    <w:name w:val="2"/>
    <w:basedOn w:val="1"/>
    <w:uiPriority w:val="0"/>
    <w:pPr>
      <w:adjustRightInd w:val="0"/>
      <w:spacing w:before="60" w:after="60" w:line="420" w:lineRule="atLeast"/>
      <w:ind w:left="454" w:firstLine="454"/>
      <w:textAlignment w:val="baseline"/>
    </w:pPr>
    <w:rPr>
      <w:kern w:val="0"/>
      <w:position w:val="5"/>
      <w:szCs w:val="20"/>
    </w:rPr>
  </w:style>
  <w:style w:type="paragraph" w:customStyle="1" w:styleId="150">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51">
    <w:name w:val="xl14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52">
    <w:name w:val="xl114"/>
    <w:basedOn w:val="1"/>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53">
    <w:name w:val="xl131"/>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154">
    <w:name w:val="xl14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55">
    <w:name w:val="xl74"/>
    <w:basedOn w:val="1"/>
    <w:uiPriority w:val="0"/>
    <w:pPr>
      <w:widowControl/>
      <w:spacing w:before="100" w:beforeAutospacing="1" w:after="100" w:afterAutospacing="1"/>
      <w:jc w:val="left"/>
    </w:pPr>
    <w:rPr>
      <w:kern w:val="0"/>
      <w:sz w:val="24"/>
      <w:szCs w:val="20"/>
    </w:rPr>
  </w:style>
  <w:style w:type="paragraph" w:customStyle="1" w:styleId="15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0"/>
      <w:szCs w:val="20"/>
    </w:rPr>
  </w:style>
  <w:style w:type="paragraph" w:customStyle="1" w:styleId="157">
    <w:name w:val="Char Char Char Char Char Char Char"/>
    <w:basedOn w:val="1"/>
    <w:qFormat/>
    <w:uiPriority w:val="0"/>
    <w:rPr>
      <w:szCs w:val="20"/>
    </w:rPr>
  </w:style>
  <w:style w:type="paragraph" w:customStyle="1" w:styleId="158">
    <w:name w:val="样式 小四 行距: 1.5 倍行距 首行缩进:  2 字符"/>
    <w:basedOn w:val="1"/>
    <w:uiPriority w:val="0"/>
    <w:pPr>
      <w:spacing w:line="360" w:lineRule="auto"/>
      <w:ind w:firstLine="480" w:firstLineChars="200"/>
    </w:pPr>
    <w:rPr>
      <w:rFonts w:cs="宋体"/>
      <w:sz w:val="24"/>
      <w:szCs w:val="20"/>
    </w:rPr>
  </w:style>
  <w:style w:type="paragraph" w:customStyle="1" w:styleId="159">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60">
    <w:name w:val="xl6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161">
    <w:name w:val="xl11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62">
    <w:name w:val="表1"/>
    <w:basedOn w:val="1"/>
    <w:qFormat/>
    <w:uiPriority w:val="0"/>
    <w:pPr>
      <w:tabs>
        <w:tab w:val="left" w:pos="780"/>
      </w:tabs>
      <w:overflowPunct w:val="0"/>
      <w:autoSpaceDE w:val="0"/>
      <w:autoSpaceDN w:val="0"/>
      <w:adjustRightInd w:val="0"/>
      <w:spacing w:before="200" w:line="320" w:lineRule="atLeast"/>
      <w:textAlignment w:val="baseline"/>
    </w:pPr>
    <w:rPr>
      <w:kern w:val="0"/>
      <w:sz w:val="24"/>
      <w:szCs w:val="20"/>
    </w:rPr>
  </w:style>
  <w:style w:type="paragraph" w:customStyle="1" w:styleId="163">
    <w:name w:val="彩色列表 - 强调文字颜色 11"/>
    <w:basedOn w:val="1"/>
    <w:qFormat/>
    <w:uiPriority w:val="0"/>
    <w:pPr>
      <w:ind w:firstLine="420" w:firstLineChars="200"/>
    </w:pPr>
    <w:rPr>
      <w:rFonts w:ascii="Calibri" w:hAnsi="Calibri"/>
      <w:szCs w:val="22"/>
    </w:rPr>
  </w:style>
  <w:style w:type="paragraph" w:customStyle="1" w:styleId="164">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165">
    <w:name w:val="xl152"/>
    <w:basedOn w:val="1"/>
    <w:qFormat/>
    <w:uiPriority w:val="0"/>
    <w:pPr>
      <w:widowControl/>
      <w:pBdr>
        <w:top w:val="single" w:color="auto" w:sz="4" w:space="0"/>
        <w:left w:val="single" w:color="auto" w:sz="4" w:space="0"/>
        <w:bottom w:val="single" w:color="auto" w:sz="4" w:space="0"/>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styleId="166">
    <w:name w:val="List Paragraph"/>
    <w:basedOn w:val="1"/>
    <w:qFormat/>
    <w:uiPriority w:val="0"/>
    <w:pPr>
      <w:ind w:firstLine="420" w:firstLineChars="200"/>
    </w:pPr>
    <w:rPr>
      <w:rFonts w:ascii="Calibri" w:hAnsi="Calibri"/>
      <w:szCs w:val="22"/>
    </w:rPr>
  </w:style>
  <w:style w:type="paragraph" w:customStyle="1" w:styleId="167">
    <w:name w:val="IBM 正文"/>
    <w:basedOn w:val="1"/>
    <w:qFormat/>
    <w:uiPriority w:val="0"/>
    <w:pPr>
      <w:spacing w:line="360" w:lineRule="atLeast"/>
    </w:pPr>
    <w:rPr>
      <w:sz w:val="24"/>
      <w:szCs w:val="20"/>
    </w:rPr>
  </w:style>
  <w:style w:type="paragraph" w:customStyle="1" w:styleId="16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69">
    <w:name w:val="Blockquote"/>
    <w:basedOn w:val="1"/>
    <w:uiPriority w:val="0"/>
    <w:pPr>
      <w:autoSpaceDE w:val="0"/>
      <w:autoSpaceDN w:val="0"/>
      <w:adjustRightInd w:val="0"/>
      <w:spacing w:before="100" w:after="100"/>
      <w:ind w:left="360" w:right="360"/>
      <w:jc w:val="left"/>
    </w:pPr>
    <w:rPr>
      <w:kern w:val="0"/>
      <w:sz w:val="24"/>
      <w:szCs w:val="20"/>
    </w:rPr>
  </w:style>
  <w:style w:type="paragraph" w:customStyle="1" w:styleId="170">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1">
    <w:name w:val="xl133"/>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72">
    <w:name w:val="目录3"/>
    <w:basedOn w:val="1"/>
    <w:uiPriority w:val="0"/>
    <w:pPr>
      <w:adjustRightInd w:val="0"/>
      <w:spacing w:line="420" w:lineRule="atLeast"/>
      <w:ind w:left="454" w:firstLine="425"/>
      <w:jc w:val="left"/>
      <w:textAlignment w:val="baseline"/>
    </w:pPr>
    <w:rPr>
      <w:kern w:val="0"/>
      <w:szCs w:val="20"/>
    </w:rPr>
  </w:style>
  <w:style w:type="paragraph" w:customStyle="1" w:styleId="173">
    <w:name w:val="xl25"/>
    <w:basedOn w:val="1"/>
    <w:qFormat/>
    <w:uiPriority w:val="0"/>
    <w:pPr>
      <w:widowControl/>
      <w:spacing w:before="100" w:beforeAutospacing="1" w:after="100" w:afterAutospacing="1"/>
      <w:jc w:val="center"/>
    </w:pPr>
    <w:rPr>
      <w:rFonts w:ascii="宋体" w:hAnsi="宋体" w:cs="Arial Unicode MS"/>
      <w:kern w:val="0"/>
      <w:sz w:val="24"/>
    </w:rPr>
  </w:style>
  <w:style w:type="paragraph" w:customStyle="1" w:styleId="174">
    <w:name w:val="项目符号1"/>
    <w:basedOn w:val="110"/>
    <w:qFormat/>
    <w:uiPriority w:val="0"/>
    <w:pPr>
      <w:numPr>
        <w:ilvl w:val="0"/>
        <w:numId w:val="5"/>
      </w:numPr>
    </w:pPr>
  </w:style>
  <w:style w:type="paragraph" w:customStyle="1" w:styleId="175">
    <w:name w:val="xl1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6">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77">
    <w:name w:val="xl27"/>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78">
    <w:name w:val="xl153"/>
    <w:basedOn w:val="1"/>
    <w:uiPriority w:val="0"/>
    <w:pPr>
      <w:widowControl/>
      <w:pBdr>
        <w:top w:val="single" w:color="auto" w:sz="4" w:space="0"/>
        <w:bottom w:val="single" w:color="auto" w:sz="4" w:space="0"/>
        <w:right w:val="single" w:color="auto" w:sz="4" w:space="0"/>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179">
    <w:name w:val="说明书2级标题"/>
    <w:basedOn w:val="1"/>
    <w:next w:val="180"/>
    <w:qFormat/>
    <w:uiPriority w:val="0"/>
    <w:pPr>
      <w:numPr>
        <w:ilvl w:val="2"/>
        <w:numId w:val="6"/>
      </w:numPr>
      <w:spacing w:beforeLines="100"/>
    </w:pPr>
    <w:rPr>
      <w:rFonts w:eastAsia="黑体"/>
      <w:sz w:val="28"/>
      <w:szCs w:val="28"/>
    </w:rPr>
  </w:style>
  <w:style w:type="paragraph" w:customStyle="1" w:styleId="180">
    <w:name w:val="说明书3级标题"/>
    <w:basedOn w:val="1"/>
    <w:next w:val="1"/>
    <w:qFormat/>
    <w:uiPriority w:val="0"/>
    <w:pPr>
      <w:numPr>
        <w:ilvl w:val="2"/>
        <w:numId w:val="5"/>
      </w:numPr>
      <w:spacing w:line="360" w:lineRule="auto"/>
    </w:pPr>
    <w:rPr>
      <w:rFonts w:eastAsia="黑体"/>
      <w:sz w:val="24"/>
    </w:rPr>
  </w:style>
  <w:style w:type="paragraph" w:customStyle="1" w:styleId="181">
    <w:name w:val="xl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2">
    <w:name w:val="修订1"/>
    <w:qFormat/>
    <w:uiPriority w:val="0"/>
    <w:rPr>
      <w:rFonts w:ascii="Times New Roman" w:hAnsi="Times New Roman" w:eastAsia="宋体" w:cs="Times New Roman"/>
      <w:kern w:val="2"/>
      <w:sz w:val="21"/>
      <w:szCs w:val="24"/>
      <w:lang w:val="en-US" w:eastAsia="zh-CN" w:bidi="ar-SA"/>
    </w:rPr>
  </w:style>
  <w:style w:type="paragraph" w:customStyle="1" w:styleId="183">
    <w:name w:val="文档正文"/>
    <w:basedOn w:val="1"/>
    <w:qFormat/>
    <w:uiPriority w:val="0"/>
    <w:pPr>
      <w:adjustRightInd w:val="0"/>
      <w:spacing w:line="312" w:lineRule="atLeast"/>
      <w:ind w:firstLine="567"/>
    </w:pPr>
    <w:rPr>
      <w:rFonts w:ascii="Arial" w:eastAsia="长城仿宋"/>
      <w:kern w:val="0"/>
      <w:sz w:val="28"/>
      <w:szCs w:val="20"/>
    </w:rPr>
  </w:style>
  <w:style w:type="paragraph" w:customStyle="1" w:styleId="184">
    <w:name w:val="xl44"/>
    <w:basedOn w:val="1"/>
    <w:uiPriority w:val="0"/>
    <w:pPr>
      <w:widowControl/>
      <w:spacing w:before="100" w:beforeAutospacing="1" w:after="100" w:afterAutospacing="1"/>
      <w:jc w:val="right"/>
      <w:textAlignment w:val="center"/>
    </w:pPr>
    <w:rPr>
      <w:rFonts w:ascii="宋体" w:hAnsi="宋体"/>
      <w:kern w:val="0"/>
      <w:sz w:val="20"/>
      <w:szCs w:val="20"/>
    </w:rPr>
  </w:style>
  <w:style w:type="paragraph" w:customStyle="1" w:styleId="185">
    <w:name w:val="样式 宋体 小五 左 段前: 5 磅 段后: 5 磅 行距: 1.5 倍行距"/>
    <w:basedOn w:val="1"/>
    <w:qFormat/>
    <w:uiPriority w:val="0"/>
    <w:pPr>
      <w:widowControl/>
      <w:tabs>
        <w:tab w:val="left" w:pos="5100"/>
      </w:tabs>
      <w:spacing w:line="0" w:lineRule="atLeast"/>
      <w:jc w:val="left"/>
    </w:pPr>
    <w:rPr>
      <w:rFonts w:ascii="宋体" w:hAnsi="宋体"/>
      <w:kern w:val="0"/>
      <w:szCs w:val="20"/>
    </w:rPr>
  </w:style>
  <w:style w:type="paragraph" w:customStyle="1" w:styleId="186">
    <w:name w:val="Char Char Char 字元 字元"/>
    <w:basedOn w:val="1"/>
    <w:qFormat/>
    <w:uiPriority w:val="0"/>
    <w:pPr>
      <w:spacing w:line="360" w:lineRule="auto"/>
      <w:ind w:firstLine="200" w:firstLineChars="200"/>
    </w:pPr>
    <w:rPr>
      <w:szCs w:val="20"/>
    </w:rPr>
  </w:style>
  <w:style w:type="paragraph" w:customStyle="1" w:styleId="187">
    <w:name w:val="xl1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188">
    <w:name w:val="xl13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8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90">
    <w:name w:val="标准正文"/>
    <w:basedOn w:val="2"/>
    <w:uiPriority w:val="0"/>
    <w:pPr>
      <w:widowControl/>
      <w:autoSpaceDE/>
      <w:autoSpaceDN/>
      <w:adjustRightInd/>
      <w:spacing w:beforeLines="50" w:afterLines="50"/>
      <w:ind w:firstLine="482"/>
      <w:jc w:val="both"/>
    </w:pPr>
    <w:rPr>
      <w:rFonts w:ascii="Arial" w:hAnsi="Arial" w:eastAsia="宋体"/>
      <w:b w:val="0"/>
      <w:bCs w:val="0"/>
      <w:color w:val="auto"/>
      <w:kern w:val="2"/>
      <w:sz w:val="24"/>
      <w:szCs w:val="20"/>
    </w:rPr>
  </w:style>
  <w:style w:type="paragraph" w:customStyle="1" w:styleId="191">
    <w:name w:val="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92">
    <w:name w:val="1"/>
    <w:basedOn w:val="1"/>
    <w:next w:val="27"/>
    <w:qFormat/>
    <w:uiPriority w:val="0"/>
    <w:rPr>
      <w:rFonts w:ascii="宋体" w:hAnsi="宋体" w:cs="Arial Unicode MS"/>
      <w:szCs w:val="20"/>
    </w:rPr>
  </w:style>
  <w:style w:type="paragraph" w:customStyle="1" w:styleId="193">
    <w:name w:val="xl110"/>
    <w:basedOn w:val="1"/>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94">
    <w:name w:val="xl46"/>
    <w:basedOn w:val="1"/>
    <w:qFormat/>
    <w:uiPriority w:val="0"/>
    <w:pPr>
      <w:widowControl/>
      <w:spacing w:before="100" w:beforeAutospacing="1" w:after="100" w:afterAutospacing="1"/>
      <w:jc w:val="center"/>
      <w:textAlignment w:val="center"/>
    </w:pPr>
    <w:rPr>
      <w:kern w:val="0"/>
      <w:sz w:val="20"/>
      <w:szCs w:val="20"/>
    </w:rPr>
  </w:style>
  <w:style w:type="paragraph" w:customStyle="1" w:styleId="195">
    <w:name w:val="xl49"/>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96">
    <w:name w:val="xl62"/>
    <w:basedOn w:val="1"/>
    <w:uiPriority w:val="0"/>
    <w:pPr>
      <w:widowControl/>
      <w:pBdr>
        <w:bottom w:val="single" w:color="auto" w:sz="4" w:space="0"/>
      </w:pBdr>
      <w:spacing w:before="100" w:beforeAutospacing="1" w:after="100" w:afterAutospacing="1"/>
      <w:jc w:val="center"/>
    </w:pPr>
    <w:rPr>
      <w:rFonts w:ascii="宋体" w:hAnsi="宋体"/>
      <w:kern w:val="0"/>
      <w:sz w:val="22"/>
      <w:szCs w:val="20"/>
    </w:rPr>
  </w:style>
  <w:style w:type="paragraph" w:customStyle="1" w:styleId="197">
    <w:name w:val="xl5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98">
    <w:name w:val="font5"/>
    <w:basedOn w:val="1"/>
    <w:qFormat/>
    <w:uiPriority w:val="0"/>
    <w:pPr>
      <w:widowControl/>
      <w:spacing w:before="100" w:beforeAutospacing="1" w:after="100" w:afterAutospacing="1"/>
      <w:jc w:val="left"/>
    </w:pPr>
    <w:rPr>
      <w:rFonts w:hint="eastAsia" w:ascii="宋体" w:hAnsi="宋体"/>
      <w:kern w:val="0"/>
      <w:sz w:val="18"/>
      <w:szCs w:val="20"/>
    </w:rPr>
  </w:style>
  <w:style w:type="paragraph" w:customStyle="1" w:styleId="199">
    <w:name w:val="样式 标题 3 + 宋体 小四 段前: 0 磅 段后: 0 磅 行距: 1.5 倍行距"/>
    <w:basedOn w:val="5"/>
    <w:uiPriority w:val="0"/>
    <w:pPr>
      <w:numPr>
        <w:ilvl w:val="0"/>
        <w:numId w:val="7"/>
      </w:numPr>
      <w:spacing w:before="0" w:after="0" w:line="360" w:lineRule="auto"/>
    </w:pPr>
    <w:rPr>
      <w:rFonts w:ascii="宋体" w:hAnsi="宋体" w:cs="宋体"/>
      <w:kern w:val="0"/>
      <w:sz w:val="24"/>
      <w:szCs w:val="20"/>
    </w:rPr>
  </w:style>
  <w:style w:type="paragraph" w:customStyle="1" w:styleId="200">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0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kern w:val="0"/>
      <w:sz w:val="20"/>
      <w:szCs w:val="20"/>
    </w:rPr>
  </w:style>
  <w:style w:type="paragraph" w:customStyle="1" w:styleId="202">
    <w:name w:val="xl72"/>
    <w:basedOn w:val="1"/>
    <w:uiPriority w:val="0"/>
    <w:pPr>
      <w:widowControl/>
      <w:pBdr>
        <w:top w:val="single" w:color="auto" w:sz="4" w:space="0"/>
      </w:pBdr>
      <w:spacing w:before="100" w:beforeAutospacing="1" w:after="100" w:afterAutospacing="1"/>
      <w:jc w:val="left"/>
    </w:pPr>
    <w:rPr>
      <w:rFonts w:ascii="宋体" w:hAnsi="宋体"/>
      <w:kern w:val="0"/>
      <w:sz w:val="24"/>
      <w:szCs w:val="20"/>
    </w:rPr>
  </w:style>
  <w:style w:type="paragraph" w:customStyle="1" w:styleId="203">
    <w:name w:val="xl26"/>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04">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05">
    <w:name w:val="xl69"/>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206">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07">
    <w:name w:val="xl109"/>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08">
    <w:name w:val="xl51"/>
    <w:basedOn w:val="1"/>
    <w:uiPriority w:val="0"/>
    <w:pPr>
      <w:widowControl/>
      <w:pBdr>
        <w:top w:val="single" w:color="auto" w:sz="4" w:space="0"/>
        <w:bottom w:val="single" w:color="auto" w:sz="4" w:space="0"/>
      </w:pBdr>
      <w:spacing w:before="100" w:beforeAutospacing="1" w:after="100" w:afterAutospacing="1"/>
      <w:jc w:val="right"/>
      <w:textAlignment w:val="center"/>
    </w:pPr>
    <w:rPr>
      <w:kern w:val="0"/>
      <w:sz w:val="20"/>
      <w:szCs w:val="20"/>
    </w:rPr>
  </w:style>
  <w:style w:type="paragraph" w:customStyle="1" w:styleId="209">
    <w:name w:val="正文1"/>
    <w:qFormat/>
    <w:uiPriority w:val="0"/>
    <w:pPr>
      <w:widowControl w:val="0"/>
      <w:adjustRightInd w:val="0"/>
      <w:spacing w:line="312" w:lineRule="atLeast"/>
      <w:jc w:val="both"/>
      <w:textAlignment w:val="baseline"/>
    </w:pPr>
    <w:rPr>
      <w:rFonts w:ascii="宋体" w:hAnsi="宋体" w:eastAsia="宋体" w:cs="Times New Roman"/>
      <w:sz w:val="24"/>
      <w:lang w:val="en-US" w:eastAsia="zh-CN" w:bidi="ar-SA"/>
    </w:rPr>
  </w:style>
  <w:style w:type="paragraph" w:customStyle="1" w:styleId="210">
    <w:name w:val="xl140"/>
    <w:basedOn w:val="1"/>
    <w:qFormat/>
    <w:uiPriority w:val="0"/>
    <w:pPr>
      <w:widowControl/>
      <w:pBdr>
        <w:top w:val="single" w:color="auto" w:sz="4" w:space="0"/>
        <w:left w:val="single" w:color="auto" w:sz="4" w:space="0"/>
        <w:right w:val="single" w:color="auto" w:sz="4" w:space="0"/>
      </w:pBdr>
      <w:shd w:val="clear" w:color="000000" w:fill="E7E6E6"/>
      <w:spacing w:before="100" w:beforeAutospacing="1" w:after="100" w:afterAutospacing="1"/>
      <w:jc w:val="center"/>
    </w:pPr>
    <w:rPr>
      <w:rFonts w:ascii="宋体" w:hAnsi="宋体" w:cs="宋体"/>
      <w:b/>
      <w:bCs/>
      <w:color w:val="000000"/>
      <w:kern w:val="0"/>
      <w:sz w:val="20"/>
      <w:szCs w:val="20"/>
    </w:rPr>
  </w:style>
  <w:style w:type="paragraph" w:customStyle="1" w:styleId="211">
    <w:name w:val="xl87"/>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12">
    <w:name w:val="xl56"/>
    <w:basedOn w:val="1"/>
    <w:qFormat/>
    <w:uiPriority w:val="0"/>
    <w:pPr>
      <w:widowControl/>
      <w:pBdr>
        <w:top w:val="single" w:color="auto" w:sz="4" w:space="0"/>
        <w:bottom w:val="single" w:color="auto" w:sz="4" w:space="0"/>
      </w:pBdr>
      <w:spacing w:before="100" w:beforeAutospacing="1" w:after="100" w:afterAutospacing="1"/>
      <w:jc w:val="center"/>
      <w:textAlignment w:val="center"/>
    </w:pPr>
    <w:rPr>
      <w:kern w:val="0"/>
      <w:sz w:val="20"/>
      <w:szCs w:val="20"/>
    </w:rPr>
  </w:style>
  <w:style w:type="paragraph" w:customStyle="1" w:styleId="213">
    <w:name w:val="xl59"/>
    <w:basedOn w:val="1"/>
    <w:qFormat/>
    <w:uiPriority w:val="0"/>
    <w:pPr>
      <w:widowControl/>
      <w:spacing w:before="100" w:beforeAutospacing="1" w:after="100" w:afterAutospacing="1"/>
      <w:jc w:val="center"/>
    </w:pPr>
    <w:rPr>
      <w:rFonts w:hint="eastAsia" w:ascii="黑体" w:hAnsi="宋体" w:eastAsia="黑体"/>
      <w:kern w:val="0"/>
      <w:sz w:val="36"/>
      <w:szCs w:val="20"/>
    </w:rPr>
  </w:style>
  <w:style w:type="paragraph" w:customStyle="1" w:styleId="214">
    <w:name w:val="font17"/>
    <w:basedOn w:val="1"/>
    <w:uiPriority w:val="0"/>
    <w:pPr>
      <w:widowControl/>
      <w:spacing w:before="100" w:beforeAutospacing="1" w:after="100" w:afterAutospacing="1"/>
      <w:jc w:val="left"/>
    </w:pPr>
    <w:rPr>
      <w:rFonts w:ascii="宋体" w:hAnsi="宋体" w:cs="宋体"/>
      <w:color w:val="DD0806"/>
      <w:kern w:val="0"/>
      <w:sz w:val="20"/>
      <w:szCs w:val="20"/>
    </w:rPr>
  </w:style>
  <w:style w:type="paragraph" w:customStyle="1" w:styleId="215">
    <w:name w:val="Char Char1 Char Char Char Char Char Char Char Char"/>
    <w:basedOn w:val="1"/>
    <w:qFormat/>
    <w:uiPriority w:val="0"/>
    <w:pPr>
      <w:widowControl/>
      <w:snapToGrid w:val="0"/>
      <w:spacing w:before="120" w:after="160" w:line="360" w:lineRule="auto"/>
      <w:ind w:right="-360"/>
      <w:jc w:val="left"/>
    </w:pPr>
  </w:style>
  <w:style w:type="paragraph" w:customStyle="1" w:styleId="216">
    <w:name w:val="xl1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17">
    <w:name w:val="Char Char Char Char Char Char"/>
    <w:basedOn w:val="1"/>
    <w:qFormat/>
    <w:uiPriority w:val="0"/>
    <w:pPr>
      <w:jc w:val="center"/>
    </w:pPr>
    <w:rPr>
      <w:rFonts w:ascii="Tahoma" w:hAnsi="Tahoma"/>
      <w:sz w:val="24"/>
      <w:szCs w:val="20"/>
    </w:rPr>
  </w:style>
  <w:style w:type="paragraph" w:customStyle="1" w:styleId="218">
    <w:name w:val="h3"/>
    <w:basedOn w:val="1"/>
    <w:qFormat/>
    <w:uiPriority w:val="0"/>
    <w:pPr>
      <w:widowControl/>
      <w:jc w:val="left"/>
    </w:pPr>
    <w:rPr>
      <w:rFonts w:ascii="宋体" w:hAnsi="宋体"/>
      <w:kern w:val="0"/>
      <w:sz w:val="24"/>
      <w:szCs w:val="20"/>
    </w:rPr>
  </w:style>
  <w:style w:type="paragraph" w:customStyle="1" w:styleId="219">
    <w:name w:val="表格文字"/>
    <w:basedOn w:val="1"/>
    <w:uiPriority w:val="0"/>
    <w:pPr>
      <w:spacing w:before="25" w:after="25"/>
      <w:jc w:val="left"/>
    </w:pPr>
    <w:rPr>
      <w:bCs/>
      <w:spacing w:val="10"/>
      <w:kern w:val="0"/>
      <w:sz w:val="24"/>
      <w:szCs w:val="20"/>
    </w:rPr>
  </w:style>
  <w:style w:type="paragraph" w:customStyle="1" w:styleId="220">
    <w:name w:val="_Style 103"/>
    <w:basedOn w:val="1"/>
    <w:next w:val="14"/>
    <w:qFormat/>
    <w:uiPriority w:val="0"/>
    <w:pPr>
      <w:ind w:firstLine="420"/>
    </w:pPr>
    <w:rPr>
      <w:rFonts w:eastAsia="仿宋_GB2312"/>
      <w:sz w:val="32"/>
      <w:szCs w:val="20"/>
    </w:rPr>
  </w:style>
  <w:style w:type="paragraph" w:customStyle="1" w:styleId="221">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2">
    <w:name w:val="font10"/>
    <w:basedOn w:val="1"/>
    <w:uiPriority w:val="0"/>
    <w:pPr>
      <w:widowControl/>
      <w:spacing w:before="100" w:beforeAutospacing="1" w:after="100" w:afterAutospacing="1"/>
      <w:jc w:val="left"/>
    </w:pPr>
    <w:rPr>
      <w:kern w:val="0"/>
      <w:sz w:val="22"/>
      <w:szCs w:val="20"/>
    </w:rPr>
  </w:style>
  <w:style w:type="paragraph" w:customStyle="1" w:styleId="223">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22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225">
    <w:name w:val="font13"/>
    <w:basedOn w:val="1"/>
    <w:uiPriority w:val="0"/>
    <w:pPr>
      <w:widowControl/>
      <w:spacing w:before="100" w:beforeAutospacing="1" w:after="100" w:afterAutospacing="1"/>
      <w:jc w:val="left"/>
    </w:pPr>
    <w:rPr>
      <w:kern w:val="0"/>
      <w:sz w:val="18"/>
      <w:szCs w:val="20"/>
    </w:rPr>
  </w:style>
  <w:style w:type="paragraph" w:customStyle="1" w:styleId="226">
    <w:name w:val="标准标题2"/>
    <w:basedOn w:val="4"/>
    <w:qFormat/>
    <w:uiPriority w:val="0"/>
    <w:pPr>
      <w:adjustRightInd/>
      <w:spacing w:beforeLines="0" w:afterLines="0" w:line="360" w:lineRule="auto"/>
      <w:ind w:firstLine="0" w:firstLineChars="0"/>
      <w:jc w:val="both"/>
      <w:textAlignment w:val="auto"/>
    </w:pPr>
    <w:rPr>
      <w:rFonts w:eastAsia="仿宋_GB2312"/>
      <w:kern w:val="2"/>
      <w:sz w:val="28"/>
      <w:szCs w:val="32"/>
    </w:rPr>
  </w:style>
  <w:style w:type="paragraph" w:customStyle="1" w:styleId="227">
    <w:name w:val="表格"/>
    <w:basedOn w:val="1"/>
    <w:qFormat/>
    <w:uiPriority w:val="0"/>
    <w:pPr>
      <w:adjustRightInd w:val="0"/>
      <w:spacing w:line="360" w:lineRule="atLeast"/>
    </w:pPr>
    <w:rPr>
      <w:rFonts w:ascii="黑体" w:hAnsi="黑体" w:eastAsia="黑体" w:cs="Arial Unicode MS"/>
      <w:szCs w:val="21"/>
    </w:rPr>
  </w:style>
  <w:style w:type="paragraph" w:customStyle="1" w:styleId="228">
    <w:name w:val="xl89"/>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szCs w:val="20"/>
    </w:rPr>
  </w:style>
  <w:style w:type="paragraph" w:customStyle="1" w:styleId="229">
    <w:name w:val="xl11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30">
    <w:name w:val="Char1"/>
    <w:basedOn w:val="1"/>
    <w:qFormat/>
    <w:uiPriority w:val="0"/>
    <w:rPr>
      <w:rFonts w:ascii="Tahoma" w:hAnsi="Tahoma"/>
      <w:sz w:val="24"/>
      <w:szCs w:val="20"/>
    </w:rPr>
  </w:style>
  <w:style w:type="paragraph" w:customStyle="1" w:styleId="231">
    <w:name w:val="页眉1"/>
    <w:basedOn w:val="1"/>
    <w:uiPriority w:val="0"/>
    <w:pPr>
      <w:widowControl/>
      <w:pBdr>
        <w:bottom w:val="single" w:color="auto" w:sz="6" w:space="1"/>
      </w:pBdr>
      <w:tabs>
        <w:tab w:val="center" w:pos="4153"/>
        <w:tab w:val="right" w:pos="8306"/>
      </w:tabs>
      <w:snapToGrid w:val="0"/>
      <w:spacing w:beforeLines="50" w:afterLines="50"/>
      <w:jc w:val="center"/>
    </w:pPr>
    <w:rPr>
      <w:sz w:val="18"/>
      <w:szCs w:val="18"/>
    </w:rPr>
  </w:style>
  <w:style w:type="paragraph" w:customStyle="1" w:styleId="232">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3">
    <w:name w:val="xl4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34">
    <w:name w:val="正文文本 21"/>
    <w:basedOn w:val="1"/>
    <w:uiPriority w:val="0"/>
    <w:pPr>
      <w:adjustRightInd w:val="0"/>
      <w:spacing w:line="300" w:lineRule="auto"/>
      <w:jc w:val="center"/>
    </w:pPr>
    <w:rPr>
      <w:rFonts w:hint="eastAsia" w:ascii="宋体" w:hAnsi="宋体"/>
      <w:sz w:val="24"/>
      <w:szCs w:val="20"/>
    </w:rPr>
  </w:style>
  <w:style w:type="paragraph" w:customStyle="1" w:styleId="235">
    <w:name w:val="xl13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36">
    <w:name w:val="ST20_17"/>
    <w:basedOn w:val="6"/>
    <w:qFormat/>
    <w:uiPriority w:val="0"/>
    <w:pPr>
      <w:spacing w:before="0" w:after="0" w:line="240" w:lineRule="atLeast"/>
      <w:jc w:val="both"/>
      <w:outlineLvl w:val="9"/>
    </w:pPr>
    <w:rPr>
      <w:rFonts w:ascii="宋体" w:hAnsi="宋体" w:eastAsia="宋体" w:cs="Arial Unicode MS"/>
      <w:b w:val="0"/>
      <w:sz w:val="24"/>
    </w:rPr>
  </w:style>
  <w:style w:type="paragraph" w:customStyle="1" w:styleId="237">
    <w:name w:val="font12"/>
    <w:basedOn w:val="1"/>
    <w:uiPriority w:val="0"/>
    <w:pPr>
      <w:widowControl/>
      <w:spacing w:before="100" w:beforeAutospacing="1" w:after="100" w:afterAutospacing="1"/>
      <w:jc w:val="left"/>
    </w:pPr>
    <w:rPr>
      <w:kern w:val="0"/>
      <w:sz w:val="18"/>
      <w:szCs w:val="20"/>
    </w:rPr>
  </w:style>
  <w:style w:type="paragraph" w:customStyle="1" w:styleId="238">
    <w:name w:val="样式"/>
    <w:qFormat/>
    <w:uiPriority w:val="0"/>
    <w:pPr>
      <w:widowControl w:val="0"/>
      <w:adjustRightInd w:val="0"/>
      <w:spacing w:line="360" w:lineRule="auto"/>
      <w:ind w:firstLine="482"/>
      <w:jc w:val="both"/>
      <w:textAlignment w:val="baseline"/>
    </w:pPr>
    <w:rPr>
      <w:rFonts w:ascii="Times New Roman" w:hAnsi="Times New Roman" w:eastAsia="宋体" w:cs="Times New Roman"/>
      <w:sz w:val="24"/>
      <w:lang w:val="en-US" w:eastAsia="zh-CN" w:bidi="ar-SA"/>
    </w:rPr>
  </w:style>
  <w:style w:type="paragraph" w:customStyle="1" w:styleId="23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40">
    <w:name w:val="font14"/>
    <w:basedOn w:val="1"/>
    <w:uiPriority w:val="0"/>
    <w:pPr>
      <w:widowControl/>
      <w:spacing w:before="100" w:beforeAutospacing="1" w:after="100" w:afterAutospacing="1"/>
      <w:jc w:val="left"/>
    </w:pPr>
    <w:rPr>
      <w:kern w:val="0"/>
      <w:sz w:val="24"/>
      <w:szCs w:val="20"/>
    </w:rPr>
  </w:style>
  <w:style w:type="paragraph" w:customStyle="1" w:styleId="241">
    <w:name w:val="Char Char Char Char Char Char Char Char"/>
    <w:basedOn w:val="1"/>
    <w:qFormat/>
    <w:uiPriority w:val="0"/>
    <w:rPr>
      <w:rFonts w:eastAsia="仿宋_GB2312"/>
      <w:sz w:val="28"/>
    </w:rPr>
  </w:style>
  <w:style w:type="paragraph" w:customStyle="1" w:styleId="242">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43">
    <w:name w:val="xl99"/>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4">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245">
    <w:name w:val="默认段落字体 Para Char Char Char Char Char Char Char Char Char1 Char Char Char Char"/>
    <w:basedOn w:val="1"/>
    <w:qFormat/>
    <w:uiPriority w:val="0"/>
    <w:rPr>
      <w:rFonts w:ascii="Tahoma" w:hAnsi="Tahoma"/>
      <w:sz w:val="24"/>
      <w:szCs w:val="20"/>
    </w:rPr>
  </w:style>
  <w:style w:type="paragraph" w:customStyle="1" w:styleId="246">
    <w:name w:val="文2"/>
    <w:basedOn w:val="1"/>
    <w:qFormat/>
    <w:uiPriority w:val="0"/>
    <w:pPr>
      <w:numPr>
        <w:ilvl w:val="1"/>
        <w:numId w:val="5"/>
      </w:numPr>
      <w:adjustRightInd w:val="0"/>
      <w:spacing w:before="60" w:after="60" w:line="400" w:lineRule="atLeast"/>
      <w:textAlignment w:val="baseline"/>
    </w:pPr>
    <w:rPr>
      <w:b/>
      <w:kern w:val="0"/>
      <w:sz w:val="24"/>
      <w:szCs w:val="20"/>
    </w:rPr>
  </w:style>
  <w:style w:type="paragraph" w:customStyle="1" w:styleId="247">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248">
    <w:name w:val="样式 正文"/>
    <w:basedOn w:val="1"/>
    <w:next w:val="1"/>
    <w:qFormat/>
    <w:uiPriority w:val="0"/>
    <w:pPr>
      <w:widowControl/>
      <w:spacing w:beforeLines="50" w:afterLines="50"/>
      <w:jc w:val="left"/>
    </w:pPr>
    <w:rPr>
      <w:rFonts w:ascii="宋体" w:cs="宋体"/>
      <w:snapToGrid w:val="0"/>
      <w:kern w:val="0"/>
      <w:szCs w:val="20"/>
    </w:rPr>
  </w:style>
  <w:style w:type="paragraph" w:customStyle="1" w:styleId="249">
    <w:name w:val="xl80"/>
    <w:basedOn w:val="1"/>
    <w:qFormat/>
    <w:uiPriority w:val="0"/>
    <w:pPr>
      <w:widowControl/>
      <w:pBdr>
        <w:bottom w:val="single" w:color="auto" w:sz="4" w:space="0"/>
      </w:pBdr>
      <w:spacing w:before="100" w:beforeAutospacing="1" w:after="100" w:afterAutospacing="1"/>
      <w:jc w:val="right"/>
    </w:pPr>
    <w:rPr>
      <w:rFonts w:ascii="宋体" w:hAnsi="宋体"/>
      <w:kern w:val="0"/>
      <w:sz w:val="22"/>
      <w:szCs w:val="20"/>
    </w:rPr>
  </w:style>
  <w:style w:type="paragraph" w:customStyle="1" w:styleId="250">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251">
    <w:name w:val="font15"/>
    <w:basedOn w:val="1"/>
    <w:qFormat/>
    <w:uiPriority w:val="0"/>
    <w:pPr>
      <w:widowControl/>
      <w:spacing w:before="100" w:beforeAutospacing="1" w:after="100" w:afterAutospacing="1"/>
      <w:jc w:val="left"/>
    </w:pPr>
    <w:rPr>
      <w:rFonts w:ascii="宋体" w:hAnsi="宋体" w:cs="宋体"/>
      <w:color w:val="DD0806"/>
      <w:kern w:val="0"/>
      <w:sz w:val="20"/>
      <w:szCs w:val="20"/>
    </w:rPr>
  </w:style>
  <w:style w:type="paragraph" w:customStyle="1" w:styleId="252">
    <w:name w:val="xl12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3">
    <w:name w:val="a-标题3"/>
    <w:basedOn w:val="1"/>
    <w:qFormat/>
    <w:uiPriority w:val="0"/>
    <w:pPr>
      <w:spacing w:line="440" w:lineRule="exact"/>
      <w:jc w:val="left"/>
    </w:pPr>
    <w:rPr>
      <w:rFonts w:ascii="楷体_GB2312" w:hAnsi="Arial Unicode MS" w:eastAsia="楷体_GB2312" w:cs="Arial Unicode MS"/>
      <w:b/>
      <w:sz w:val="28"/>
      <w:szCs w:val="20"/>
    </w:rPr>
  </w:style>
  <w:style w:type="paragraph" w:customStyle="1" w:styleId="254">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55">
    <w:name w:val="xl115"/>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5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257">
    <w:name w:val="font9"/>
    <w:basedOn w:val="1"/>
    <w:qFormat/>
    <w:uiPriority w:val="0"/>
    <w:pPr>
      <w:widowControl/>
      <w:spacing w:before="100" w:beforeAutospacing="1" w:after="100" w:afterAutospacing="1"/>
      <w:jc w:val="left"/>
    </w:pPr>
    <w:rPr>
      <w:kern w:val="0"/>
      <w:sz w:val="20"/>
      <w:szCs w:val="20"/>
    </w:rPr>
  </w:style>
  <w:style w:type="paragraph" w:customStyle="1" w:styleId="258">
    <w:name w:val="列表延续"/>
    <w:basedOn w:val="1"/>
    <w:qFormat/>
    <w:uiPriority w:val="0"/>
    <w:pPr>
      <w:numPr>
        <w:ilvl w:val="8"/>
        <w:numId w:val="8"/>
      </w:numPr>
      <w:adjustRightInd w:val="0"/>
      <w:spacing w:line="360" w:lineRule="auto"/>
      <w:textAlignment w:val="baseline"/>
    </w:pPr>
    <w:rPr>
      <w:rFonts w:eastAsia="楷体_GB2312"/>
      <w:kern w:val="28"/>
      <w:sz w:val="28"/>
      <w:szCs w:val="20"/>
    </w:rPr>
  </w:style>
  <w:style w:type="paragraph" w:customStyle="1" w:styleId="259">
    <w:name w:val="样式1"/>
    <w:basedOn w:val="3"/>
    <w:qFormat/>
    <w:uiPriority w:val="0"/>
    <w:pPr>
      <w:adjustRightInd w:val="0"/>
      <w:spacing w:before="240" w:after="240" w:line="360" w:lineRule="auto"/>
      <w:jc w:val="left"/>
      <w:textAlignment w:val="baseline"/>
    </w:pPr>
    <w:rPr>
      <w:rFonts w:ascii="宋体" w:hAnsi="宋体" w:cs="Arial Unicode MS"/>
      <w:bCs w:val="0"/>
      <w:sz w:val="32"/>
      <w:szCs w:val="20"/>
    </w:rPr>
  </w:style>
  <w:style w:type="paragraph" w:customStyle="1" w:styleId="260">
    <w:name w:val="xl108"/>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61">
    <w:name w:val="Char1 Char Char Char Char"/>
    <w:basedOn w:val="16"/>
    <w:qFormat/>
    <w:uiPriority w:val="0"/>
    <w:pPr>
      <w:widowControl/>
      <w:spacing w:beforeLines="50" w:afterLines="50"/>
      <w:jc w:val="left"/>
    </w:pPr>
    <w:rPr>
      <w:szCs w:val="20"/>
    </w:rPr>
  </w:style>
  <w:style w:type="paragraph" w:customStyle="1" w:styleId="262">
    <w:name w:val="xl24"/>
    <w:basedOn w:val="1"/>
    <w:qFormat/>
    <w:uiPriority w:val="0"/>
    <w:pPr>
      <w:widowControl/>
      <w:spacing w:before="100" w:beforeAutospacing="1" w:after="100" w:afterAutospacing="1"/>
      <w:jc w:val="left"/>
    </w:pPr>
    <w:rPr>
      <w:rFonts w:ascii="宋体" w:hAnsi="宋体"/>
      <w:kern w:val="0"/>
      <w:sz w:val="22"/>
      <w:szCs w:val="20"/>
    </w:rPr>
  </w:style>
  <w:style w:type="paragraph" w:customStyle="1" w:styleId="263">
    <w:name w:val="xl75"/>
    <w:basedOn w:val="1"/>
    <w:qFormat/>
    <w:uiPriority w:val="0"/>
    <w:pPr>
      <w:widowControl/>
      <w:spacing w:before="100" w:beforeAutospacing="1" w:after="100" w:afterAutospacing="1"/>
      <w:jc w:val="center"/>
    </w:pPr>
    <w:rPr>
      <w:rFonts w:hint="eastAsia" w:ascii="黑体" w:hAnsi="宋体" w:eastAsia="黑体"/>
      <w:kern w:val="0"/>
      <w:sz w:val="36"/>
      <w:szCs w:val="20"/>
    </w:rPr>
  </w:style>
  <w:style w:type="paragraph" w:customStyle="1" w:styleId="264">
    <w:name w:val="xl29"/>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rPr>
  </w:style>
  <w:style w:type="paragraph" w:customStyle="1" w:styleId="265">
    <w:name w:val="标准标题3"/>
    <w:basedOn w:val="5"/>
    <w:qFormat/>
    <w:uiPriority w:val="0"/>
    <w:pPr>
      <w:numPr>
        <w:ilvl w:val="0"/>
        <w:numId w:val="9"/>
      </w:numPr>
      <w:spacing w:line="240" w:lineRule="auto"/>
      <w:ind w:left="0" w:leftChars="-258" w:firstLine="0"/>
    </w:pPr>
    <w:rPr>
      <w:rFonts w:eastAsia="仿宋_GB2312"/>
      <w:sz w:val="28"/>
    </w:rPr>
  </w:style>
  <w:style w:type="paragraph" w:customStyle="1" w:styleId="266">
    <w:name w:val="_Style 265"/>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67">
    <w:name w:val="xl107"/>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68">
    <w:name w:val="xl9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69">
    <w:name w:val="Body Text(ch)"/>
    <w:basedOn w:val="1"/>
    <w:next w:val="20"/>
    <w:qFormat/>
    <w:uiPriority w:val="0"/>
    <w:pPr>
      <w:spacing w:line="500" w:lineRule="exact"/>
      <w:jc w:val="center"/>
    </w:pPr>
    <w:rPr>
      <w:szCs w:val="20"/>
    </w:rPr>
  </w:style>
  <w:style w:type="paragraph" w:customStyle="1" w:styleId="270">
    <w:name w:val="xl15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71">
    <w:name w:val="xl14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72">
    <w:name w:val="xl157"/>
    <w:basedOn w:val="1"/>
    <w:qFormat/>
    <w:uiPriority w:val="0"/>
    <w:pPr>
      <w:widowControl/>
      <w:pBdr>
        <w:bottom w:val="single" w:color="auto" w:sz="4" w:space="0"/>
      </w:pBdr>
      <w:spacing w:before="100" w:beforeAutospacing="1" w:after="100" w:afterAutospacing="1"/>
      <w:jc w:val="right"/>
    </w:pPr>
    <w:rPr>
      <w:rFonts w:ascii="宋体" w:hAnsi="宋体" w:cs="宋体"/>
      <w:b/>
      <w:bCs/>
      <w:kern w:val="0"/>
      <w:sz w:val="24"/>
    </w:rPr>
  </w:style>
  <w:style w:type="paragraph" w:customStyle="1" w:styleId="273">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74">
    <w:name w:val="xl42"/>
    <w:basedOn w:val="1"/>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27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276">
    <w:name w:val="正文1 New"/>
    <w:basedOn w:val="1"/>
    <w:qFormat/>
    <w:uiPriority w:val="0"/>
    <w:pPr>
      <w:spacing w:line="360" w:lineRule="auto"/>
      <w:ind w:left="1260" w:leftChars="600" w:firstLine="540" w:firstLineChars="257"/>
    </w:pPr>
    <w:rPr>
      <w:rFonts w:ascii="宋体" w:hAnsi="宋体"/>
    </w:rPr>
  </w:style>
  <w:style w:type="paragraph" w:customStyle="1" w:styleId="277">
    <w:name w:val="xl15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7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79">
    <w:name w:val="xl43"/>
    <w:basedOn w:val="1"/>
    <w:qFormat/>
    <w:uiPriority w:val="0"/>
    <w:pPr>
      <w:widowControl/>
      <w:spacing w:before="100" w:beforeAutospacing="1" w:after="100" w:afterAutospacing="1"/>
      <w:jc w:val="right"/>
      <w:textAlignment w:val="center"/>
    </w:pPr>
    <w:rPr>
      <w:kern w:val="0"/>
      <w:sz w:val="20"/>
      <w:szCs w:val="20"/>
    </w:rPr>
  </w:style>
  <w:style w:type="paragraph" w:customStyle="1" w:styleId="280">
    <w:name w:val="Char Char Char Char Char Char1 Char Char Char Char Char Char Char Char Char Char Char Char"/>
    <w:basedOn w:val="1"/>
    <w:qFormat/>
    <w:uiPriority w:val="0"/>
    <w:pPr>
      <w:adjustRightInd w:val="0"/>
      <w:spacing w:line="360" w:lineRule="auto"/>
    </w:pPr>
    <w:rPr>
      <w:rFonts w:eastAsia="Times New Roman"/>
      <w:kern w:val="0"/>
      <w:sz w:val="20"/>
      <w:szCs w:val="20"/>
    </w:rPr>
  </w:style>
  <w:style w:type="paragraph" w:customStyle="1" w:styleId="281">
    <w:name w:val="xl58"/>
    <w:basedOn w:val="1"/>
    <w:qFormat/>
    <w:uiPriority w:val="0"/>
    <w:pPr>
      <w:widowControl/>
      <w:spacing w:before="100" w:beforeAutospacing="1" w:after="100" w:afterAutospacing="1"/>
      <w:jc w:val="left"/>
      <w:textAlignment w:val="top"/>
    </w:pPr>
    <w:rPr>
      <w:rFonts w:ascii="宋体" w:hAnsi="宋体"/>
      <w:kern w:val="0"/>
      <w:sz w:val="20"/>
      <w:szCs w:val="20"/>
    </w:rPr>
  </w:style>
  <w:style w:type="paragraph" w:customStyle="1" w:styleId="282">
    <w:name w:val="表中"/>
    <w:basedOn w:val="1"/>
    <w:qFormat/>
    <w:uiPriority w:val="0"/>
    <w:pPr>
      <w:adjustRightInd w:val="0"/>
      <w:spacing w:line="360" w:lineRule="atLeast"/>
      <w:jc w:val="center"/>
      <w:textAlignment w:val="baseline"/>
    </w:pPr>
    <w:rPr>
      <w:kern w:val="0"/>
      <w:szCs w:val="20"/>
    </w:rPr>
  </w:style>
  <w:style w:type="paragraph" w:customStyle="1" w:styleId="283">
    <w:name w:val="表文字左边"/>
    <w:basedOn w:val="1"/>
    <w:qFormat/>
    <w:uiPriority w:val="0"/>
    <w:pPr>
      <w:autoSpaceDE w:val="0"/>
      <w:autoSpaceDN w:val="0"/>
      <w:spacing w:line="320" w:lineRule="exact"/>
      <w:jc w:val="left"/>
      <w:textAlignment w:val="bottom"/>
    </w:pPr>
    <w:rPr>
      <w:rFonts w:ascii="宋体" w:hAnsi="宋体" w:cs="Arial Unicode MS"/>
      <w:sz w:val="28"/>
      <w:szCs w:val="20"/>
    </w:rPr>
  </w:style>
  <w:style w:type="paragraph" w:customStyle="1" w:styleId="284">
    <w:name w:val="xl1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85">
    <w:name w:val="项目符号2"/>
    <w:basedOn w:val="110"/>
    <w:qFormat/>
    <w:uiPriority w:val="0"/>
    <w:pPr>
      <w:numPr>
        <w:ilvl w:val="0"/>
        <w:numId w:val="3"/>
      </w:numPr>
    </w:pPr>
  </w:style>
  <w:style w:type="paragraph" w:customStyle="1" w:styleId="286">
    <w:name w:val="xl120"/>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87">
    <w:name w:val="样式2"/>
    <w:basedOn w:val="20"/>
    <w:uiPriority w:val="0"/>
    <w:pPr>
      <w:spacing w:line="400" w:lineRule="exact"/>
      <w:jc w:val="center"/>
    </w:pPr>
    <w:rPr>
      <w:rFonts w:ascii="宋体" w:hAnsi="宋体"/>
    </w:rPr>
  </w:style>
  <w:style w:type="paragraph" w:customStyle="1" w:styleId="288">
    <w:name w:val="样式 标题 21.1 + 小四"/>
    <w:basedOn w:val="4"/>
    <w:uiPriority w:val="0"/>
    <w:pPr>
      <w:tabs>
        <w:tab w:val="left" w:pos="720"/>
      </w:tabs>
      <w:snapToGrid w:val="0"/>
      <w:spacing w:beforeLines="0" w:afterLines="0" w:line="360" w:lineRule="auto"/>
      <w:ind w:firstLine="0" w:firstLineChars="0"/>
      <w:jc w:val="both"/>
    </w:pPr>
    <w:rPr>
      <w:rFonts w:ascii="Times New Roman" w:hAnsi="Times New Roman" w:eastAsia="宋体"/>
      <w:b w:val="0"/>
      <w:szCs w:val="20"/>
    </w:rPr>
  </w:style>
  <w:style w:type="paragraph" w:customStyle="1" w:styleId="289">
    <w:name w:val="xl147"/>
    <w:basedOn w:val="1"/>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290">
    <w:name w:val="无间隔1"/>
    <w:uiPriority w:val="0"/>
    <w:rPr>
      <w:rFonts w:ascii="Calibri" w:hAnsi="Calibri" w:eastAsia="宋体" w:cs="Times New Roman"/>
      <w:sz w:val="22"/>
      <w:szCs w:val="22"/>
      <w:lang w:val="en-US" w:eastAsia="en-US" w:bidi="ar-SA"/>
    </w:rPr>
  </w:style>
  <w:style w:type="paragraph" w:customStyle="1" w:styleId="291">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92">
    <w:name w:val="xl63"/>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293">
    <w:name w:val="默认段落字体 Para Char Char Char Char Char Char Char"/>
    <w:basedOn w:val="1"/>
    <w:qFormat/>
    <w:uiPriority w:val="0"/>
    <w:pPr>
      <w:spacing w:line="360" w:lineRule="auto"/>
      <w:ind w:firstLine="200" w:firstLineChars="200"/>
    </w:pPr>
    <w:rPr>
      <w:rFonts w:ascii="Tahoma" w:hAnsi="Tahoma"/>
      <w:sz w:val="24"/>
      <w:szCs w:val="20"/>
    </w:rPr>
  </w:style>
  <w:style w:type="paragraph" w:customStyle="1" w:styleId="294">
    <w:name w:val="封面标准文稿类别"/>
    <w:qFormat/>
    <w:uiPriority w:val="0"/>
    <w:pPr>
      <w:spacing w:before="440" w:line="400" w:lineRule="exact"/>
      <w:jc w:val="center"/>
    </w:pPr>
    <w:rPr>
      <w:rFonts w:ascii="宋体" w:hAnsi="宋体" w:eastAsia="宋体" w:cs="Times New Roman"/>
      <w:sz w:val="24"/>
      <w:lang w:val="en-US" w:eastAsia="zh-CN" w:bidi="ar-SA"/>
    </w:rPr>
  </w:style>
  <w:style w:type="paragraph" w:customStyle="1" w:styleId="295">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296">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97">
    <w:name w:val="页脚1"/>
    <w:basedOn w:val="1"/>
    <w:qFormat/>
    <w:uiPriority w:val="0"/>
    <w:pPr>
      <w:widowControl/>
      <w:tabs>
        <w:tab w:val="center" w:pos="4153"/>
        <w:tab w:val="right" w:pos="8306"/>
      </w:tabs>
      <w:snapToGrid w:val="0"/>
      <w:spacing w:beforeLines="50" w:afterLines="50"/>
      <w:jc w:val="left"/>
    </w:pPr>
    <w:rPr>
      <w:sz w:val="18"/>
      <w:szCs w:val="18"/>
    </w:rPr>
  </w:style>
  <w:style w:type="paragraph" w:customStyle="1" w:styleId="29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99">
    <w:name w:val="Char"/>
    <w:basedOn w:val="1"/>
    <w:qFormat/>
    <w:uiPriority w:val="0"/>
    <w:pPr>
      <w:widowControl/>
      <w:spacing w:after="160" w:line="240" w:lineRule="exact"/>
      <w:jc w:val="left"/>
    </w:pPr>
    <w:rPr>
      <w:rFonts w:ascii="Verdana" w:hAnsi="Verdana" w:eastAsia="仿宋_GB2312" w:cs="Arial Unicode MS"/>
      <w:kern w:val="0"/>
      <w:sz w:val="24"/>
      <w:szCs w:val="20"/>
      <w:lang w:eastAsia="en-US"/>
    </w:rPr>
  </w:style>
  <w:style w:type="paragraph" w:customStyle="1" w:styleId="300">
    <w:name w:val="正文文本样式 加粗"/>
    <w:basedOn w:val="110"/>
    <w:qFormat/>
    <w:uiPriority w:val="0"/>
    <w:rPr>
      <w:b/>
    </w:rPr>
  </w:style>
  <w:style w:type="paragraph" w:customStyle="1" w:styleId="301">
    <w:name w:val="列出段落11"/>
    <w:basedOn w:val="1"/>
    <w:uiPriority w:val="0"/>
    <w:pPr>
      <w:widowControl/>
      <w:spacing w:beforeLines="50" w:afterLines="50"/>
      <w:ind w:firstLine="420" w:firstLineChars="200"/>
      <w:jc w:val="left"/>
    </w:pPr>
  </w:style>
  <w:style w:type="paragraph" w:customStyle="1" w:styleId="302">
    <w:name w:val="font6"/>
    <w:basedOn w:val="1"/>
    <w:qFormat/>
    <w:uiPriority w:val="0"/>
    <w:pPr>
      <w:widowControl/>
      <w:spacing w:before="100" w:beforeAutospacing="1" w:after="100" w:afterAutospacing="1"/>
      <w:jc w:val="left"/>
    </w:pPr>
    <w:rPr>
      <w:rFonts w:hint="eastAsia" w:ascii="黑体" w:hAnsi="宋体" w:eastAsia="黑体"/>
      <w:kern w:val="0"/>
      <w:sz w:val="36"/>
      <w:szCs w:val="20"/>
    </w:rPr>
  </w:style>
  <w:style w:type="paragraph" w:customStyle="1" w:styleId="303">
    <w:name w:val="p0"/>
    <w:basedOn w:val="1"/>
    <w:qFormat/>
    <w:uiPriority w:val="0"/>
    <w:pPr>
      <w:widowControl/>
      <w:spacing w:line="520" w:lineRule="atLeast"/>
    </w:pPr>
    <w:rPr>
      <w:kern w:val="0"/>
      <w:sz w:val="28"/>
      <w:szCs w:val="28"/>
    </w:rPr>
  </w:style>
  <w:style w:type="paragraph" w:customStyle="1" w:styleId="304">
    <w:name w:val="标准"/>
    <w:basedOn w:val="1"/>
    <w:qFormat/>
    <w:uiPriority w:val="0"/>
    <w:pPr>
      <w:autoSpaceDE w:val="0"/>
      <w:autoSpaceDN w:val="0"/>
      <w:adjustRightInd w:val="0"/>
      <w:spacing w:line="312" w:lineRule="auto"/>
      <w:jc w:val="center"/>
      <w:textAlignment w:val="baseline"/>
    </w:pPr>
    <w:rPr>
      <w:rFonts w:ascii="宋体" w:hAnsi="宋体" w:cs="Arial Unicode MS"/>
      <w:color w:val="000000"/>
      <w:kern w:val="0"/>
      <w:sz w:val="24"/>
      <w:szCs w:val="20"/>
    </w:rPr>
  </w:style>
  <w:style w:type="paragraph" w:customStyle="1" w:styleId="30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6">
    <w:name w:val="xl47"/>
    <w:basedOn w:val="1"/>
    <w:qFormat/>
    <w:uiPriority w:val="0"/>
    <w:pPr>
      <w:widowControl/>
      <w:spacing w:before="100" w:beforeAutospacing="1" w:after="100" w:afterAutospacing="1"/>
      <w:jc w:val="left"/>
      <w:textAlignment w:val="center"/>
    </w:pPr>
    <w:rPr>
      <w:rFonts w:ascii="宋体" w:hAnsi="宋体"/>
      <w:kern w:val="0"/>
      <w:sz w:val="18"/>
      <w:szCs w:val="20"/>
    </w:rPr>
  </w:style>
  <w:style w:type="paragraph" w:customStyle="1" w:styleId="307">
    <w:name w:val="A正文"/>
    <w:basedOn w:val="1"/>
    <w:qFormat/>
    <w:uiPriority w:val="0"/>
    <w:pPr>
      <w:widowControl/>
      <w:overflowPunct w:val="0"/>
      <w:autoSpaceDE w:val="0"/>
      <w:autoSpaceDN w:val="0"/>
      <w:adjustRightInd w:val="0"/>
      <w:spacing w:line="360" w:lineRule="auto"/>
      <w:ind w:firstLine="200" w:firstLineChars="200"/>
      <w:jc w:val="left"/>
      <w:textAlignment w:val="baseline"/>
    </w:pPr>
    <w:rPr>
      <w:rFonts w:eastAsia="仿宋_GB2312"/>
      <w:kern w:val="0"/>
      <w:sz w:val="24"/>
      <w:szCs w:val="20"/>
    </w:rPr>
  </w:style>
  <w:style w:type="paragraph" w:customStyle="1" w:styleId="308">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9">
    <w:name w:val="xl143"/>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10">
    <w:name w:val="CM58"/>
    <w:basedOn w:val="1"/>
    <w:next w:val="1"/>
    <w:qFormat/>
    <w:uiPriority w:val="0"/>
    <w:pPr>
      <w:autoSpaceDE w:val="0"/>
      <w:autoSpaceDN w:val="0"/>
      <w:adjustRightInd w:val="0"/>
      <w:spacing w:after="298"/>
      <w:jc w:val="left"/>
    </w:pPr>
    <w:rPr>
      <w:rFonts w:ascii="宋体" w:hAnsi="宋体" w:cs="Arial Unicode MS"/>
      <w:kern w:val="0"/>
      <w:sz w:val="24"/>
    </w:rPr>
  </w:style>
  <w:style w:type="paragraph" w:customStyle="1" w:styleId="311">
    <w:name w:val="xl155"/>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12">
    <w:name w:val="CCTV文档正文"/>
    <w:basedOn w:val="1"/>
    <w:qFormat/>
    <w:uiPriority w:val="0"/>
    <w:pPr>
      <w:spacing w:line="360" w:lineRule="auto"/>
      <w:jc w:val="left"/>
    </w:pPr>
    <w:rPr>
      <w:sz w:val="24"/>
      <w:szCs w:val="21"/>
    </w:rPr>
  </w:style>
  <w:style w:type="paragraph" w:customStyle="1" w:styleId="313">
    <w:name w:val="Char Char1 Char"/>
    <w:basedOn w:val="1"/>
    <w:qFormat/>
    <w:uiPriority w:val="0"/>
    <w:rPr>
      <w:rFonts w:ascii="仿宋_GB2312" w:eastAsia="仿宋_GB2312"/>
      <w:b/>
      <w:sz w:val="32"/>
      <w:szCs w:val="32"/>
    </w:rPr>
  </w:style>
  <w:style w:type="paragraph" w:customStyle="1" w:styleId="314">
    <w:name w:val="xl68"/>
    <w:basedOn w:val="1"/>
    <w:qFormat/>
    <w:uiPriority w:val="0"/>
    <w:pPr>
      <w:widowControl/>
      <w:pBdr>
        <w:top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31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16">
    <w:name w:val="Char19"/>
    <w:basedOn w:val="1"/>
    <w:qFormat/>
    <w:uiPriority w:val="0"/>
    <w:rPr>
      <w:szCs w:val="20"/>
    </w:rPr>
  </w:style>
  <w:style w:type="paragraph" w:customStyle="1" w:styleId="317">
    <w:name w:val="正文段"/>
    <w:basedOn w:val="1"/>
    <w:qFormat/>
    <w:uiPriority w:val="0"/>
    <w:pPr>
      <w:widowControl/>
      <w:snapToGrid w:val="0"/>
      <w:spacing w:afterLines="50"/>
      <w:ind w:firstLine="200" w:firstLineChars="200"/>
    </w:pPr>
    <w:rPr>
      <w:kern w:val="0"/>
      <w:sz w:val="24"/>
      <w:szCs w:val="20"/>
    </w:rPr>
  </w:style>
  <w:style w:type="paragraph" w:customStyle="1" w:styleId="318">
    <w:name w:val="xl77"/>
    <w:basedOn w:val="1"/>
    <w:qFormat/>
    <w:uiPriority w:val="0"/>
    <w:pPr>
      <w:widowControl/>
      <w:pBdr>
        <w:bottom w:val="single" w:color="auto" w:sz="4" w:space="0"/>
      </w:pBdr>
      <w:spacing w:before="100" w:beforeAutospacing="1" w:after="100" w:afterAutospacing="1"/>
      <w:jc w:val="right"/>
    </w:pPr>
    <w:rPr>
      <w:kern w:val="0"/>
      <w:sz w:val="22"/>
      <w:szCs w:val="20"/>
    </w:rPr>
  </w:style>
  <w:style w:type="paragraph" w:customStyle="1" w:styleId="31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320">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321">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22">
    <w:name w:val="xl67"/>
    <w:basedOn w:val="1"/>
    <w:uiPriority w:val="0"/>
    <w:pPr>
      <w:widowControl/>
      <w:pBdr>
        <w:top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323">
    <w:name w:val="xl76"/>
    <w:basedOn w:val="1"/>
    <w:qFormat/>
    <w:uiPriority w:val="0"/>
    <w:pPr>
      <w:widowControl/>
      <w:pBdr>
        <w:bottom w:val="single" w:color="auto" w:sz="4" w:space="0"/>
      </w:pBdr>
      <w:spacing w:before="100" w:beforeAutospacing="1" w:after="100" w:afterAutospacing="1"/>
      <w:jc w:val="left"/>
    </w:pPr>
    <w:rPr>
      <w:rFonts w:ascii="宋体" w:hAnsi="宋体"/>
      <w:kern w:val="0"/>
      <w:sz w:val="22"/>
      <w:szCs w:val="20"/>
    </w:rPr>
  </w:style>
  <w:style w:type="paragraph" w:customStyle="1" w:styleId="324">
    <w:name w:val="批注框文本 Char Char"/>
    <w:basedOn w:val="1"/>
    <w:qFormat/>
    <w:uiPriority w:val="0"/>
    <w:rPr>
      <w:sz w:val="18"/>
      <w:szCs w:val="20"/>
    </w:rPr>
  </w:style>
  <w:style w:type="paragraph" w:customStyle="1" w:styleId="32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26">
    <w:name w:val="xl9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2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28">
    <w:name w:val="xl7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0"/>
      <w:szCs w:val="20"/>
    </w:rPr>
  </w:style>
  <w:style w:type="paragraph" w:customStyle="1" w:styleId="329">
    <w:name w:val="xl78"/>
    <w:basedOn w:val="1"/>
    <w:qFormat/>
    <w:uiPriority w:val="0"/>
    <w:pPr>
      <w:widowControl/>
      <w:pBdr>
        <w:bottom w:val="single" w:color="auto" w:sz="4" w:space="0"/>
      </w:pBdr>
      <w:spacing w:before="100" w:beforeAutospacing="1" w:after="100" w:afterAutospacing="1"/>
      <w:jc w:val="right"/>
    </w:pPr>
    <w:rPr>
      <w:rFonts w:ascii="宋体" w:hAnsi="宋体"/>
      <w:kern w:val="0"/>
      <w:sz w:val="22"/>
      <w:szCs w:val="20"/>
    </w:rPr>
  </w:style>
  <w:style w:type="paragraph" w:customStyle="1" w:styleId="330">
    <w:name w:val="二级-章"/>
    <w:qFormat/>
    <w:uiPriority w:val="0"/>
    <w:pPr>
      <w:tabs>
        <w:tab w:val="left" w:pos="1000"/>
      </w:tabs>
      <w:ind w:left="1000" w:hanging="360"/>
      <w:jc w:val="center"/>
      <w:outlineLvl w:val="1"/>
    </w:pPr>
    <w:rPr>
      <w:rFonts w:ascii="黑体" w:hAnsi="Times New Roman" w:eastAsia="黑体" w:cs="Times New Roman"/>
      <w:sz w:val="36"/>
      <w:szCs w:val="36"/>
      <w:lang w:val="en-US" w:eastAsia="zh-CN" w:bidi="ar-SA"/>
    </w:rPr>
  </w:style>
  <w:style w:type="paragraph" w:customStyle="1" w:styleId="331">
    <w:name w:val="xl11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32">
    <w:name w:val="xl52"/>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kern w:val="0"/>
      <w:sz w:val="20"/>
      <w:szCs w:val="20"/>
    </w:rPr>
  </w:style>
  <w:style w:type="paragraph" w:customStyle="1" w:styleId="333">
    <w:name w:val="标3"/>
    <w:basedOn w:val="1"/>
    <w:qFormat/>
    <w:uiPriority w:val="0"/>
    <w:pPr>
      <w:tabs>
        <w:tab w:val="left" w:pos="1200"/>
      </w:tabs>
      <w:adjustRightInd w:val="0"/>
      <w:snapToGrid w:val="0"/>
      <w:spacing w:before="50"/>
      <w:ind w:left="1200" w:leftChars="400" w:hanging="360" w:hangingChars="200"/>
      <w:outlineLvl w:val="2"/>
    </w:pPr>
    <w:rPr>
      <w:rFonts w:ascii="Arial Narrow" w:hAnsi="Arial Narrow" w:eastAsia="仿宋_GB2312"/>
      <w:sz w:val="28"/>
      <w:szCs w:val="20"/>
    </w:rPr>
  </w:style>
  <w:style w:type="paragraph" w:customStyle="1" w:styleId="334">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35">
    <w:name w:val="xl13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36">
    <w:name w:val="xl142"/>
    <w:basedOn w:val="1"/>
    <w:qFormat/>
    <w:uiPriority w:val="0"/>
    <w:pPr>
      <w:widowControl/>
      <w:pBdr>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7">
    <w:name w:val="font0"/>
    <w:basedOn w:val="1"/>
    <w:qFormat/>
    <w:uiPriority w:val="0"/>
    <w:pPr>
      <w:widowControl/>
      <w:spacing w:before="100" w:beforeAutospacing="1" w:after="100" w:afterAutospacing="1"/>
      <w:jc w:val="left"/>
    </w:pPr>
    <w:rPr>
      <w:rFonts w:hint="eastAsia" w:ascii="宋体" w:hAnsi="宋体"/>
      <w:kern w:val="0"/>
      <w:sz w:val="24"/>
      <w:szCs w:val="20"/>
    </w:rPr>
  </w:style>
  <w:style w:type="paragraph" w:customStyle="1" w:styleId="338">
    <w:name w:val="xl88"/>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center"/>
    </w:pPr>
    <w:rPr>
      <w:rFonts w:ascii="宋体" w:hAnsi="宋体" w:cs="宋体"/>
      <w:kern w:val="0"/>
      <w:sz w:val="20"/>
      <w:szCs w:val="20"/>
    </w:rPr>
  </w:style>
  <w:style w:type="paragraph" w:customStyle="1" w:styleId="339">
    <w:name w:val="Char Char Char Char Char Char1 Char Char Char Char Char Char Char Char Char"/>
    <w:basedOn w:val="1"/>
    <w:qFormat/>
    <w:uiPriority w:val="0"/>
    <w:pPr>
      <w:adjustRightInd w:val="0"/>
      <w:spacing w:line="360" w:lineRule="auto"/>
    </w:pPr>
    <w:rPr>
      <w:rFonts w:eastAsia="Times New Roman"/>
      <w:kern w:val="0"/>
      <w:sz w:val="20"/>
      <w:szCs w:val="20"/>
    </w:rPr>
  </w:style>
  <w:style w:type="paragraph" w:customStyle="1" w:styleId="340">
    <w:name w:val="排版"/>
    <w:basedOn w:val="1"/>
    <w:next w:val="20"/>
    <w:qFormat/>
    <w:uiPriority w:val="0"/>
    <w:pPr>
      <w:spacing w:line="600" w:lineRule="exact"/>
    </w:pPr>
    <w:rPr>
      <w:rFonts w:eastAsia="华文仿宋"/>
      <w:spacing w:val="6"/>
      <w:sz w:val="32"/>
      <w:szCs w:val="20"/>
    </w:rPr>
  </w:style>
  <w:style w:type="paragraph" w:customStyle="1" w:styleId="341">
    <w:name w:val="正文小4号"/>
    <w:basedOn w:val="1"/>
    <w:qFormat/>
    <w:uiPriority w:val="0"/>
    <w:pPr>
      <w:spacing w:line="360" w:lineRule="auto"/>
      <w:ind w:firstLine="200" w:firstLineChars="200"/>
    </w:pPr>
    <w:rPr>
      <w:sz w:val="24"/>
    </w:rPr>
  </w:style>
  <w:style w:type="paragraph" w:customStyle="1" w:styleId="342">
    <w:name w:val="xl9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43">
    <w:name w:val="Char1 Char Char Char"/>
    <w:basedOn w:val="1"/>
    <w:qFormat/>
    <w:uiPriority w:val="0"/>
    <w:rPr>
      <w:rFonts w:eastAsia="仿宋_GB2312"/>
      <w:sz w:val="28"/>
      <w:szCs w:val="20"/>
    </w:rPr>
  </w:style>
  <w:style w:type="paragraph" w:customStyle="1" w:styleId="34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345">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46">
    <w:name w:val="技标2"/>
    <w:basedOn w:val="5"/>
    <w:qFormat/>
    <w:uiPriority w:val="0"/>
    <w:pPr>
      <w:keepNext w:val="0"/>
      <w:keepLines w:val="0"/>
      <w:adjustRightInd w:val="0"/>
      <w:snapToGrid w:val="0"/>
      <w:spacing w:before="600" w:after="240" w:line="420" w:lineRule="atLeast"/>
      <w:jc w:val="center"/>
      <w:textAlignment w:val="baseline"/>
    </w:pPr>
    <w:rPr>
      <w:bCs w:val="0"/>
      <w:kern w:val="0"/>
      <w:sz w:val="28"/>
      <w:szCs w:val="20"/>
    </w:rPr>
  </w:style>
  <w:style w:type="paragraph" w:customStyle="1" w:styleId="347">
    <w:name w:val="xl154"/>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48">
    <w:name w:val="xl5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0"/>
      <w:szCs w:val="20"/>
    </w:rPr>
  </w:style>
  <w:style w:type="paragraph" w:customStyle="1" w:styleId="349">
    <w:name w:val="xl61"/>
    <w:basedOn w:val="1"/>
    <w:uiPriority w:val="0"/>
    <w:pPr>
      <w:widowControl/>
      <w:pBdr>
        <w:bottom w:val="single" w:color="auto" w:sz="4" w:space="0"/>
      </w:pBdr>
      <w:spacing w:before="100" w:beforeAutospacing="1" w:after="100" w:afterAutospacing="1"/>
      <w:jc w:val="center"/>
    </w:pPr>
    <w:rPr>
      <w:kern w:val="0"/>
      <w:sz w:val="22"/>
      <w:szCs w:val="20"/>
    </w:rPr>
  </w:style>
  <w:style w:type="paragraph" w:customStyle="1" w:styleId="350">
    <w:name w:val="xl12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51">
    <w:name w:val="xl57"/>
    <w:basedOn w:val="1"/>
    <w:qFormat/>
    <w:uiPriority w:val="0"/>
    <w:pPr>
      <w:widowControl/>
      <w:spacing w:before="100" w:beforeAutospacing="1" w:after="100" w:afterAutospacing="1"/>
      <w:jc w:val="left"/>
      <w:textAlignment w:val="top"/>
    </w:pPr>
    <w:rPr>
      <w:rFonts w:ascii="宋体" w:hAnsi="宋体"/>
      <w:kern w:val="0"/>
      <w:sz w:val="20"/>
      <w:szCs w:val="20"/>
    </w:rPr>
  </w:style>
  <w:style w:type="paragraph" w:customStyle="1" w:styleId="352">
    <w:name w:val="xl28"/>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353">
    <w:name w:val="项目编号1"/>
    <w:basedOn w:val="1"/>
    <w:qFormat/>
    <w:uiPriority w:val="0"/>
    <w:pPr>
      <w:numPr>
        <w:ilvl w:val="0"/>
        <w:numId w:val="8"/>
      </w:numPr>
      <w:spacing w:before="100" w:beforeAutospacing="1" w:after="100" w:afterAutospacing="1" w:line="360" w:lineRule="auto"/>
    </w:pPr>
    <w:rPr>
      <w:sz w:val="24"/>
    </w:rPr>
  </w:style>
  <w:style w:type="paragraph" w:customStyle="1" w:styleId="354">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55">
    <w:name w:val="xl60"/>
    <w:basedOn w:val="1"/>
    <w:qFormat/>
    <w:uiPriority w:val="0"/>
    <w:pPr>
      <w:widowControl/>
      <w:pBdr>
        <w:bottom w:val="single" w:color="auto" w:sz="4" w:space="0"/>
      </w:pBdr>
      <w:spacing w:before="100" w:beforeAutospacing="1" w:after="100" w:afterAutospacing="1"/>
      <w:jc w:val="left"/>
    </w:pPr>
    <w:rPr>
      <w:rFonts w:ascii="宋体" w:hAnsi="宋体"/>
      <w:kern w:val="0"/>
      <w:sz w:val="22"/>
      <w:szCs w:val="20"/>
    </w:rPr>
  </w:style>
  <w:style w:type="paragraph" w:customStyle="1" w:styleId="356">
    <w:name w:val="xl55"/>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18"/>
      <w:szCs w:val="20"/>
    </w:rPr>
  </w:style>
  <w:style w:type="paragraph" w:customStyle="1" w:styleId="357">
    <w:name w:val="font8"/>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358">
    <w:name w:val="xl156"/>
    <w:basedOn w:val="1"/>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359">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60">
    <w:name w:val="xl9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table" w:customStyle="1" w:styleId="361">
    <w:name w:val="彩色网格 - 强调文字颜色 51"/>
    <w:basedOn w:val="48"/>
    <w:qFormat/>
    <w:uiPriority w:val="0"/>
    <w:rPr>
      <w:color w:val="000000"/>
    </w:rPr>
    <w:tblPr>
      <w:tblBorders>
        <w:insideH w:val="single" w:color="FFFFFF" w:sz="4" w:space="0"/>
      </w:tblBorders>
      <w:tblCellMar>
        <w:top w:w="0" w:type="dxa"/>
        <w:left w:w="108" w:type="dxa"/>
        <w:bottom w:w="0" w:type="dxa"/>
        <w:right w:w="108" w:type="dxa"/>
      </w:tblCellMar>
    </w:tblPr>
    <w:tcPr>
      <w:shd w:val="clear" w:color="auto" w:fill="DAEEF3"/>
    </w:tcPr>
    <w:tblStylePr w:type="firstRow">
      <w:rPr>
        <w:b/>
        <w:bCs/>
      </w:rPr>
      <w:tcPr>
        <w:shd w:val="clear" w:color="auto" w:fill="B6DDE8"/>
      </w:tcPr>
    </w:tblStylePr>
    <w:tblStylePr w:type="lastRow">
      <w:rPr>
        <w:b/>
        <w:bCs/>
        <w:color w:val="000000"/>
      </w:rPr>
      <w:tcPr>
        <w:shd w:val="clear" w:color="auto" w:fill="B6DDE8"/>
      </w:tcPr>
    </w:tblStylePr>
    <w:tblStylePr w:type="firstCol">
      <w:rPr>
        <w:color w:val="FFFFFF"/>
      </w:rPr>
      <w:tcPr>
        <w:shd w:val="clear" w:color="auto" w:fill="31849B"/>
      </w:tcPr>
    </w:tblStylePr>
    <w:tblStylePr w:type="lastCol">
      <w:rPr>
        <w:color w:val="FFFFFF"/>
      </w:rPr>
      <w:tcPr>
        <w:shd w:val="clear" w:color="auto" w:fill="31849B"/>
      </w:tcPr>
    </w:tblStylePr>
    <w:tblStylePr w:type="band1Vert">
      <w:tcPr>
        <w:shd w:val="clear" w:color="auto" w:fill="A5D5E2"/>
      </w:tcPr>
    </w:tblStylePr>
    <w:tblStylePr w:type="band1Horz">
      <w:tcPr>
        <w:shd w:val="clear" w:color="auto" w:fill="A5D5E2"/>
      </w:tcPr>
    </w:tblStylePr>
  </w:style>
  <w:style w:type="table" w:customStyle="1" w:styleId="362">
    <w:name w:val="中等深浅网格 1 - 强调文字颜色 51"/>
    <w:basedOn w:val="48"/>
    <w:qFormat/>
    <w:uiPriority w:val="0"/>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CellMar>
        <w:top w:w="0" w:type="dxa"/>
        <w:left w:w="108" w:type="dxa"/>
        <w:bottom w:w="0" w:type="dxa"/>
        <w:right w:w="108" w:type="dxa"/>
      </w:tblCellMar>
    </w:tblPr>
    <w:tcPr>
      <w:shd w:val="clear" w:color="auto" w:fill="D2EAF1"/>
    </w:tcPr>
    <w:tblStylePr w:type="firstRow">
      <w:rPr>
        <w:b/>
        <w:bCs/>
      </w:rPr>
    </w:tblStylePr>
    <w:tblStylePr w:type="lastRow">
      <w:rPr>
        <w:b/>
        <w:bCs/>
      </w:rPr>
      <w:tcPr>
        <w:tcBorders>
          <w:top w:val="single" w:color="78C0D4"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A5D5E2"/>
      </w:tcPr>
    </w:tblStylePr>
    <w:tblStylePr w:type="band1Horz">
      <w:tcPr>
        <w:shd w:val="clear" w:color="auto" w:fill="A5D5E2"/>
      </w:tcPr>
    </w:tblStylePr>
  </w:style>
  <w:style w:type="table" w:customStyle="1" w:styleId="363">
    <w:name w:val="彩色底纹 - 强调文字颜色 51"/>
    <w:basedOn w:val="48"/>
    <w:qFormat/>
    <w:uiPriority w:val="0"/>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CellMar>
        <w:top w:w="0" w:type="dxa"/>
        <w:left w:w="108" w:type="dxa"/>
        <w:bottom w:w="0" w:type="dxa"/>
        <w:right w:w="108" w:type="dxa"/>
      </w:tblCellMar>
    </w:tblPr>
    <w:tcPr>
      <w:shd w:val="clear" w:color="auto" w:fill="EDF6F9"/>
    </w:tcPr>
    <w:tblStylePr w:type="firstRow">
      <w:rPr>
        <w:b/>
        <w:bCs/>
      </w:rPr>
      <w:tcPr>
        <w:tcBorders>
          <w:top w:val="nil"/>
          <w:left w:val="single" w:color="F79646" w:sz="24" w:space="0"/>
          <w:bottom w:val="nil"/>
          <w:right w:val="nil"/>
          <w:insideH w:val="nil"/>
          <w:insideV w:val="nil"/>
          <w:tl2br w:val="nil"/>
          <w:tr2bl w:val="nil"/>
        </w:tcBorders>
        <w:shd w:val="clear" w:color="auto" w:fill="FFFFFF"/>
      </w:tcPr>
    </w:tblStylePr>
    <w:tblStylePr w:type="lastRow">
      <w:rPr>
        <w:b/>
        <w:bCs/>
        <w:color w:val="FFFFFF"/>
      </w:rPr>
      <w:tcPr>
        <w:tcBorders>
          <w:top w:val="single" w:color="FFFFFF" w:sz="6" w:space="0"/>
          <w:left w:val="nil"/>
          <w:bottom w:val="nil"/>
          <w:right w:val="nil"/>
          <w:insideH w:val="nil"/>
          <w:insideV w:val="nil"/>
          <w:tl2br w:val="nil"/>
          <w:tr2bl w:val="nil"/>
        </w:tcBorders>
        <w:shd w:val="clear" w:color="auto" w:fill="276A7C"/>
      </w:tcPr>
    </w:tblStylePr>
    <w:tblStylePr w:type="firstCol">
      <w:rPr>
        <w:color w:val="FFFFFF"/>
      </w:rPr>
      <w:tcPr>
        <w:tcBorders>
          <w:top w:val="nil"/>
          <w:left w:val="nil"/>
          <w:bottom w:val="nil"/>
          <w:right w:val="nil"/>
          <w:insideH w:val="single" w:sz="4" w:space="0"/>
          <w:insideV w:val="nil"/>
          <w:tl2br w:val="nil"/>
          <w:tr2bl w:val="nil"/>
        </w:tcBorders>
        <w:shd w:val="clear" w:color="auto" w:fill="276A7C"/>
      </w:tcPr>
    </w:tblStylePr>
    <w:tblStylePr w:type="lastCol">
      <w:rPr>
        <w:color w:val="FFFFFF"/>
      </w:rPr>
      <w:tcPr>
        <w:tcBorders>
          <w:top w:val="nil"/>
          <w:left w:val="nil"/>
          <w:bottom w:val="nil"/>
          <w:right w:val="nil"/>
          <w:insideH w:val="nil"/>
          <w:insideV w:val="nil"/>
          <w:tl2br w:val="nil"/>
          <w:tr2bl w:val="nil"/>
        </w:tcBorders>
        <w:shd w:val="clear" w:color="auto" w:fill="276A7C"/>
      </w:tcPr>
    </w:tblStylePr>
    <w:tblStylePr w:type="band1Vert">
      <w:tcPr>
        <w:shd w:val="clear" w:color="auto" w:fill="B6DDE8"/>
      </w:tcPr>
    </w:tblStylePr>
    <w:tblStylePr w:type="band1Horz">
      <w:tcPr>
        <w:shd w:val="clear" w:color="auto" w:fill="A5D5E2"/>
      </w:tcPr>
    </w:tblStylePr>
    <w:tblStylePr w:type="neCell">
      <w:rPr>
        <w:color w:val="000000"/>
      </w:rPr>
    </w:tblStylePr>
    <w:tblStylePr w:type="nwCell">
      <w:rPr>
        <w:color w:val="000000"/>
      </w:rPr>
    </w:tblStylePr>
  </w:style>
  <w:style w:type="table" w:customStyle="1" w:styleId="364">
    <w:name w:val="中等深浅列表 1 - 强调文字颜色 51"/>
    <w:basedOn w:val="48"/>
    <w:qFormat/>
    <w:uiPriority w:val="0"/>
    <w:rPr>
      <w:color w:val="000000"/>
    </w:rPr>
    <w:tblPr>
      <w:tblBorders>
        <w:top w:val="single" w:color="4BACC6" w:sz="8" w:space="0"/>
        <w:bottom w:val="single" w:color="4BACC6" w:sz="8" w:space="0"/>
      </w:tblBorders>
      <w:tblCellMar>
        <w:top w:w="0" w:type="dxa"/>
        <w:left w:w="108" w:type="dxa"/>
        <w:bottom w:w="0" w:type="dxa"/>
        <w:right w:w="108" w:type="dxa"/>
      </w:tblCellMar>
    </w:tblPr>
    <w:tblStylePr w:type="firstRow">
      <w:rPr>
        <w:rFonts w:eastAsia="Calibri" w:cs="Times New Roman"/>
      </w:rPr>
      <w:tcPr>
        <w:tcBorders>
          <w:top w:val="nil"/>
          <w:left w:val="single" w:color="4BACC6" w:sz="8" w:space="0"/>
          <w:bottom w:val="nil"/>
          <w:right w:val="nil"/>
          <w:insideH w:val="nil"/>
          <w:insideV w:val="nil"/>
          <w:tl2br w:val="nil"/>
          <w:tr2bl w:val="nil"/>
        </w:tcBorders>
      </w:tcPr>
    </w:tblStylePr>
    <w:tblStylePr w:type="lastRow">
      <w:rPr>
        <w:b/>
        <w:bCs/>
        <w:color w:val="1F497D"/>
      </w:rPr>
      <w:tcPr>
        <w:tcBorders>
          <w:top w:val="single" w:color="4BACC6" w:sz="8" w:space="0"/>
          <w:left w:val="single" w:color="4BACC6" w:sz="8" w:space="0"/>
          <w:bottom w:val="nil"/>
          <w:right w:val="nil"/>
          <w:insideH w:val="nil"/>
          <w:insideV w:val="nil"/>
          <w:tl2br w:val="nil"/>
          <w:tr2bl w:val="nil"/>
        </w:tcBorders>
      </w:tcPr>
    </w:tblStylePr>
    <w:tblStylePr w:type="firstCol">
      <w:rPr>
        <w:b/>
        <w:bCs/>
      </w:rPr>
    </w:tblStylePr>
    <w:tblStylePr w:type="lastCol">
      <w:rPr>
        <w:b/>
        <w:bCs/>
      </w:rPr>
      <w:tcPr>
        <w:tcBorders>
          <w:top w:val="single" w:color="4BACC6" w:sz="8" w:space="0"/>
          <w:left w:val="single" w:color="4BACC6" w:sz="8" w:space="0"/>
          <w:bottom w:val="nil"/>
          <w:right w:val="nil"/>
          <w:insideH w:val="nil"/>
          <w:insideV w:val="nil"/>
          <w:tl2br w:val="nil"/>
          <w:tr2bl w:val="nil"/>
        </w:tcBorders>
      </w:tcPr>
    </w:tblStylePr>
    <w:tblStylePr w:type="band1Vert">
      <w:tcPr>
        <w:shd w:val="clear" w:color="auto" w:fill="D2EAF1"/>
      </w:tcPr>
    </w:tblStylePr>
    <w:tblStylePr w:type="band1Horz">
      <w:tcPr>
        <w:shd w:val="clear" w:color="auto" w:fill="D2EAF1"/>
      </w:tcPr>
    </w:tblStylePr>
  </w:style>
  <w:style w:type="table" w:customStyle="1" w:styleId="365">
    <w:name w:val="Table Normal"/>
    <w:semiHidden/>
    <w:qFormat/>
    <w:uiPriority w:val="0"/>
    <w:rPr>
      <w:rFonts w:eastAsia="Times New Roman"/>
    </w:rPr>
    <w:tblPr>
      <w:tblCellMar>
        <w:top w:w="0" w:type="dxa"/>
        <w:left w:w="108" w:type="dxa"/>
        <w:bottom w:w="0" w:type="dxa"/>
        <w:right w:w="108" w:type="dxa"/>
      </w:tblCellMar>
    </w:tblPr>
  </w:style>
  <w:style w:type="table" w:customStyle="1" w:styleId="366">
    <w:name w:val="Table Normal1"/>
    <w:semiHidden/>
    <w:qFormat/>
    <w:uiPriority w:val="0"/>
    <w:rPr>
      <w:rFonts w:eastAsia="Times New Roman"/>
    </w:rPr>
    <w:tblPr>
      <w:tblCellMar>
        <w:top w:w="0" w:type="dxa"/>
        <w:left w:w="108" w:type="dxa"/>
        <w:bottom w:w="0" w:type="dxa"/>
        <w:right w:w="108" w:type="dxa"/>
      </w:tblCellMar>
    </w:tblPr>
  </w:style>
  <w:style w:type="table" w:customStyle="1" w:styleId="367">
    <w:name w:val="彩色列表 - 着色 1"/>
    <w:basedOn w:val="48"/>
    <w:qFormat/>
    <w:uiPriority w:val="0"/>
    <w:rPr>
      <w:rFonts w:ascii="Calibri" w:hAnsi="Calibri"/>
      <w:kern w:val="2"/>
      <w:sz w:val="21"/>
      <w:szCs w:val="22"/>
    </w:rPr>
    <w:tblPr>
      <w:tblCellMar>
        <w:top w:w="0" w:type="dxa"/>
        <w:left w:w="108" w:type="dxa"/>
        <w:bottom w:w="0" w:type="dxa"/>
        <w:right w:w="108" w:type="dxa"/>
      </w:tblCellMar>
    </w:tblPr>
    <w:tcPr>
      <w:shd w:val="clear" w:color="auto" w:fill="EEF5FB"/>
    </w:tcPr>
    <w:tblStylePr w:type="firstRow">
      <w:tcPr>
        <w:tcBorders>
          <w:top w:val="nil"/>
          <w:left w:val="single" w:color="FFFFFF" w:sz="12" w:space="0"/>
          <w:bottom w:val="nil"/>
          <w:right w:val="nil"/>
          <w:insideH w:val="nil"/>
          <w:insideV w:val="nil"/>
          <w:tl2br w:val="nil"/>
          <w:tr2bl w:val="nil"/>
        </w:tcBorders>
        <w:shd w:val="clear" w:color="auto" w:fill="D25F12"/>
      </w:tcPr>
    </w:tblStylePr>
    <w:tblStylePr w:type="lastRow">
      <w:tcPr>
        <w:tcBorders>
          <w:top w:val="single" w:color="000000" w:sz="12" w:space="0"/>
          <w:left w:val="nil"/>
          <w:bottom w:val="nil"/>
          <w:right w:val="nil"/>
          <w:insideH w:val="nil"/>
          <w:insideV w:val="nil"/>
          <w:tl2br w:val="nil"/>
          <w:tr2bl w:val="nil"/>
        </w:tcBorders>
        <w:shd w:val="clear" w:color="auto" w:fill="FFFFFF"/>
      </w:tcPr>
    </w:tblStylePr>
    <w:tblStylePr w:type="band1Vert">
      <w:tcPr>
        <w:tcBorders>
          <w:top w:val="nil"/>
          <w:left w:val="nil"/>
          <w:bottom w:val="nil"/>
          <w:right w:val="nil"/>
          <w:insideH w:val="nil"/>
          <w:insideV w:val="nil"/>
          <w:tl2br w:val="nil"/>
          <w:tr2bl w:val="nil"/>
        </w:tcBorders>
        <w:shd w:val="clear" w:color="auto" w:fill="D6E6F4"/>
      </w:tcPr>
    </w:tblStylePr>
    <w:tblStylePr w:type="band1Horz">
      <w:tcPr>
        <w:shd w:val="clear" w:color="auto" w:fill="DEEAF6"/>
      </w:tcPr>
    </w:tblStyle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信念技术论坛</Company>
  <Pages>98</Pages>
  <Words>60422</Words>
  <Characters>70085</Characters>
  <Lines>557</Lines>
  <Paragraphs>156</Paragraphs>
  <TotalTime>0</TotalTime>
  <ScaleCrop>false</ScaleCrop>
  <LinksUpToDate>false</LinksUpToDate>
  <CharactersWithSpaces>71014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2015-01-12T01:23:00Z</dcterms:created>
  <dc:creator>Van Helsing</dc:creator>
  <cp:lastModifiedBy>Administrator</cp:lastModifiedBy>
  <cp:lastPrinted>2022-08-29T00:53:00Z</cp:lastPrinted>
  <dcterms:modified xsi:type="dcterms:W3CDTF">2022-09-02T01:14:02Z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D5C6E92E83594CC2B14123274722AC5D</vt:lpwstr>
  </property>
</Properties>
</file>