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8" w:line="360" w:lineRule="auto"/>
        <w:jc w:val="center"/>
        <w:rPr>
          <w:b/>
          <w:sz w:val="44"/>
          <w:szCs w:val="44"/>
        </w:rPr>
      </w:pPr>
      <w:bookmarkStart w:id="0" w:name="_Toc20907"/>
    </w:p>
    <w:p>
      <w:pPr>
        <w:pStyle w:val="2"/>
      </w:pPr>
    </w:p>
    <w:p>
      <w:pPr>
        <w:spacing w:before="98"/>
        <w:jc w:val="center"/>
        <w:rPr>
          <w:rFonts w:hint="eastAsia"/>
          <w:b/>
          <w:sz w:val="36"/>
          <w:szCs w:val="36"/>
          <w:highlight w:val="none"/>
        </w:rPr>
      </w:pPr>
      <w:r>
        <w:rPr>
          <w:rFonts w:hint="eastAsia"/>
          <w:b/>
          <w:sz w:val="36"/>
          <w:szCs w:val="36"/>
          <w:highlight w:val="none"/>
        </w:rPr>
        <w:t>中共湖州市吴兴区委政法委员会</w:t>
      </w:r>
    </w:p>
    <w:p>
      <w:pPr>
        <w:spacing w:before="98"/>
        <w:jc w:val="center"/>
        <w:rPr>
          <w:rFonts w:hint="eastAsia"/>
          <w:b/>
          <w:sz w:val="36"/>
          <w:szCs w:val="36"/>
          <w:highlight w:val="none"/>
        </w:rPr>
      </w:pPr>
      <w:r>
        <w:rPr>
          <w:rFonts w:hint="eastAsia"/>
          <w:b/>
          <w:sz w:val="36"/>
          <w:szCs w:val="36"/>
          <w:highlight w:val="none"/>
        </w:rPr>
        <w:t>刑事诉讼涉案财物管理项目（2024-2025年度）（重新招标）</w:t>
      </w:r>
    </w:p>
    <w:p>
      <w:pPr>
        <w:spacing w:before="98"/>
        <w:jc w:val="center"/>
        <w:rPr>
          <w:b/>
          <w:sz w:val="36"/>
          <w:szCs w:val="36"/>
          <w:highlight w:val="none"/>
        </w:rPr>
      </w:pPr>
      <w:r>
        <w:rPr>
          <w:rFonts w:hint="eastAsia"/>
          <w:b/>
          <w:sz w:val="36"/>
          <w:szCs w:val="36"/>
          <w:highlight w:val="none"/>
        </w:rPr>
        <w:t>（</w:t>
      </w:r>
      <w:r>
        <w:rPr>
          <w:b/>
          <w:sz w:val="36"/>
          <w:szCs w:val="36"/>
          <w:highlight w:val="none"/>
        </w:rPr>
        <w:t>财政审批编号：</w:t>
      </w:r>
      <w:r>
        <w:rPr>
          <w:rFonts w:hint="eastAsia"/>
          <w:b/>
          <w:sz w:val="36"/>
          <w:szCs w:val="36"/>
          <w:highlight w:val="none"/>
          <w:lang w:eastAsia="zh-CN"/>
        </w:rPr>
        <w:t>临</w:t>
      </w:r>
      <w:r>
        <w:rPr>
          <w:rFonts w:hint="eastAsia"/>
          <w:b/>
          <w:sz w:val="36"/>
          <w:szCs w:val="36"/>
          <w:highlight w:val="none"/>
          <w:lang w:val="en-US" w:eastAsia="zh-CN"/>
        </w:rPr>
        <w:t>[2024]489号</w:t>
      </w:r>
      <w:r>
        <w:rPr>
          <w:rFonts w:hint="eastAsia"/>
          <w:b/>
          <w:sz w:val="36"/>
          <w:szCs w:val="36"/>
          <w:highlight w:val="none"/>
        </w:rPr>
        <w:t>）</w:t>
      </w:r>
    </w:p>
    <w:p>
      <w:pPr>
        <w:spacing w:line="350" w:lineRule="auto"/>
        <w:jc w:val="center"/>
        <w:rPr>
          <w:sz w:val="32"/>
        </w:rPr>
      </w:pPr>
    </w:p>
    <w:p>
      <w:pPr>
        <w:pStyle w:val="19"/>
        <w:ind w:firstLine="320"/>
        <w:rPr>
          <w:sz w:val="32"/>
        </w:rPr>
      </w:pPr>
    </w:p>
    <w:p>
      <w:pPr>
        <w:rPr>
          <w:sz w:val="32"/>
        </w:rPr>
      </w:pPr>
    </w:p>
    <w:p>
      <w:pPr>
        <w:pStyle w:val="19"/>
        <w:ind w:firstLine="320"/>
        <w:rPr>
          <w:sz w:val="32"/>
        </w:rPr>
      </w:pPr>
    </w:p>
    <w:p>
      <w:pPr>
        <w:jc w:val="center"/>
        <w:rPr>
          <w:sz w:val="32"/>
        </w:rPr>
      </w:pPr>
      <w:r>
        <w:rPr>
          <w:rFonts w:hint="eastAsia"/>
          <w:b/>
          <w:bCs/>
          <w:sz w:val="72"/>
          <w:szCs w:val="72"/>
        </w:rPr>
        <w:t>招标文件</w:t>
      </w:r>
    </w:p>
    <w:p>
      <w:pPr>
        <w:rPr>
          <w:sz w:val="32"/>
        </w:rPr>
      </w:pPr>
    </w:p>
    <w:p>
      <w:pPr>
        <w:pStyle w:val="19"/>
        <w:ind w:firstLine="0" w:firstLineChars="0"/>
        <w:rPr>
          <w:sz w:val="32"/>
        </w:rPr>
      </w:pPr>
    </w:p>
    <w:p>
      <w:pPr>
        <w:pStyle w:val="19"/>
        <w:ind w:left="3360" w:leftChars="1200" w:firstLine="217" w:firstLineChars="68"/>
        <w:rPr>
          <w:sz w:val="32"/>
        </w:rPr>
      </w:pPr>
    </w:p>
    <w:p>
      <w:pPr>
        <w:pStyle w:val="19"/>
        <w:ind w:left="3360" w:leftChars="1200" w:firstLine="218" w:firstLineChars="68"/>
        <w:rPr>
          <w:b/>
          <w:sz w:val="32"/>
        </w:rPr>
      </w:pPr>
    </w:p>
    <w:p>
      <w:pPr>
        <w:rPr>
          <w:b/>
          <w:sz w:val="32"/>
        </w:rPr>
      </w:pPr>
    </w:p>
    <w:p>
      <w:pPr>
        <w:pStyle w:val="18"/>
        <w:rPr>
          <w:b/>
          <w:sz w:val="32"/>
        </w:rPr>
      </w:pPr>
    </w:p>
    <w:p/>
    <w:p>
      <w:pPr>
        <w:pStyle w:val="19"/>
        <w:spacing w:line="360" w:lineRule="auto"/>
        <w:ind w:firstLine="0" w:firstLineChars="0"/>
        <w:rPr>
          <w:b/>
          <w:sz w:val="32"/>
        </w:rPr>
      </w:pPr>
    </w:p>
    <w:p>
      <w:pPr>
        <w:pStyle w:val="19"/>
        <w:spacing w:line="360" w:lineRule="auto"/>
        <w:ind w:left="1960" w:leftChars="700" w:firstLine="218" w:firstLineChars="68"/>
        <w:rPr>
          <w:rFonts w:hint="default" w:eastAsia="宋体"/>
          <w:b/>
          <w:sz w:val="32"/>
          <w:lang w:val="en-US" w:eastAsia="zh-CN"/>
        </w:rPr>
      </w:pPr>
      <w:r>
        <w:rPr>
          <w:rFonts w:hint="eastAsia"/>
          <w:b/>
          <w:sz w:val="32"/>
        </w:rPr>
        <w:t>项目编号：XXCG(202</w:t>
      </w:r>
      <w:r>
        <w:rPr>
          <w:rFonts w:hint="eastAsia"/>
          <w:b/>
          <w:sz w:val="32"/>
          <w:lang w:val="en-US" w:eastAsia="zh-CN"/>
        </w:rPr>
        <w:t>4</w:t>
      </w:r>
      <w:r>
        <w:rPr>
          <w:rFonts w:hint="eastAsia"/>
          <w:b/>
          <w:sz w:val="32"/>
        </w:rPr>
        <w:t>)-</w:t>
      </w:r>
      <w:r>
        <w:rPr>
          <w:rFonts w:hint="eastAsia"/>
          <w:b/>
          <w:sz w:val="32"/>
          <w:lang w:val="en-US" w:eastAsia="zh-CN"/>
        </w:rPr>
        <w:t>006</w:t>
      </w:r>
    </w:p>
    <w:p>
      <w:pPr>
        <w:spacing w:line="360" w:lineRule="auto"/>
        <w:ind w:left="1960" w:leftChars="700" w:firstLine="218" w:firstLineChars="68"/>
        <w:rPr>
          <w:rFonts w:hint="eastAsia" w:eastAsia="宋体"/>
          <w:b/>
          <w:sz w:val="32"/>
          <w:lang w:eastAsia="zh-CN"/>
        </w:rPr>
      </w:pPr>
      <w:r>
        <w:rPr>
          <w:rFonts w:hint="eastAsia"/>
          <w:b/>
          <w:sz w:val="32"/>
        </w:rPr>
        <w:t>采购人：</w:t>
      </w:r>
      <w:r>
        <w:rPr>
          <w:rFonts w:hint="eastAsia"/>
          <w:b/>
          <w:sz w:val="32"/>
          <w:lang w:eastAsia="zh-CN"/>
        </w:rPr>
        <w:t>中共湖州市吴兴区委政法委员会</w:t>
      </w:r>
    </w:p>
    <w:p>
      <w:pPr>
        <w:pStyle w:val="19"/>
        <w:spacing w:line="360" w:lineRule="auto"/>
        <w:ind w:left="1960" w:leftChars="700" w:firstLine="218" w:firstLineChars="68"/>
        <w:rPr>
          <w:b/>
          <w:sz w:val="32"/>
        </w:rPr>
      </w:pPr>
      <w:r>
        <w:rPr>
          <w:rFonts w:hint="eastAsia"/>
          <w:b/>
          <w:sz w:val="32"/>
        </w:rPr>
        <w:t>采购代理机构：浙江星兴工程咨询有限公司</w:t>
      </w:r>
    </w:p>
    <w:p>
      <w:pPr>
        <w:pStyle w:val="19"/>
        <w:spacing w:line="360" w:lineRule="auto"/>
        <w:ind w:left="1960" w:leftChars="700" w:firstLine="218" w:firstLineChars="68"/>
        <w:rPr>
          <w:b/>
          <w:sz w:val="44"/>
        </w:rPr>
      </w:pPr>
      <w:r>
        <w:rPr>
          <w:rFonts w:hint="eastAsia"/>
          <w:b/>
          <w:sz w:val="32"/>
        </w:rPr>
        <w:t>日期：</w:t>
      </w:r>
      <w:r>
        <w:rPr>
          <w:rFonts w:hint="eastAsia"/>
          <w:b/>
          <w:sz w:val="32"/>
          <w:highlight w:val="none"/>
        </w:rPr>
        <w:t>202</w:t>
      </w:r>
      <w:r>
        <w:rPr>
          <w:rFonts w:hint="eastAsia"/>
          <w:b/>
          <w:sz w:val="32"/>
          <w:highlight w:val="none"/>
          <w:lang w:val="en-US" w:eastAsia="zh-CN"/>
        </w:rPr>
        <w:t>4</w:t>
      </w:r>
      <w:r>
        <w:rPr>
          <w:rFonts w:hint="eastAsia"/>
          <w:b/>
          <w:sz w:val="32"/>
          <w:highlight w:val="none"/>
        </w:rPr>
        <w:t>年</w:t>
      </w:r>
      <w:r>
        <w:rPr>
          <w:rFonts w:hint="eastAsia"/>
          <w:b/>
          <w:sz w:val="32"/>
          <w:highlight w:val="none"/>
          <w:lang w:val="en-US" w:eastAsia="zh-CN"/>
        </w:rPr>
        <w:t>3</w:t>
      </w:r>
      <w:r>
        <w:rPr>
          <w:rFonts w:hint="eastAsia"/>
          <w:b/>
          <w:sz w:val="32"/>
          <w:highlight w:val="none"/>
        </w:rPr>
        <w:t>月</w:t>
      </w:r>
    </w:p>
    <w:p>
      <w:pPr>
        <w:jc w:val="center"/>
        <w:outlineLvl w:val="0"/>
        <w:rPr>
          <w:rFonts w:ascii="宋体" w:hAnsi="宋体" w:cs="仿宋"/>
          <w:b/>
          <w:sz w:val="44"/>
          <w:szCs w:val="44"/>
        </w:rPr>
      </w:pPr>
    </w:p>
    <w:p>
      <w:pPr>
        <w:rPr>
          <w:rFonts w:ascii="宋体" w:hAnsi="宋体" w:cs="仿宋"/>
          <w:b/>
          <w:sz w:val="44"/>
          <w:szCs w:val="44"/>
        </w:rPr>
      </w:pPr>
      <w:r>
        <w:rPr>
          <w:rFonts w:hint="eastAsia" w:ascii="宋体" w:hAnsi="宋体" w:cs="仿宋"/>
          <w:b/>
          <w:sz w:val="44"/>
          <w:szCs w:val="44"/>
        </w:rPr>
        <w:br w:type="page"/>
      </w:r>
    </w:p>
    <w:p>
      <w:pPr>
        <w:jc w:val="center"/>
        <w:outlineLvl w:val="0"/>
        <w:rPr>
          <w:rFonts w:ascii="宋体" w:hAnsi="宋体" w:cs="仿宋"/>
          <w:b/>
          <w:sz w:val="44"/>
          <w:szCs w:val="44"/>
        </w:rPr>
      </w:pPr>
    </w:p>
    <w:p>
      <w:pPr>
        <w:jc w:val="center"/>
        <w:outlineLvl w:val="0"/>
        <w:rPr>
          <w:rFonts w:ascii="宋体" w:hAnsi="宋体" w:cs="仿宋"/>
          <w:b/>
          <w:sz w:val="44"/>
          <w:szCs w:val="44"/>
        </w:rPr>
      </w:pPr>
    </w:p>
    <w:p>
      <w:pPr>
        <w:jc w:val="center"/>
        <w:outlineLvl w:val="0"/>
        <w:rPr>
          <w:rFonts w:ascii="宋体" w:hAnsi="宋体" w:cs="仿宋"/>
        </w:rPr>
      </w:pPr>
      <w:r>
        <w:rPr>
          <w:rFonts w:hint="eastAsia" w:ascii="宋体" w:hAnsi="宋体" w:cs="仿宋"/>
          <w:b/>
          <w:sz w:val="44"/>
          <w:szCs w:val="44"/>
        </w:rPr>
        <w:t>目  录</w:t>
      </w:r>
      <w:bookmarkEnd w:id="0"/>
    </w:p>
    <w:p>
      <w:pPr>
        <w:tabs>
          <w:tab w:val="left" w:pos="3724"/>
        </w:tabs>
        <w:adjustRightInd w:val="0"/>
        <w:snapToGrid w:val="0"/>
        <w:spacing w:line="360" w:lineRule="auto"/>
        <w:rPr>
          <w:rFonts w:ascii="宋体" w:hAnsi="宋体" w:cs="仿宋"/>
          <w:sz w:val="30"/>
          <w:szCs w:val="30"/>
        </w:rPr>
      </w:pPr>
      <w:r>
        <w:rPr>
          <w:rFonts w:hint="eastAsia" w:ascii="宋体" w:hAnsi="宋体" w:cs="仿宋"/>
          <w:sz w:val="30"/>
          <w:szCs w:val="30"/>
        </w:rPr>
        <w:tab/>
      </w:r>
    </w:p>
    <w:p>
      <w:pPr>
        <w:adjustRightInd w:val="0"/>
        <w:snapToGrid w:val="0"/>
        <w:spacing w:line="360" w:lineRule="auto"/>
        <w:rPr>
          <w:rFonts w:ascii="宋体" w:hAnsi="宋体" w:cs="仿宋"/>
          <w:sz w:val="30"/>
          <w:szCs w:val="30"/>
        </w:rPr>
      </w:pPr>
    </w:p>
    <w:p>
      <w:pPr>
        <w:pStyle w:val="33"/>
        <w:tabs>
          <w:tab w:val="right" w:leader="dot" w:pos="9532"/>
        </w:tabs>
        <w:spacing w:line="360" w:lineRule="auto"/>
        <w:rPr>
          <w:rFonts w:ascii="宋体" w:hAnsi="宋体" w:cs="仿宋"/>
          <w:sz w:val="30"/>
          <w:szCs w:val="30"/>
        </w:rPr>
      </w:pPr>
      <w:r>
        <w:rPr>
          <w:rFonts w:hint="eastAsia" w:ascii="宋体" w:hAnsi="宋体" w:cs="仿宋"/>
          <w:sz w:val="30"/>
          <w:szCs w:val="30"/>
        </w:rPr>
        <w:fldChar w:fldCharType="begin"/>
      </w:r>
      <w:r>
        <w:rPr>
          <w:rFonts w:hint="eastAsia" w:ascii="宋体" w:hAnsi="宋体" w:cs="仿宋"/>
          <w:sz w:val="30"/>
          <w:szCs w:val="30"/>
        </w:rPr>
        <w:instrText xml:space="preserve">TOC \o "1-2" \h \u </w:instrText>
      </w:r>
      <w:r>
        <w:rPr>
          <w:rFonts w:hint="eastAsia" w:ascii="宋体" w:hAnsi="宋体" w:cs="仿宋"/>
          <w:sz w:val="30"/>
          <w:szCs w:val="30"/>
        </w:rPr>
        <w:fldChar w:fldCharType="separate"/>
      </w:r>
      <w:r>
        <w:fldChar w:fldCharType="begin"/>
      </w:r>
      <w:r>
        <w:instrText xml:space="preserve"> HYPERLINK \l "_Toc28990" </w:instrText>
      </w:r>
      <w:r>
        <w:fldChar w:fldCharType="separate"/>
      </w:r>
      <w:r>
        <w:rPr>
          <w:rFonts w:hint="eastAsia" w:ascii="宋体" w:hAnsi="宋体" w:cs="仿宋"/>
          <w:sz w:val="30"/>
          <w:szCs w:val="30"/>
        </w:rPr>
        <w:t>第一章  公开招标采购公告</w:t>
      </w:r>
      <w:r>
        <w:rPr>
          <w:rFonts w:hint="eastAsia" w:ascii="宋体" w:hAnsi="宋体" w:cs="仿宋"/>
          <w:sz w:val="30"/>
          <w:szCs w:val="30"/>
        </w:rPr>
        <w:tab/>
      </w:r>
      <w:r>
        <w:rPr>
          <w:rFonts w:hint="eastAsia" w:ascii="宋体" w:hAnsi="宋体" w:cs="仿宋"/>
          <w:sz w:val="30"/>
          <w:szCs w:val="30"/>
        </w:rPr>
        <w:t>3</w:t>
      </w:r>
      <w:r>
        <w:rPr>
          <w:rFonts w:hint="eastAsia" w:ascii="宋体" w:hAnsi="宋体" w:cs="仿宋"/>
          <w:sz w:val="30"/>
          <w:szCs w:val="30"/>
        </w:rPr>
        <w:fldChar w:fldCharType="end"/>
      </w:r>
    </w:p>
    <w:p>
      <w:pPr>
        <w:pStyle w:val="33"/>
        <w:tabs>
          <w:tab w:val="right" w:leader="dot" w:pos="9532"/>
        </w:tabs>
        <w:spacing w:line="360" w:lineRule="auto"/>
        <w:rPr>
          <w:rFonts w:ascii="宋体" w:hAnsi="宋体" w:cs="仿宋"/>
          <w:sz w:val="30"/>
          <w:szCs w:val="30"/>
        </w:rPr>
      </w:pPr>
      <w:r>
        <w:fldChar w:fldCharType="begin"/>
      </w:r>
      <w:r>
        <w:instrText xml:space="preserve"> HYPERLINK \l "_Toc27574" </w:instrText>
      </w:r>
      <w:r>
        <w:fldChar w:fldCharType="separate"/>
      </w:r>
      <w:r>
        <w:rPr>
          <w:rFonts w:hint="eastAsia" w:ascii="宋体" w:hAnsi="宋体" w:cs="仿宋"/>
          <w:sz w:val="30"/>
          <w:szCs w:val="30"/>
        </w:rPr>
        <w:t>第二章  招标需求</w:t>
      </w:r>
      <w:r>
        <w:rPr>
          <w:rFonts w:hint="eastAsia" w:ascii="宋体" w:hAnsi="宋体" w:cs="仿宋"/>
          <w:sz w:val="30"/>
          <w:szCs w:val="30"/>
        </w:rPr>
        <w:tab/>
      </w:r>
      <w:r>
        <w:rPr>
          <w:rFonts w:hint="eastAsia" w:ascii="宋体" w:hAnsi="宋体" w:cs="仿宋"/>
          <w:sz w:val="30"/>
          <w:szCs w:val="30"/>
        </w:rPr>
        <w:t>9</w:t>
      </w:r>
      <w:r>
        <w:rPr>
          <w:rFonts w:hint="eastAsia" w:ascii="宋体" w:hAnsi="宋体" w:cs="仿宋"/>
          <w:sz w:val="30"/>
          <w:szCs w:val="30"/>
        </w:rPr>
        <w:fldChar w:fldCharType="end"/>
      </w:r>
    </w:p>
    <w:p>
      <w:pPr>
        <w:pStyle w:val="33"/>
        <w:tabs>
          <w:tab w:val="right" w:leader="dot" w:pos="9532"/>
        </w:tabs>
        <w:spacing w:line="360" w:lineRule="auto"/>
        <w:rPr>
          <w:rFonts w:ascii="宋体" w:hAnsi="宋体" w:cs="仿宋"/>
          <w:sz w:val="30"/>
          <w:szCs w:val="30"/>
        </w:rPr>
      </w:pPr>
      <w:r>
        <w:fldChar w:fldCharType="begin"/>
      </w:r>
      <w:r>
        <w:instrText xml:space="preserve"> HYPERLINK \l "_Toc23238" </w:instrText>
      </w:r>
      <w:r>
        <w:fldChar w:fldCharType="separate"/>
      </w:r>
      <w:r>
        <w:rPr>
          <w:rFonts w:hint="eastAsia" w:ascii="宋体" w:hAnsi="宋体" w:cs="仿宋"/>
          <w:sz w:val="30"/>
          <w:szCs w:val="30"/>
        </w:rPr>
        <w:t>第三章  投标供应商须知</w:t>
      </w:r>
      <w:r>
        <w:rPr>
          <w:rFonts w:hint="eastAsia" w:ascii="宋体" w:hAnsi="宋体" w:cs="仿宋"/>
          <w:sz w:val="30"/>
          <w:szCs w:val="30"/>
        </w:rPr>
        <w:tab/>
      </w:r>
      <w:r>
        <w:rPr>
          <w:rFonts w:hint="eastAsia" w:ascii="宋体" w:hAnsi="宋体" w:cs="仿宋"/>
          <w:sz w:val="30"/>
          <w:szCs w:val="30"/>
        </w:rPr>
        <w:t>1</w:t>
      </w:r>
      <w:r>
        <w:rPr>
          <w:rFonts w:hint="eastAsia" w:ascii="宋体" w:hAnsi="宋体" w:cs="仿宋"/>
          <w:sz w:val="30"/>
          <w:szCs w:val="30"/>
        </w:rPr>
        <w:fldChar w:fldCharType="end"/>
      </w:r>
      <w:r>
        <w:rPr>
          <w:rFonts w:hint="eastAsia" w:ascii="宋体" w:hAnsi="宋体" w:cs="仿宋"/>
          <w:sz w:val="30"/>
          <w:szCs w:val="30"/>
        </w:rPr>
        <w:t>3</w:t>
      </w:r>
    </w:p>
    <w:p>
      <w:pPr>
        <w:pStyle w:val="37"/>
        <w:tabs>
          <w:tab w:val="right" w:leader="dot" w:pos="9532"/>
        </w:tabs>
        <w:spacing w:line="360" w:lineRule="auto"/>
        <w:ind w:left="560"/>
        <w:rPr>
          <w:rFonts w:ascii="宋体" w:hAnsi="宋体" w:cs="仿宋"/>
          <w:sz w:val="30"/>
          <w:szCs w:val="30"/>
        </w:rPr>
      </w:pPr>
      <w:r>
        <w:fldChar w:fldCharType="begin"/>
      </w:r>
      <w:r>
        <w:instrText xml:space="preserve"> HYPERLINK \l "_Toc9577" </w:instrText>
      </w:r>
      <w:r>
        <w:fldChar w:fldCharType="separate"/>
      </w:r>
      <w:r>
        <w:rPr>
          <w:rFonts w:hint="eastAsia" w:ascii="宋体" w:hAnsi="宋体" w:cs="仿宋"/>
          <w:sz w:val="30"/>
          <w:szCs w:val="30"/>
        </w:rPr>
        <w:t>一、总  则</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_Toc9577 </w:instrText>
      </w:r>
      <w:r>
        <w:rPr>
          <w:rFonts w:hint="eastAsia" w:ascii="宋体" w:hAnsi="宋体" w:cs="仿宋"/>
          <w:sz w:val="30"/>
          <w:szCs w:val="30"/>
        </w:rPr>
        <w:fldChar w:fldCharType="separate"/>
      </w:r>
      <w:r>
        <w:rPr>
          <w:rFonts w:hint="eastAsia" w:ascii="宋体" w:hAnsi="宋体" w:cs="仿宋"/>
          <w:sz w:val="30"/>
          <w:szCs w:val="30"/>
        </w:rPr>
        <w:t>13</w:t>
      </w:r>
      <w:r>
        <w:rPr>
          <w:rFonts w:hint="eastAsia" w:ascii="宋体" w:hAnsi="宋体" w:cs="仿宋"/>
          <w:sz w:val="30"/>
          <w:szCs w:val="30"/>
        </w:rPr>
        <w:fldChar w:fldCharType="end"/>
      </w:r>
      <w:r>
        <w:rPr>
          <w:rFonts w:hint="eastAsia" w:ascii="宋体" w:hAnsi="宋体" w:cs="仿宋"/>
          <w:sz w:val="30"/>
          <w:szCs w:val="30"/>
        </w:rPr>
        <w:fldChar w:fldCharType="end"/>
      </w:r>
    </w:p>
    <w:p>
      <w:pPr>
        <w:pStyle w:val="37"/>
        <w:tabs>
          <w:tab w:val="right" w:leader="dot" w:pos="9532"/>
        </w:tabs>
        <w:spacing w:line="360" w:lineRule="auto"/>
        <w:ind w:left="560"/>
        <w:rPr>
          <w:rFonts w:ascii="宋体" w:hAnsi="宋体" w:cs="仿宋"/>
          <w:sz w:val="30"/>
          <w:szCs w:val="30"/>
        </w:rPr>
      </w:pPr>
      <w:r>
        <w:fldChar w:fldCharType="begin"/>
      </w:r>
      <w:r>
        <w:instrText xml:space="preserve"> HYPERLINK \l "_Toc13309" </w:instrText>
      </w:r>
      <w:r>
        <w:fldChar w:fldCharType="separate"/>
      </w:r>
      <w:r>
        <w:rPr>
          <w:rFonts w:hint="eastAsia" w:ascii="宋体" w:hAnsi="宋体" w:cs="仿宋"/>
          <w:sz w:val="30"/>
          <w:szCs w:val="30"/>
        </w:rPr>
        <w:t>二、招标文件</w:t>
      </w:r>
      <w:r>
        <w:rPr>
          <w:rFonts w:hint="eastAsia" w:ascii="宋体" w:hAnsi="宋体" w:cs="仿宋"/>
          <w:sz w:val="30"/>
          <w:szCs w:val="30"/>
        </w:rPr>
        <w:tab/>
      </w:r>
      <w:r>
        <w:rPr>
          <w:rFonts w:hint="eastAsia" w:ascii="宋体" w:hAnsi="宋体" w:cs="仿宋"/>
          <w:sz w:val="30"/>
          <w:szCs w:val="30"/>
        </w:rPr>
        <w:t>1</w:t>
      </w:r>
      <w:r>
        <w:rPr>
          <w:rFonts w:hint="eastAsia" w:ascii="宋体" w:hAnsi="宋体" w:cs="仿宋"/>
          <w:sz w:val="30"/>
          <w:szCs w:val="30"/>
        </w:rPr>
        <w:fldChar w:fldCharType="end"/>
      </w:r>
      <w:r>
        <w:rPr>
          <w:rFonts w:hint="eastAsia" w:ascii="宋体" w:hAnsi="宋体" w:cs="仿宋"/>
          <w:sz w:val="30"/>
          <w:szCs w:val="30"/>
        </w:rPr>
        <w:t>8</w:t>
      </w:r>
    </w:p>
    <w:p>
      <w:pPr>
        <w:pStyle w:val="37"/>
        <w:tabs>
          <w:tab w:val="right" w:leader="dot" w:pos="9532"/>
        </w:tabs>
        <w:spacing w:line="360" w:lineRule="auto"/>
        <w:ind w:left="560"/>
        <w:rPr>
          <w:rFonts w:ascii="宋体" w:hAnsi="宋体" w:cs="仿宋"/>
          <w:sz w:val="30"/>
          <w:szCs w:val="30"/>
        </w:rPr>
      </w:pPr>
      <w:r>
        <w:fldChar w:fldCharType="begin"/>
      </w:r>
      <w:r>
        <w:instrText xml:space="preserve"> HYPERLINK \l "_Toc3451" </w:instrText>
      </w:r>
      <w:r>
        <w:fldChar w:fldCharType="separate"/>
      </w:r>
      <w:r>
        <w:rPr>
          <w:rFonts w:hint="eastAsia" w:ascii="宋体" w:hAnsi="宋体" w:cs="仿宋"/>
          <w:sz w:val="30"/>
          <w:szCs w:val="30"/>
        </w:rPr>
        <w:t>三、投标文件的编制要求</w:t>
      </w:r>
      <w:r>
        <w:rPr>
          <w:rFonts w:hint="eastAsia" w:ascii="宋体" w:hAnsi="宋体" w:cs="仿宋"/>
          <w:sz w:val="30"/>
          <w:szCs w:val="30"/>
        </w:rPr>
        <w:tab/>
      </w:r>
      <w:r>
        <w:rPr>
          <w:rFonts w:hint="eastAsia" w:ascii="宋体" w:hAnsi="宋体" w:cs="仿宋"/>
          <w:sz w:val="30"/>
          <w:szCs w:val="30"/>
        </w:rPr>
        <w:t>1</w:t>
      </w:r>
      <w:r>
        <w:rPr>
          <w:rFonts w:hint="eastAsia" w:ascii="宋体" w:hAnsi="宋体" w:cs="仿宋"/>
          <w:sz w:val="30"/>
          <w:szCs w:val="30"/>
        </w:rPr>
        <w:fldChar w:fldCharType="end"/>
      </w:r>
      <w:r>
        <w:rPr>
          <w:rFonts w:hint="eastAsia" w:ascii="宋体" w:hAnsi="宋体" w:cs="仿宋"/>
          <w:sz w:val="30"/>
          <w:szCs w:val="30"/>
        </w:rPr>
        <w:t>9</w:t>
      </w:r>
    </w:p>
    <w:p>
      <w:pPr>
        <w:pStyle w:val="37"/>
        <w:tabs>
          <w:tab w:val="right" w:leader="dot" w:pos="9532"/>
        </w:tabs>
        <w:spacing w:line="360" w:lineRule="auto"/>
        <w:ind w:left="560"/>
        <w:rPr>
          <w:rFonts w:ascii="宋体" w:hAnsi="宋体" w:cs="仿宋"/>
          <w:sz w:val="30"/>
          <w:szCs w:val="30"/>
        </w:rPr>
      </w:pPr>
      <w:r>
        <w:fldChar w:fldCharType="begin"/>
      </w:r>
      <w:r>
        <w:instrText xml:space="preserve"> HYPERLINK \l "_Toc16193" </w:instrText>
      </w:r>
      <w:r>
        <w:fldChar w:fldCharType="separate"/>
      </w:r>
      <w:r>
        <w:rPr>
          <w:rFonts w:hint="eastAsia" w:ascii="宋体" w:hAnsi="宋体" w:cs="仿宋"/>
          <w:sz w:val="30"/>
          <w:szCs w:val="30"/>
        </w:rPr>
        <w:t>四、开标</w:t>
      </w:r>
      <w:r>
        <w:rPr>
          <w:rFonts w:hint="eastAsia" w:ascii="宋体" w:hAnsi="宋体" w:cs="仿宋"/>
          <w:sz w:val="30"/>
          <w:szCs w:val="30"/>
        </w:rPr>
        <w:tab/>
      </w:r>
      <w:r>
        <w:rPr>
          <w:rFonts w:hint="eastAsia" w:ascii="宋体" w:hAnsi="宋体" w:cs="仿宋"/>
          <w:sz w:val="30"/>
          <w:szCs w:val="30"/>
        </w:rPr>
        <w:t>2</w:t>
      </w:r>
      <w:r>
        <w:rPr>
          <w:rFonts w:hint="eastAsia" w:ascii="宋体" w:hAnsi="宋体" w:cs="仿宋"/>
          <w:sz w:val="30"/>
          <w:szCs w:val="30"/>
        </w:rPr>
        <w:fldChar w:fldCharType="end"/>
      </w:r>
      <w:r>
        <w:rPr>
          <w:rFonts w:hint="eastAsia" w:ascii="宋体" w:hAnsi="宋体" w:cs="仿宋"/>
          <w:sz w:val="30"/>
          <w:szCs w:val="30"/>
        </w:rPr>
        <w:t>3</w:t>
      </w:r>
    </w:p>
    <w:p>
      <w:pPr>
        <w:pStyle w:val="37"/>
        <w:tabs>
          <w:tab w:val="right" w:leader="dot" w:pos="9532"/>
        </w:tabs>
        <w:spacing w:line="360" w:lineRule="auto"/>
        <w:ind w:left="560"/>
        <w:rPr>
          <w:rFonts w:ascii="宋体" w:hAnsi="宋体" w:cs="仿宋"/>
          <w:sz w:val="30"/>
          <w:szCs w:val="30"/>
        </w:rPr>
      </w:pPr>
      <w:r>
        <w:fldChar w:fldCharType="begin"/>
      </w:r>
      <w:r>
        <w:instrText xml:space="preserve"> HYPERLINK \l "_Toc17761" </w:instrText>
      </w:r>
      <w:r>
        <w:fldChar w:fldCharType="separate"/>
      </w:r>
      <w:r>
        <w:rPr>
          <w:rFonts w:hint="eastAsia" w:ascii="宋体" w:hAnsi="宋体" w:cs="仿宋"/>
          <w:sz w:val="30"/>
          <w:szCs w:val="30"/>
        </w:rPr>
        <w:t>五、评标</w:t>
      </w:r>
      <w:r>
        <w:rPr>
          <w:rFonts w:hint="eastAsia" w:ascii="宋体" w:hAnsi="宋体" w:cs="仿宋"/>
          <w:sz w:val="30"/>
          <w:szCs w:val="30"/>
        </w:rPr>
        <w:tab/>
      </w:r>
      <w:r>
        <w:rPr>
          <w:rFonts w:hint="eastAsia" w:ascii="宋体" w:hAnsi="宋体" w:cs="仿宋"/>
          <w:sz w:val="30"/>
          <w:szCs w:val="30"/>
        </w:rPr>
        <w:t>2</w:t>
      </w:r>
      <w:r>
        <w:rPr>
          <w:rFonts w:hint="eastAsia" w:ascii="宋体" w:hAnsi="宋体" w:cs="仿宋"/>
          <w:sz w:val="30"/>
          <w:szCs w:val="30"/>
        </w:rPr>
        <w:fldChar w:fldCharType="end"/>
      </w:r>
      <w:r>
        <w:rPr>
          <w:rFonts w:hint="eastAsia" w:ascii="宋体" w:hAnsi="宋体" w:cs="仿宋"/>
          <w:sz w:val="30"/>
          <w:szCs w:val="30"/>
        </w:rPr>
        <w:t>4</w:t>
      </w:r>
    </w:p>
    <w:p>
      <w:pPr>
        <w:pStyle w:val="37"/>
        <w:tabs>
          <w:tab w:val="right" w:leader="dot" w:pos="9532"/>
        </w:tabs>
        <w:spacing w:line="360" w:lineRule="auto"/>
        <w:ind w:left="560"/>
        <w:rPr>
          <w:rFonts w:ascii="宋体" w:hAnsi="宋体" w:cs="仿宋"/>
          <w:sz w:val="30"/>
          <w:szCs w:val="30"/>
        </w:rPr>
      </w:pPr>
      <w:r>
        <w:fldChar w:fldCharType="begin"/>
      </w:r>
      <w:r>
        <w:instrText xml:space="preserve"> HYPERLINK \l "_Toc7711" </w:instrText>
      </w:r>
      <w:r>
        <w:fldChar w:fldCharType="separate"/>
      </w:r>
      <w:r>
        <w:rPr>
          <w:rFonts w:hint="eastAsia" w:ascii="宋体" w:hAnsi="宋体" w:cs="仿宋"/>
          <w:sz w:val="30"/>
          <w:szCs w:val="30"/>
        </w:rPr>
        <w:t>六、定标</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_Toc7711 </w:instrText>
      </w:r>
      <w:r>
        <w:rPr>
          <w:rFonts w:hint="eastAsia" w:ascii="宋体" w:hAnsi="宋体" w:cs="仿宋"/>
          <w:sz w:val="30"/>
          <w:szCs w:val="30"/>
        </w:rPr>
        <w:fldChar w:fldCharType="separate"/>
      </w:r>
      <w:r>
        <w:rPr>
          <w:rFonts w:hint="eastAsia" w:ascii="宋体" w:hAnsi="宋体" w:cs="仿宋"/>
          <w:sz w:val="30"/>
          <w:szCs w:val="30"/>
        </w:rPr>
        <w:t>29</w:t>
      </w:r>
      <w:r>
        <w:rPr>
          <w:rFonts w:hint="eastAsia" w:ascii="宋体" w:hAnsi="宋体" w:cs="仿宋"/>
          <w:sz w:val="30"/>
          <w:szCs w:val="30"/>
        </w:rPr>
        <w:fldChar w:fldCharType="end"/>
      </w:r>
      <w:r>
        <w:rPr>
          <w:rFonts w:hint="eastAsia" w:ascii="宋体" w:hAnsi="宋体" w:cs="仿宋"/>
          <w:sz w:val="30"/>
          <w:szCs w:val="30"/>
        </w:rPr>
        <w:fldChar w:fldCharType="end"/>
      </w:r>
    </w:p>
    <w:p>
      <w:pPr>
        <w:pStyle w:val="37"/>
        <w:tabs>
          <w:tab w:val="right" w:leader="dot" w:pos="9532"/>
        </w:tabs>
        <w:spacing w:line="360" w:lineRule="auto"/>
        <w:ind w:left="560"/>
        <w:rPr>
          <w:rFonts w:ascii="宋体" w:hAnsi="宋体" w:cs="仿宋"/>
          <w:sz w:val="30"/>
          <w:szCs w:val="30"/>
        </w:rPr>
      </w:pPr>
      <w:r>
        <w:fldChar w:fldCharType="begin"/>
      </w:r>
      <w:r>
        <w:instrText xml:space="preserve"> HYPERLINK \l "_Toc23098" </w:instrText>
      </w:r>
      <w:r>
        <w:fldChar w:fldCharType="separate"/>
      </w:r>
      <w:r>
        <w:rPr>
          <w:rFonts w:hint="eastAsia" w:ascii="宋体" w:hAnsi="宋体" w:cs="仿宋"/>
          <w:sz w:val="30"/>
          <w:szCs w:val="30"/>
        </w:rPr>
        <w:t>七、合同授予</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_Toc23098 </w:instrText>
      </w:r>
      <w:r>
        <w:rPr>
          <w:rFonts w:hint="eastAsia" w:ascii="宋体" w:hAnsi="宋体" w:cs="仿宋"/>
          <w:sz w:val="30"/>
          <w:szCs w:val="30"/>
        </w:rPr>
        <w:fldChar w:fldCharType="separate"/>
      </w:r>
      <w:r>
        <w:rPr>
          <w:rFonts w:hint="eastAsia" w:ascii="宋体" w:hAnsi="宋体" w:cs="仿宋"/>
          <w:sz w:val="30"/>
          <w:szCs w:val="30"/>
        </w:rPr>
        <w:t>30</w:t>
      </w:r>
      <w:r>
        <w:rPr>
          <w:rFonts w:hint="eastAsia" w:ascii="宋体" w:hAnsi="宋体" w:cs="仿宋"/>
          <w:sz w:val="30"/>
          <w:szCs w:val="30"/>
        </w:rPr>
        <w:fldChar w:fldCharType="end"/>
      </w:r>
      <w:r>
        <w:rPr>
          <w:rFonts w:hint="eastAsia" w:ascii="宋体" w:hAnsi="宋体" w:cs="仿宋"/>
          <w:sz w:val="30"/>
          <w:szCs w:val="30"/>
        </w:rPr>
        <w:fldChar w:fldCharType="end"/>
      </w:r>
    </w:p>
    <w:p>
      <w:pPr>
        <w:pStyle w:val="33"/>
        <w:tabs>
          <w:tab w:val="right" w:leader="dot" w:pos="9532"/>
        </w:tabs>
        <w:spacing w:line="360" w:lineRule="auto"/>
        <w:rPr>
          <w:rFonts w:ascii="宋体" w:hAnsi="宋体" w:cs="仿宋"/>
          <w:sz w:val="30"/>
          <w:szCs w:val="30"/>
        </w:rPr>
      </w:pPr>
      <w:r>
        <w:fldChar w:fldCharType="begin"/>
      </w:r>
      <w:r>
        <w:instrText xml:space="preserve"> HYPERLINK \l "_Toc31705" </w:instrText>
      </w:r>
      <w:r>
        <w:fldChar w:fldCharType="separate"/>
      </w:r>
      <w:r>
        <w:rPr>
          <w:rFonts w:hint="eastAsia" w:ascii="宋体" w:hAnsi="宋体" w:cs="仿宋"/>
          <w:sz w:val="30"/>
          <w:szCs w:val="30"/>
        </w:rPr>
        <w:t>第四章  评标办法及评分标准</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_Toc31705 </w:instrText>
      </w:r>
      <w:r>
        <w:rPr>
          <w:rFonts w:hint="eastAsia" w:ascii="宋体" w:hAnsi="宋体" w:cs="仿宋"/>
          <w:sz w:val="30"/>
          <w:szCs w:val="30"/>
        </w:rPr>
        <w:fldChar w:fldCharType="separate"/>
      </w:r>
      <w:r>
        <w:rPr>
          <w:rFonts w:hint="eastAsia" w:ascii="宋体" w:hAnsi="宋体" w:cs="仿宋"/>
          <w:sz w:val="30"/>
          <w:szCs w:val="30"/>
        </w:rPr>
        <w:t>31</w:t>
      </w:r>
      <w:r>
        <w:rPr>
          <w:rFonts w:hint="eastAsia" w:ascii="宋体" w:hAnsi="宋体" w:cs="仿宋"/>
          <w:sz w:val="30"/>
          <w:szCs w:val="30"/>
        </w:rPr>
        <w:fldChar w:fldCharType="end"/>
      </w:r>
      <w:r>
        <w:rPr>
          <w:rFonts w:hint="eastAsia" w:ascii="宋体" w:hAnsi="宋体" w:cs="仿宋"/>
          <w:sz w:val="30"/>
          <w:szCs w:val="30"/>
        </w:rPr>
        <w:fldChar w:fldCharType="end"/>
      </w:r>
    </w:p>
    <w:p>
      <w:pPr>
        <w:pStyle w:val="33"/>
        <w:tabs>
          <w:tab w:val="right" w:leader="dot" w:pos="9532"/>
        </w:tabs>
        <w:spacing w:line="360" w:lineRule="auto"/>
        <w:rPr>
          <w:rFonts w:ascii="宋体" w:hAnsi="宋体" w:cs="仿宋"/>
          <w:sz w:val="30"/>
          <w:szCs w:val="30"/>
        </w:rPr>
      </w:pPr>
      <w:r>
        <w:fldChar w:fldCharType="begin"/>
      </w:r>
      <w:r>
        <w:instrText xml:space="preserve"> HYPERLINK \l "_Toc16549" </w:instrText>
      </w:r>
      <w:r>
        <w:fldChar w:fldCharType="separate"/>
      </w:r>
      <w:r>
        <w:rPr>
          <w:rFonts w:hint="eastAsia" w:ascii="宋体" w:hAnsi="宋体" w:cs="仿宋"/>
          <w:sz w:val="30"/>
          <w:szCs w:val="30"/>
        </w:rPr>
        <w:t>第五章  合同主要条款</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_Toc16549 </w:instrText>
      </w:r>
      <w:r>
        <w:rPr>
          <w:rFonts w:hint="eastAsia" w:ascii="宋体" w:hAnsi="宋体" w:cs="仿宋"/>
          <w:sz w:val="30"/>
          <w:szCs w:val="30"/>
        </w:rPr>
        <w:fldChar w:fldCharType="separate"/>
      </w:r>
      <w:r>
        <w:rPr>
          <w:rFonts w:hint="eastAsia" w:ascii="宋体" w:hAnsi="宋体" w:cs="仿宋"/>
          <w:sz w:val="30"/>
          <w:szCs w:val="30"/>
        </w:rPr>
        <w:t>35</w:t>
      </w:r>
      <w:r>
        <w:rPr>
          <w:rFonts w:hint="eastAsia" w:ascii="宋体" w:hAnsi="宋体" w:cs="仿宋"/>
          <w:sz w:val="30"/>
          <w:szCs w:val="30"/>
        </w:rPr>
        <w:fldChar w:fldCharType="end"/>
      </w:r>
      <w:r>
        <w:rPr>
          <w:rFonts w:hint="eastAsia" w:ascii="宋体" w:hAnsi="宋体" w:cs="仿宋"/>
          <w:sz w:val="30"/>
          <w:szCs w:val="30"/>
        </w:rPr>
        <w:fldChar w:fldCharType="end"/>
      </w:r>
    </w:p>
    <w:p>
      <w:pPr>
        <w:pStyle w:val="33"/>
        <w:tabs>
          <w:tab w:val="right" w:leader="dot" w:pos="9532"/>
        </w:tabs>
        <w:spacing w:line="360" w:lineRule="auto"/>
        <w:rPr>
          <w:rFonts w:ascii="宋体" w:hAnsi="宋体" w:cs="仿宋"/>
          <w:sz w:val="30"/>
          <w:szCs w:val="30"/>
        </w:rPr>
      </w:pPr>
      <w:r>
        <w:fldChar w:fldCharType="begin"/>
      </w:r>
      <w:r>
        <w:instrText xml:space="preserve"> HYPERLINK \l "_Toc11931" </w:instrText>
      </w:r>
      <w:r>
        <w:fldChar w:fldCharType="separate"/>
      </w:r>
      <w:r>
        <w:rPr>
          <w:rFonts w:hint="eastAsia" w:ascii="宋体" w:hAnsi="宋体" w:cs="仿宋"/>
          <w:sz w:val="30"/>
          <w:szCs w:val="30"/>
        </w:rPr>
        <w:t>第六章  投标文件格式</w:t>
      </w:r>
      <w:r>
        <w:rPr>
          <w:rFonts w:hint="eastAsia" w:ascii="宋体" w:hAnsi="宋体" w:cs="仿宋"/>
          <w:sz w:val="30"/>
          <w:szCs w:val="30"/>
        </w:rPr>
        <w:tab/>
      </w:r>
      <w:r>
        <w:rPr>
          <w:rFonts w:hint="eastAsia" w:ascii="宋体" w:hAnsi="宋体" w:cs="仿宋"/>
          <w:sz w:val="30"/>
          <w:szCs w:val="30"/>
        </w:rPr>
        <w:t>3</w:t>
      </w:r>
      <w:r>
        <w:rPr>
          <w:rFonts w:hint="eastAsia" w:ascii="宋体" w:hAnsi="宋体" w:cs="仿宋"/>
          <w:sz w:val="30"/>
          <w:szCs w:val="30"/>
        </w:rPr>
        <w:fldChar w:fldCharType="end"/>
      </w:r>
      <w:r>
        <w:rPr>
          <w:rFonts w:hint="eastAsia" w:ascii="宋体" w:hAnsi="宋体" w:cs="仿宋"/>
          <w:sz w:val="30"/>
          <w:szCs w:val="30"/>
        </w:rPr>
        <w:t>8</w:t>
      </w:r>
    </w:p>
    <w:p>
      <w:pPr>
        <w:adjustRightInd w:val="0"/>
        <w:snapToGrid w:val="0"/>
        <w:spacing w:line="360" w:lineRule="auto"/>
        <w:ind w:firstLine="600"/>
        <w:rPr>
          <w:rFonts w:ascii="宋体" w:hAnsi="宋体" w:cs="仿宋"/>
          <w:sz w:val="30"/>
          <w:szCs w:val="30"/>
        </w:rPr>
      </w:pPr>
      <w:r>
        <w:rPr>
          <w:rFonts w:hint="eastAsia" w:ascii="宋体" w:hAnsi="宋体" w:cs="仿宋"/>
          <w:sz w:val="30"/>
          <w:szCs w:val="30"/>
        </w:rPr>
        <w:fldChar w:fldCharType="end"/>
      </w:r>
    </w:p>
    <w:p>
      <w:pPr>
        <w:adjustRightInd w:val="0"/>
        <w:snapToGrid w:val="0"/>
        <w:spacing w:line="360" w:lineRule="auto"/>
        <w:ind w:firstLine="600"/>
        <w:rPr>
          <w:rFonts w:ascii="宋体" w:hAnsi="宋体" w:cs="仿宋"/>
          <w:sz w:val="30"/>
          <w:szCs w:val="30"/>
        </w:rPr>
      </w:pPr>
    </w:p>
    <w:p>
      <w:pPr>
        <w:adjustRightInd w:val="0"/>
        <w:snapToGrid w:val="0"/>
        <w:spacing w:line="360" w:lineRule="auto"/>
        <w:ind w:firstLine="600"/>
        <w:rPr>
          <w:rFonts w:ascii="宋体" w:hAnsi="宋体" w:cs="仿宋"/>
          <w:sz w:val="30"/>
          <w:szCs w:val="30"/>
        </w:rPr>
      </w:pPr>
    </w:p>
    <w:p>
      <w:pPr>
        <w:adjustRightInd w:val="0"/>
        <w:snapToGrid w:val="0"/>
        <w:spacing w:line="360" w:lineRule="auto"/>
        <w:ind w:firstLine="600"/>
        <w:rPr>
          <w:rFonts w:ascii="宋体" w:hAnsi="宋体" w:cs="仿宋"/>
          <w:sz w:val="30"/>
          <w:szCs w:val="30"/>
        </w:rPr>
      </w:pPr>
    </w:p>
    <w:p>
      <w:pPr>
        <w:adjustRightInd w:val="0"/>
        <w:snapToGrid w:val="0"/>
        <w:spacing w:line="360" w:lineRule="auto"/>
        <w:ind w:firstLine="600"/>
        <w:rPr>
          <w:rFonts w:ascii="宋体" w:hAnsi="宋体" w:cs="仿宋"/>
          <w:sz w:val="30"/>
          <w:szCs w:val="30"/>
        </w:rPr>
      </w:pPr>
    </w:p>
    <w:p>
      <w:pPr>
        <w:adjustRightInd w:val="0"/>
        <w:snapToGrid w:val="0"/>
        <w:spacing w:line="360" w:lineRule="auto"/>
        <w:ind w:firstLine="600"/>
        <w:rPr>
          <w:rFonts w:ascii="宋体" w:hAnsi="宋体" w:cs="仿宋"/>
          <w:sz w:val="30"/>
          <w:szCs w:val="30"/>
        </w:rPr>
      </w:pPr>
    </w:p>
    <w:p>
      <w:pPr>
        <w:jc w:val="center"/>
        <w:outlineLvl w:val="0"/>
        <w:rPr>
          <w:rFonts w:ascii="宋体" w:hAnsi="宋体" w:cs="仿宋"/>
          <w:b/>
          <w:sz w:val="44"/>
          <w:szCs w:val="44"/>
        </w:rPr>
      </w:pPr>
      <w:r>
        <w:rPr>
          <w:rFonts w:hint="eastAsia" w:ascii="宋体" w:hAnsi="宋体" w:cs="仿宋"/>
          <w:b/>
          <w:sz w:val="44"/>
          <w:szCs w:val="44"/>
        </w:rPr>
        <w:br w:type="page"/>
      </w:r>
      <w:bookmarkStart w:id="1" w:name="_Toc28990"/>
      <w:r>
        <w:rPr>
          <w:rFonts w:hint="eastAsia" w:ascii="宋体" w:hAnsi="宋体" w:cs="仿宋"/>
          <w:b/>
          <w:sz w:val="44"/>
          <w:szCs w:val="44"/>
        </w:rPr>
        <w:t>第一章 公开招标采购公告</w:t>
      </w:r>
      <w:bookmarkEnd w:id="1"/>
    </w:p>
    <w:p>
      <w:pPr>
        <w:pStyle w:val="28"/>
        <w:adjustRightInd w:val="0"/>
        <w:snapToGrid w:val="0"/>
        <w:spacing w:line="360" w:lineRule="auto"/>
        <w:ind w:firstLine="480"/>
        <w:rPr>
          <w:rFonts w:cs="宋体"/>
          <w:sz w:val="24"/>
          <w:szCs w:val="24"/>
        </w:rPr>
      </w:pPr>
      <w:r>
        <w:rPr>
          <w:rFonts w:hint="eastAsia" w:cs="宋体"/>
          <w:sz w:val="24"/>
          <w:szCs w:val="24"/>
        </w:rPr>
        <w:t>根据《中华人民共和国政府采购法》等规定，经</w:t>
      </w:r>
      <w:r>
        <w:rPr>
          <w:rFonts w:hint="eastAsia" w:cs="宋体"/>
          <w:kern w:val="0"/>
          <w:sz w:val="24"/>
          <w:u w:val="single"/>
          <w:lang w:eastAsia="zh-CN"/>
        </w:rPr>
        <w:t>湖州市吴兴区财政局</w:t>
      </w:r>
      <w:r>
        <w:rPr>
          <w:rFonts w:hint="eastAsia" w:cs="宋体"/>
          <w:sz w:val="24"/>
          <w:szCs w:val="24"/>
        </w:rPr>
        <w:t>批准（财政审批编号:</w:t>
      </w:r>
      <w:r>
        <w:rPr>
          <w:rFonts w:hint="eastAsia" w:cs="宋体"/>
          <w:sz w:val="24"/>
          <w:szCs w:val="24"/>
          <w:lang w:eastAsia="zh-CN"/>
        </w:rPr>
        <w:t>临</w:t>
      </w:r>
      <w:r>
        <w:rPr>
          <w:rFonts w:hint="eastAsia" w:cs="宋体"/>
          <w:sz w:val="24"/>
          <w:szCs w:val="24"/>
          <w:lang w:val="en-US" w:eastAsia="zh-CN"/>
        </w:rPr>
        <w:t>[2024]489号</w:t>
      </w:r>
      <w:r>
        <w:rPr>
          <w:rFonts w:hint="eastAsia" w:cs="宋体"/>
          <w:sz w:val="24"/>
          <w:szCs w:val="24"/>
        </w:rPr>
        <w:t>），</w:t>
      </w:r>
      <w:r>
        <w:rPr>
          <w:rFonts w:hint="eastAsia" w:cs="宋体"/>
          <w:sz w:val="24"/>
          <w:szCs w:val="24"/>
          <w:u w:val="single"/>
        </w:rPr>
        <w:t>浙江星兴工程咨询有限公司</w:t>
      </w:r>
      <w:r>
        <w:rPr>
          <w:rFonts w:hint="eastAsia" w:cs="宋体"/>
          <w:sz w:val="24"/>
          <w:szCs w:val="24"/>
        </w:rPr>
        <w:t>受</w:t>
      </w:r>
      <w:r>
        <w:rPr>
          <w:rFonts w:hint="eastAsia" w:ascii="宋体" w:hAnsi="宋体" w:cs="宋体"/>
          <w:color w:val="000000"/>
          <w:sz w:val="24"/>
          <w:u w:val="single"/>
        </w:rPr>
        <w:t>中共湖州市吴兴区委政法委员会</w:t>
      </w:r>
      <w:r>
        <w:rPr>
          <w:rFonts w:hint="eastAsia" w:cs="宋体"/>
          <w:sz w:val="24"/>
          <w:szCs w:val="24"/>
        </w:rPr>
        <w:t>委托，现就</w:t>
      </w:r>
      <w:r>
        <w:rPr>
          <w:rFonts w:hint="eastAsia" w:cs="宋体"/>
          <w:sz w:val="24"/>
          <w:szCs w:val="24"/>
          <w:u w:val="single"/>
        </w:rPr>
        <w:t>中共湖州市吴兴区委政法委员会刑事诉讼涉案财物管理项目（2024-2025年度）（重新招标）</w:t>
      </w:r>
      <w:r>
        <w:rPr>
          <w:rFonts w:hint="eastAsia" w:cs="宋体"/>
          <w:sz w:val="24"/>
          <w:szCs w:val="24"/>
        </w:rPr>
        <w:t>进行公开招标采购，欢迎中华人民共和国境内的合格投标供应商前来参加投标。</w:t>
      </w:r>
    </w:p>
    <w:p>
      <w:pPr>
        <w:pStyle w:val="28"/>
        <w:adjustRightInd w:val="0"/>
        <w:snapToGrid w:val="0"/>
        <w:spacing w:line="360" w:lineRule="auto"/>
        <w:ind w:firstLine="482"/>
        <w:outlineLvl w:val="1"/>
        <w:rPr>
          <w:rFonts w:hint="default" w:eastAsia="宋体" w:cs="宋体"/>
          <w:sz w:val="24"/>
          <w:szCs w:val="24"/>
          <w:lang w:val="en-US" w:eastAsia="zh-CN"/>
        </w:rPr>
      </w:pPr>
      <w:bookmarkStart w:id="2" w:name="_Toc7519"/>
      <w:r>
        <w:rPr>
          <w:rFonts w:hint="eastAsia" w:cs="宋体"/>
          <w:b/>
          <w:sz w:val="24"/>
          <w:szCs w:val="24"/>
        </w:rPr>
        <w:t>一、项目编号：</w:t>
      </w:r>
      <w:bookmarkEnd w:id="2"/>
      <w:r>
        <w:rPr>
          <w:rFonts w:hint="eastAsia" w:cs="宋体"/>
          <w:sz w:val="24"/>
          <w:szCs w:val="24"/>
        </w:rPr>
        <w:t>XXCG(202</w:t>
      </w:r>
      <w:r>
        <w:rPr>
          <w:rFonts w:hint="eastAsia" w:cs="宋体"/>
          <w:sz w:val="24"/>
          <w:szCs w:val="24"/>
          <w:lang w:val="en-US" w:eastAsia="zh-CN"/>
        </w:rPr>
        <w:t>4</w:t>
      </w:r>
      <w:r>
        <w:rPr>
          <w:rFonts w:hint="eastAsia" w:cs="宋体"/>
          <w:sz w:val="24"/>
          <w:szCs w:val="24"/>
        </w:rPr>
        <w:t>)-</w:t>
      </w:r>
      <w:r>
        <w:rPr>
          <w:rFonts w:hint="eastAsia" w:cs="宋体"/>
          <w:sz w:val="24"/>
          <w:szCs w:val="24"/>
          <w:lang w:val="en-US" w:eastAsia="zh-CN"/>
        </w:rPr>
        <w:t>006</w:t>
      </w:r>
    </w:p>
    <w:p>
      <w:pPr>
        <w:pStyle w:val="28"/>
        <w:adjustRightInd w:val="0"/>
        <w:snapToGrid w:val="0"/>
        <w:spacing w:line="360" w:lineRule="auto"/>
        <w:ind w:firstLine="482"/>
        <w:outlineLvl w:val="1"/>
        <w:rPr>
          <w:rFonts w:cs="宋体"/>
          <w:sz w:val="24"/>
          <w:szCs w:val="24"/>
        </w:rPr>
      </w:pPr>
      <w:bookmarkStart w:id="3" w:name="_Toc3936"/>
      <w:r>
        <w:rPr>
          <w:rFonts w:hint="eastAsia" w:cs="宋体"/>
          <w:b/>
          <w:sz w:val="24"/>
          <w:szCs w:val="24"/>
        </w:rPr>
        <w:t>二、项目组织类型：</w:t>
      </w:r>
      <w:r>
        <w:rPr>
          <w:rFonts w:hint="eastAsia" w:cs="宋体"/>
          <w:sz w:val="24"/>
          <w:szCs w:val="24"/>
        </w:rPr>
        <w:t>分散采购-委托代理</w:t>
      </w:r>
      <w:bookmarkEnd w:id="3"/>
    </w:p>
    <w:p>
      <w:pPr>
        <w:pStyle w:val="28"/>
        <w:adjustRightInd w:val="0"/>
        <w:snapToGrid w:val="0"/>
        <w:spacing w:line="360" w:lineRule="auto"/>
        <w:ind w:firstLine="482"/>
        <w:outlineLvl w:val="1"/>
        <w:rPr>
          <w:rFonts w:cs="宋体"/>
          <w:sz w:val="24"/>
          <w:szCs w:val="24"/>
        </w:rPr>
      </w:pPr>
      <w:bookmarkStart w:id="4" w:name="_Toc20830"/>
      <w:r>
        <w:rPr>
          <w:rFonts w:hint="eastAsia" w:cs="宋体"/>
          <w:b/>
          <w:sz w:val="24"/>
          <w:szCs w:val="24"/>
        </w:rPr>
        <w:t>三、招标方式：</w:t>
      </w:r>
      <w:r>
        <w:rPr>
          <w:rFonts w:hint="eastAsia" w:cs="宋体"/>
          <w:sz w:val="24"/>
          <w:szCs w:val="24"/>
        </w:rPr>
        <w:t>公开招标</w:t>
      </w:r>
      <w:bookmarkEnd w:id="4"/>
    </w:p>
    <w:p>
      <w:pPr>
        <w:pStyle w:val="28"/>
        <w:adjustRightInd w:val="0"/>
        <w:snapToGrid w:val="0"/>
        <w:spacing w:line="360" w:lineRule="auto"/>
        <w:ind w:firstLine="482"/>
        <w:outlineLvl w:val="1"/>
        <w:rPr>
          <w:rFonts w:cs="宋体"/>
          <w:b/>
          <w:sz w:val="24"/>
          <w:szCs w:val="24"/>
        </w:rPr>
      </w:pPr>
      <w:bookmarkStart w:id="5" w:name="_Toc4561"/>
      <w:r>
        <w:rPr>
          <w:rFonts w:hint="eastAsia" w:cs="宋体"/>
          <w:b/>
          <w:sz w:val="24"/>
          <w:szCs w:val="24"/>
        </w:rPr>
        <w:t>四、采购内容及预算：</w:t>
      </w:r>
      <w:bookmarkEnd w:id="5"/>
    </w:p>
    <w:tbl>
      <w:tblPr>
        <w:tblStyle w:val="42"/>
        <w:tblW w:w="9117" w:type="dxa"/>
        <w:jc w:val="center"/>
        <w:tblLayout w:type="fixed"/>
        <w:tblCellMar>
          <w:top w:w="0" w:type="dxa"/>
          <w:left w:w="10" w:type="dxa"/>
          <w:bottom w:w="0" w:type="dxa"/>
          <w:right w:w="10" w:type="dxa"/>
        </w:tblCellMar>
      </w:tblPr>
      <w:tblGrid>
        <w:gridCol w:w="688"/>
        <w:gridCol w:w="3576"/>
        <w:gridCol w:w="1080"/>
        <w:gridCol w:w="1560"/>
        <w:gridCol w:w="1275"/>
        <w:gridCol w:w="938"/>
      </w:tblGrid>
      <w:tr>
        <w:tblPrEx>
          <w:tblCellMar>
            <w:top w:w="0" w:type="dxa"/>
            <w:left w:w="10" w:type="dxa"/>
            <w:bottom w:w="0" w:type="dxa"/>
            <w:right w:w="10" w:type="dxa"/>
          </w:tblCellMar>
        </w:tblPrEx>
        <w:trPr>
          <w:trHeight w:val="694"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2"/>
              <w:jc w:val="center"/>
              <w:rPr>
                <w:rFonts w:ascii="宋体" w:hAnsi="宋体" w:cs="宋体"/>
                <w:color w:val="000000"/>
                <w:kern w:val="0"/>
                <w:sz w:val="24"/>
                <w:u w:val="none"/>
              </w:rPr>
            </w:pPr>
            <w:bookmarkStart w:id="6" w:name="_Toc4575"/>
            <w:r>
              <w:rPr>
                <w:rFonts w:hint="eastAsia" w:ascii="宋体" w:hAnsi="宋体" w:cs="宋体"/>
                <w:color w:val="000000"/>
                <w:kern w:val="0"/>
                <w:sz w:val="24"/>
                <w:u w:val="none"/>
              </w:rPr>
              <w:t>序号</w:t>
            </w:r>
          </w:p>
        </w:tc>
        <w:tc>
          <w:tcPr>
            <w:tcW w:w="35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2"/>
              <w:jc w:val="center"/>
              <w:rPr>
                <w:rFonts w:ascii="宋体" w:hAnsi="宋体" w:cs="宋体"/>
                <w:color w:val="000000"/>
                <w:kern w:val="0"/>
                <w:sz w:val="24"/>
                <w:u w:val="none"/>
              </w:rPr>
            </w:pPr>
            <w:r>
              <w:rPr>
                <w:rFonts w:hint="eastAsia" w:ascii="宋体" w:hAnsi="宋体" w:cs="宋体"/>
                <w:color w:val="000000"/>
                <w:kern w:val="0"/>
                <w:sz w:val="24"/>
                <w:u w:val="none"/>
              </w:rPr>
              <w:t>项目名称</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2"/>
              <w:jc w:val="center"/>
              <w:rPr>
                <w:rFonts w:ascii="宋体" w:hAnsi="宋体" w:cs="宋体"/>
                <w:color w:val="000000"/>
                <w:kern w:val="0"/>
                <w:sz w:val="24"/>
                <w:u w:val="none"/>
              </w:rPr>
            </w:pPr>
            <w:r>
              <w:rPr>
                <w:rFonts w:hint="eastAsia" w:ascii="宋体" w:hAnsi="宋体" w:cs="宋体"/>
                <w:color w:val="000000"/>
                <w:kern w:val="0"/>
                <w:sz w:val="24"/>
                <w:u w:val="none"/>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right="62"/>
              <w:jc w:val="center"/>
              <w:rPr>
                <w:rFonts w:ascii="宋体" w:hAnsi="宋体" w:cs="宋体"/>
                <w:color w:val="000000"/>
                <w:kern w:val="0"/>
                <w:sz w:val="24"/>
                <w:u w:val="none"/>
              </w:rPr>
            </w:pPr>
            <w:r>
              <w:rPr>
                <w:rFonts w:hint="eastAsia" w:ascii="宋体" w:hAnsi="宋体" w:cs="宋体"/>
                <w:color w:val="000000"/>
                <w:kern w:val="0"/>
                <w:sz w:val="24"/>
                <w:u w:val="none"/>
              </w:rPr>
              <w:t>简要技术要求</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2"/>
              <w:jc w:val="center"/>
              <w:rPr>
                <w:rFonts w:ascii="宋体" w:hAnsi="宋体" w:cs="宋体"/>
                <w:color w:val="000000"/>
                <w:kern w:val="0"/>
                <w:sz w:val="24"/>
                <w:u w:val="none"/>
              </w:rPr>
            </w:pPr>
            <w:r>
              <w:rPr>
                <w:rFonts w:hint="eastAsia" w:ascii="宋体" w:hAnsi="宋体" w:cs="宋体"/>
                <w:color w:val="000000"/>
                <w:kern w:val="0"/>
                <w:sz w:val="24"/>
                <w:u w:val="none"/>
              </w:rPr>
              <w:t>预算金额</w:t>
            </w:r>
          </w:p>
        </w:tc>
        <w:tc>
          <w:tcPr>
            <w:tcW w:w="938" w:type="dxa"/>
            <w:tcBorders>
              <w:top w:val="single" w:color="auto" w:sz="6" w:space="0"/>
              <w:left w:val="single" w:color="auto" w:sz="4" w:space="0"/>
              <w:bottom w:val="single" w:color="auto" w:sz="4" w:space="0"/>
              <w:right w:val="single" w:color="auto" w:sz="6" w:space="0"/>
            </w:tcBorders>
            <w:vAlign w:val="center"/>
          </w:tcPr>
          <w:p>
            <w:pPr>
              <w:widowControl/>
              <w:spacing w:line="400" w:lineRule="exact"/>
              <w:ind w:left="60" w:right="62"/>
              <w:jc w:val="center"/>
              <w:rPr>
                <w:rFonts w:hint="eastAsia" w:ascii="宋体" w:hAnsi="宋体" w:cs="宋体"/>
                <w:color w:val="000000"/>
                <w:kern w:val="0"/>
                <w:sz w:val="24"/>
                <w:u w:val="none"/>
                <w:lang w:eastAsia="zh-CN"/>
              </w:rPr>
            </w:pPr>
            <w:r>
              <w:rPr>
                <w:rFonts w:hint="eastAsia" w:ascii="宋体" w:hAnsi="宋体" w:cs="宋体"/>
                <w:color w:val="000000"/>
                <w:kern w:val="0"/>
                <w:sz w:val="24"/>
                <w:u w:val="none"/>
                <w:lang w:eastAsia="zh-CN"/>
              </w:rPr>
              <w:t>服务期</w:t>
            </w:r>
          </w:p>
        </w:tc>
      </w:tr>
      <w:tr>
        <w:tblPrEx>
          <w:tblCellMar>
            <w:top w:w="0" w:type="dxa"/>
            <w:left w:w="10" w:type="dxa"/>
            <w:bottom w:w="0" w:type="dxa"/>
            <w:right w:w="10" w:type="dxa"/>
          </w:tblCellMar>
        </w:tblPrEx>
        <w:trPr>
          <w:trHeight w:val="1488"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u w:val="none"/>
              </w:rPr>
            </w:pPr>
            <w:r>
              <w:rPr>
                <w:rFonts w:hint="eastAsia" w:ascii="宋体" w:hAnsi="宋体" w:cs="宋体"/>
                <w:color w:val="000000"/>
                <w:kern w:val="0"/>
                <w:sz w:val="24"/>
                <w:u w:val="none"/>
              </w:rPr>
              <w:t>1</w:t>
            </w:r>
          </w:p>
        </w:tc>
        <w:tc>
          <w:tcPr>
            <w:tcW w:w="3576" w:type="dxa"/>
            <w:tcBorders>
              <w:top w:val="single" w:color="auto" w:sz="4" w:space="0"/>
              <w:left w:val="single" w:color="auto" w:sz="4" w:space="0"/>
              <w:bottom w:val="single" w:color="auto" w:sz="4" w:space="0"/>
              <w:right w:val="single" w:color="auto" w:sz="4" w:space="0"/>
            </w:tcBorders>
            <w:vAlign w:val="center"/>
          </w:tcPr>
          <w:p>
            <w:pPr>
              <w:pStyle w:val="100"/>
              <w:spacing w:line="360" w:lineRule="auto"/>
              <w:jc w:val="center"/>
              <w:rPr>
                <w:rFonts w:hint="eastAsia" w:hAnsi="宋体" w:eastAsia="宋体"/>
                <w:u w:val="none"/>
                <w:lang w:eastAsia="zh-CN"/>
              </w:rPr>
            </w:pPr>
            <w:r>
              <w:rPr>
                <w:rFonts w:hint="eastAsia" w:hAnsi="宋体" w:eastAsia="宋体"/>
                <w:u w:val="none"/>
                <w:lang w:eastAsia="zh-CN"/>
              </w:rPr>
              <w:t>中共湖州市吴兴区委政法委员会</w:t>
            </w:r>
          </w:p>
          <w:p>
            <w:pPr>
              <w:pStyle w:val="100"/>
              <w:spacing w:line="360" w:lineRule="auto"/>
              <w:jc w:val="center"/>
              <w:rPr>
                <w:rFonts w:hint="eastAsia" w:hAnsi="宋体" w:eastAsia="宋体"/>
                <w:u w:val="none"/>
                <w:lang w:eastAsia="zh-CN"/>
              </w:rPr>
            </w:pPr>
            <w:r>
              <w:rPr>
                <w:rFonts w:hint="eastAsia" w:hAnsi="宋体" w:eastAsia="宋体"/>
                <w:u w:val="none"/>
                <w:lang w:eastAsia="zh-CN"/>
              </w:rPr>
              <w:t>刑事诉讼涉案财物管理项目（2024-2025年度）（重新招标）</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720"/>
              </w:tabs>
              <w:autoSpaceDE w:val="0"/>
              <w:autoSpaceDN w:val="0"/>
              <w:spacing w:before="67" w:after="67" w:line="360" w:lineRule="auto"/>
              <w:ind w:left="67" w:right="67"/>
              <w:jc w:val="center"/>
              <w:rPr>
                <w:rFonts w:ascii="宋体" w:hAnsi="宋体" w:cs="宋体"/>
                <w:color w:val="000000"/>
                <w:sz w:val="24"/>
                <w:u w:val="none"/>
              </w:rPr>
            </w:pPr>
            <w:r>
              <w:rPr>
                <w:rFonts w:hint="eastAsia" w:ascii="宋体" w:hAnsi="宋体" w:cs="宋体"/>
                <w:color w:val="000000"/>
                <w:sz w:val="24"/>
                <w:u w:val="none"/>
              </w:rPr>
              <w:t>1项</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20"/>
              </w:tabs>
              <w:kinsoku/>
              <w:wordWrap/>
              <w:overflowPunct/>
              <w:topLinePunct w:val="0"/>
              <w:autoSpaceDE w:val="0"/>
              <w:autoSpaceDN w:val="0"/>
              <w:bidi w:val="0"/>
              <w:adjustRightInd/>
              <w:snapToGrid/>
              <w:spacing w:before="67" w:after="67" w:line="360" w:lineRule="auto"/>
              <w:ind w:left="0" w:leftChars="0" w:right="0" w:rightChars="0"/>
              <w:jc w:val="center"/>
              <w:textAlignment w:val="auto"/>
              <w:rPr>
                <w:rFonts w:ascii="宋体" w:hAnsi="宋体" w:cs="宋体"/>
                <w:color w:val="000000"/>
                <w:sz w:val="24"/>
                <w:u w:val="none"/>
              </w:rPr>
            </w:pPr>
            <w:r>
              <w:rPr>
                <w:rFonts w:hint="eastAsia" w:ascii="宋体" w:hAnsi="宋体" w:cs="宋体"/>
                <w:color w:val="000000"/>
                <w:sz w:val="24"/>
                <w:u w:val="none"/>
              </w:rPr>
              <w:t>详见招标文件需求</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720"/>
              </w:tabs>
              <w:autoSpaceDE w:val="0"/>
              <w:autoSpaceDN w:val="0"/>
              <w:spacing w:before="67" w:after="67" w:line="360" w:lineRule="auto"/>
              <w:ind w:left="67" w:right="67"/>
              <w:jc w:val="center"/>
              <w:rPr>
                <w:rFonts w:hint="default" w:ascii="宋体" w:hAnsi="宋体" w:eastAsia="宋体" w:cs="宋体"/>
                <w:color w:val="000000"/>
                <w:sz w:val="24"/>
                <w:u w:val="none"/>
                <w:lang w:val="en-US" w:eastAsia="zh-CN"/>
              </w:rPr>
            </w:pPr>
            <w:r>
              <w:rPr>
                <w:rFonts w:hint="eastAsia" w:ascii="宋体" w:hAnsi="宋体" w:cs="宋体"/>
                <w:color w:val="000000"/>
                <w:sz w:val="24"/>
                <w:u w:val="none"/>
                <w:lang w:val="en-US" w:eastAsia="zh-CN"/>
              </w:rPr>
              <w:t>200万元</w:t>
            </w:r>
          </w:p>
        </w:tc>
        <w:tc>
          <w:tcPr>
            <w:tcW w:w="938" w:type="dxa"/>
            <w:tcBorders>
              <w:top w:val="single" w:color="auto" w:sz="4" w:space="0"/>
              <w:left w:val="single" w:color="auto" w:sz="4" w:space="0"/>
              <w:bottom w:val="single" w:color="auto" w:sz="4" w:space="0"/>
              <w:right w:val="single" w:color="auto" w:sz="4" w:space="0"/>
            </w:tcBorders>
            <w:vAlign w:val="center"/>
          </w:tcPr>
          <w:p>
            <w:pPr>
              <w:tabs>
                <w:tab w:val="left" w:pos="720"/>
              </w:tabs>
              <w:autoSpaceDE w:val="0"/>
              <w:autoSpaceDN w:val="0"/>
              <w:spacing w:before="67" w:after="67" w:line="360" w:lineRule="auto"/>
              <w:ind w:left="67" w:right="67"/>
              <w:jc w:val="center"/>
              <w:rPr>
                <w:rFonts w:hint="eastAsia" w:ascii="宋体" w:hAnsi="宋体" w:eastAsia="宋体" w:cs="宋体"/>
                <w:color w:val="000000"/>
                <w:sz w:val="24"/>
                <w:u w:val="none"/>
                <w:lang w:val="en-US" w:eastAsia="zh-CN"/>
              </w:rPr>
            </w:pPr>
            <w:r>
              <w:rPr>
                <w:rFonts w:hint="eastAsia" w:ascii="宋体" w:hAnsi="宋体" w:cs="宋体"/>
                <w:color w:val="000000"/>
                <w:sz w:val="24"/>
                <w:u w:val="none"/>
                <w:lang w:val="en-US" w:eastAsia="zh-CN"/>
              </w:rPr>
              <w:t>2年</w:t>
            </w:r>
          </w:p>
        </w:tc>
      </w:tr>
    </w:tbl>
    <w:p>
      <w:pPr>
        <w:pStyle w:val="28"/>
        <w:adjustRightInd w:val="0"/>
        <w:snapToGrid w:val="0"/>
        <w:spacing w:line="360" w:lineRule="auto"/>
        <w:ind w:firstLine="482"/>
        <w:outlineLvl w:val="1"/>
        <w:rPr>
          <w:rFonts w:cs="宋体"/>
          <w:b/>
          <w:sz w:val="24"/>
          <w:szCs w:val="24"/>
        </w:rPr>
      </w:pPr>
      <w:r>
        <w:rPr>
          <w:rFonts w:hint="eastAsia" w:cs="宋体"/>
          <w:b/>
          <w:sz w:val="24"/>
          <w:szCs w:val="24"/>
        </w:rPr>
        <w:t>五、合格投标供应商的资格要求：</w:t>
      </w:r>
      <w:bookmarkEnd w:id="6"/>
    </w:p>
    <w:p>
      <w:pPr>
        <w:snapToGrid w:val="0"/>
        <w:spacing w:line="360" w:lineRule="auto"/>
        <w:ind w:firstLine="480" w:firstLineChars="200"/>
        <w:jc w:val="left"/>
        <w:rPr>
          <w:rFonts w:ascii="宋体" w:hAnsi="宋体" w:cs="宋体"/>
          <w:sz w:val="24"/>
        </w:rPr>
      </w:pPr>
      <w:r>
        <w:rPr>
          <w:rFonts w:hint="eastAsia" w:ascii="宋体" w:hAnsi="宋体" w:cs="宋体"/>
          <w:sz w:val="24"/>
        </w:rPr>
        <w:t>1.符合《中华人民共和国政府采购法》第二十二条投标供应商应当具备的条件和浙财采监【2013】24号《关于规范政府采购投标供应商资格设定及资格审查的通知》第六条规定；且未被“信用中国”</w:t>
      </w:r>
      <w:r>
        <w:fldChar w:fldCharType="begin"/>
      </w:r>
      <w:r>
        <w:instrText xml:space="preserve"> HYPERLINK "http://www.creditchina.gov.cn/" \h </w:instrText>
      </w:r>
      <w:r>
        <w:fldChar w:fldCharType="separate"/>
      </w:r>
      <w:r>
        <w:rPr>
          <w:rFonts w:hint="eastAsia" w:ascii="宋体" w:hAnsi="宋体" w:cs="宋体"/>
          <w:sz w:val="24"/>
        </w:rPr>
        <w:t>（www.creditchina.gov.cn</w:t>
      </w:r>
      <w:r>
        <w:rPr>
          <w:rFonts w:hint="eastAsia" w:ascii="宋体" w:hAnsi="宋体" w:cs="宋体"/>
          <w:sz w:val="24"/>
        </w:rPr>
        <w:fldChar w:fldCharType="end"/>
      </w:r>
      <w:r>
        <w:rPr>
          <w:rFonts w:hint="eastAsia" w:ascii="宋体" w:hAnsi="宋体" w:cs="宋体"/>
          <w:sz w:val="24"/>
        </w:rPr>
        <w:t>）、“中国政府采购网”（</w:t>
      </w:r>
      <w:r>
        <w:fldChar w:fldCharType="begin"/>
      </w:r>
      <w:r>
        <w:instrText xml:space="preserve"> HYPERLINK "http://www.ccgp.gov.cn/" \h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）列入失信被执行人、重大税收违法案件当事人名单、政府采购严重违法失信行为记录名单。</w:t>
      </w:r>
    </w:p>
    <w:p>
      <w:pPr>
        <w:pStyle w:val="28"/>
        <w:adjustRightInd w:val="0"/>
        <w:snapToGrid w:val="0"/>
        <w:spacing w:line="360" w:lineRule="auto"/>
        <w:ind w:firstLine="240" w:firstLineChars="100"/>
        <w:outlineLvl w:val="1"/>
        <w:rPr>
          <w:rFonts w:hint="eastAsia" w:eastAsia="宋体" w:cs="宋体"/>
          <w:bCs/>
          <w:sz w:val="24"/>
          <w:szCs w:val="24"/>
          <w:lang w:val="en-US" w:eastAsia="zh-CN"/>
        </w:rPr>
      </w:pPr>
      <w:bookmarkStart w:id="7" w:name="_Toc3951"/>
      <w:r>
        <w:rPr>
          <w:rFonts w:hint="eastAsia" w:cs="宋体"/>
          <w:bCs/>
          <w:sz w:val="24"/>
          <w:szCs w:val="24"/>
          <w:lang w:val="en-US" w:eastAsia="zh-CN"/>
        </w:rPr>
        <w:t>2.</w:t>
      </w:r>
      <w:r>
        <w:rPr>
          <w:rFonts w:hint="eastAsia" w:cs="宋体"/>
          <w:bCs/>
          <w:sz w:val="24"/>
          <w:szCs w:val="24"/>
          <w:lang w:val="en-US"/>
        </w:rPr>
        <w:t>落实政府采购政策需满足的资格要求：本项目专门面向中小企业采购，供应商需提供符合《政府采购促进中小企业发展管理办法》（财库【2020】46号）和本采购文件规定的《中小企业声明函》（格式详见附件）</w:t>
      </w:r>
      <w:r>
        <w:rPr>
          <w:rFonts w:hint="eastAsia" w:cs="宋体"/>
          <w:bCs/>
          <w:sz w:val="24"/>
          <w:szCs w:val="24"/>
          <w:lang w:val="en-US" w:eastAsia="zh-CN"/>
        </w:rPr>
        <w:t>。</w:t>
      </w:r>
    </w:p>
    <w:p>
      <w:pPr>
        <w:pStyle w:val="28"/>
        <w:adjustRightInd w:val="0"/>
        <w:snapToGrid w:val="0"/>
        <w:spacing w:line="360" w:lineRule="auto"/>
        <w:ind w:firstLine="240" w:firstLineChars="100"/>
        <w:outlineLvl w:val="1"/>
        <w:rPr>
          <w:rFonts w:cs="宋体"/>
          <w:bCs/>
          <w:sz w:val="24"/>
          <w:szCs w:val="24"/>
        </w:rPr>
      </w:pPr>
      <w:r>
        <w:rPr>
          <w:rFonts w:hint="eastAsia" w:cs="宋体"/>
          <w:bCs/>
          <w:sz w:val="24"/>
          <w:szCs w:val="24"/>
          <w:lang w:val="en-US" w:eastAsia="zh-CN"/>
        </w:rPr>
        <w:t>3</w:t>
      </w:r>
      <w:r>
        <w:rPr>
          <w:rFonts w:hint="eastAsia" w:cs="宋体"/>
          <w:bCs/>
          <w:sz w:val="24"/>
          <w:szCs w:val="24"/>
        </w:rPr>
        <w:t>.本项目不接受联合体投标。</w:t>
      </w:r>
    </w:p>
    <w:p>
      <w:pPr>
        <w:pStyle w:val="28"/>
        <w:adjustRightInd w:val="0"/>
        <w:snapToGrid w:val="0"/>
        <w:spacing w:line="360" w:lineRule="auto"/>
        <w:ind w:firstLine="482"/>
        <w:outlineLvl w:val="1"/>
        <w:rPr>
          <w:rFonts w:cs="宋体"/>
          <w:b/>
          <w:sz w:val="24"/>
          <w:szCs w:val="24"/>
        </w:rPr>
      </w:pPr>
      <w:r>
        <w:rPr>
          <w:rFonts w:hint="eastAsia" w:cs="宋体"/>
          <w:b/>
          <w:sz w:val="24"/>
          <w:szCs w:val="24"/>
        </w:rPr>
        <w:t>六、采购文件获取：</w:t>
      </w:r>
      <w:bookmarkEnd w:id="7"/>
    </w:p>
    <w:p>
      <w:pPr>
        <w:snapToGrid w:val="0"/>
        <w:spacing w:line="360" w:lineRule="auto"/>
        <w:ind w:firstLine="480" w:firstLineChars="200"/>
        <w:rPr>
          <w:rFonts w:hint="eastAsia" w:ascii="宋体" w:hAnsi="宋体" w:eastAsia="宋体" w:cs="宋体"/>
          <w:bCs/>
          <w:kern w:val="2"/>
          <w:sz w:val="24"/>
          <w:szCs w:val="24"/>
          <w:lang w:val="en-US" w:eastAsia="zh-CN" w:bidi="ar-SA"/>
        </w:rPr>
      </w:pPr>
      <w:bookmarkStart w:id="8" w:name="_Toc6085"/>
      <w:r>
        <w:rPr>
          <w:rFonts w:hint="eastAsia" w:ascii="宋体" w:hAnsi="宋体" w:eastAsia="宋体" w:cs="宋体"/>
          <w:bCs/>
          <w:kern w:val="2"/>
          <w:sz w:val="24"/>
          <w:szCs w:val="24"/>
          <w:lang w:val="en-US" w:eastAsia="zh-CN" w:bidi="ar-SA"/>
        </w:rPr>
        <w:t>1.获取文</w:t>
      </w:r>
      <w:r>
        <w:rPr>
          <w:rFonts w:hint="eastAsia" w:ascii="宋体" w:hAnsi="宋体" w:eastAsia="宋体" w:cs="宋体"/>
          <w:bCs/>
          <w:kern w:val="2"/>
          <w:sz w:val="24"/>
          <w:szCs w:val="24"/>
          <w:highlight w:val="none"/>
          <w:lang w:val="en-US" w:eastAsia="zh-CN" w:bidi="ar-SA"/>
        </w:rPr>
        <w:t>件时间：2024年</w:t>
      </w:r>
      <w:r>
        <w:rPr>
          <w:rFonts w:hint="eastAsia" w:ascii="宋体" w:hAnsi="宋体" w:cs="宋体"/>
          <w:bCs/>
          <w:kern w:val="2"/>
          <w:sz w:val="24"/>
          <w:szCs w:val="24"/>
          <w:highlight w:val="none"/>
          <w:lang w:val="en-US" w:eastAsia="zh-CN" w:bidi="ar-SA"/>
        </w:rPr>
        <w:t>4</w:t>
      </w:r>
      <w:r>
        <w:rPr>
          <w:rFonts w:hint="eastAsia" w:ascii="宋体" w:hAnsi="宋体" w:eastAsia="宋体" w:cs="宋体"/>
          <w:bCs/>
          <w:kern w:val="2"/>
          <w:sz w:val="24"/>
          <w:szCs w:val="24"/>
          <w:highlight w:val="none"/>
          <w:lang w:val="en-US" w:eastAsia="zh-CN" w:bidi="ar-SA"/>
        </w:rPr>
        <w:t>月</w:t>
      </w:r>
      <w:r>
        <w:rPr>
          <w:rFonts w:hint="eastAsia" w:ascii="宋体" w:hAnsi="宋体" w:cs="宋体"/>
          <w:bCs/>
          <w:kern w:val="2"/>
          <w:sz w:val="24"/>
          <w:szCs w:val="24"/>
          <w:highlight w:val="none"/>
          <w:lang w:val="en-US" w:eastAsia="zh-CN" w:bidi="ar-SA"/>
        </w:rPr>
        <w:t>3</w:t>
      </w:r>
      <w:r>
        <w:rPr>
          <w:rFonts w:hint="eastAsia" w:ascii="宋体" w:hAnsi="宋体" w:eastAsia="宋体" w:cs="宋体"/>
          <w:bCs/>
          <w:kern w:val="2"/>
          <w:sz w:val="24"/>
          <w:szCs w:val="24"/>
          <w:highlight w:val="none"/>
          <w:lang w:val="en-US" w:eastAsia="zh-CN" w:bidi="ar-SA"/>
        </w:rPr>
        <w:t>日至</w:t>
      </w:r>
      <w:r>
        <w:rPr>
          <w:rFonts w:hint="eastAsia" w:ascii="宋体" w:hAnsi="宋体" w:eastAsia="宋体" w:cs="宋体"/>
          <w:bCs/>
          <w:kern w:val="2"/>
          <w:sz w:val="24"/>
          <w:szCs w:val="24"/>
          <w:lang w:val="en-US" w:eastAsia="zh-CN" w:bidi="ar-SA"/>
        </w:rPr>
        <w:t>投标截止时间(潜在供应商获取采购文件前应当在电子交易平台上注册账号并登录，截止时间后不再接受潜在供应商获取采购文件)。</w:t>
      </w:r>
    </w:p>
    <w:p>
      <w:pPr>
        <w:snapToGrid w:val="0"/>
        <w:spacing w:line="360" w:lineRule="auto"/>
        <w:ind w:firstLine="480" w:firstLineChars="200"/>
        <w:rPr>
          <w:rFonts w:ascii="宋体" w:hAnsi="宋体" w:cs="宋体"/>
          <w:b/>
          <w:bCs/>
          <w:kern w:val="0"/>
          <w:sz w:val="24"/>
        </w:rPr>
      </w:pPr>
      <w:r>
        <w:rPr>
          <w:rFonts w:hint="eastAsia" w:ascii="宋体" w:hAnsi="宋体" w:cs="宋体"/>
          <w:sz w:val="24"/>
        </w:rPr>
        <w:t>2.本项目采购文件实行网上获取，</w:t>
      </w:r>
      <w:r>
        <w:rPr>
          <w:rFonts w:hint="eastAsia" w:ascii="宋体" w:hAnsi="宋体" w:cs="宋体"/>
          <w:b/>
          <w:bCs/>
          <w:kern w:val="0"/>
          <w:sz w:val="24"/>
        </w:rPr>
        <w:t>不收取工本费。</w:t>
      </w:r>
    </w:p>
    <w:p>
      <w:pPr>
        <w:snapToGrid w:val="0"/>
        <w:spacing w:line="360" w:lineRule="auto"/>
        <w:ind w:firstLine="480" w:firstLineChars="200"/>
        <w:rPr>
          <w:rFonts w:ascii="宋体" w:hAnsi="宋体" w:cs="宋体"/>
          <w:sz w:val="24"/>
        </w:rPr>
      </w:pPr>
      <w:r>
        <w:rPr>
          <w:rFonts w:hint="eastAsia" w:ascii="宋体" w:hAnsi="宋体" w:cs="宋体"/>
          <w:sz w:val="24"/>
        </w:rPr>
        <w:t>3.本项目实行网上报名，不接受投标供应商现场报名，投标供应商登录浙江政府采购网(http://zfcg.czt.zj.gov.cn/)进入政采云系统“项目采购”模块“获取采购文件”菜单，进行网上获取采购文件。（“政采云”注册账号、密码登录系统后获取采购文件）。</w:t>
      </w:r>
    </w:p>
    <w:p>
      <w:pPr>
        <w:snapToGrid w:val="0"/>
        <w:spacing w:before="60" w:after="60" w:line="360" w:lineRule="auto"/>
        <w:ind w:right="60"/>
        <w:rPr>
          <w:rFonts w:ascii="宋体" w:hAnsi="宋体" w:cs="宋体"/>
          <w:sz w:val="24"/>
        </w:rPr>
      </w:pPr>
      <w:r>
        <w:rPr>
          <w:rFonts w:hint="eastAsia" w:ascii="宋体" w:hAnsi="宋体" w:cs="宋体"/>
          <w:sz w:val="24"/>
        </w:rPr>
        <w:t xml:space="preserve">    4.未注册投标供应商可登录浙江政府采购网(http://zfcg.czt.zj.gov.cn/)查看公告下附件或在</w:t>
      </w:r>
      <w:r>
        <w:rPr>
          <w:rFonts w:hint="eastAsia" w:ascii="宋体" w:hAnsi="宋体" w:cs="宋体"/>
          <w:sz w:val="24"/>
          <w:lang w:eastAsia="zh-CN"/>
        </w:rPr>
        <w:t>湖州市公共资源交易信息网</w:t>
      </w:r>
      <w:r>
        <w:rPr>
          <w:rFonts w:hint="eastAsia" w:ascii="宋体" w:hAnsi="宋体" w:cs="宋体"/>
          <w:kern w:val="0"/>
          <w:sz w:val="24"/>
          <w:lang w:eastAsia="zh-CN"/>
        </w:rPr>
        <w:t>http://ggzyjy.huzhou.gov.cn/</w:t>
      </w:r>
      <w:r>
        <w:rPr>
          <w:rFonts w:hint="eastAsia" w:ascii="宋体" w:hAnsi="宋体" w:cs="宋体"/>
          <w:sz w:val="24"/>
        </w:rPr>
        <w:t>“政府采购”--“招标公告”版块公告附件下载。招标公告附件内的采购文件仅供阅览使用，投标供应商只有在“政府采购云平台”完成获取采购文件申请并下载了采购文件后才视作依法获取采购文件（投标供应商获取采购文件时间以投标供应商完成获取采购文件申请后下载采购文件的时间为准）。请投标供应商按上述要求获取采购文件，如未在“政采云”系统内完成相关流程，引起的投标无效责任自负。</w:t>
      </w:r>
    </w:p>
    <w:p>
      <w:pPr>
        <w:snapToGrid w:val="0"/>
        <w:spacing w:line="360" w:lineRule="auto"/>
        <w:ind w:firstLine="480" w:firstLineChars="200"/>
        <w:rPr>
          <w:rFonts w:ascii="宋体" w:hAnsi="宋体" w:cs="宋体"/>
          <w:sz w:val="24"/>
        </w:rPr>
      </w:pPr>
      <w:r>
        <w:rPr>
          <w:rFonts w:hint="eastAsia" w:ascii="宋体" w:hAnsi="宋体" w:cs="宋体"/>
          <w:sz w:val="24"/>
        </w:rPr>
        <w:t>5.免费注册网址：浙江政府采购网（投标供应商注册页面）：https://middle.zcygov.cn/v-settle-front/registry“政采云”, 如遇平台技术问题咨询电话：95763。</w:t>
      </w:r>
    </w:p>
    <w:p>
      <w:pPr>
        <w:snapToGrid w:val="0"/>
        <w:spacing w:line="360" w:lineRule="auto"/>
        <w:ind w:firstLine="480" w:firstLineChars="200"/>
        <w:rPr>
          <w:rFonts w:ascii="宋体" w:hAnsi="宋体" w:cs="宋体"/>
          <w:sz w:val="24"/>
        </w:rPr>
      </w:pPr>
      <w:r>
        <w:rPr>
          <w:rFonts w:hint="eastAsia" w:ascii="宋体" w:hAnsi="宋体" w:cs="宋体"/>
          <w:sz w:val="24"/>
        </w:rPr>
        <w:t>已经注册成功的投标供应商无需重复注册。</w:t>
      </w:r>
    </w:p>
    <w:p>
      <w:pPr>
        <w:snapToGrid w:val="0"/>
        <w:spacing w:line="360" w:lineRule="auto"/>
        <w:ind w:firstLine="482" w:firstLineChars="200"/>
        <w:rPr>
          <w:rFonts w:ascii="宋体" w:hAnsi="宋体" w:cs="宋体"/>
          <w:b/>
          <w:bCs/>
          <w:sz w:val="24"/>
        </w:rPr>
      </w:pPr>
      <w:r>
        <w:rPr>
          <w:rFonts w:hint="eastAsia" w:ascii="宋体" w:hAnsi="宋体" w:cs="宋体"/>
          <w:b/>
          <w:bCs/>
          <w:sz w:val="24"/>
        </w:rPr>
        <w:t>七、</w:t>
      </w:r>
      <w:bookmarkEnd w:id="8"/>
      <w:bookmarkStart w:id="9" w:name="_Toc140"/>
      <w:bookmarkStart w:id="10" w:name="_Toc3484"/>
      <w:r>
        <w:rPr>
          <w:rFonts w:hint="eastAsia" w:ascii="宋体" w:hAnsi="宋体" w:cs="宋体"/>
          <w:b/>
          <w:bCs/>
          <w:sz w:val="24"/>
        </w:rPr>
        <w:t>投标截止时间和投标文件递交地点：</w:t>
      </w:r>
      <w:bookmarkEnd w:id="9"/>
      <w:bookmarkEnd w:id="10"/>
    </w:p>
    <w:p>
      <w:pPr>
        <w:snapToGrid w:val="0"/>
        <w:spacing w:line="360" w:lineRule="auto"/>
        <w:ind w:firstLine="480" w:firstLineChars="200"/>
        <w:rPr>
          <w:rFonts w:ascii="宋体" w:hAnsi="宋体" w:cs="宋体"/>
          <w:sz w:val="24"/>
        </w:rPr>
      </w:pPr>
      <w:r>
        <w:rPr>
          <w:rFonts w:hint="eastAsia" w:ascii="宋体" w:hAnsi="宋体" w:cs="宋体"/>
          <w:sz w:val="24"/>
        </w:rPr>
        <w:t>（1）投标截止时</w:t>
      </w:r>
      <w:r>
        <w:rPr>
          <w:rFonts w:hint="eastAsia" w:ascii="宋体" w:hAnsi="宋体" w:cs="宋体"/>
          <w:sz w:val="24"/>
          <w:highlight w:val="none"/>
        </w:rPr>
        <w:t>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24</w:t>
      </w:r>
      <w:r>
        <w:rPr>
          <w:rFonts w:hint="eastAsia" w:ascii="宋体" w:hAnsi="宋体" w:cs="宋体"/>
          <w:sz w:val="24"/>
          <w:highlight w:val="none"/>
        </w:rPr>
        <w:t>日</w:t>
      </w:r>
      <w:r>
        <w:rPr>
          <w:rFonts w:hint="eastAsia" w:ascii="宋体" w:hAnsi="宋体" w:cs="宋体"/>
          <w:sz w:val="24"/>
          <w:highlight w:val="none"/>
          <w:lang w:val="en-US" w:eastAsia="zh-CN"/>
        </w:rPr>
        <w:t>13</w:t>
      </w:r>
      <w:r>
        <w:rPr>
          <w:rFonts w:hint="eastAsia" w:ascii="宋体" w:hAnsi="宋体" w:cs="宋体"/>
          <w:sz w:val="24"/>
          <w:highlight w:val="none"/>
        </w:rPr>
        <w:t>时</w:t>
      </w:r>
      <w:r>
        <w:rPr>
          <w:rFonts w:hint="eastAsia" w:ascii="宋体" w:hAnsi="宋体" w:cs="宋体"/>
          <w:sz w:val="24"/>
          <w:highlight w:val="none"/>
          <w:lang w:val="en-US" w:eastAsia="zh-CN"/>
        </w:rPr>
        <w:t>3</w:t>
      </w:r>
      <w:r>
        <w:rPr>
          <w:rFonts w:hint="eastAsia" w:ascii="宋体" w:hAnsi="宋体" w:cs="宋体"/>
          <w:sz w:val="24"/>
          <w:highlight w:val="none"/>
        </w:rPr>
        <w:t>0分整</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 xml:space="preserve">（2）投标文件递交地点：本项目通过“政府采购云平台（www.zcygov.cn）”实行在线投标响应（电子投标）。 </w:t>
      </w:r>
    </w:p>
    <w:p>
      <w:pPr>
        <w:snapToGrid w:val="0"/>
        <w:spacing w:line="360" w:lineRule="auto"/>
        <w:ind w:firstLine="480" w:firstLineChars="200"/>
        <w:rPr>
          <w:rFonts w:ascii="宋体" w:hAnsi="宋体" w:cs="宋体"/>
          <w:sz w:val="24"/>
        </w:rPr>
      </w:pPr>
      <w:r>
        <w:rPr>
          <w:rFonts w:hint="eastAsia" w:ascii="宋体" w:hAnsi="宋体" w:cs="宋体"/>
          <w:sz w:val="24"/>
        </w:rPr>
        <w:t>（3）投标供应商应当在投标截止时间前，将生成的文件格式“.jmbs”的“电子加密投标文件”上传递交至“政府采购云平台”实行在线投标响应。投标截止时间以后上传递交的投标文件将被“政府采购云平台”拒收。</w:t>
      </w:r>
    </w:p>
    <w:p>
      <w:pPr>
        <w:snapToGrid w:val="0"/>
        <w:spacing w:line="360" w:lineRule="auto"/>
        <w:ind w:firstLine="482" w:firstLineChars="200"/>
        <w:rPr>
          <w:rFonts w:ascii="宋体" w:hAnsi="宋体" w:cs="宋体"/>
          <w:b/>
          <w:bCs/>
          <w:sz w:val="24"/>
        </w:rPr>
      </w:pPr>
      <w:bookmarkStart w:id="11" w:name="_Toc25948"/>
      <w:bookmarkStart w:id="12" w:name="_Toc1896"/>
      <w:r>
        <w:rPr>
          <w:rFonts w:hint="eastAsia" w:ascii="宋体" w:hAnsi="宋体" w:cs="宋体"/>
          <w:b/>
          <w:bCs/>
          <w:sz w:val="24"/>
        </w:rPr>
        <w:t>八、开标时间及地点：</w:t>
      </w:r>
      <w:bookmarkEnd w:id="11"/>
      <w:bookmarkEnd w:id="12"/>
    </w:p>
    <w:p>
      <w:pPr>
        <w:snapToGrid w:val="0"/>
        <w:spacing w:line="360" w:lineRule="auto"/>
        <w:ind w:firstLine="480" w:firstLineChars="200"/>
        <w:rPr>
          <w:rFonts w:ascii="宋体" w:hAnsi="宋体" w:cs="宋体"/>
          <w:sz w:val="24"/>
        </w:rPr>
      </w:pPr>
      <w:r>
        <w:rPr>
          <w:rFonts w:hint="eastAsia" w:ascii="宋体" w:hAnsi="宋体" w:cs="宋体"/>
          <w:sz w:val="24"/>
        </w:rPr>
        <w:t>开标时间</w:t>
      </w:r>
      <w:r>
        <w:rPr>
          <w:rFonts w:hint="eastAsia"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24</w:t>
      </w:r>
      <w:r>
        <w:rPr>
          <w:rFonts w:hint="eastAsia" w:ascii="宋体" w:hAnsi="宋体" w:cs="宋体"/>
          <w:sz w:val="24"/>
          <w:highlight w:val="none"/>
        </w:rPr>
        <w:t>日</w:t>
      </w:r>
      <w:r>
        <w:rPr>
          <w:rFonts w:hint="eastAsia" w:ascii="宋体" w:hAnsi="宋体" w:cs="宋体"/>
          <w:sz w:val="24"/>
          <w:highlight w:val="none"/>
          <w:lang w:val="en-US" w:eastAsia="zh-CN"/>
        </w:rPr>
        <w:t>13</w:t>
      </w:r>
      <w:r>
        <w:rPr>
          <w:rFonts w:hint="eastAsia" w:ascii="宋体" w:hAnsi="宋体" w:cs="宋体"/>
          <w:sz w:val="24"/>
          <w:highlight w:val="none"/>
        </w:rPr>
        <w:t>时</w:t>
      </w:r>
      <w:r>
        <w:rPr>
          <w:rFonts w:hint="eastAsia" w:ascii="宋体" w:hAnsi="宋体" w:cs="宋体"/>
          <w:sz w:val="24"/>
          <w:highlight w:val="none"/>
          <w:lang w:val="en-US" w:eastAsia="zh-CN"/>
        </w:rPr>
        <w:t>3</w:t>
      </w:r>
      <w:r>
        <w:rPr>
          <w:rFonts w:hint="eastAsia" w:ascii="宋体" w:hAnsi="宋体" w:cs="宋体"/>
          <w:sz w:val="24"/>
          <w:highlight w:val="none"/>
        </w:rPr>
        <w:t>0</w:t>
      </w:r>
      <w:r>
        <w:rPr>
          <w:rFonts w:hint="eastAsia" w:ascii="宋体" w:hAnsi="宋体" w:cs="宋体"/>
          <w:sz w:val="24"/>
        </w:rPr>
        <w:t>分整。</w:t>
      </w:r>
    </w:p>
    <w:p>
      <w:pPr>
        <w:snapToGrid w:val="0"/>
        <w:spacing w:line="360" w:lineRule="auto"/>
        <w:ind w:firstLine="480" w:firstLineChars="200"/>
        <w:rPr>
          <w:rFonts w:ascii="宋体" w:hAnsi="宋体" w:cs="宋体"/>
          <w:sz w:val="24"/>
        </w:rPr>
      </w:pPr>
      <w:r>
        <w:rPr>
          <w:rFonts w:hint="eastAsia" w:ascii="宋体" w:hAnsi="宋体" w:cs="宋体"/>
          <w:sz w:val="24"/>
        </w:rPr>
        <w:t>开标地点：采购代理机构在</w:t>
      </w:r>
      <w:r>
        <w:rPr>
          <w:rFonts w:hint="eastAsia" w:ascii="宋体" w:hAnsi="宋体" w:cs="宋体"/>
          <w:b/>
          <w:bCs/>
          <w:kern w:val="0"/>
          <w:sz w:val="24"/>
        </w:rPr>
        <w:t>湖州市吴兴区公共资源交易中</w:t>
      </w:r>
      <w:r>
        <w:rPr>
          <w:rFonts w:hint="eastAsia" w:ascii="宋体" w:hAnsi="宋体" w:cs="宋体"/>
          <w:b/>
          <w:bCs/>
          <w:kern w:val="0"/>
          <w:sz w:val="24"/>
          <w:highlight w:val="none"/>
        </w:rPr>
        <w:t>心开标室（40</w:t>
      </w:r>
      <w:r>
        <w:rPr>
          <w:rFonts w:hint="eastAsia" w:ascii="宋体" w:hAnsi="宋体" w:cs="宋体"/>
          <w:b/>
          <w:bCs/>
          <w:kern w:val="0"/>
          <w:sz w:val="24"/>
          <w:highlight w:val="none"/>
          <w:lang w:val="en-US" w:eastAsia="zh-CN"/>
        </w:rPr>
        <w:t>4</w:t>
      </w:r>
      <w:r>
        <w:rPr>
          <w:rFonts w:hint="eastAsia" w:ascii="宋体" w:hAnsi="宋体" w:cs="宋体"/>
          <w:b/>
          <w:bCs/>
          <w:kern w:val="0"/>
          <w:sz w:val="24"/>
          <w:highlight w:val="none"/>
        </w:rPr>
        <w:t>号）【</w:t>
      </w:r>
      <w:r>
        <w:rPr>
          <w:rFonts w:hint="eastAsia" w:ascii="宋体" w:hAnsi="宋体" w:cs="宋体"/>
          <w:b/>
          <w:bCs/>
          <w:kern w:val="0"/>
          <w:sz w:val="24"/>
        </w:rPr>
        <w:t>湖州市吴兴区区府路1188号总部自由港E幢4楼（具体位置：吴兴大道与区府路交叉口，吴兴区住建局对面）】</w:t>
      </w:r>
      <w:r>
        <w:rPr>
          <w:rFonts w:hint="eastAsia" w:ascii="宋体" w:hAnsi="宋体" w:cs="宋体"/>
          <w:sz w:val="24"/>
        </w:rPr>
        <w:t>对本项目进行开标。投标供应商应在投标截止时间前委派投标代表（法定代表人或授权委托人）登入“政府采购云平台（www.zcygov.cn）”在线参与开标，并CA锁在线解密投标文件等完成相关工作 。</w:t>
      </w:r>
    </w:p>
    <w:p>
      <w:pPr>
        <w:snapToGrid w:val="0"/>
        <w:spacing w:line="360" w:lineRule="auto"/>
        <w:ind w:firstLine="482" w:firstLineChars="200"/>
        <w:rPr>
          <w:rFonts w:ascii="宋体" w:hAnsi="宋体" w:cs="宋体"/>
          <w:b/>
          <w:bCs/>
          <w:sz w:val="24"/>
        </w:rPr>
      </w:pPr>
      <w:r>
        <w:rPr>
          <w:rFonts w:hint="eastAsia" w:ascii="宋体" w:hAnsi="宋体" w:cs="宋体"/>
          <w:b/>
          <w:bCs/>
          <w:sz w:val="24"/>
        </w:rPr>
        <w:t>九、投标保证金：无</w:t>
      </w:r>
    </w:p>
    <w:p>
      <w:pPr>
        <w:snapToGrid w:val="0"/>
        <w:spacing w:line="360" w:lineRule="auto"/>
        <w:ind w:firstLine="482" w:firstLineChars="200"/>
        <w:rPr>
          <w:rFonts w:ascii="宋体" w:hAnsi="宋体" w:cs="宋体"/>
          <w:b/>
          <w:bCs/>
          <w:sz w:val="24"/>
        </w:rPr>
      </w:pPr>
      <w:r>
        <w:rPr>
          <w:rFonts w:hint="eastAsia" w:ascii="宋体" w:hAnsi="宋体" w:cs="宋体"/>
          <w:b/>
          <w:bCs/>
          <w:sz w:val="24"/>
        </w:rPr>
        <w:t>十、在线投标响应（电子投标）说明</w:t>
      </w:r>
    </w:p>
    <w:p>
      <w:pPr>
        <w:snapToGrid w:val="0"/>
        <w:spacing w:line="360" w:lineRule="auto"/>
        <w:ind w:firstLine="480" w:firstLineChars="200"/>
        <w:rPr>
          <w:rFonts w:ascii="宋体" w:hAnsi="宋体" w:cs="宋体"/>
          <w:sz w:val="24"/>
        </w:rPr>
      </w:pPr>
      <w:bookmarkStart w:id="13" w:name="_Toc32145"/>
      <w:bookmarkStart w:id="14" w:name="_Toc4490"/>
      <w:r>
        <w:rPr>
          <w:rFonts w:hint="eastAsia" w:ascii="宋体" w:hAnsi="宋体" w:cs="宋体"/>
          <w:sz w:val="24"/>
        </w:rPr>
        <w:t>1.本项目通过“政府采购云平台（www.zcygov.cn）”实行在线投标（电子投标），投标供应商应先安装“政采云电子交易客户端”，“政采云电子交易客户端”请自行前往“浙江政府采购网-下载专区-电子交易客户端”进行下载；投标供应商电子交易操作指南详见网址：</w:t>
      </w:r>
      <w:r>
        <w:fldChar w:fldCharType="begin"/>
      </w:r>
      <w:r>
        <w:instrText xml:space="preserve"> HYPERLINK "https://help.zcygov.cn/web/site_2/2018/12-28/2573.html" </w:instrText>
      </w:r>
      <w:r>
        <w:fldChar w:fldCharType="separate"/>
      </w:r>
      <w:r>
        <w:rPr>
          <w:rFonts w:hint="eastAsia" w:ascii="宋体" w:hAnsi="宋体" w:cs="宋体"/>
          <w:sz w:val="24"/>
        </w:rPr>
        <w:t>https://help.zcygov.cn/web/site_2/2018/12-28/2573.html</w:t>
      </w:r>
      <w:r>
        <w:rPr>
          <w:rFonts w:hint="eastAsia" w:ascii="宋体" w:hAnsi="宋体" w:cs="宋体"/>
          <w:sz w:val="24"/>
        </w:rPr>
        <w:fldChar w:fldCharType="end"/>
      </w:r>
      <w:r>
        <w:rPr>
          <w:rFonts w:hint="eastAsia" w:ascii="宋体" w:hAnsi="宋体" w:cs="宋体"/>
          <w:sz w:val="24"/>
        </w:rPr>
        <w:t>。</w:t>
      </w:r>
    </w:p>
    <w:p>
      <w:pPr>
        <w:spacing w:line="360" w:lineRule="auto"/>
        <w:ind w:firstLine="480"/>
        <w:outlineLvl w:val="0"/>
        <w:rPr>
          <w:rFonts w:ascii="宋体" w:hAnsi="宋体" w:cs="宋体"/>
          <w:sz w:val="24"/>
        </w:rPr>
      </w:pPr>
      <w:r>
        <w:rPr>
          <w:rFonts w:hint="eastAsia" w:ascii="宋体" w:hAnsi="宋体" w:cs="宋体"/>
          <w:sz w:val="24"/>
        </w:rPr>
        <w:t>2. 为确保网上操作合法、有效和安全，投标供应商应当在开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供应商自行把握时间），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宋体" w:hAnsi="宋体" w:cs="宋体"/>
          <w:sz w:val="24"/>
        </w:rPr>
        <w:t>CA驱动和申领流程</w:t>
      </w:r>
      <w:r>
        <w:rPr>
          <w:rFonts w:hint="eastAsia" w:ascii="宋体" w:hAnsi="宋体" w:cs="宋体"/>
          <w:sz w:val="24"/>
        </w:rPr>
        <w:fldChar w:fldCharType="end"/>
      </w:r>
      <w:r>
        <w:rPr>
          <w:rFonts w:hint="eastAsia" w:ascii="宋体" w:hAnsi="宋体" w:cs="宋体"/>
          <w:sz w:val="24"/>
        </w:rPr>
        <w:t>”进行查阅。</w:t>
      </w:r>
    </w:p>
    <w:p>
      <w:pPr>
        <w:spacing w:line="360" w:lineRule="auto"/>
        <w:ind w:firstLine="470" w:firstLineChars="196"/>
        <w:outlineLvl w:val="0"/>
        <w:rPr>
          <w:rFonts w:ascii="宋体" w:hAnsi="宋体" w:cs="宋体"/>
          <w:kern w:val="0"/>
          <w:sz w:val="24"/>
        </w:rPr>
      </w:pPr>
      <w:r>
        <w:rPr>
          <w:rFonts w:hint="eastAsia" w:ascii="宋体" w:hAnsi="宋体" w:cs="宋体"/>
          <w:kern w:val="0"/>
          <w:sz w:val="24"/>
        </w:rPr>
        <w:t>3.投标文件递交方式：</w:t>
      </w:r>
    </w:p>
    <w:p>
      <w:pPr>
        <w:snapToGrid w:val="0"/>
        <w:spacing w:line="400" w:lineRule="exact"/>
        <w:ind w:firstLine="470" w:firstLineChars="196"/>
        <w:rPr>
          <w:rFonts w:ascii="宋体" w:hAnsi="宋体" w:cs="宋体"/>
          <w:kern w:val="0"/>
          <w:sz w:val="24"/>
        </w:rPr>
      </w:pPr>
      <w:r>
        <w:rPr>
          <w:rFonts w:hint="eastAsia" w:cs="宋体"/>
          <w:kern w:val="0"/>
          <w:sz w:val="24"/>
        </w:rPr>
        <w:t>3.1</w:t>
      </w:r>
      <w:r>
        <w:rPr>
          <w:rFonts w:hint="eastAsia" w:ascii="宋体" w:hAnsi="宋体" w:cs="宋体"/>
          <w:kern w:val="0"/>
          <w:sz w:val="24"/>
        </w:rPr>
        <w:t>供应商</w:t>
      </w:r>
      <w:r>
        <w:rPr>
          <w:rFonts w:hint="eastAsia" w:ascii="宋体" w:hAnsi="宋体" w:cs="宋体"/>
          <w:kern w:val="0"/>
          <w:sz w:val="24"/>
          <w:highlight w:val="none"/>
        </w:rPr>
        <w:t>应当在202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4</w:t>
      </w:r>
      <w:r>
        <w:rPr>
          <w:rFonts w:hint="eastAsia" w:ascii="宋体" w:hAnsi="宋体" w:cs="宋体"/>
          <w:kern w:val="0"/>
          <w:sz w:val="24"/>
          <w:highlight w:val="none"/>
        </w:rPr>
        <w:t>月</w:t>
      </w:r>
      <w:r>
        <w:rPr>
          <w:rFonts w:hint="eastAsia" w:ascii="宋体" w:hAnsi="宋体" w:cs="宋体"/>
          <w:kern w:val="0"/>
          <w:sz w:val="24"/>
          <w:highlight w:val="none"/>
          <w:lang w:val="en-US" w:eastAsia="zh-CN"/>
        </w:rPr>
        <w:t>24</w:t>
      </w:r>
      <w:r>
        <w:rPr>
          <w:rFonts w:hint="eastAsia" w:ascii="宋体" w:hAnsi="宋体" w:cs="宋体"/>
          <w:kern w:val="0"/>
          <w:sz w:val="24"/>
          <w:highlight w:val="none"/>
        </w:rPr>
        <w:t>日</w:t>
      </w:r>
      <w:r>
        <w:rPr>
          <w:rFonts w:hint="eastAsia" w:ascii="宋体" w:hAnsi="宋体" w:cs="宋体"/>
          <w:kern w:val="0"/>
          <w:sz w:val="24"/>
          <w:highlight w:val="none"/>
          <w:lang w:eastAsia="zh-CN"/>
        </w:rPr>
        <w:t>下午</w:t>
      </w:r>
      <w:r>
        <w:rPr>
          <w:rFonts w:hint="eastAsia" w:ascii="宋体" w:hAnsi="宋体" w:cs="宋体"/>
          <w:kern w:val="0"/>
          <w:sz w:val="24"/>
          <w:highlight w:val="none"/>
          <w:lang w:val="en-US" w:eastAsia="zh-CN"/>
        </w:rPr>
        <w:t>13</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Theme="minorEastAsia" w:hAnsiTheme="minorEastAsia" w:eastAsiaTheme="minorEastAsia" w:cstheme="minorEastAsia"/>
          <w:kern w:val="0"/>
          <w:sz w:val="24"/>
          <w:highlight w:val="none"/>
        </w:rPr>
        <w:t>0</w:t>
      </w:r>
      <w:r>
        <w:rPr>
          <w:rFonts w:hint="eastAsia" w:ascii="宋体" w:hAnsi="宋体" w:cs="宋体"/>
          <w:kern w:val="0"/>
          <w:sz w:val="24"/>
          <w:highlight w:val="none"/>
        </w:rPr>
        <w:t xml:space="preserve"> 时（</w:t>
      </w:r>
      <w:r>
        <w:rPr>
          <w:rFonts w:hint="eastAsia" w:ascii="宋体" w:hAnsi="宋体" w:cs="宋体"/>
          <w:kern w:val="0"/>
          <w:sz w:val="24"/>
        </w:rPr>
        <w:t>北京时间）</w:t>
      </w:r>
      <w:r>
        <w:rPr>
          <w:rFonts w:hint="eastAsia" w:cs="宋体"/>
          <w:kern w:val="0"/>
          <w:sz w:val="24"/>
        </w:rPr>
        <w:t>前</w:t>
      </w:r>
      <w:r>
        <w:rPr>
          <w:rFonts w:hint="eastAsia" w:ascii="宋体" w:hAnsi="宋体" w:cs="宋体"/>
          <w:kern w:val="0"/>
          <w:sz w:val="24"/>
        </w:rPr>
        <w:t>，将生成的“电子加密投标文件”上传递交至“政采云平台”。（未准时上传的视为放弃投标资格，作无效标处理）。</w:t>
      </w:r>
    </w:p>
    <w:p>
      <w:pPr>
        <w:snapToGrid w:val="0"/>
        <w:spacing w:line="400" w:lineRule="exact"/>
        <w:ind w:firstLine="470" w:firstLineChars="196"/>
        <w:rPr>
          <w:rFonts w:ascii="宋体" w:hAnsi="宋体" w:cs="宋体"/>
          <w:kern w:val="0"/>
          <w:sz w:val="24"/>
        </w:rPr>
      </w:pPr>
      <w:r>
        <w:rPr>
          <w:rFonts w:hint="eastAsia" w:cs="宋体"/>
          <w:kern w:val="0"/>
          <w:sz w:val="24"/>
        </w:rPr>
        <w:t>3.2</w:t>
      </w:r>
      <w:r>
        <w:rPr>
          <w:rFonts w:hint="eastAsia" w:ascii="宋体" w:hAnsi="宋体" w:cs="宋体"/>
          <w:kern w:val="0"/>
          <w:sz w:val="24"/>
        </w:rPr>
        <w:t>数据电子备份投标文件（U 盘）：以 U 盘形式提供的数据电子备份投标文件格式及内容须与政采云平台项目采购-电子交易操作指南中制作、加密并递交的电子投标文件格式及内容一致。）</w:t>
      </w:r>
    </w:p>
    <w:p>
      <w:pPr>
        <w:snapToGrid w:val="0"/>
        <w:spacing w:line="400" w:lineRule="exact"/>
        <w:ind w:firstLine="470" w:firstLineChars="196"/>
        <w:rPr>
          <w:rFonts w:ascii="宋体" w:hAnsi="宋体" w:cs="宋体"/>
          <w:kern w:val="0"/>
          <w:sz w:val="24"/>
        </w:rPr>
      </w:pPr>
      <w:r>
        <w:rPr>
          <w:rFonts w:hint="eastAsia" w:cs="宋体"/>
          <w:kern w:val="0"/>
          <w:sz w:val="24"/>
        </w:rPr>
        <w:t>3.3供应商可以以现场递交或邮寄的形式递交以介质存储的数据电文形式的备份投标文件，现场递交地址为</w:t>
      </w:r>
      <w:r>
        <w:rPr>
          <w:rFonts w:hint="eastAsia" w:cs="宋体"/>
          <w:kern w:val="0"/>
          <w:sz w:val="24"/>
          <w:highlight w:val="none"/>
        </w:rPr>
        <w:t>：</w:t>
      </w:r>
      <w:r>
        <w:rPr>
          <w:rFonts w:hint="eastAsia" w:ascii="宋体" w:hAnsi="宋体" w:cs="宋体"/>
          <w:b/>
          <w:bCs/>
          <w:kern w:val="0"/>
          <w:sz w:val="24"/>
        </w:rPr>
        <w:t>湖州市吴兴区公共资源交易中心</w:t>
      </w:r>
      <w:r>
        <w:rPr>
          <w:rFonts w:hint="eastAsia" w:ascii="宋体" w:hAnsi="宋体" w:cs="宋体"/>
          <w:b/>
          <w:bCs/>
          <w:kern w:val="0"/>
          <w:sz w:val="24"/>
          <w:highlight w:val="none"/>
        </w:rPr>
        <w:t>开标室（40</w:t>
      </w:r>
      <w:r>
        <w:rPr>
          <w:rFonts w:hint="eastAsia" w:ascii="宋体" w:hAnsi="宋体" w:cs="宋体"/>
          <w:b/>
          <w:bCs/>
          <w:kern w:val="0"/>
          <w:sz w:val="24"/>
          <w:highlight w:val="none"/>
          <w:lang w:val="en-US" w:eastAsia="zh-CN"/>
        </w:rPr>
        <w:t>4</w:t>
      </w:r>
      <w:r>
        <w:rPr>
          <w:rFonts w:hint="eastAsia" w:ascii="宋体" w:hAnsi="宋体" w:cs="宋体"/>
          <w:b/>
          <w:bCs/>
          <w:kern w:val="0"/>
          <w:sz w:val="24"/>
          <w:highlight w:val="none"/>
        </w:rPr>
        <w:t>号）【</w:t>
      </w:r>
      <w:r>
        <w:rPr>
          <w:rFonts w:hint="eastAsia" w:ascii="宋体" w:hAnsi="宋体" w:cs="宋体"/>
          <w:b/>
          <w:bCs/>
          <w:kern w:val="0"/>
          <w:sz w:val="24"/>
        </w:rPr>
        <w:t>湖州市吴兴区区府路1188号总部自由港E幢4楼（具体位置：吴兴大道与区府路交叉口，吴兴区住建局对面）】</w:t>
      </w:r>
      <w:r>
        <w:rPr>
          <w:rFonts w:hint="eastAsia" w:cs="宋体"/>
          <w:kern w:val="0"/>
          <w:sz w:val="24"/>
          <w:highlight w:val="none"/>
        </w:rPr>
        <w:t>，</w:t>
      </w:r>
      <w:r>
        <w:rPr>
          <w:rFonts w:hint="eastAsia" w:ascii="宋体" w:hAnsi="宋体" w:cs="宋体"/>
          <w:kern w:val="0"/>
          <w:sz w:val="24"/>
          <w:highlight w:val="none"/>
        </w:rPr>
        <w:t>供应商若采用邮寄方式递交数据电子备份投标文件（快递单上请注明项目编号及供应商名称）；邮寄地址为：</w:t>
      </w:r>
      <w:r>
        <w:rPr>
          <w:rFonts w:hint="eastAsia" w:cs="宋体"/>
          <w:b/>
          <w:bCs/>
          <w:kern w:val="0"/>
          <w:sz w:val="24"/>
          <w:highlight w:val="none"/>
        </w:rPr>
        <w:t>浙江星兴工程咨询有限公司</w:t>
      </w:r>
      <w:r>
        <w:rPr>
          <w:rFonts w:hint="eastAsia" w:ascii="宋体" w:hAnsi="宋体" w:cs="宋体"/>
          <w:b/>
          <w:bCs/>
          <w:kern w:val="0"/>
          <w:sz w:val="24"/>
          <w:highlight w:val="none"/>
        </w:rPr>
        <w:t>[湖州市吴兴区八里店镇星光商务广场11幢A座702室]</w:t>
      </w:r>
      <w:r>
        <w:rPr>
          <w:rFonts w:hint="eastAsia" w:ascii="宋体" w:hAnsi="宋体" w:cs="宋体"/>
          <w:kern w:val="0"/>
          <w:sz w:val="24"/>
          <w:highlight w:val="none"/>
        </w:rPr>
        <w:t>，联系电话：</w:t>
      </w:r>
      <w:r>
        <w:rPr>
          <w:rFonts w:hint="eastAsia" w:cs="宋体"/>
          <w:kern w:val="0"/>
          <w:sz w:val="24"/>
          <w:highlight w:val="none"/>
        </w:rPr>
        <w:t>0572-2630018。</w:t>
      </w:r>
      <w:r>
        <w:rPr>
          <w:rFonts w:hint="eastAsia" w:ascii="宋体" w:hAnsi="宋体" w:cs="宋体"/>
          <w:kern w:val="0"/>
          <w:sz w:val="24"/>
          <w:highlight w:val="none"/>
        </w:rPr>
        <w:t>数据电子备份投标文件（U 盘）接收截止时间：</w:t>
      </w:r>
      <w:r>
        <w:rPr>
          <w:rFonts w:hint="eastAsia" w:ascii="宋体" w:hAnsi="宋体" w:cs="宋体"/>
          <w:b/>
          <w:bCs/>
          <w:kern w:val="0"/>
          <w:sz w:val="24"/>
          <w:highlight w:val="none"/>
        </w:rPr>
        <w:t>为202</w:t>
      </w:r>
      <w:r>
        <w:rPr>
          <w:rFonts w:hint="eastAsia" w:ascii="宋体" w:hAnsi="宋体" w:cs="宋体"/>
          <w:b/>
          <w:bCs/>
          <w:kern w:val="0"/>
          <w:sz w:val="24"/>
          <w:highlight w:val="none"/>
          <w:lang w:val="en-US" w:eastAsia="zh-CN"/>
        </w:rPr>
        <w:t>4</w:t>
      </w:r>
      <w:r>
        <w:rPr>
          <w:rFonts w:hint="eastAsia" w:ascii="宋体" w:hAnsi="宋体" w:cs="宋体"/>
          <w:b/>
          <w:bCs/>
          <w:kern w:val="0"/>
          <w:sz w:val="24"/>
          <w:highlight w:val="none"/>
        </w:rPr>
        <w:t>年</w:t>
      </w:r>
      <w:r>
        <w:rPr>
          <w:rFonts w:hint="eastAsia" w:ascii="宋体" w:hAnsi="宋体" w:cs="宋体"/>
          <w:b/>
          <w:bCs/>
          <w:kern w:val="0"/>
          <w:sz w:val="24"/>
          <w:highlight w:val="none"/>
          <w:lang w:val="en-US" w:eastAsia="zh-CN"/>
        </w:rPr>
        <w:t>4</w:t>
      </w:r>
      <w:r>
        <w:rPr>
          <w:rFonts w:hint="eastAsia" w:ascii="宋体" w:hAnsi="宋体" w:cs="宋体"/>
          <w:b/>
          <w:bCs/>
          <w:kern w:val="0"/>
          <w:sz w:val="24"/>
          <w:highlight w:val="none"/>
        </w:rPr>
        <w:t>月</w:t>
      </w:r>
      <w:r>
        <w:rPr>
          <w:rFonts w:hint="eastAsia" w:ascii="宋体" w:hAnsi="宋体" w:cs="宋体"/>
          <w:b/>
          <w:bCs/>
          <w:kern w:val="0"/>
          <w:sz w:val="24"/>
          <w:highlight w:val="none"/>
          <w:lang w:val="en-US" w:eastAsia="zh-CN"/>
        </w:rPr>
        <w:t>23</w:t>
      </w:r>
      <w:r>
        <w:rPr>
          <w:rFonts w:hint="eastAsia" w:ascii="宋体" w:hAnsi="宋体" w:cs="宋体"/>
          <w:b/>
          <w:bCs/>
          <w:kern w:val="0"/>
          <w:sz w:val="24"/>
          <w:highlight w:val="none"/>
        </w:rPr>
        <w:t>日</w:t>
      </w:r>
      <w:r>
        <w:rPr>
          <w:rFonts w:hint="eastAsia" w:cs="宋体"/>
          <w:b/>
          <w:bCs/>
          <w:kern w:val="0"/>
          <w:sz w:val="24"/>
          <w:highlight w:val="none"/>
          <w:lang w:eastAsia="zh-CN"/>
        </w:rPr>
        <w:t>下</w:t>
      </w:r>
      <w:r>
        <w:rPr>
          <w:rFonts w:hint="eastAsia" w:cs="宋体"/>
          <w:b/>
          <w:bCs/>
          <w:kern w:val="0"/>
          <w:sz w:val="24"/>
          <w:highlight w:val="none"/>
        </w:rPr>
        <w:t>午1</w:t>
      </w:r>
      <w:r>
        <w:rPr>
          <w:rFonts w:hint="eastAsia" w:cs="宋体"/>
          <w:b/>
          <w:bCs/>
          <w:kern w:val="0"/>
          <w:sz w:val="24"/>
          <w:highlight w:val="none"/>
          <w:lang w:val="en-US" w:eastAsia="zh-CN"/>
        </w:rPr>
        <w:t>7</w:t>
      </w:r>
      <w:r>
        <w:rPr>
          <w:rFonts w:hint="eastAsia" w:ascii="宋体" w:hAnsi="宋体" w:cs="宋体"/>
          <w:b/>
          <w:bCs/>
          <w:kern w:val="0"/>
          <w:sz w:val="24"/>
          <w:highlight w:val="none"/>
        </w:rPr>
        <w:t>:00 时前</w:t>
      </w:r>
      <w:r>
        <w:rPr>
          <w:rFonts w:hint="eastAsia" w:ascii="宋体" w:hAnsi="宋体" w:cs="宋体"/>
          <w:kern w:val="0"/>
          <w:sz w:val="24"/>
          <w:highlight w:val="none"/>
        </w:rPr>
        <w:t>，逾期送达或未密封的将被拒收。由代理公司二名人员（一名接收人、一名监督</w:t>
      </w:r>
      <w:r>
        <w:rPr>
          <w:rFonts w:hint="eastAsia" w:ascii="宋体" w:hAnsi="宋体" w:cs="宋体"/>
          <w:kern w:val="0"/>
          <w:sz w:val="24"/>
        </w:rPr>
        <w:t>人员）统一负责接收数据电子备份投标文件（U 盘），二人均在接收记录单上对数据电子备份投标文件（U 盘）快递包裹的相关情况签字确认，与投标资料一并归档，接收文件全过程将录音录像。</w:t>
      </w:r>
    </w:p>
    <w:p>
      <w:pPr>
        <w:snapToGrid w:val="0"/>
        <w:spacing w:line="400" w:lineRule="exact"/>
        <w:ind w:firstLine="470" w:firstLineChars="196"/>
        <w:rPr>
          <w:rFonts w:ascii="宋体" w:hAnsi="宋体" w:cs="宋体"/>
          <w:kern w:val="0"/>
          <w:sz w:val="24"/>
        </w:rPr>
      </w:pPr>
      <w:r>
        <w:rPr>
          <w:rFonts w:hint="eastAsia" w:ascii="宋体" w:hAnsi="宋体" w:cs="宋体"/>
          <w:kern w:val="0"/>
          <w:sz w:val="24"/>
        </w:rPr>
        <w:t>注：1）供应商应权衡利弊考虑是否提供数据电子备份投标文件（U盘），采购人及采购代理机构不做强制性要求，若因下一条款（第4条）原因须启用数据电子备份投标文件（U盘）时，而供应商未提供的，视为放弃投标资格，作无效标处理；2）供应商应对提供的数据电子备份投标文件（U盘）进行加密处理，若需要启用数据电子备份投标文件（U盘）时，再由供应商告知采购人及采购代理机构加密信息进行解密；3）若供应商未提供数据电子备份投标文件（U盘），招标公告及招标文件中关于数据电子备份投标文件（U盘）的要求及内容不再适用。</w:t>
      </w:r>
    </w:p>
    <w:p>
      <w:pPr>
        <w:snapToGrid w:val="0"/>
        <w:spacing w:line="400" w:lineRule="exact"/>
        <w:ind w:firstLine="470" w:firstLineChars="196"/>
        <w:rPr>
          <w:rFonts w:ascii="宋体" w:hAnsi="宋体" w:cs="宋体"/>
          <w:kern w:val="0"/>
          <w:sz w:val="24"/>
        </w:rPr>
      </w:pPr>
      <w:r>
        <w:rPr>
          <w:rFonts w:hint="eastAsia" w:ascii="宋体" w:hAnsi="宋体" w:cs="宋体"/>
          <w:kern w:val="0"/>
          <w:sz w:val="24"/>
        </w:rPr>
        <w:t>3.4.CA 锁解密时间为开标当日投标截止时间后，各供应商须提供符合要求的 CA 加密后的电子投标文件、有效的 CA 锁供开标当天解密，投标截止时间止未完成上传的电子投标文件或未按招标文件要求密封、包装的数据电子备份投标文件（U 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 盘），数据电子备份投标文件（U 盘）未提供或因供应商问题造成无法打开的，作无效标处理。若正常解密成功，则数据电子备份投标文件（U 盘）不予开启。在下一顺位的投标文件启用时，前一顺位的投标文件自动失效。</w:t>
      </w:r>
    </w:p>
    <w:p>
      <w:pPr>
        <w:snapToGrid w:val="0"/>
        <w:spacing w:line="400" w:lineRule="exact"/>
        <w:ind w:firstLine="470" w:firstLineChars="196"/>
        <w:rPr>
          <w:rFonts w:ascii="宋体" w:hAnsi="宋体" w:cs="宋体"/>
          <w:kern w:val="0"/>
          <w:sz w:val="24"/>
        </w:rPr>
      </w:pPr>
      <w:r>
        <w:rPr>
          <w:rFonts w:hint="eastAsia" w:ascii="宋体" w:hAnsi="宋体" w:cs="宋体"/>
          <w:kern w:val="0"/>
          <w:sz w:val="24"/>
        </w:rPr>
        <w:t>4.供应商须在线获取CA数字证书（完成CA数字证书办理预计一周左右，建议各供应商自行把握时间，办理流程详见</w:t>
      </w:r>
    </w:p>
    <w:p>
      <w:pPr>
        <w:snapToGrid w:val="0"/>
        <w:spacing w:line="400" w:lineRule="exact"/>
        <w:ind w:firstLine="470" w:firstLineChars="196"/>
        <w:rPr>
          <w:rFonts w:ascii="宋体" w:hAnsi="宋体" w:cs="宋体"/>
          <w:kern w:val="0"/>
          <w:sz w:val="24"/>
        </w:rPr>
      </w:pPr>
      <w:r>
        <w:rPr>
          <w:rFonts w:hint="eastAsia" w:ascii="宋体" w:hAnsi="宋体" w:cs="宋体"/>
          <w:kern w:val="0"/>
          <w:sz w:val="24"/>
        </w:rPr>
        <w:t>http://zfcg.czt.zj.gov.cn/bidClientTemplate/2019-05-27/12945.html），并登陆“浙江省政府采购网”(</w:t>
      </w:r>
      <w:r>
        <w:rPr>
          <w:rFonts w:ascii="宋体" w:hAnsi="宋体" w:cs="宋体"/>
          <w:sz w:val="24"/>
        </w:rPr>
        <w:t>http://zfcg.czt.zj.gov.cn/</w:t>
      </w:r>
      <w:r>
        <w:rPr>
          <w:rFonts w:hint="eastAsia" w:ascii="宋体" w:hAnsi="宋体" w:cs="宋体"/>
          <w:kern w:val="0"/>
          <w:sz w:val="24"/>
        </w:rPr>
        <w:t>)，进入“下载专区”下载“电子交易客户端”，制作投标文件。</w:t>
      </w:r>
    </w:p>
    <w:p>
      <w:pPr>
        <w:snapToGrid w:val="0"/>
        <w:spacing w:line="400" w:lineRule="exact"/>
        <w:ind w:firstLine="470" w:firstLineChars="196"/>
        <w:rPr>
          <w:rFonts w:ascii="宋体" w:hAnsi="宋体" w:cs="宋体"/>
          <w:kern w:val="0"/>
          <w:sz w:val="24"/>
        </w:rPr>
      </w:pPr>
      <w:r>
        <w:rPr>
          <w:rFonts w:hint="eastAsia" w:ascii="宋体" w:hAnsi="宋体" w:cs="宋体"/>
          <w:kern w:val="0"/>
          <w:sz w:val="24"/>
        </w:rPr>
        <w:t>5.供应商须将制作、加密后的电子版投标文件于投标截止时间前上传到政采云系统中，超过投标截止时间上传的，均按无效标处理。</w:t>
      </w:r>
    </w:p>
    <w:p>
      <w:pPr>
        <w:snapToGrid w:val="0"/>
        <w:spacing w:line="400" w:lineRule="exact"/>
        <w:ind w:firstLine="470" w:firstLineChars="196"/>
        <w:rPr>
          <w:rFonts w:ascii="宋体" w:hAnsi="宋体" w:cs="宋体"/>
          <w:kern w:val="0"/>
          <w:sz w:val="24"/>
        </w:rPr>
      </w:pPr>
      <w:r>
        <w:rPr>
          <w:rFonts w:hint="eastAsia" w:ascii="宋体" w:hAnsi="宋体" w:cs="宋体"/>
          <w:kern w:val="0"/>
          <w:sz w:val="24"/>
        </w:rPr>
        <w:t>6.供应商通过政采云平台电子投标工具制作投标文件，电子投标工具请供应商自行前往浙江省政府采购网下载并安装，（下载网址：http://zfcg.czt.zj.gov.cn/bidClientTemplate/2019-09-24/12975.html），供应商电子交易操作指南详见网址：https://help.zcygov.cn/web/site_2/2018/12-28/2573.html）；</w:t>
      </w:r>
    </w:p>
    <w:p>
      <w:pPr>
        <w:snapToGrid w:val="0"/>
        <w:spacing w:line="400" w:lineRule="exact"/>
        <w:ind w:firstLine="470" w:firstLineChars="196"/>
        <w:rPr>
          <w:rFonts w:ascii="宋体" w:hAnsi="宋体" w:cs="宋体"/>
          <w:kern w:val="0"/>
          <w:sz w:val="24"/>
        </w:rPr>
      </w:pPr>
      <w:r>
        <w:rPr>
          <w:rFonts w:hint="eastAsia" w:ascii="宋体" w:hAnsi="宋体" w:cs="宋体"/>
          <w:kern w:val="0"/>
          <w:sz w:val="24"/>
        </w:rPr>
        <w:t>具体的投标文件加密上传等操作详见政采云平台操作指南。</w:t>
      </w:r>
    </w:p>
    <w:p>
      <w:pPr>
        <w:snapToGrid w:val="0"/>
        <w:spacing w:line="400" w:lineRule="exact"/>
        <w:ind w:firstLine="548" w:firstLineChars="196"/>
        <w:rPr>
          <w:rFonts w:ascii="宋体" w:hAnsi="宋体" w:cs="宋体"/>
          <w:kern w:val="0"/>
          <w:sz w:val="24"/>
        </w:rPr>
      </w:pPr>
      <w:r>
        <w:fldChar w:fldCharType="begin"/>
      </w:r>
      <w:r>
        <w:instrText xml:space="preserve"> HYPERLINK "https://edu.zcygov.cn/luban/e-biding?utm=a0004.2ef5001f.0001.0109.da8b35e0da8611e98d8937b7ef8a3544" </w:instrText>
      </w:r>
      <w:r>
        <w:fldChar w:fldCharType="separate"/>
      </w:r>
      <w:r>
        <w:rPr>
          <w:rFonts w:hint="eastAsia" w:ascii="宋体" w:hAnsi="宋体" w:cs="宋体"/>
          <w:kern w:val="0"/>
          <w:sz w:val="24"/>
        </w:rPr>
        <w:t>https://edu.zcygov.cn/luban/e-biding?utm=a0004.2ef5001f.0001.0109.da8b35e0da8611e98d8937b7ef8a3544</w:t>
      </w:r>
      <w:r>
        <w:rPr>
          <w:rFonts w:hint="eastAsia" w:ascii="宋体" w:hAnsi="宋体" w:cs="宋体"/>
          <w:kern w:val="0"/>
          <w:sz w:val="24"/>
        </w:rPr>
        <w:fldChar w:fldCharType="end"/>
      </w:r>
    </w:p>
    <w:p>
      <w:pPr>
        <w:snapToGrid w:val="0"/>
        <w:spacing w:line="360" w:lineRule="auto"/>
        <w:ind w:firstLine="472" w:firstLineChars="196"/>
        <w:rPr>
          <w:rFonts w:ascii="宋体" w:hAnsi="宋体" w:cs="宋体"/>
          <w:b/>
          <w:sz w:val="24"/>
        </w:rPr>
      </w:pPr>
      <w:r>
        <w:rPr>
          <w:rFonts w:hint="eastAsia" w:ascii="宋体" w:hAnsi="宋体" w:cs="宋体"/>
          <w:b/>
          <w:sz w:val="24"/>
        </w:rPr>
        <w:t>十一、发布采购公告的媒体为：</w:t>
      </w:r>
    </w:p>
    <w:p>
      <w:pPr>
        <w:widowControl/>
        <w:tabs>
          <w:tab w:val="left" w:pos="418"/>
        </w:tabs>
        <w:spacing w:line="360" w:lineRule="auto"/>
        <w:ind w:firstLine="480" w:firstLineChars="200"/>
        <w:rPr>
          <w:rFonts w:ascii="宋体" w:hAnsi="宋体" w:cs="宋体"/>
          <w:kern w:val="0"/>
          <w:sz w:val="24"/>
        </w:rPr>
      </w:pPr>
      <w:r>
        <w:rPr>
          <w:rFonts w:hint="eastAsia" w:ascii="宋体" w:hAnsi="宋体" w:cs="宋体"/>
          <w:kern w:val="0"/>
          <w:sz w:val="24"/>
        </w:rPr>
        <w:t>浙江政府采购网 （</w:t>
      </w:r>
      <w:r>
        <w:rPr>
          <w:rFonts w:ascii="宋体" w:hAnsi="宋体" w:cs="宋体"/>
          <w:sz w:val="24"/>
        </w:rPr>
        <w:t>http://zfcg.czt.zj.gov.cn/</w:t>
      </w:r>
      <w:r>
        <w:rPr>
          <w:rFonts w:hint="eastAsia" w:ascii="宋体" w:hAnsi="宋体" w:cs="宋体"/>
          <w:kern w:val="0"/>
          <w:sz w:val="24"/>
        </w:rPr>
        <w:t>）；</w:t>
      </w:r>
    </w:p>
    <w:p>
      <w:pPr>
        <w:widowControl/>
        <w:tabs>
          <w:tab w:val="left" w:pos="418"/>
        </w:tabs>
        <w:spacing w:line="360" w:lineRule="auto"/>
        <w:ind w:firstLine="480" w:firstLineChars="200"/>
        <w:rPr>
          <w:rFonts w:ascii="宋体" w:hAnsi="宋体" w:cs="宋体"/>
          <w:kern w:val="0"/>
          <w:sz w:val="24"/>
        </w:rPr>
      </w:pPr>
      <w:r>
        <w:rPr>
          <w:rFonts w:hint="eastAsia" w:ascii="宋体" w:hAnsi="宋体" w:cs="宋体"/>
          <w:kern w:val="0"/>
          <w:sz w:val="24"/>
        </w:rPr>
        <w:t>湖州市公共资源交易信息网（</w:t>
      </w:r>
      <w:r>
        <w:rPr>
          <w:rFonts w:hint="eastAsia" w:ascii="宋体" w:hAnsi="宋体" w:cs="宋体"/>
          <w:kern w:val="0"/>
          <w:sz w:val="24"/>
          <w:lang w:eastAsia="zh-CN"/>
        </w:rPr>
        <w:t>http://ggzyjy.huzhou.gov.cn/</w:t>
      </w:r>
      <w:r>
        <w:rPr>
          <w:rFonts w:hint="eastAsia" w:ascii="宋体" w:hAnsi="宋体" w:cs="宋体"/>
          <w:kern w:val="0"/>
          <w:sz w:val="24"/>
        </w:rPr>
        <w:t>）；</w:t>
      </w:r>
    </w:p>
    <w:p>
      <w:pPr>
        <w:pStyle w:val="28"/>
        <w:adjustRightInd w:val="0"/>
        <w:snapToGrid w:val="0"/>
        <w:spacing w:line="360" w:lineRule="auto"/>
        <w:ind w:firstLine="482"/>
        <w:outlineLvl w:val="1"/>
        <w:rPr>
          <w:rFonts w:cs="宋体"/>
          <w:b/>
          <w:sz w:val="24"/>
          <w:szCs w:val="24"/>
        </w:rPr>
      </w:pPr>
      <w:r>
        <w:rPr>
          <w:rFonts w:hint="eastAsia" w:cs="宋体"/>
          <w:b/>
          <w:sz w:val="24"/>
          <w:szCs w:val="24"/>
        </w:rPr>
        <w:t>十</w:t>
      </w:r>
      <w:bookmarkEnd w:id="13"/>
      <w:bookmarkEnd w:id="14"/>
      <w:r>
        <w:rPr>
          <w:rFonts w:hint="eastAsia" w:cs="宋体"/>
          <w:b/>
          <w:sz w:val="24"/>
          <w:szCs w:val="24"/>
        </w:rPr>
        <w:t>二、其它补充事项：</w:t>
      </w:r>
    </w:p>
    <w:p>
      <w:pPr>
        <w:snapToGrid w:val="0"/>
        <w:spacing w:line="360" w:lineRule="auto"/>
        <w:ind w:firstLine="240" w:firstLineChars="100"/>
        <w:rPr>
          <w:rFonts w:ascii="宋体" w:hAnsi="宋体" w:cs="宋体"/>
          <w:kern w:val="0"/>
          <w:sz w:val="24"/>
        </w:rPr>
      </w:pPr>
      <w:bookmarkStart w:id="15" w:name="_Toc20737"/>
      <w:r>
        <w:rPr>
          <w:rFonts w:hint="eastAsia" w:ascii="宋体" w:hAnsi="宋体" w:cs="宋体"/>
          <w:kern w:val="0"/>
          <w:sz w:val="24"/>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240" w:firstLineChars="100"/>
        <w:rPr>
          <w:rFonts w:ascii="宋体" w:hAnsi="宋体" w:cs="宋体"/>
          <w:kern w:val="0"/>
          <w:sz w:val="24"/>
        </w:rPr>
      </w:pPr>
      <w:r>
        <w:rPr>
          <w:rFonts w:hint="eastAsia" w:ascii="宋体" w:hAnsi="宋体" w:cs="宋体"/>
          <w:kern w:val="0"/>
          <w:sz w:val="24"/>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4、其他事项：1.本项目为电子招投标项目，实行网上招投标，应按照本采购文件及政采云平台的要求编制、加密并要求投标供应商通过政采云系统在线开标响应，开标截止时间前须完成电子投标文件的上传。投标供应商在使用系统进行响应的过程中遇到涉及平台使用的任何问题，可致电政采云平台技术支持热线咨询，联系方式：95763。</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2.本项目公告期限：5个工作日。</w:t>
      </w:r>
    </w:p>
    <w:p>
      <w:pPr>
        <w:snapToGrid w:val="0"/>
        <w:spacing w:line="360" w:lineRule="auto"/>
        <w:ind w:firstLine="480" w:firstLineChars="200"/>
        <w:rPr>
          <w:rFonts w:ascii="宋体" w:hAnsi="宋体" w:cs="宋体"/>
          <w:sz w:val="24"/>
        </w:rPr>
      </w:pPr>
      <w:r>
        <w:rPr>
          <w:rFonts w:hint="eastAsia" w:ascii="宋体" w:hAnsi="宋体" w:cs="宋体"/>
          <w:kern w:val="0"/>
          <w:sz w:val="24"/>
        </w:rPr>
        <w:t>3.</w:t>
      </w:r>
      <w:r>
        <w:rPr>
          <w:rFonts w:hint="eastAsia" w:ascii="宋体" w:hAnsi="宋体"/>
          <w:sz w:val="24"/>
          <w:szCs w:val="20"/>
        </w:rPr>
        <w:t>供应商认为采购文件使自己的权益受到损害的，可以自收到采购文件之日（发售截止日之后收到采购文件的，以发售截止日为准）或者采购文件公告期限届满之日（公告发布后的第6个工作日）起7个工作日内</w:t>
      </w:r>
      <w:r>
        <w:rPr>
          <w:rFonts w:hint="eastAsia" w:ascii="宋体" w:hAnsi="宋体"/>
          <w:b/>
          <w:sz w:val="24"/>
          <w:szCs w:val="20"/>
        </w:rPr>
        <w:t>（逾期将不再受理）</w:t>
      </w:r>
      <w:r>
        <w:rPr>
          <w:rFonts w:hint="eastAsia" w:ascii="宋体" w:hAnsi="宋体"/>
          <w:sz w:val="24"/>
          <w:szCs w:val="20"/>
        </w:rPr>
        <w:t>，以书面形式向采购人和采购代理公司提出质疑。</w:t>
      </w:r>
      <w:r>
        <w:rPr>
          <w:rFonts w:hint="eastAsia" w:ascii="宋体" w:hAnsi="宋体" w:cs="宋体"/>
          <w:kern w:val="0"/>
          <w:sz w:val="24"/>
        </w:rPr>
        <w:t>采购人将在规定的时间内统一进行澄清和修改，并书面（含传真）通知所有认购采购文件的投标供应商。投标供应商未按规定要求提出的，则视同认可采购文件，但法律法规及规范性文件有明确规定的除外。</w:t>
      </w:r>
    </w:p>
    <w:p>
      <w:pPr>
        <w:snapToGrid w:val="0"/>
        <w:spacing w:line="360" w:lineRule="auto"/>
        <w:ind w:firstLine="480" w:firstLineChars="200"/>
        <w:rPr>
          <w:rFonts w:ascii="宋体" w:hAnsi="宋体" w:cs="宋体"/>
          <w:sz w:val="24"/>
        </w:rPr>
      </w:pPr>
      <w:r>
        <w:rPr>
          <w:rFonts w:hint="eastAsia" w:ascii="宋体" w:hAnsi="宋体" w:cs="宋体"/>
          <w:color w:val="000000"/>
          <w:kern w:val="0"/>
          <w:sz w:val="24"/>
        </w:rPr>
        <w:t>4.投标供应商如认为开标过程和成交结果使自身的合法权益受到损害的，应于自预成交结果公告之日起七个工作日内以书面形式向采购机构提出质疑，逾期不予受理。投标供应商对采购代理机构的质疑答复不满意或者采购代理机构未在规定时间内作出答复的，可以在答复期满后十五个工作日内向同级政府采购监督管理部门投诉。</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5.参与政府采购项目的注册投标供应商，需登录浙江政府采购云平台(http://www.zcygov.cn)进行网上报名；尚未注册的投标供应商应当先在浙江政府采购云平台上申请注册，注册终审通过后再进行网上报名。</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6.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7.本项目是否专门面向中小企业采购：</w:t>
      </w:r>
      <w:r>
        <w:rPr>
          <w:rFonts w:hint="eastAsia" w:ascii="宋体" w:hAnsi="宋体" w:cs="宋体"/>
          <w:kern w:val="0"/>
          <w:sz w:val="24"/>
          <w:lang w:eastAsia="zh-CN"/>
        </w:rPr>
        <w:t>是</w:t>
      </w:r>
      <w:r>
        <w:rPr>
          <w:rFonts w:hint="eastAsia" w:ascii="宋体" w:hAnsi="宋体" w:cs="宋体"/>
          <w:kern w:val="0"/>
          <w:sz w:val="24"/>
        </w:rPr>
        <w:t>。</w:t>
      </w:r>
    </w:p>
    <w:p>
      <w:pPr>
        <w:pStyle w:val="28"/>
        <w:adjustRightInd w:val="0"/>
        <w:snapToGrid w:val="0"/>
        <w:spacing w:line="440" w:lineRule="exact"/>
        <w:ind w:firstLine="482"/>
        <w:rPr>
          <w:rFonts w:cs="宋体"/>
          <w:b/>
          <w:sz w:val="24"/>
          <w:szCs w:val="24"/>
        </w:rPr>
      </w:pPr>
      <w:r>
        <w:rPr>
          <w:rFonts w:hint="eastAsia" w:cs="宋体"/>
          <w:b/>
          <w:sz w:val="24"/>
          <w:szCs w:val="24"/>
        </w:rPr>
        <w:t>十三、业务咨询：</w:t>
      </w:r>
      <w:bookmarkEnd w:id="15"/>
    </w:p>
    <w:p>
      <w:pPr>
        <w:snapToGrid w:val="0"/>
        <w:spacing w:line="440" w:lineRule="exact"/>
        <w:ind w:firstLine="480" w:firstLineChars="200"/>
        <w:rPr>
          <w:rFonts w:hint="eastAsia" w:ascii="宋体" w:hAnsi="宋体" w:cs="宋体"/>
          <w:sz w:val="24"/>
        </w:rPr>
      </w:pPr>
      <w:r>
        <w:rPr>
          <w:rFonts w:hint="eastAsia" w:ascii="宋体" w:hAnsi="宋体" w:cs="宋体"/>
          <w:sz w:val="24"/>
        </w:rPr>
        <w:t>采购人：</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中共湖州市吴兴区委政法委员会</w:t>
      </w:r>
    </w:p>
    <w:p>
      <w:pPr>
        <w:snapToGrid w:val="0"/>
        <w:spacing w:line="440" w:lineRule="exact"/>
        <w:ind w:firstLine="480" w:firstLineChars="200"/>
        <w:rPr>
          <w:rFonts w:ascii="宋体" w:hAnsi="宋体" w:cs="宋体"/>
          <w:color w:val="000000"/>
          <w:kern w:val="0"/>
          <w:sz w:val="24"/>
          <w:highlight w:val="none"/>
        </w:rPr>
      </w:pPr>
      <w:r>
        <w:rPr>
          <w:rFonts w:hint="eastAsia" w:ascii="宋体" w:hAnsi="宋体" w:cs="宋体"/>
          <w:sz w:val="24"/>
          <w:highlight w:val="none"/>
        </w:rPr>
        <w:t>联系人：石春伟</w:t>
      </w:r>
      <w:r>
        <w:rPr>
          <w:rFonts w:hint="eastAsia" w:ascii="宋体" w:hAnsi="宋体" w:cs="宋体"/>
          <w:sz w:val="24"/>
          <w:highlight w:val="none"/>
          <w:lang w:val="en-US" w:eastAsia="zh-CN"/>
        </w:rPr>
        <w:t xml:space="preserve">        </w:t>
      </w:r>
      <w:r>
        <w:rPr>
          <w:rFonts w:hint="eastAsia" w:ascii="宋体" w:hAnsi="宋体" w:cs="宋体"/>
          <w:sz w:val="24"/>
          <w:highlight w:val="none"/>
        </w:rPr>
        <w:t>联系电话：</w:t>
      </w:r>
      <w:r>
        <w:rPr>
          <w:rFonts w:hint="eastAsia" w:ascii="宋体" w:hAnsi="宋体" w:cs="宋体"/>
          <w:sz w:val="24"/>
          <w:highlight w:val="none"/>
          <w:lang w:val="en-US"/>
        </w:rPr>
        <w:t>0572-2100572</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 xml:space="preserve">质疑联系人：顾女士 </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 xml:space="preserve"> 联系电话：0572-2100572</w:t>
      </w:r>
    </w:p>
    <w:p>
      <w:pPr>
        <w:snapToGrid w:val="0"/>
        <w:spacing w:line="440" w:lineRule="exact"/>
        <w:ind w:firstLine="480" w:firstLineChars="200"/>
        <w:rPr>
          <w:rFonts w:ascii="宋体" w:hAnsi="宋体" w:cs="宋体"/>
          <w:sz w:val="24"/>
        </w:rPr>
      </w:pPr>
      <w:r>
        <w:rPr>
          <w:rFonts w:hint="eastAsia" w:ascii="宋体" w:hAnsi="宋体" w:cs="宋体"/>
          <w:sz w:val="24"/>
          <w:lang w:eastAsia="zh-CN"/>
        </w:rPr>
        <w:t>联系人：汪美</w:t>
      </w:r>
      <w:r>
        <w:rPr>
          <w:rFonts w:hint="eastAsia" w:ascii="宋体" w:hAnsi="宋体" w:cs="宋体"/>
          <w:sz w:val="24"/>
        </w:rPr>
        <w:t>玲          联系电话：0572-2630018</w:t>
      </w:r>
    </w:p>
    <w:p>
      <w:pPr>
        <w:snapToGrid w:val="0"/>
        <w:spacing w:line="440" w:lineRule="exact"/>
        <w:ind w:firstLine="480" w:firstLineChars="200"/>
        <w:rPr>
          <w:rFonts w:ascii="宋体" w:hAnsi="宋体" w:cs="宋体"/>
          <w:kern w:val="0"/>
          <w:sz w:val="24"/>
        </w:rPr>
      </w:pPr>
      <w:r>
        <w:rPr>
          <w:rFonts w:hint="eastAsia" w:ascii="宋体" w:hAnsi="宋体" w:cs="宋体"/>
          <w:kern w:val="0"/>
          <w:sz w:val="24"/>
        </w:rPr>
        <w:t>质疑函接收人：沈女士    联系电话：0572-2023019</w:t>
      </w:r>
    </w:p>
    <w:p>
      <w:pPr>
        <w:snapToGrid w:val="0"/>
        <w:spacing w:line="440" w:lineRule="exact"/>
        <w:ind w:firstLine="480" w:firstLineChars="200"/>
        <w:rPr>
          <w:rFonts w:ascii="宋体" w:hAnsi="宋体" w:cs="宋体"/>
          <w:kern w:val="0"/>
          <w:sz w:val="24"/>
        </w:rPr>
      </w:pPr>
      <w:r>
        <w:rPr>
          <w:rFonts w:hint="eastAsia" w:ascii="宋体" w:hAnsi="宋体" w:cs="宋体"/>
          <w:sz w:val="24"/>
        </w:rPr>
        <w:t>地址：</w:t>
      </w:r>
      <w:r>
        <w:rPr>
          <w:rFonts w:hint="eastAsia" w:ascii="宋体" w:hAnsi="宋体" w:cs="Arial"/>
          <w:sz w:val="24"/>
        </w:rPr>
        <w:t>湖州市吴兴区八里店镇星光商务广场11幢A座702室</w:t>
      </w:r>
    </w:p>
    <w:p>
      <w:pPr>
        <w:snapToGrid w:val="0"/>
        <w:spacing w:line="440" w:lineRule="exact"/>
        <w:ind w:firstLine="480" w:firstLineChars="200"/>
        <w:rPr>
          <w:rFonts w:ascii="宋体" w:hAnsi="宋体" w:cs="宋体"/>
          <w:sz w:val="24"/>
        </w:rPr>
      </w:pPr>
      <w:r>
        <w:rPr>
          <w:rFonts w:hint="eastAsia" w:ascii="宋体" w:hAnsi="宋体" w:cs="宋体"/>
          <w:sz w:val="24"/>
        </w:rPr>
        <w:t>政府采购行政监管及投诉受理部门：</w:t>
      </w:r>
    </w:p>
    <w:p>
      <w:pPr>
        <w:snapToGrid w:val="0"/>
        <w:spacing w:line="440" w:lineRule="exact"/>
        <w:ind w:firstLine="480" w:firstLineChars="200"/>
        <w:rPr>
          <w:rFonts w:hint="eastAsia" w:ascii="宋体" w:hAnsi="宋体" w:cs="宋体"/>
          <w:sz w:val="24"/>
        </w:rPr>
      </w:pPr>
      <w:r>
        <w:rPr>
          <w:rFonts w:hint="eastAsia" w:ascii="宋体" w:hAnsi="宋体" w:cs="宋体"/>
          <w:sz w:val="24"/>
        </w:rPr>
        <w:t xml:space="preserve">湖州市吴兴区财政局政府采购监管科      </w:t>
      </w:r>
    </w:p>
    <w:p>
      <w:pPr>
        <w:snapToGrid w:val="0"/>
        <w:spacing w:line="440" w:lineRule="exact"/>
        <w:ind w:firstLine="480" w:firstLineChars="200"/>
        <w:rPr>
          <w:rFonts w:ascii="宋体" w:hAnsi="宋体" w:cs="宋体"/>
          <w:sz w:val="24"/>
        </w:rPr>
      </w:pPr>
      <w:r>
        <w:rPr>
          <w:rFonts w:hint="eastAsia" w:ascii="宋体" w:hAnsi="宋体" w:cs="宋体"/>
          <w:kern w:val="0"/>
          <w:sz w:val="24"/>
          <w:szCs w:val="24"/>
        </w:rPr>
        <w:t>联系人 ：</w:t>
      </w:r>
      <w:r>
        <w:rPr>
          <w:rFonts w:hint="eastAsia" w:ascii="宋体" w:hAnsi="宋体" w:cs="宋体"/>
          <w:kern w:val="0"/>
          <w:sz w:val="24"/>
          <w:szCs w:val="24"/>
          <w:lang w:eastAsia="zh-CN"/>
        </w:rPr>
        <w:t>沈先生</w:t>
      </w:r>
      <w:r>
        <w:rPr>
          <w:rFonts w:hint="eastAsia" w:ascii="宋体" w:hAnsi="宋体" w:cs="宋体"/>
          <w:kern w:val="0"/>
          <w:sz w:val="24"/>
          <w:szCs w:val="24"/>
          <w:lang w:val="en-US" w:eastAsia="zh-CN"/>
        </w:rPr>
        <w:t xml:space="preserve">              </w:t>
      </w:r>
      <w:r>
        <w:rPr>
          <w:rFonts w:hint="eastAsia" w:ascii="宋体" w:hAnsi="宋体" w:cs="宋体"/>
          <w:sz w:val="24"/>
        </w:rPr>
        <w:t xml:space="preserve">  联系电话：0572-2289700</w:t>
      </w:r>
    </w:p>
    <w:p>
      <w:pPr>
        <w:wordWrap w:val="0"/>
        <w:spacing w:line="480" w:lineRule="auto"/>
        <w:ind w:right="240"/>
        <w:jc w:val="right"/>
        <w:rPr>
          <w:rFonts w:hint="eastAsia" w:ascii="宋体" w:hAnsi="宋体" w:cs="宋体"/>
          <w:sz w:val="24"/>
        </w:rPr>
      </w:pPr>
    </w:p>
    <w:p>
      <w:pPr>
        <w:wordWrap w:val="0"/>
        <w:spacing w:line="480" w:lineRule="auto"/>
        <w:ind w:right="240"/>
        <w:jc w:val="right"/>
        <w:rPr>
          <w:rFonts w:hint="eastAsia" w:ascii="宋体" w:hAnsi="宋体" w:cs="宋体"/>
          <w:sz w:val="24"/>
        </w:rPr>
      </w:pPr>
      <w:r>
        <w:rPr>
          <w:rFonts w:hint="eastAsia" w:ascii="宋体" w:hAnsi="宋体" w:cs="宋体"/>
          <w:sz w:val="24"/>
        </w:rPr>
        <w:t>中共湖州市吴兴区委政法委员会</w:t>
      </w:r>
    </w:p>
    <w:p>
      <w:pPr>
        <w:wordWrap w:val="0"/>
        <w:spacing w:line="480" w:lineRule="auto"/>
        <w:ind w:right="240"/>
        <w:jc w:val="right"/>
        <w:rPr>
          <w:rFonts w:ascii="宋体" w:hAnsi="宋体" w:cs="宋体"/>
          <w:sz w:val="24"/>
        </w:rPr>
      </w:pPr>
      <w:r>
        <w:rPr>
          <w:rFonts w:hint="eastAsia" w:ascii="宋体" w:hAnsi="宋体" w:cs="宋体"/>
          <w:sz w:val="24"/>
        </w:rPr>
        <w:t>浙江星兴工程咨询有限公司</w:t>
      </w:r>
    </w:p>
    <w:p>
      <w:pPr>
        <w:spacing w:line="480" w:lineRule="auto"/>
        <w:ind w:right="240"/>
        <w:jc w:val="right"/>
        <w:rPr>
          <w:rFonts w:ascii="宋体" w:hAns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4月3</w:t>
      </w:r>
      <w:r>
        <w:rPr>
          <w:rFonts w:hint="eastAsia" w:ascii="宋体" w:hAnsi="宋体" w:cs="宋体"/>
          <w:kern w:val="0"/>
          <w:sz w:val="24"/>
          <w:highlight w:val="none"/>
        </w:rPr>
        <w:t>日</w:t>
      </w:r>
      <w:bookmarkStart w:id="16" w:name="_Toc27574"/>
    </w:p>
    <w:p>
      <w:r>
        <w:rPr>
          <w:rFonts w:hint="eastAsia" w:ascii="宋体" w:hAnsi="宋体" w:cs="宋体"/>
          <w:kern w:val="0"/>
          <w:sz w:val="24"/>
        </w:rPr>
        <w:br w:type="page"/>
      </w:r>
    </w:p>
    <w:bookmarkEnd w:id="16"/>
    <w:p>
      <w:pPr>
        <w:pStyle w:val="3"/>
        <w:numPr>
          <w:ilvl w:val="0"/>
          <w:numId w:val="4"/>
        </w:numPr>
        <w:spacing w:line="360" w:lineRule="auto"/>
        <w:jc w:val="center"/>
        <w:rPr>
          <w:rFonts w:ascii="宋体" w:hAnsi="宋体" w:cs="仿宋"/>
          <w:bCs w:val="0"/>
          <w:sz w:val="30"/>
          <w:szCs w:val="30"/>
        </w:rPr>
      </w:pPr>
      <w:bookmarkStart w:id="17" w:name="_Toc23238"/>
      <w:r>
        <w:rPr>
          <w:rFonts w:hint="eastAsia" w:asciiTheme="minorEastAsia" w:hAnsiTheme="minorEastAsia" w:eastAsiaTheme="minorEastAsia" w:cstheme="minorEastAsia"/>
          <w:bCs w:val="0"/>
          <w:sz w:val="30"/>
          <w:szCs w:val="30"/>
        </w:rPr>
        <w:t>招标需求</w:t>
      </w:r>
    </w:p>
    <w:p>
      <w:pPr>
        <w:numPr>
          <w:ilvl w:val="0"/>
          <w:numId w:val="5"/>
        </w:numPr>
        <w:spacing w:beforeLines="50" w:afterLines="30" w:line="360" w:lineRule="auto"/>
        <w:jc w:val="left"/>
        <w:rPr>
          <w:rFonts w:hint="eastAsia" w:ascii="宋体" w:hAnsi="宋体" w:cs="宋体"/>
          <w:b w:val="0"/>
          <w:bCs w:val="0"/>
          <w:spacing w:val="-6"/>
          <w:sz w:val="24"/>
          <w:lang w:eastAsia="zh-CN"/>
        </w:rPr>
      </w:pPr>
      <w:r>
        <w:rPr>
          <w:rFonts w:hint="eastAsia" w:ascii="宋体" w:hAnsi="宋体" w:cs="宋体"/>
          <w:b/>
          <w:bCs/>
          <w:sz w:val="24"/>
          <w:lang w:eastAsia="zh-CN"/>
        </w:rPr>
        <w:t>项目名称：</w:t>
      </w:r>
      <w:r>
        <w:rPr>
          <w:rFonts w:hint="eastAsia" w:ascii="宋体" w:hAnsi="宋体" w:cs="宋体"/>
          <w:b w:val="0"/>
          <w:bCs w:val="0"/>
          <w:spacing w:val="-6"/>
          <w:sz w:val="24"/>
          <w:lang w:eastAsia="zh-CN"/>
        </w:rPr>
        <w:t>中共湖州市吴兴区委政法委员会刑事诉讼涉案财物管理项目（2024-2025年度）（重新招标）</w:t>
      </w:r>
    </w:p>
    <w:p>
      <w:pPr>
        <w:spacing w:line="360" w:lineRule="auto"/>
        <w:rPr>
          <w:rFonts w:hint="eastAsia" w:ascii="宋体" w:hAnsi="宋体" w:cs="宋体"/>
          <w:b/>
          <w:bCs/>
          <w:sz w:val="24"/>
          <w:lang w:eastAsia="zh-CN"/>
        </w:rPr>
      </w:pPr>
      <w:r>
        <w:rPr>
          <w:rFonts w:hint="eastAsia" w:ascii="宋体" w:hAnsi="宋体" w:cs="宋体"/>
          <w:b/>
          <w:bCs/>
          <w:sz w:val="24"/>
          <w:lang w:eastAsia="zh-CN"/>
        </w:rPr>
        <w:t>二、采购需求</w:t>
      </w:r>
    </w:p>
    <w:p>
      <w:pPr>
        <w:autoSpaceDE w:val="0"/>
        <w:autoSpaceDN w:val="0"/>
        <w:adjustRightInd w:val="0"/>
        <w:spacing w:line="360" w:lineRule="auto"/>
        <w:ind w:firstLine="482" w:firstLineChars="200"/>
        <w:jc w:val="left"/>
        <w:rPr>
          <w:rFonts w:hint="eastAsia" w:ascii="宋体"/>
          <w:b/>
          <w:bCs/>
          <w:kern w:val="0"/>
          <w:sz w:val="24"/>
          <w:szCs w:val="68"/>
          <w:lang w:eastAsia="zh-CN"/>
        </w:rPr>
      </w:pPr>
      <w:r>
        <w:rPr>
          <w:rFonts w:hint="eastAsia" w:ascii="宋体"/>
          <w:b/>
          <w:bCs/>
          <w:kern w:val="0"/>
          <w:sz w:val="24"/>
          <w:szCs w:val="68"/>
          <w:lang w:eastAsia="zh-CN"/>
        </w:rPr>
        <w:t>（一）项目背景</w:t>
      </w:r>
    </w:p>
    <w:p>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rPr>
        <w:t>根据《浙江省高级人民法院等四部门关于印发浙江省刑事诉讼涉案财物跨部门管理和处置工作机制建设的指导意见的通知》（浙公通字〔2018〕38 号）《浙江省公安厅关于印发全省公安机关一体化办案系统规范化”处置的新型管理和处理工作机制应用推广工作方案的通知》（浙公办【2018】67号）《</w:t>
      </w:r>
      <w:r>
        <w:rPr>
          <w:rFonts w:hint="eastAsia" w:ascii="宋体" w:hAnsi="宋体" w:cs="宋体"/>
          <w:sz w:val="24"/>
        </w:rPr>
        <w:t>湖州市刑事诉讼涉案财物管理工作实施办法（试行）</w:t>
      </w:r>
      <w:r>
        <w:rPr>
          <w:rFonts w:hint="eastAsia" w:ascii="宋体"/>
          <w:kern w:val="0"/>
          <w:sz w:val="24"/>
          <w:szCs w:val="68"/>
        </w:rPr>
        <w:t>的通知》（</w:t>
      </w:r>
      <w:r>
        <w:rPr>
          <w:rFonts w:hint="eastAsia" w:ascii="宋体"/>
          <w:kern w:val="0"/>
          <w:sz w:val="24"/>
          <w:szCs w:val="68"/>
          <w:highlight w:val="none"/>
          <w:lang w:eastAsia="zh-CN"/>
        </w:rPr>
        <w:t>湖</w:t>
      </w:r>
      <w:r>
        <w:rPr>
          <w:rFonts w:hint="eastAsia" w:ascii="宋体"/>
          <w:kern w:val="0"/>
          <w:sz w:val="24"/>
          <w:szCs w:val="68"/>
          <w:highlight w:val="none"/>
        </w:rPr>
        <w:t>政法【2018】</w:t>
      </w:r>
      <w:r>
        <w:rPr>
          <w:rFonts w:hint="eastAsia" w:ascii="宋体"/>
          <w:kern w:val="0"/>
          <w:sz w:val="24"/>
          <w:szCs w:val="68"/>
          <w:highlight w:val="none"/>
          <w:lang w:val="en-US" w:eastAsia="zh-CN"/>
        </w:rPr>
        <w:t>17</w:t>
      </w:r>
      <w:r>
        <w:rPr>
          <w:rFonts w:hint="eastAsia" w:ascii="宋体"/>
          <w:kern w:val="0"/>
          <w:sz w:val="24"/>
          <w:szCs w:val="68"/>
        </w:rPr>
        <w:t>号）。实现刑事诉讼涉案财物“一体化”管理、“换押式”移交、“规范化”处置的新型管理和处理工作机制。</w:t>
      </w:r>
    </w:p>
    <w:p>
      <w:pPr>
        <w:spacing w:line="360" w:lineRule="auto"/>
        <w:ind w:firstLine="482" w:firstLineChars="200"/>
        <w:rPr>
          <w:rFonts w:hint="eastAsia" w:ascii="宋体" w:hAnsi="宋体" w:cs="宋体"/>
          <w:b/>
          <w:sz w:val="24"/>
        </w:rPr>
      </w:pPr>
      <w:r>
        <w:rPr>
          <w:rFonts w:hint="eastAsia" w:ascii="宋体" w:hAnsi="宋体" w:cs="宋体"/>
          <w:b/>
          <w:sz w:val="24"/>
        </w:rPr>
        <w:t>（一）管理中心建设要求</w:t>
      </w:r>
    </w:p>
    <w:p>
      <w:pPr>
        <w:spacing w:line="360" w:lineRule="auto"/>
        <w:ind w:firstLine="472" w:firstLineChars="196"/>
        <w:rPr>
          <w:rFonts w:hint="eastAsia" w:ascii="宋体" w:hAnsi="宋体" w:cs="宋体"/>
          <w:b/>
          <w:bCs w:val="0"/>
          <w:sz w:val="24"/>
        </w:rPr>
      </w:pPr>
      <w:r>
        <w:rPr>
          <w:rFonts w:hint="eastAsia" w:ascii="宋体" w:hAnsi="宋体" w:cs="宋体"/>
          <w:b/>
          <w:bCs w:val="0"/>
          <w:sz w:val="24"/>
        </w:rPr>
        <w:t>1.场地需求</w:t>
      </w:r>
    </w:p>
    <w:p>
      <w:pPr>
        <w:autoSpaceDE w:val="0"/>
        <w:autoSpaceDN w:val="0"/>
        <w:adjustRightInd w:val="0"/>
        <w:spacing w:line="360" w:lineRule="auto"/>
        <w:ind w:firstLine="480" w:firstLineChars="200"/>
        <w:jc w:val="left"/>
        <w:rPr>
          <w:rFonts w:ascii="宋体"/>
          <w:kern w:val="0"/>
          <w:sz w:val="24"/>
          <w:szCs w:val="68"/>
          <w:highlight w:val="none"/>
        </w:rPr>
      </w:pPr>
      <w:r>
        <w:rPr>
          <w:rFonts w:hint="eastAsia" w:ascii="宋体" w:hAnsi="宋体" w:cs="宋体"/>
          <w:bCs/>
          <w:sz w:val="24"/>
        </w:rPr>
        <w:t>（1）供应商需按照采购人要求建设符合保管条件的库房和配套用房，满足本市政法各部门集中管理涉案财物的需求</w:t>
      </w:r>
      <w:r>
        <w:rPr>
          <w:rFonts w:hint="eastAsia" w:ascii="宋体"/>
          <w:kern w:val="0"/>
          <w:sz w:val="24"/>
          <w:szCs w:val="68"/>
        </w:rPr>
        <w:t>，面积不</w:t>
      </w:r>
      <w:r>
        <w:rPr>
          <w:rFonts w:hint="eastAsia" w:ascii="宋体"/>
          <w:kern w:val="0"/>
          <w:sz w:val="24"/>
          <w:szCs w:val="68"/>
          <w:highlight w:val="none"/>
        </w:rPr>
        <w:t>少于1</w:t>
      </w:r>
      <w:r>
        <w:rPr>
          <w:rFonts w:hint="eastAsia" w:ascii="宋体"/>
          <w:kern w:val="0"/>
          <w:sz w:val="24"/>
          <w:szCs w:val="68"/>
          <w:highlight w:val="none"/>
          <w:lang w:val="en-US" w:eastAsia="zh-CN"/>
        </w:rPr>
        <w:t>0</w:t>
      </w:r>
      <w:r>
        <w:rPr>
          <w:rFonts w:hint="eastAsia" w:ascii="宋体"/>
          <w:kern w:val="0"/>
          <w:sz w:val="24"/>
          <w:szCs w:val="68"/>
          <w:highlight w:val="none"/>
        </w:rPr>
        <w:t>00平方。</w:t>
      </w:r>
    </w:p>
    <w:p>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highlight w:val="none"/>
          <w:lang w:eastAsia="zh-CN"/>
        </w:rPr>
        <w:t>（</w:t>
      </w:r>
      <w:r>
        <w:rPr>
          <w:rFonts w:hint="eastAsia" w:ascii="宋体"/>
          <w:kern w:val="0"/>
          <w:sz w:val="24"/>
          <w:szCs w:val="68"/>
          <w:highlight w:val="none"/>
          <w:lang w:val="en-US" w:eastAsia="zh-CN"/>
        </w:rPr>
        <w:t>2</w:t>
      </w:r>
      <w:r>
        <w:rPr>
          <w:rFonts w:hint="eastAsia" w:ascii="宋体"/>
          <w:kern w:val="0"/>
          <w:sz w:val="24"/>
          <w:szCs w:val="68"/>
          <w:highlight w:val="none"/>
          <w:lang w:eastAsia="zh-CN"/>
        </w:rPr>
        <w:t>）</w:t>
      </w:r>
      <w:r>
        <w:rPr>
          <w:rFonts w:hint="eastAsia" w:ascii="宋体"/>
          <w:kern w:val="0"/>
          <w:sz w:val="24"/>
          <w:szCs w:val="68"/>
          <w:highlight w:val="none"/>
        </w:rPr>
        <w:t>保管场所区域范围应设在</w:t>
      </w:r>
      <w:r>
        <w:rPr>
          <w:rFonts w:hint="eastAsia" w:ascii="宋体"/>
          <w:kern w:val="0"/>
          <w:sz w:val="24"/>
          <w:szCs w:val="68"/>
          <w:highlight w:val="none"/>
          <w:lang w:eastAsia="zh-CN"/>
        </w:rPr>
        <w:t>湖州市</w:t>
      </w:r>
      <w:r>
        <w:rPr>
          <w:rFonts w:hint="eastAsia" w:ascii="宋体"/>
          <w:kern w:val="0"/>
          <w:sz w:val="24"/>
          <w:szCs w:val="68"/>
          <w:highlight w:val="none"/>
        </w:rPr>
        <w:t>管辖范围内，距离不超过采购人30公里，</w:t>
      </w:r>
      <w:r>
        <w:rPr>
          <w:rFonts w:hint="eastAsia" w:ascii="宋体"/>
          <w:kern w:val="0"/>
          <w:sz w:val="24"/>
          <w:szCs w:val="68"/>
        </w:rPr>
        <w:t>涉案财物管理中心仓储应独立设置，应符合消防安全要求条件，与周边居民住宅区、村居保持安全距离。</w:t>
      </w:r>
    </w:p>
    <w:p>
      <w:pPr>
        <w:spacing w:line="360" w:lineRule="auto"/>
        <w:ind w:firstLine="470" w:firstLineChars="196"/>
        <w:rPr>
          <w:rFonts w:hint="eastAsia" w:ascii="宋体" w:hAnsi="宋体" w:cs="宋体"/>
          <w:bCs/>
          <w:sz w:val="24"/>
        </w:rPr>
      </w:pPr>
      <w:r>
        <w:rPr>
          <w:rFonts w:hint="eastAsia" w:ascii="宋体" w:hAnsi="宋体" w:cs="宋体"/>
          <w:bCs/>
          <w:sz w:val="24"/>
        </w:rPr>
        <w:t>（</w:t>
      </w:r>
      <w:r>
        <w:rPr>
          <w:rFonts w:hint="eastAsia" w:ascii="宋体" w:hAnsi="宋体" w:cs="宋体"/>
          <w:bCs/>
          <w:sz w:val="24"/>
          <w:lang w:val="en-US" w:eastAsia="zh-CN"/>
        </w:rPr>
        <w:t>3</w:t>
      </w:r>
      <w:r>
        <w:rPr>
          <w:rFonts w:hint="eastAsia" w:ascii="宋体" w:hAnsi="宋体" w:cs="宋体"/>
          <w:bCs/>
          <w:sz w:val="24"/>
        </w:rPr>
        <w:t>）供应商需按照采购人要求设立常规财物保管、冷藏恒温保管、涉密物品保管、贵重财物保管、电力防磁保管、违禁涉毒物品保管、化学物品保管、车辆保管、大宗物品保管、长期保存保管等十类库房，设立交接区、阅证区、办公区、估价室、鉴定室、接待室、档案室、监控中心、数据机房、会议室等十类功能用房。</w:t>
      </w:r>
    </w:p>
    <w:p>
      <w:pPr>
        <w:spacing w:line="360" w:lineRule="auto"/>
        <w:ind w:firstLine="470" w:firstLineChars="196"/>
        <w:rPr>
          <w:rFonts w:hint="eastAsia" w:ascii="宋体" w:hAnsi="宋体" w:eastAsia="宋体" w:cs="宋体"/>
          <w:bCs/>
          <w:color w:val="auto"/>
          <w:sz w:val="24"/>
          <w:lang w:eastAsia="zh-CN"/>
        </w:rPr>
      </w:pPr>
      <w:r>
        <w:rPr>
          <w:rFonts w:hint="eastAsia" w:ascii="宋体" w:hAnsi="宋体" w:cs="宋体"/>
          <w:bCs/>
          <w:color w:val="auto"/>
          <w:sz w:val="24"/>
          <w:lang w:eastAsia="zh-CN"/>
        </w:rPr>
        <w:t>（</w:t>
      </w:r>
      <w:r>
        <w:rPr>
          <w:rFonts w:hint="eastAsia" w:ascii="宋体" w:hAnsi="宋体" w:cs="宋体"/>
          <w:bCs/>
          <w:color w:val="auto"/>
          <w:sz w:val="24"/>
          <w:lang w:val="en-US" w:eastAsia="zh-CN"/>
        </w:rPr>
        <w:t>4</w:t>
      </w:r>
      <w:r>
        <w:rPr>
          <w:rFonts w:hint="eastAsia" w:ascii="宋体" w:hAnsi="宋体" w:cs="宋体"/>
          <w:bCs/>
          <w:color w:val="auto"/>
          <w:sz w:val="24"/>
          <w:lang w:eastAsia="zh-CN"/>
        </w:rPr>
        <w:t>）</w:t>
      </w:r>
      <w:r>
        <w:rPr>
          <w:rFonts w:hint="eastAsia" w:ascii="宋体" w:hAnsi="宋体" w:cs="宋体"/>
          <w:bCs/>
          <w:color w:val="auto"/>
          <w:sz w:val="24"/>
          <w:lang w:val="en-US" w:eastAsia="zh-CN"/>
        </w:rPr>
        <w:t>需配备监控中心，满足录像本地储存时长为90天。</w:t>
      </w:r>
    </w:p>
    <w:p>
      <w:pPr>
        <w:spacing w:line="360" w:lineRule="auto"/>
        <w:ind w:firstLine="472" w:firstLineChars="196"/>
        <w:rPr>
          <w:rFonts w:hint="eastAsia" w:ascii="宋体" w:hAnsi="宋体" w:cs="宋体"/>
          <w:b/>
          <w:bCs w:val="0"/>
          <w:sz w:val="24"/>
        </w:rPr>
      </w:pPr>
      <w:r>
        <w:rPr>
          <w:rFonts w:hint="eastAsia" w:ascii="宋体" w:hAnsi="宋体" w:cs="宋体"/>
          <w:b/>
          <w:bCs w:val="0"/>
          <w:sz w:val="24"/>
        </w:rPr>
        <w:t>2.设备设施</w:t>
      </w:r>
    </w:p>
    <w:p>
      <w:pPr>
        <w:spacing w:line="360" w:lineRule="auto"/>
        <w:ind w:firstLine="470" w:firstLineChars="196"/>
        <w:rPr>
          <w:rFonts w:hint="eastAsia" w:ascii="宋体" w:hAnsi="宋体" w:cs="宋体"/>
          <w:bCs/>
          <w:sz w:val="24"/>
        </w:rPr>
      </w:pPr>
      <w:r>
        <w:rPr>
          <w:rFonts w:hint="eastAsia" w:ascii="宋体" w:hAnsi="宋体" w:cs="宋体"/>
          <w:bCs/>
          <w:sz w:val="24"/>
        </w:rPr>
        <w:t>（1）供应商需按照采购人要求，配置运输涉案财物的押运车辆，保管涉案财物的保险柜、防磁柜、防腐柜、防化柜、冰柜以及具备三防功能的专用智能保管箱和货架等仓储保管设备，温度计、卡尺、天平等计量工具，安装空调、除湿机、新风等设备设施，以及包装袋、封签、发泡棉等耗材，为各类涉案财物提供符合专业要求的保管条件。</w:t>
      </w:r>
    </w:p>
    <w:p>
      <w:pPr>
        <w:spacing w:line="360" w:lineRule="auto"/>
        <w:ind w:firstLine="470" w:firstLineChars="196"/>
        <w:rPr>
          <w:rFonts w:hint="eastAsia" w:ascii="宋体" w:hAnsi="宋体" w:cs="宋体"/>
          <w:bCs/>
          <w:sz w:val="24"/>
        </w:rPr>
      </w:pPr>
      <w:r>
        <w:rPr>
          <w:rFonts w:hint="eastAsia" w:ascii="宋体" w:hAnsi="宋体" w:cs="宋体"/>
          <w:bCs/>
          <w:sz w:val="24"/>
        </w:rPr>
        <w:t>（2）供应商需按照采购人要求，在保管库房、交接区、阅证区、估价室、鉴定室、档案室、数据机房等重要区域安装防盗门窗等物防设施和视频监控、入侵探测等技防设施，落实不少于双人的24小时不间断值守，达到可靠的物防、技防和人防相结合的安防条件。</w:t>
      </w:r>
    </w:p>
    <w:p>
      <w:pPr>
        <w:spacing w:line="360" w:lineRule="auto"/>
        <w:ind w:firstLine="472" w:firstLineChars="196"/>
        <w:rPr>
          <w:rFonts w:hint="eastAsia" w:ascii="宋体" w:hAnsi="宋体" w:cs="宋体"/>
          <w:b/>
          <w:bCs w:val="0"/>
          <w:sz w:val="24"/>
        </w:rPr>
      </w:pPr>
      <w:r>
        <w:rPr>
          <w:rFonts w:hint="eastAsia" w:ascii="宋体" w:hAnsi="宋体" w:cs="宋体"/>
          <w:b/>
          <w:bCs w:val="0"/>
          <w:sz w:val="24"/>
        </w:rPr>
        <w:t>3.管理系统</w:t>
      </w:r>
    </w:p>
    <w:p>
      <w:pPr>
        <w:autoSpaceDE w:val="0"/>
        <w:autoSpaceDN w:val="0"/>
        <w:adjustRightInd w:val="0"/>
        <w:spacing w:line="360" w:lineRule="auto"/>
        <w:ind w:firstLine="480" w:firstLineChars="200"/>
        <w:jc w:val="left"/>
        <w:rPr>
          <w:rFonts w:hint="eastAsia" w:ascii="宋体" w:hAnsi="宋体" w:cs="宋体"/>
          <w:bCs/>
          <w:sz w:val="24"/>
        </w:rPr>
      </w:pPr>
      <w:r>
        <w:rPr>
          <w:rFonts w:hint="eastAsia" w:ascii="宋体"/>
          <w:kern w:val="0"/>
          <w:sz w:val="24"/>
          <w:szCs w:val="68"/>
        </w:rPr>
        <w:t>具备涉案财物集中管理信息系统，实现对涉案财物信息进行实时、全程录入和管理等功能，并与浙江省政法一体化办案系统互联互通。涉案财物管理人员应当对所有涉案财物逐一编号，并将案由、来源、财物基本情况、保管状态、场所和去向等信息录入信息系统。</w:t>
      </w:r>
    </w:p>
    <w:p>
      <w:pPr>
        <w:autoSpaceDE w:val="0"/>
        <w:autoSpaceDN w:val="0"/>
        <w:adjustRightInd w:val="0"/>
        <w:spacing w:line="360" w:lineRule="auto"/>
        <w:ind w:firstLine="482" w:firstLineChars="200"/>
        <w:jc w:val="left"/>
        <w:rPr>
          <w:rFonts w:ascii="宋体"/>
          <w:b/>
          <w:bCs/>
          <w:kern w:val="0"/>
          <w:sz w:val="24"/>
          <w:szCs w:val="68"/>
        </w:rPr>
      </w:pPr>
      <w:r>
        <w:rPr>
          <w:rFonts w:hint="eastAsia" w:ascii="宋体"/>
          <w:b/>
          <w:bCs/>
          <w:kern w:val="0"/>
          <w:sz w:val="24"/>
          <w:szCs w:val="68"/>
        </w:rPr>
        <w:t>（二）涉案财物保管要求</w:t>
      </w:r>
    </w:p>
    <w:p>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rPr>
        <w:t>对于不同案件、不同种类的涉案财物，应当分案、分类保管。涉案财物保管场所和保管措施应当适合被保管财物的特性，符合防火、防盗、防潮、防蛀、防磁、防腐蚀等安全要求。涉案财物保管场所应当安装视频监控设备，并配备必要的储物容器、一次性储物袋、计量工具等物品，严格按照“一物一袋、一案一箱”分级分类管理要求，做到一案一帐、一物一卡、帐物相符。</w:t>
      </w:r>
    </w:p>
    <w:p>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rPr>
        <w:t xml:space="preserve">对于易燃、易爆、毒害性、放射性等危险物品，鲜活动植物，大宗物品，车辆、船舶、航空器等大型交通工具，以及其他对保管条件、保管场所有特殊要求的涉案财物，应当存放在符合条件的专门场所，做好必要的保养服务。    </w:t>
      </w:r>
    </w:p>
    <w:p>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rPr>
        <w:t>依法对文物、金银、珠宝、名贵字画等贵重财物采取查封、扣押、扣留等措施的，应当拍照或者录像，并及时鉴定、估价；实行双人保管。</w:t>
      </w:r>
    </w:p>
    <w:p>
      <w:pPr>
        <w:autoSpaceDE w:val="0"/>
        <w:autoSpaceDN w:val="0"/>
        <w:adjustRightInd w:val="0"/>
        <w:spacing w:line="360" w:lineRule="auto"/>
        <w:ind w:firstLine="482" w:firstLineChars="200"/>
        <w:jc w:val="left"/>
        <w:rPr>
          <w:rFonts w:ascii="宋体"/>
          <w:b/>
          <w:bCs/>
          <w:kern w:val="0"/>
          <w:sz w:val="24"/>
          <w:szCs w:val="68"/>
        </w:rPr>
      </w:pPr>
      <w:r>
        <w:rPr>
          <w:rFonts w:hint="eastAsia" w:ascii="宋体"/>
          <w:b/>
          <w:bCs/>
          <w:kern w:val="0"/>
          <w:sz w:val="24"/>
          <w:szCs w:val="68"/>
        </w:rPr>
        <w:t>（三）涉案财物上门接收要求</w:t>
      </w:r>
    </w:p>
    <w:p>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lang w:eastAsia="zh-CN"/>
        </w:rPr>
        <w:t>湖州市</w:t>
      </w:r>
      <w:r>
        <w:rPr>
          <w:rFonts w:hint="eastAsia" w:ascii="宋体"/>
          <w:kern w:val="0"/>
          <w:sz w:val="24"/>
          <w:szCs w:val="68"/>
        </w:rPr>
        <w:t xml:space="preserve">范围内的涉案物品根据采购人要求，供应商必须上门接收入库，做到双人接收、双人登记入库。                                 </w:t>
      </w:r>
    </w:p>
    <w:p>
      <w:pPr>
        <w:autoSpaceDE w:val="0"/>
        <w:autoSpaceDN w:val="0"/>
        <w:adjustRightInd w:val="0"/>
        <w:spacing w:line="360" w:lineRule="auto"/>
        <w:ind w:firstLine="482" w:firstLineChars="200"/>
        <w:jc w:val="left"/>
        <w:rPr>
          <w:rFonts w:ascii="宋体"/>
          <w:b/>
          <w:bCs/>
          <w:kern w:val="0"/>
          <w:sz w:val="24"/>
          <w:szCs w:val="68"/>
        </w:rPr>
      </w:pPr>
      <w:r>
        <w:rPr>
          <w:rFonts w:hint="eastAsia" w:ascii="宋体"/>
          <w:b/>
          <w:bCs/>
          <w:kern w:val="0"/>
          <w:sz w:val="24"/>
          <w:szCs w:val="68"/>
        </w:rPr>
        <w:t>（四）制度建设要求</w:t>
      </w:r>
    </w:p>
    <w:p>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rPr>
        <w:t xml:space="preserve"> 应当建设完善涉案财物保管制度，建立办案部门与保管部门、办案人员与保管人员相互制约制度，保管单位内部安全管理制度。</w:t>
      </w:r>
    </w:p>
    <w:p>
      <w:pPr>
        <w:autoSpaceDE w:val="0"/>
        <w:autoSpaceDN w:val="0"/>
        <w:adjustRightInd w:val="0"/>
        <w:spacing w:line="360" w:lineRule="auto"/>
        <w:ind w:firstLine="482" w:firstLineChars="200"/>
        <w:jc w:val="left"/>
        <w:rPr>
          <w:rFonts w:ascii="宋体"/>
          <w:b/>
          <w:bCs/>
          <w:kern w:val="0"/>
          <w:sz w:val="24"/>
          <w:szCs w:val="68"/>
        </w:rPr>
      </w:pPr>
      <w:r>
        <w:rPr>
          <w:rFonts w:hint="eastAsia" w:ascii="宋体"/>
          <w:b/>
          <w:bCs/>
          <w:kern w:val="0"/>
          <w:sz w:val="24"/>
          <w:szCs w:val="68"/>
          <w:lang w:eastAsia="zh-CN"/>
        </w:rPr>
        <w:t>（五）</w:t>
      </w:r>
      <w:r>
        <w:rPr>
          <w:rFonts w:hint="eastAsia" w:ascii="宋体"/>
          <w:b/>
          <w:bCs/>
          <w:kern w:val="0"/>
          <w:sz w:val="24"/>
          <w:szCs w:val="68"/>
        </w:rPr>
        <w:t>押运服务</w:t>
      </w:r>
    </w:p>
    <w:p>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rPr>
        <w:t>须配备专用车辆及专人负责押运服务，根据采购人需要提供武装押运服务。</w:t>
      </w:r>
    </w:p>
    <w:p>
      <w:pPr>
        <w:autoSpaceDE w:val="0"/>
        <w:autoSpaceDN w:val="0"/>
        <w:adjustRightInd w:val="0"/>
        <w:spacing w:line="360" w:lineRule="auto"/>
        <w:ind w:firstLine="482" w:firstLineChars="200"/>
        <w:jc w:val="left"/>
        <w:rPr>
          <w:rFonts w:ascii="宋体"/>
          <w:b/>
          <w:bCs/>
          <w:kern w:val="0"/>
          <w:sz w:val="24"/>
          <w:szCs w:val="68"/>
        </w:rPr>
      </w:pPr>
      <w:r>
        <w:rPr>
          <w:rFonts w:hint="eastAsia" w:ascii="宋体"/>
          <w:b/>
          <w:bCs/>
          <w:kern w:val="0"/>
          <w:sz w:val="24"/>
          <w:szCs w:val="68"/>
          <w:lang w:eastAsia="zh-CN"/>
        </w:rPr>
        <w:t>（六）</w:t>
      </w:r>
      <w:r>
        <w:rPr>
          <w:rFonts w:hint="eastAsia" w:ascii="宋体"/>
          <w:b/>
          <w:bCs/>
          <w:kern w:val="0"/>
          <w:sz w:val="24"/>
          <w:szCs w:val="68"/>
        </w:rPr>
        <w:t>管理服务人员配置</w:t>
      </w:r>
    </w:p>
    <w:p>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rPr>
        <w:t>人员最低配置：要求服务人员不得低于</w:t>
      </w:r>
      <w:r>
        <w:rPr>
          <w:rFonts w:hint="eastAsia" w:ascii="宋体"/>
          <w:kern w:val="0"/>
          <w:sz w:val="24"/>
          <w:szCs w:val="68"/>
          <w:u w:val="single"/>
        </w:rPr>
        <w:t xml:space="preserve"> 8 </w:t>
      </w:r>
      <w:r>
        <w:rPr>
          <w:rFonts w:hint="eastAsia" w:ascii="宋体"/>
          <w:kern w:val="0"/>
          <w:sz w:val="24"/>
          <w:szCs w:val="68"/>
        </w:rPr>
        <w:t>人（其中押运人员不得低于2人，库房白天不得低于2人，远程值守不得低于3人，休息日不得低于1人），接收入库做到全天候服务。</w:t>
      </w:r>
    </w:p>
    <w:p>
      <w:pPr>
        <w:spacing w:line="360" w:lineRule="auto"/>
        <w:ind w:firstLine="236" w:firstLineChars="98"/>
        <w:rPr>
          <w:rFonts w:hint="eastAsia" w:ascii="宋体" w:hAnsi="宋体" w:cs="宋体"/>
          <w:b/>
          <w:sz w:val="24"/>
        </w:rPr>
      </w:pPr>
      <w:r>
        <w:rPr>
          <w:rFonts w:hint="eastAsia" w:ascii="宋体" w:hAnsi="宋体" w:cs="宋体"/>
          <w:b/>
          <w:sz w:val="24"/>
          <w:lang w:eastAsia="zh-CN"/>
        </w:rPr>
        <w:t>三</w:t>
      </w:r>
      <w:r>
        <w:rPr>
          <w:rFonts w:hint="eastAsia" w:ascii="宋体" w:hAnsi="宋体" w:cs="宋体"/>
          <w:b/>
          <w:sz w:val="24"/>
        </w:rPr>
        <w:t>、商务要求</w:t>
      </w:r>
    </w:p>
    <w:p>
      <w:pPr>
        <w:spacing w:line="360" w:lineRule="auto"/>
        <w:ind w:firstLine="472" w:firstLineChars="197"/>
        <w:rPr>
          <w:rFonts w:hint="eastAsia" w:ascii="宋体" w:hAnsi="宋体" w:cs="宋体"/>
          <w:sz w:val="24"/>
        </w:rPr>
      </w:pPr>
      <w:r>
        <w:rPr>
          <w:rFonts w:hint="eastAsia" w:ascii="宋体" w:hAnsi="宋体" w:cs="宋体"/>
          <w:sz w:val="24"/>
        </w:rPr>
        <w:t>1、服务期：2年。</w:t>
      </w:r>
    </w:p>
    <w:p>
      <w:pPr>
        <w:spacing w:line="360" w:lineRule="auto"/>
        <w:ind w:firstLine="472" w:firstLineChars="197"/>
        <w:rPr>
          <w:rFonts w:hint="eastAsia" w:ascii="宋体" w:hAnsi="宋体" w:cs="宋体"/>
          <w:sz w:val="24"/>
        </w:rPr>
      </w:pPr>
      <w:r>
        <w:rPr>
          <w:rFonts w:hint="eastAsia" w:ascii="宋体" w:hAnsi="宋体" w:cs="宋体"/>
          <w:sz w:val="24"/>
        </w:rPr>
        <w:t>2、合同履行时间：</w:t>
      </w:r>
      <w:r>
        <w:rPr>
          <w:rFonts w:hint="eastAsia" w:ascii="宋体" w:hAnsi="宋体" w:cs="宋体"/>
          <w:sz w:val="24"/>
          <w:lang w:eastAsia="zh-CN"/>
        </w:rPr>
        <w:t>中标</w:t>
      </w:r>
      <w:r>
        <w:rPr>
          <w:rFonts w:hint="eastAsia" w:ascii="宋体" w:hAnsi="宋体" w:cs="宋体"/>
          <w:sz w:val="24"/>
        </w:rPr>
        <w:t>供应商应在</w:t>
      </w:r>
      <w:r>
        <w:rPr>
          <w:rFonts w:hint="eastAsia" w:ascii="宋体" w:hAnsi="宋体" w:cs="宋体"/>
          <w:sz w:val="24"/>
          <w:lang w:eastAsia="zh-CN"/>
        </w:rPr>
        <w:t>中标</w:t>
      </w:r>
      <w:r>
        <w:rPr>
          <w:rFonts w:hint="eastAsia" w:ascii="宋体" w:hAnsi="宋体" w:cs="宋体"/>
          <w:sz w:val="24"/>
        </w:rPr>
        <w:t>通知书发出后30日内与采购人签订合同。</w:t>
      </w:r>
    </w:p>
    <w:p>
      <w:pPr>
        <w:spacing w:line="360" w:lineRule="auto"/>
        <w:ind w:firstLine="472" w:firstLineChars="197"/>
        <w:rPr>
          <w:rFonts w:hint="eastAsia" w:ascii="宋体" w:hAnsi="宋体" w:cs="宋体"/>
          <w:sz w:val="24"/>
        </w:rPr>
      </w:pPr>
      <w:r>
        <w:rPr>
          <w:rFonts w:hint="eastAsia" w:ascii="宋体" w:hAnsi="宋体" w:cs="宋体"/>
          <w:sz w:val="24"/>
        </w:rPr>
        <w:t>3、付款方式：</w:t>
      </w:r>
    </w:p>
    <w:p>
      <w:pPr>
        <w:spacing w:line="360" w:lineRule="auto"/>
        <w:ind w:firstLine="472" w:firstLineChars="197"/>
        <w:rPr>
          <w:rFonts w:hint="eastAsia" w:ascii="宋体" w:hAnsi="宋体" w:cs="宋体"/>
          <w:sz w:val="24"/>
        </w:rPr>
      </w:pPr>
      <w:r>
        <w:rPr>
          <w:rFonts w:hint="eastAsia" w:ascii="宋体" w:hAnsi="宋体" w:cs="宋体"/>
          <w:sz w:val="24"/>
          <w:szCs w:val="24"/>
          <w:highlight w:val="none"/>
        </w:rPr>
        <w:t>合同签订且具备实施条件后</w:t>
      </w:r>
      <w:r>
        <w:rPr>
          <w:rFonts w:hint="eastAsia" w:ascii="宋体" w:hAnsi="宋体" w:cs="宋体"/>
          <w:sz w:val="24"/>
          <w:szCs w:val="24"/>
          <w:highlight w:val="none"/>
          <w:lang w:val="en-US" w:eastAsia="zh-CN"/>
        </w:rPr>
        <w:t>7个工作日</w:t>
      </w:r>
      <w:r>
        <w:rPr>
          <w:rFonts w:hint="eastAsia" w:ascii="宋体" w:hAnsi="宋体" w:cs="宋体"/>
          <w:sz w:val="24"/>
          <w:szCs w:val="24"/>
          <w:highlight w:val="none"/>
        </w:rPr>
        <w:t>内，支付合同价款的40%作为预付款</w:t>
      </w:r>
      <w:r>
        <w:rPr>
          <w:rFonts w:hint="eastAsia" w:ascii="宋体" w:hAnsi="宋体" w:cs="宋体"/>
          <w:sz w:val="24"/>
          <w:lang w:val="en-US" w:eastAsia="zh-CN"/>
        </w:rPr>
        <w:t>，剩余款项每年支付一次。</w:t>
      </w:r>
    </w:p>
    <w:p>
      <w:pPr>
        <w:spacing w:line="360" w:lineRule="auto"/>
        <w:ind w:firstLine="472" w:firstLineChars="197"/>
        <w:rPr>
          <w:rFonts w:hint="eastAsia" w:ascii="宋体" w:hAnsi="宋体" w:cs="宋体"/>
          <w:sz w:val="24"/>
        </w:rPr>
      </w:pPr>
      <w:r>
        <w:rPr>
          <w:rFonts w:hint="eastAsia" w:ascii="宋体" w:hAnsi="宋体" w:cs="宋体"/>
          <w:sz w:val="24"/>
        </w:rPr>
        <w:t>在签订合同时，供应商明确表示无需预付款或者主动要求降低预付款比例的，采购合同可不适用前述规定。</w:t>
      </w:r>
    </w:p>
    <w:p>
      <w:pPr>
        <w:pStyle w:val="18"/>
        <w:spacing w:line="360" w:lineRule="auto"/>
        <w:rPr>
          <w:rFonts w:ascii="宋体" w:hAnsi="宋体" w:cs="宋体"/>
          <w:b/>
          <w:bCs/>
          <w:kern w:val="0"/>
          <w:sz w:val="24"/>
          <w:szCs w:val="24"/>
        </w:rPr>
      </w:pPr>
      <w:r>
        <w:rPr>
          <w:rFonts w:hint="eastAsia" w:ascii="宋体" w:hAnsi="宋体"/>
          <w:b/>
          <w:sz w:val="24"/>
          <w:lang w:eastAsia="zh-CN"/>
        </w:rPr>
        <w:t>四</w:t>
      </w:r>
      <w:r>
        <w:rPr>
          <w:rFonts w:hint="eastAsia" w:ascii="宋体" w:hAnsi="宋体"/>
          <w:b/>
          <w:sz w:val="24"/>
        </w:rPr>
        <w:t>、</w:t>
      </w:r>
      <w:r>
        <w:rPr>
          <w:rFonts w:hint="eastAsia" w:ascii="宋体" w:hAnsi="宋体" w:cs="宋体"/>
          <w:b/>
          <w:bCs/>
          <w:kern w:val="0"/>
          <w:sz w:val="24"/>
          <w:szCs w:val="24"/>
        </w:rPr>
        <w:t xml:space="preserve">扶持政策说明 </w:t>
      </w:r>
    </w:p>
    <w:p>
      <w:pPr>
        <w:spacing w:line="360" w:lineRule="auto"/>
        <w:ind w:firstLine="482" w:firstLineChars="200"/>
        <w:outlineLvl w:val="1"/>
        <w:rPr>
          <w:rFonts w:ascii="宋体" w:hAnsi="宋体" w:cs="宋体"/>
          <w:b/>
          <w:bCs/>
          <w:kern w:val="0"/>
          <w:sz w:val="24"/>
          <w:highlight w:val="none"/>
        </w:rPr>
      </w:pPr>
      <w:r>
        <w:rPr>
          <w:rFonts w:hint="eastAsia" w:ascii="宋体" w:hAnsi="宋体" w:cs="宋体"/>
          <w:b/>
          <w:bCs/>
          <w:kern w:val="0"/>
          <w:sz w:val="24"/>
        </w:rPr>
        <w:t>1、本项目采购标的对应的中小企业划分标准</w:t>
      </w:r>
      <w:r>
        <w:rPr>
          <w:rFonts w:hint="eastAsia" w:ascii="宋体" w:hAnsi="宋体" w:cs="宋体"/>
          <w:b/>
          <w:bCs/>
          <w:kern w:val="0"/>
          <w:sz w:val="24"/>
          <w:highlight w:val="none"/>
        </w:rPr>
        <w:t>所属行业物业管理</w:t>
      </w:r>
      <w:r>
        <w:rPr>
          <w:rFonts w:hint="eastAsia" w:ascii="宋体" w:hAnsi="宋体" w:cs="宋体"/>
          <w:b/>
          <w:bCs/>
          <w:kern w:val="0"/>
          <w:sz w:val="24"/>
          <w:highlight w:val="none"/>
          <w:lang w:eastAsia="zh-CN"/>
        </w:rPr>
        <w:t>或</w:t>
      </w:r>
      <w:r>
        <w:rPr>
          <w:rFonts w:hint="eastAsia" w:ascii="宋体" w:hAnsi="宋体" w:cs="宋体"/>
          <w:b/>
          <w:bCs/>
          <w:kern w:val="0"/>
          <w:sz w:val="24"/>
          <w:highlight w:val="none"/>
        </w:rPr>
        <w:t>租赁和商务服务业</w:t>
      </w:r>
      <w:r>
        <w:rPr>
          <w:rFonts w:hint="eastAsia" w:ascii="宋体" w:hAnsi="宋体" w:cs="宋体"/>
          <w:b/>
          <w:bCs/>
          <w:kern w:val="0"/>
          <w:sz w:val="24"/>
          <w:highlight w:val="none"/>
          <w:lang w:eastAsia="zh-CN"/>
        </w:rPr>
        <w:t>或</w:t>
      </w:r>
      <w:r>
        <w:rPr>
          <w:rFonts w:hint="eastAsia" w:ascii="宋体" w:hAnsi="宋体" w:cs="宋体"/>
          <w:b/>
          <w:bCs/>
          <w:kern w:val="0"/>
          <w:sz w:val="24"/>
          <w:highlight w:val="none"/>
        </w:rPr>
        <w:t>其他未列明行业。</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2、依据《政府采购促进中小企业发展管理办法》（财库【2020】46号）规定享受扶持政策获得政府采购合同的，小微企业不得将合同分包给大中型企业，中型企业不得将合同分包给大型企业。</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4、符合中小企业划分标准的个体工商户，在政府采购活动中视同中小企业。</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5、在政府采购活动中，供应商提供的货物、工程或者服务符合下列情形的，享受本办法规定的中小企业扶持政策：</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6、在货物采购项目中，货物由中小企业制造，即货物由中小企业生产且使用该中小企业商号或者注册商标；</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7、在工程采购项目中，工程由中小企业承建，即工程施工单位为中小企业；</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8、在服务采购项目中，服务由中小企业承接，即提供服务的人员为中小企业依照《中华人民共和国劳动合同法》订立劳动合同的从业人员。</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9、在货物采购项目中，供应商提供的货物既有中小企业制造货物，也有大型企业制造货物的，不享受本办法规定的中小企业扶持政策。</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10、以联合体形式参加政府采购活动，联合体各方均为中小企业的，联合体视同中小企业。其中，联合体各方均为小微企业的，联合体视同小微企业。</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11、监狱企业参加政府采购提供《监狱企业声明函》（见附件）及其相关的充分的证明材料的，视为小型、微型企业，享受小微企业政策扶持；监狱企业属于小型、微型企业的，不重复享受政策。</w:t>
      </w:r>
    </w:p>
    <w:p>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12、残疾人福利性单位参加政府采购提供《残疾人福利性单位声明函》（格式见附件），视为小型、微型企业，享受小微企业政策扶持；残疾人福利性单位属于小型、微型企业的，不重复享受政策。</w:t>
      </w:r>
    </w:p>
    <w:p>
      <w:pPr>
        <w:spacing w:line="360" w:lineRule="auto"/>
        <w:ind w:firstLine="482" w:firstLineChars="200"/>
        <w:outlineLvl w:val="1"/>
        <w:rPr>
          <w:rFonts w:ascii="宋体" w:hAnsi="宋体" w:cs="宋体"/>
          <w:sz w:val="24"/>
        </w:rPr>
      </w:pPr>
      <w:r>
        <w:rPr>
          <w:rFonts w:hint="eastAsia" w:ascii="宋体" w:hAnsi="宋体" w:cs="宋体"/>
          <w:b/>
          <w:bCs/>
          <w:kern w:val="0"/>
          <w:sz w:val="24"/>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pPr>
        <w:spacing w:line="360" w:lineRule="auto"/>
        <w:outlineLvl w:val="0"/>
        <w:rPr>
          <w:rFonts w:ascii="宋体" w:hAnsi="宋体" w:cs="仿宋"/>
          <w:b/>
          <w:sz w:val="44"/>
          <w:szCs w:val="44"/>
        </w:rPr>
      </w:pPr>
    </w:p>
    <w:p>
      <w:pPr>
        <w:rPr>
          <w:rFonts w:ascii="宋体" w:hAnsi="宋体" w:cs="仿宋"/>
          <w:b/>
          <w:sz w:val="44"/>
          <w:szCs w:val="44"/>
        </w:rPr>
      </w:pPr>
      <w:r>
        <w:rPr>
          <w:rFonts w:hint="eastAsia" w:ascii="宋体" w:hAnsi="宋体" w:cs="仿宋"/>
          <w:b/>
          <w:sz w:val="44"/>
          <w:szCs w:val="44"/>
        </w:rPr>
        <w:br w:type="page"/>
      </w:r>
    </w:p>
    <w:p>
      <w:pPr>
        <w:spacing w:line="360" w:lineRule="auto"/>
        <w:jc w:val="center"/>
        <w:outlineLvl w:val="0"/>
        <w:rPr>
          <w:rFonts w:ascii="宋体" w:hAnsi="宋体" w:cs="仿宋"/>
          <w:b/>
          <w:sz w:val="30"/>
          <w:szCs w:val="30"/>
        </w:rPr>
      </w:pPr>
      <w:r>
        <w:rPr>
          <w:rFonts w:hint="eastAsia" w:ascii="宋体" w:hAnsi="宋体" w:cs="仿宋"/>
          <w:b/>
          <w:sz w:val="30"/>
          <w:szCs w:val="30"/>
        </w:rPr>
        <w:t>第三章  投标供应商须知</w:t>
      </w:r>
      <w:bookmarkEnd w:id="17"/>
    </w:p>
    <w:p>
      <w:pPr>
        <w:jc w:val="center"/>
        <w:rPr>
          <w:rFonts w:ascii="宋体" w:hAnsi="宋体" w:cs="仿宋"/>
          <w:b/>
          <w:szCs w:val="28"/>
        </w:rPr>
      </w:pPr>
      <w:r>
        <w:rPr>
          <w:rFonts w:hint="eastAsia" w:ascii="宋体" w:hAnsi="宋体" w:cs="仿宋"/>
          <w:b/>
          <w:szCs w:val="28"/>
        </w:rPr>
        <w:t>前附表</w:t>
      </w:r>
    </w:p>
    <w:tbl>
      <w:tblPr>
        <w:tblStyle w:val="42"/>
        <w:tblW w:w="512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76"/>
        <w:gridCol w:w="9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仿宋"/>
                <w:sz w:val="24"/>
                <w:szCs w:val="20"/>
              </w:rPr>
            </w:pPr>
            <w:r>
              <w:rPr>
                <w:rFonts w:hint="eastAsia" w:ascii="宋体" w:hAnsi="宋体" w:cs="仿宋"/>
                <w:sz w:val="24"/>
              </w:rPr>
              <w:t>序号</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仿宋"/>
                <w:sz w:val="24"/>
                <w:szCs w:val="20"/>
              </w:rPr>
            </w:pPr>
            <w:r>
              <w:rPr>
                <w:rFonts w:hint="eastAsia" w:ascii="宋体" w:hAnsi="宋体" w:cs="仿宋"/>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仿宋"/>
                <w:sz w:val="24"/>
                <w:szCs w:val="20"/>
              </w:rPr>
            </w:pPr>
            <w:r>
              <w:rPr>
                <w:rFonts w:hint="eastAsia" w:ascii="宋体" w:hAnsi="宋体" w:cs="仿宋"/>
                <w:sz w:val="24"/>
              </w:rPr>
              <w:t>1</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s="仿宋"/>
                <w:sz w:val="24"/>
                <w:lang w:eastAsia="zh-CN"/>
              </w:rPr>
            </w:pPr>
            <w:r>
              <w:rPr>
                <w:rFonts w:hint="eastAsia" w:ascii="宋体" w:hAnsi="宋体" w:cs="仿宋"/>
                <w:sz w:val="24"/>
              </w:rPr>
              <w:t>项目名称：</w:t>
            </w:r>
            <w:r>
              <w:rPr>
                <w:rFonts w:hint="eastAsia" w:ascii="宋体" w:hAnsi="宋体" w:cs="仿宋"/>
                <w:spacing w:val="-6"/>
                <w:sz w:val="24"/>
              </w:rPr>
              <w:t>中共湖州市吴兴区委政法委员会刑事诉讼涉案财物管理项目（2024-2025年度）（重新招标）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仿宋"/>
                <w:sz w:val="24"/>
                <w:szCs w:val="20"/>
              </w:rPr>
            </w:pPr>
            <w:r>
              <w:rPr>
                <w:rFonts w:hint="eastAsia" w:ascii="宋体" w:hAnsi="宋体" w:cs="仿宋"/>
                <w:sz w:val="24"/>
              </w:rPr>
              <w:t>2</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仿宋"/>
                <w:sz w:val="24"/>
              </w:rPr>
            </w:pPr>
            <w:r>
              <w:rPr>
                <w:rFonts w:hint="eastAsia" w:ascii="宋体" w:hAnsi="宋体" w:cs="仿宋"/>
                <w:sz w:val="24"/>
              </w:rPr>
              <w:t>采购内容：具体详见第二章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仿宋"/>
                <w:sz w:val="24"/>
                <w:szCs w:val="20"/>
              </w:rPr>
            </w:pPr>
            <w:r>
              <w:rPr>
                <w:rFonts w:hint="eastAsia" w:ascii="宋体" w:hAnsi="宋体" w:cs="仿宋"/>
                <w:sz w:val="24"/>
              </w:rPr>
              <w:t>3</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仿宋"/>
                <w:sz w:val="24"/>
              </w:rPr>
            </w:pPr>
            <w:r>
              <w:rPr>
                <w:rFonts w:hint="eastAsia" w:ascii="宋体" w:hAnsi="宋体"/>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、不论投标结果如何，投标供应商均应自行承担所有与投标有关的全部费用；</w:t>
            </w:r>
            <w:r>
              <w:rPr>
                <w:rFonts w:ascii="宋体" w:hAnsi="宋体"/>
                <w:sz w:val="24"/>
              </w:rPr>
              <w:t>3</w:t>
            </w:r>
            <w:r>
              <w:rPr>
                <w:rFonts w:hint="eastAsia" w:ascii="宋体" w:hAnsi="宋体"/>
                <w:sz w:val="24"/>
              </w:rPr>
              <w:t>、本项目</w:t>
            </w:r>
            <w:r>
              <w:rPr>
                <w:rFonts w:hint="eastAsia" w:ascii="宋体" w:hAnsi="宋体"/>
                <w:color w:val="000000"/>
                <w:sz w:val="24"/>
              </w:rPr>
              <w:t>招标代理服务费：按人民</w:t>
            </w:r>
            <w:r>
              <w:rPr>
                <w:rFonts w:hint="eastAsia" w:ascii="宋体" w:hAnsi="宋体"/>
                <w:color w:val="000000"/>
                <w:sz w:val="24"/>
                <w:highlight w:val="none"/>
              </w:rPr>
              <w:t>币</w:t>
            </w:r>
            <w:r>
              <w:rPr>
                <w:rFonts w:hint="eastAsia" w:ascii="宋体" w:hAnsi="宋体"/>
                <w:color w:val="000000"/>
                <w:sz w:val="24"/>
                <w:highlight w:val="none"/>
                <w:lang w:val="en-US" w:eastAsia="zh-CN"/>
              </w:rPr>
              <w:t>贰万</w:t>
            </w:r>
            <w:r>
              <w:rPr>
                <w:rFonts w:hint="eastAsia" w:ascii="宋体" w:hAnsi="宋体"/>
                <w:color w:val="000000"/>
                <w:sz w:val="24"/>
                <w:highlight w:val="none"/>
              </w:rPr>
              <w:t>元整收取，由中标供应商全额支付，投标供应商应自行考虑列入</w:t>
            </w:r>
            <w:r>
              <w:rPr>
                <w:rFonts w:hint="eastAsia" w:ascii="宋体" w:hAnsi="宋体"/>
                <w:color w:val="000000"/>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仿宋"/>
                <w:sz w:val="24"/>
                <w:szCs w:val="20"/>
              </w:rPr>
            </w:pPr>
            <w:r>
              <w:rPr>
                <w:rFonts w:hint="eastAsia" w:ascii="宋体" w:hAnsi="宋体" w:cs="仿宋"/>
                <w:sz w:val="24"/>
              </w:rPr>
              <w:t>4</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仿宋"/>
                <w:sz w:val="24"/>
              </w:rPr>
            </w:pPr>
            <w:r>
              <w:rPr>
                <w:rFonts w:hint="eastAsia" w:ascii="宋体" w:hAnsi="宋体" w:cs="仿宋"/>
                <w:sz w:val="24"/>
              </w:rPr>
              <w:t>答疑与澄清：</w:t>
            </w:r>
            <w:r>
              <w:rPr>
                <w:rFonts w:hint="eastAsia" w:ascii="宋体" w:hAnsi="宋体"/>
                <w:sz w:val="24"/>
                <w:szCs w:val="20"/>
              </w:rPr>
              <w:t>供应商认为采购文件使自己的权益受到损害的，可以自收到采购文件之日（发售截止日之后收到采购文件的，以发售截止日为准）或者采购文件公告期限届满之日（公告发布后的第6个工作日）起7个工作日内</w:t>
            </w:r>
            <w:r>
              <w:rPr>
                <w:rFonts w:hint="eastAsia" w:ascii="宋体" w:hAnsi="宋体"/>
                <w:b/>
                <w:sz w:val="24"/>
                <w:szCs w:val="20"/>
              </w:rPr>
              <w:t>（逾期将不再受理）</w:t>
            </w:r>
            <w:r>
              <w:rPr>
                <w:rFonts w:hint="eastAsia" w:ascii="宋体" w:hAnsi="宋体"/>
                <w:sz w:val="24"/>
                <w:szCs w:val="20"/>
              </w:rPr>
              <w:t>，以书面形式向采购人和采购代理公司提出质疑。质疑供应商对采购人、采购代理公司的答复不满意或者采购人、采购代理公司未在规定的时间内作出答复的，可以在答复期满后十五个工作日内向同级政府采购监督管理部门投诉。采购人和采购代理机构将于提交投标截止时间15日前进行可能影响投标文件编制的澄清或修改；澄清或修改内容是采购文件的组成部份，并将以书面形式送达所有已报名的投标人。因其他紧急情况影响本项目正常招标活动的，采购人和采购代理机构将于投标截止日期一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仿宋"/>
                <w:sz w:val="24"/>
                <w:szCs w:val="20"/>
              </w:rPr>
            </w:pPr>
            <w:r>
              <w:rPr>
                <w:rFonts w:hint="eastAsia" w:ascii="宋体" w:hAnsi="宋体" w:cs="仿宋"/>
                <w:sz w:val="24"/>
              </w:rPr>
              <w:t>5</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仿宋"/>
                <w:sz w:val="24"/>
              </w:rPr>
            </w:pPr>
            <w:r>
              <w:rPr>
                <w:rFonts w:hint="eastAsia" w:ascii="宋体" w:hAnsi="宋体" w:cs="仿宋"/>
                <w:sz w:val="24"/>
              </w:rPr>
              <w:t>1、投标文件组成：《资格文件》、《商务技术资信及其他文件》、《报价文件》三部分组成。</w:t>
            </w:r>
          </w:p>
          <w:p>
            <w:pPr>
              <w:snapToGrid w:val="0"/>
              <w:spacing w:line="400" w:lineRule="exact"/>
              <w:rPr>
                <w:rFonts w:ascii="宋体" w:hAnsi="宋体" w:cs="仿宋"/>
                <w:sz w:val="24"/>
              </w:rPr>
            </w:pPr>
            <w:r>
              <w:rPr>
                <w:rFonts w:hint="eastAsia" w:ascii="宋体" w:hAnsi="宋体" w:cs="仿宋"/>
                <w:sz w:val="24"/>
              </w:rPr>
              <w:t>2、投标文件编制：投标供应商应先安装“政采云电子交易客户端”，并按照本采购文件和“政府采购云平台”的要求，通过“政采云电子交易客户端”编制并加密投标文件。</w:t>
            </w:r>
          </w:p>
          <w:p>
            <w:pPr>
              <w:snapToGrid w:val="0"/>
              <w:spacing w:line="400" w:lineRule="exact"/>
              <w:rPr>
                <w:rFonts w:ascii="宋体" w:hAnsi="宋体" w:cs="仿宋"/>
                <w:sz w:val="24"/>
              </w:rPr>
            </w:pPr>
            <w:r>
              <w:rPr>
                <w:rFonts w:hint="eastAsia" w:ascii="宋体" w:hAnsi="宋体" w:cs="仿宋"/>
                <w:sz w:val="24"/>
              </w:rPr>
              <w:t>3、投标文件的形式：电子投标文件（包括“电子加密投标文件”和“备份投标文件”，在投标文件编制完成后同时生成）；</w:t>
            </w:r>
          </w:p>
          <w:p>
            <w:pPr>
              <w:snapToGrid w:val="0"/>
              <w:spacing w:line="400" w:lineRule="exact"/>
              <w:ind w:firstLine="480" w:firstLineChars="200"/>
              <w:rPr>
                <w:rFonts w:ascii="宋体" w:hAnsi="宋体" w:cs="仿宋"/>
                <w:sz w:val="24"/>
              </w:rPr>
            </w:pPr>
            <w:r>
              <w:rPr>
                <w:rFonts w:hint="eastAsia" w:ascii="宋体" w:hAnsi="宋体" w:cs="仿宋"/>
                <w:sz w:val="24"/>
              </w:rPr>
              <w:t>（1）“电子加密投标文件”是指通过“政采云电子交易客户端”完成投标文件编制后生成并加密的数据电文形式的投标文件。</w:t>
            </w:r>
          </w:p>
          <w:p>
            <w:pPr>
              <w:snapToGrid w:val="0"/>
              <w:spacing w:line="400" w:lineRule="exact"/>
              <w:ind w:firstLine="480" w:firstLineChars="200"/>
              <w:rPr>
                <w:rFonts w:ascii="宋体" w:hAnsi="宋体" w:cs="仿宋"/>
                <w:sz w:val="24"/>
              </w:rPr>
            </w:pPr>
            <w:r>
              <w:rPr>
                <w:rFonts w:hint="eastAsia" w:ascii="宋体" w:hAnsi="宋体" w:cs="仿宋"/>
                <w:sz w:val="24"/>
              </w:rPr>
              <w:t>（2）“备份投标文件”是指与“电子加密投标文件”同时生成的数据电文形式的电子文件（备份标书），其他方式编制的备份投标文件视为无效备份投标文件。</w:t>
            </w:r>
          </w:p>
          <w:p>
            <w:pPr>
              <w:snapToGrid w:val="0"/>
              <w:spacing w:line="400" w:lineRule="exact"/>
              <w:rPr>
                <w:rFonts w:ascii="宋体" w:hAnsi="宋体" w:cs="仿宋"/>
                <w:sz w:val="24"/>
              </w:rPr>
            </w:pPr>
            <w:r>
              <w:rPr>
                <w:rFonts w:hint="eastAsia" w:ascii="宋体" w:hAnsi="宋体" w:cs="仿宋"/>
                <w:sz w:val="24"/>
              </w:rPr>
              <w:t>4、投标文件份数：</w:t>
            </w:r>
          </w:p>
          <w:p>
            <w:pPr>
              <w:snapToGrid w:val="0"/>
              <w:spacing w:line="400" w:lineRule="exact"/>
              <w:ind w:firstLine="480" w:firstLineChars="200"/>
              <w:rPr>
                <w:rFonts w:ascii="宋体" w:hAnsi="宋体" w:cs="仿宋"/>
                <w:sz w:val="24"/>
              </w:rPr>
            </w:pPr>
            <w:r>
              <w:rPr>
                <w:rFonts w:hint="eastAsia" w:ascii="宋体" w:hAnsi="宋体" w:cs="仿宋"/>
                <w:sz w:val="24"/>
              </w:rPr>
              <w:t>（1）“电子加密投标文件”：在线上传递交一份。</w:t>
            </w:r>
          </w:p>
          <w:p>
            <w:pPr>
              <w:snapToGrid w:val="0"/>
              <w:spacing w:line="400" w:lineRule="exact"/>
              <w:ind w:firstLine="480" w:firstLineChars="200"/>
              <w:rPr>
                <w:rFonts w:ascii="宋体" w:hAnsi="宋体" w:cs="仿宋"/>
                <w:sz w:val="24"/>
              </w:rPr>
            </w:pPr>
            <w:r>
              <w:rPr>
                <w:rFonts w:hint="eastAsia" w:ascii="宋体" w:hAnsi="宋体" w:cs="仿宋"/>
                <w:sz w:val="24"/>
              </w:rPr>
              <w:t>（2）“备份投标文件”：密封包装后应</w:t>
            </w:r>
            <w:r>
              <w:rPr>
                <w:rFonts w:hint="eastAsia" w:ascii="宋体" w:hAnsi="宋体" w:cs="仿宋"/>
                <w:sz w:val="24"/>
                <w:highlight w:val="none"/>
              </w:rPr>
              <w:t>在202</w:t>
            </w:r>
            <w:r>
              <w:rPr>
                <w:rFonts w:hint="eastAsia" w:ascii="宋体" w:hAnsi="宋体" w:cs="仿宋"/>
                <w:sz w:val="24"/>
                <w:highlight w:val="none"/>
                <w:lang w:val="en-US" w:eastAsia="zh-CN"/>
              </w:rPr>
              <w:t>4</w:t>
            </w:r>
            <w:r>
              <w:rPr>
                <w:rFonts w:hint="eastAsia" w:ascii="宋体" w:hAnsi="宋体" w:cs="仿宋"/>
                <w:sz w:val="24"/>
                <w:highlight w:val="none"/>
              </w:rPr>
              <w:t>年</w:t>
            </w:r>
            <w:r>
              <w:rPr>
                <w:rFonts w:hint="eastAsia" w:ascii="宋体" w:hAnsi="宋体" w:cs="仿宋"/>
                <w:sz w:val="24"/>
                <w:highlight w:val="none"/>
                <w:lang w:val="en-US" w:eastAsia="zh-CN"/>
              </w:rPr>
              <w:t>4</w:t>
            </w:r>
            <w:r>
              <w:rPr>
                <w:rFonts w:hint="eastAsia" w:ascii="宋体" w:hAnsi="宋体" w:cs="仿宋"/>
                <w:sz w:val="24"/>
                <w:highlight w:val="none"/>
              </w:rPr>
              <w:t>月</w:t>
            </w:r>
            <w:r>
              <w:rPr>
                <w:rFonts w:hint="eastAsia" w:ascii="宋体" w:hAnsi="宋体" w:cs="仿宋"/>
                <w:sz w:val="24"/>
                <w:highlight w:val="none"/>
                <w:lang w:val="en-US" w:eastAsia="zh-CN"/>
              </w:rPr>
              <w:t>23</w:t>
            </w:r>
            <w:r>
              <w:rPr>
                <w:rFonts w:hint="eastAsia" w:ascii="宋体" w:hAnsi="宋体" w:cs="仿宋"/>
                <w:sz w:val="24"/>
                <w:highlight w:val="none"/>
              </w:rPr>
              <w:t>日</w:t>
            </w:r>
            <w:r>
              <w:rPr>
                <w:rFonts w:hint="eastAsia" w:ascii="宋体" w:hAnsi="宋体" w:cs="仿宋"/>
                <w:sz w:val="24"/>
                <w:highlight w:val="none"/>
                <w:lang w:eastAsia="zh-CN"/>
              </w:rPr>
              <w:t>下</w:t>
            </w:r>
            <w:r>
              <w:rPr>
                <w:rFonts w:hint="eastAsia" w:ascii="宋体" w:hAnsi="宋体" w:cs="仿宋"/>
                <w:sz w:val="24"/>
                <w:highlight w:val="none"/>
              </w:rPr>
              <w:t>午1</w:t>
            </w:r>
            <w:r>
              <w:rPr>
                <w:rFonts w:hint="eastAsia" w:ascii="宋体" w:hAnsi="宋体" w:cs="仿宋"/>
                <w:sz w:val="24"/>
                <w:highlight w:val="none"/>
                <w:lang w:val="en-US" w:eastAsia="zh-CN"/>
              </w:rPr>
              <w:t>7</w:t>
            </w:r>
            <w:r>
              <w:rPr>
                <w:rFonts w:hint="eastAsia" w:ascii="宋体" w:hAnsi="宋体" w:cs="仿宋"/>
                <w:sz w:val="24"/>
                <w:highlight w:val="none"/>
              </w:rPr>
              <w:t>:00前邮寄至浙江省湖州市吴兴区八里店镇星光商务广场11幢A座702室（浙江星兴</w:t>
            </w:r>
            <w:r>
              <w:rPr>
                <w:rFonts w:hint="eastAsia" w:ascii="宋体" w:hAnsi="宋体" w:cs="仿宋"/>
                <w:sz w:val="24"/>
              </w:rPr>
              <w:t>工程咨询有限公司）；收件人：汪美玲；联系电话：0572-2630018，数量为U盘一份。</w:t>
            </w:r>
          </w:p>
          <w:p>
            <w:pPr>
              <w:snapToGrid w:val="0"/>
              <w:spacing w:line="400" w:lineRule="exact"/>
              <w:rPr>
                <w:rFonts w:ascii="宋体" w:hAnsi="宋体" w:cs="仿宋"/>
                <w:sz w:val="24"/>
              </w:rPr>
            </w:pPr>
            <w:r>
              <w:rPr>
                <w:rFonts w:hint="eastAsia" w:ascii="宋体" w:hAnsi="宋体" w:cs="仿宋"/>
                <w:sz w:val="24"/>
              </w:rPr>
              <w:t>5、投标文件的上传和递交：</w:t>
            </w:r>
          </w:p>
          <w:p>
            <w:pPr>
              <w:snapToGrid w:val="0"/>
              <w:spacing w:line="400" w:lineRule="exact"/>
              <w:ind w:firstLine="480" w:firstLineChars="200"/>
              <w:rPr>
                <w:rFonts w:ascii="宋体" w:hAnsi="宋体" w:cs="仿宋"/>
                <w:sz w:val="24"/>
              </w:rPr>
            </w:pPr>
            <w:r>
              <w:rPr>
                <w:rFonts w:hint="eastAsia" w:ascii="宋体" w:hAnsi="宋体" w:cs="仿宋"/>
                <w:sz w:val="24"/>
              </w:rPr>
              <w:t>（1）“电子加密投标文件”的上传、递交：</w:t>
            </w:r>
          </w:p>
          <w:p>
            <w:pPr>
              <w:snapToGrid w:val="0"/>
              <w:spacing w:line="400" w:lineRule="exact"/>
              <w:ind w:firstLine="480" w:firstLineChars="200"/>
              <w:rPr>
                <w:rFonts w:ascii="宋体" w:hAnsi="宋体" w:cs="仿宋"/>
                <w:sz w:val="24"/>
              </w:rPr>
            </w:pPr>
            <w:r>
              <w:rPr>
                <w:rFonts w:hint="eastAsia" w:ascii="宋体" w:hAnsi="宋体" w:cs="仿宋"/>
                <w:sz w:val="24"/>
              </w:rPr>
              <w:t>a.投标供应商应在投标截止时间前将“电子加密投标文件”成功上传递交至“政府采购云平台”，否则投标无效。</w:t>
            </w:r>
          </w:p>
          <w:p>
            <w:pPr>
              <w:snapToGrid w:val="0"/>
              <w:spacing w:line="400" w:lineRule="exact"/>
              <w:ind w:firstLine="480" w:firstLineChars="200"/>
              <w:rPr>
                <w:rFonts w:ascii="宋体" w:hAnsi="宋体" w:cs="仿宋"/>
                <w:sz w:val="24"/>
              </w:rPr>
            </w:pPr>
            <w:r>
              <w:rPr>
                <w:rFonts w:hint="eastAsia" w:ascii="宋体" w:hAnsi="宋体" w:cs="仿宋"/>
                <w:sz w:val="24"/>
              </w:rPr>
              <w:t>b.“电子加密投标文件”成功上传递交后，投标供应商可自行打印投标文件接收回执。</w:t>
            </w:r>
          </w:p>
          <w:p>
            <w:pPr>
              <w:snapToGrid w:val="0"/>
              <w:spacing w:line="400" w:lineRule="exact"/>
              <w:ind w:firstLine="480" w:firstLineChars="200"/>
              <w:rPr>
                <w:rFonts w:ascii="宋体" w:hAnsi="宋体" w:cs="仿宋"/>
                <w:sz w:val="24"/>
              </w:rPr>
            </w:pPr>
            <w:r>
              <w:rPr>
                <w:rFonts w:hint="eastAsia" w:ascii="宋体" w:hAnsi="宋体" w:cs="仿宋"/>
                <w:sz w:val="24"/>
              </w:rPr>
              <w:t>（2）“备份投标文件”的上传：</w:t>
            </w:r>
          </w:p>
          <w:p>
            <w:pPr>
              <w:snapToGrid w:val="0"/>
              <w:spacing w:line="400" w:lineRule="exact"/>
              <w:ind w:firstLine="480" w:firstLineChars="200"/>
              <w:rPr>
                <w:rFonts w:ascii="宋体" w:hAnsi="宋体" w:cs="仿宋"/>
                <w:sz w:val="24"/>
              </w:rPr>
            </w:pPr>
            <w:r>
              <w:rPr>
                <w:rFonts w:hint="eastAsia" w:ascii="宋体" w:hAnsi="宋体" w:cs="仿宋"/>
                <w:sz w:val="24"/>
              </w:rPr>
              <w:t>a.通过“政府采购云平台”成功上传“电子加密投标文件”的供应商，因遗失CA或其他原因，导致无法解密“电子加密投标文件”时，供应商如按规定递交了“备份投标文件”的，由代理机构通过政采云电子交易平台【异常处理】端口上传、解密。</w:t>
            </w:r>
          </w:p>
          <w:p>
            <w:pPr>
              <w:snapToGrid w:val="0"/>
              <w:spacing w:line="400" w:lineRule="exact"/>
              <w:ind w:firstLine="480" w:firstLineChars="200"/>
              <w:rPr>
                <w:rFonts w:ascii="宋体" w:hAnsi="宋体" w:cs="仿宋"/>
                <w:sz w:val="24"/>
              </w:rPr>
            </w:pPr>
            <w:r>
              <w:rPr>
                <w:rFonts w:hint="eastAsia" w:ascii="宋体" w:hAnsi="宋体" w:cs="仿宋"/>
                <w:sz w:val="24"/>
              </w:rPr>
              <w:t>b.通过“政府采购云平台”成功上传递交的“电子加密投标文件”已按时解密的，“备份投标文件”自动失效。投标文件启用顺序和效力。投标文件的启用，按先后顺位分别为电子投标文件、数据电文形式的备份投标文件。</w:t>
            </w:r>
          </w:p>
          <w:p>
            <w:pPr>
              <w:snapToGrid w:val="0"/>
              <w:spacing w:line="400" w:lineRule="exact"/>
              <w:ind w:firstLine="482" w:firstLineChars="200"/>
              <w:rPr>
                <w:rFonts w:ascii="宋体" w:hAnsi="宋体" w:cs="仿宋"/>
                <w:b/>
                <w:bCs/>
                <w:sz w:val="24"/>
              </w:rPr>
            </w:pPr>
            <w:r>
              <w:rPr>
                <w:rFonts w:hint="eastAsia" w:ascii="宋体" w:hAnsi="宋体" w:cs="仿宋"/>
                <w:b/>
                <w:bCs/>
                <w:sz w:val="24"/>
              </w:rPr>
              <w:t>（3）所有投标文件逾期解密的视作无效标。</w:t>
            </w:r>
          </w:p>
          <w:p>
            <w:pPr>
              <w:snapToGrid w:val="0"/>
              <w:spacing w:line="400" w:lineRule="exact"/>
              <w:rPr>
                <w:rFonts w:ascii="宋体" w:hAnsi="宋体" w:cs="仿宋"/>
                <w:sz w:val="24"/>
              </w:rPr>
            </w:pPr>
            <w:r>
              <w:rPr>
                <w:rFonts w:hint="eastAsia" w:ascii="宋体" w:hAnsi="宋体" w:cs="仿宋"/>
                <w:sz w:val="24"/>
              </w:rPr>
              <w:t>6、电子加密投标文件的解密和异常情况处理：</w:t>
            </w:r>
          </w:p>
          <w:p>
            <w:pPr>
              <w:snapToGrid w:val="0"/>
              <w:spacing w:line="400" w:lineRule="exact"/>
              <w:ind w:firstLine="480" w:firstLineChars="200"/>
              <w:rPr>
                <w:rFonts w:ascii="宋体" w:hAnsi="宋体" w:cs="仿宋"/>
                <w:sz w:val="24"/>
              </w:rPr>
            </w:pPr>
            <w:r>
              <w:rPr>
                <w:rFonts w:hint="eastAsia" w:ascii="宋体" w:hAnsi="宋体" w:cs="仿宋"/>
                <w:sz w:val="24"/>
              </w:rPr>
              <w:t>（1）开标后，采购代理机构将向各投标供应商发出“电子加密投标文件”的解密通知，各投标供应商代表应当在接到解密通知后30分钟内自行完成“电子加密投标文件”的在线解密，未在规定的时间内无法完成投标文件解密的，视为自动放弃本项目的投标。</w:t>
            </w:r>
          </w:p>
          <w:p>
            <w:pPr>
              <w:snapToGrid w:val="0"/>
              <w:spacing w:line="400" w:lineRule="exact"/>
              <w:ind w:firstLine="480" w:firstLineChars="200"/>
              <w:rPr>
                <w:rFonts w:ascii="宋体" w:hAnsi="宋体" w:cs="仿宋"/>
                <w:sz w:val="24"/>
              </w:rPr>
            </w:pPr>
            <w:r>
              <w:rPr>
                <w:rFonts w:hint="eastAsia" w:ascii="宋体" w:hAnsi="宋体" w:cs="仿宋"/>
                <w:sz w:val="24"/>
              </w:rPr>
              <w:t>（2）通过“政府采购云平台”成功上传“电子加密投标文件”的投标供应商，因遗失CA或其他原因，导致无法解密“电子加密投标文件”的，供应商如按规定递交了“备份投标文件”的，启用数据电子备份投标文件（U 盘）（由采购组织机构按“政府采购云平台”操作规范将“备份投标文件”上传至“政府采购云平台”,上传成功后，“电子加密投标文件”自动失效)。因供应商电子备份投标文件（U 盘）或自身原因造成数据电子备份投标文件（U盘）无法打开的，作无效标处理。</w:t>
            </w:r>
          </w:p>
          <w:p>
            <w:pPr>
              <w:pStyle w:val="20"/>
              <w:spacing w:line="400" w:lineRule="exact"/>
              <w:rPr>
                <w:rFonts w:hAnsi="宋体" w:cs="宋体"/>
                <w:szCs w:val="21"/>
              </w:rPr>
            </w:pPr>
            <w:r>
              <w:rPr>
                <w:rFonts w:hint="eastAsia" w:hAnsi="宋体" w:cs="Arial"/>
                <w:sz w:val="24"/>
                <w:szCs w:val="22"/>
              </w:rPr>
              <w:t xml:space="preserve">（3）投标截止时间前，供应商仅递交了“备份投标文件”而未将电子加密投标文件上传至“政府采购云平台”的，投标无效。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仿宋"/>
                <w:sz w:val="24"/>
                <w:szCs w:val="20"/>
              </w:rPr>
            </w:pPr>
            <w:r>
              <w:rPr>
                <w:rFonts w:hint="eastAsia" w:ascii="宋体" w:hAnsi="宋体" w:cs="仿宋"/>
                <w:sz w:val="24"/>
              </w:rPr>
              <w:t>6</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仿宋"/>
                <w:sz w:val="24"/>
                <w:highlight w:val="none"/>
              </w:rPr>
            </w:pPr>
            <w:r>
              <w:rPr>
                <w:rFonts w:hint="eastAsia" w:ascii="宋体" w:hAnsi="宋体" w:cs="仿宋"/>
                <w:sz w:val="24"/>
                <w:highlight w:val="none"/>
              </w:rPr>
              <w:t>投标截止时间：</w:t>
            </w:r>
            <w:r>
              <w:rPr>
                <w:rFonts w:hint="eastAsia" w:ascii="宋体" w:hAnsi="宋体" w:cs="仿宋"/>
                <w:b/>
                <w:bCs/>
                <w:sz w:val="24"/>
                <w:highlight w:val="none"/>
                <w:u w:val="single"/>
              </w:rPr>
              <w:t>202</w:t>
            </w:r>
            <w:r>
              <w:rPr>
                <w:rFonts w:hint="eastAsia" w:ascii="宋体" w:hAnsi="宋体" w:cs="仿宋"/>
                <w:b/>
                <w:bCs/>
                <w:sz w:val="24"/>
                <w:highlight w:val="none"/>
                <w:u w:val="single"/>
                <w:lang w:val="en-US" w:eastAsia="zh-CN"/>
              </w:rPr>
              <w:t>4</w:t>
            </w:r>
            <w:r>
              <w:rPr>
                <w:rFonts w:hint="eastAsia" w:ascii="宋体" w:hAnsi="宋体" w:cs="仿宋"/>
                <w:b/>
                <w:bCs/>
                <w:sz w:val="24"/>
                <w:highlight w:val="none"/>
                <w:u w:val="single"/>
              </w:rPr>
              <w:t>年</w:t>
            </w:r>
            <w:r>
              <w:rPr>
                <w:rFonts w:hint="eastAsia" w:ascii="宋体" w:hAnsi="宋体" w:cs="仿宋"/>
                <w:b/>
                <w:bCs/>
                <w:sz w:val="24"/>
                <w:highlight w:val="none"/>
                <w:u w:val="single"/>
                <w:lang w:val="en-US" w:eastAsia="zh-CN"/>
              </w:rPr>
              <w:t>4</w:t>
            </w:r>
            <w:r>
              <w:rPr>
                <w:rFonts w:hint="eastAsia" w:ascii="宋体" w:hAnsi="宋体" w:cs="仿宋"/>
                <w:b/>
                <w:bCs/>
                <w:sz w:val="24"/>
                <w:highlight w:val="none"/>
                <w:u w:val="single"/>
              </w:rPr>
              <w:t>月</w:t>
            </w:r>
            <w:r>
              <w:rPr>
                <w:rFonts w:hint="eastAsia" w:ascii="宋体" w:hAnsi="宋体" w:cs="仿宋"/>
                <w:b/>
                <w:bCs/>
                <w:sz w:val="24"/>
                <w:highlight w:val="none"/>
                <w:u w:val="single"/>
                <w:lang w:val="en-US" w:eastAsia="zh-CN"/>
              </w:rPr>
              <w:t>24</w:t>
            </w:r>
            <w:r>
              <w:rPr>
                <w:rFonts w:hint="eastAsia" w:ascii="宋体" w:hAnsi="宋体" w:cs="仿宋"/>
                <w:b/>
                <w:bCs/>
                <w:sz w:val="24"/>
                <w:highlight w:val="none"/>
                <w:u w:val="single"/>
              </w:rPr>
              <w:t>日</w:t>
            </w:r>
            <w:r>
              <w:rPr>
                <w:rFonts w:hint="eastAsia" w:ascii="宋体" w:hAnsi="宋体" w:cs="仿宋"/>
                <w:b/>
                <w:bCs/>
                <w:sz w:val="24"/>
                <w:highlight w:val="none"/>
                <w:u w:val="single"/>
                <w:lang w:eastAsia="zh-CN"/>
              </w:rPr>
              <w:t>下</w:t>
            </w:r>
            <w:r>
              <w:rPr>
                <w:rFonts w:hint="eastAsia" w:ascii="宋体" w:hAnsi="宋体" w:cs="仿宋"/>
                <w:b/>
                <w:bCs/>
                <w:sz w:val="24"/>
                <w:highlight w:val="none"/>
                <w:u w:val="single"/>
              </w:rPr>
              <w:t>午</w:t>
            </w:r>
            <w:r>
              <w:rPr>
                <w:rFonts w:hint="eastAsia" w:ascii="宋体" w:hAnsi="宋体" w:cs="仿宋"/>
                <w:b/>
                <w:bCs/>
                <w:sz w:val="24"/>
                <w:highlight w:val="none"/>
                <w:u w:val="single"/>
                <w:lang w:val="en-US" w:eastAsia="zh-CN"/>
              </w:rPr>
              <w:t>13</w:t>
            </w:r>
            <w:r>
              <w:rPr>
                <w:rFonts w:hint="eastAsia" w:ascii="宋体" w:hAnsi="宋体" w:cs="仿宋"/>
                <w:b/>
                <w:bCs/>
                <w:sz w:val="24"/>
                <w:highlight w:val="none"/>
                <w:u w:val="single"/>
              </w:rPr>
              <w:t>：</w:t>
            </w:r>
            <w:r>
              <w:rPr>
                <w:rFonts w:hint="eastAsia" w:ascii="宋体" w:hAnsi="宋体" w:cs="仿宋"/>
                <w:b/>
                <w:bCs/>
                <w:sz w:val="24"/>
                <w:highlight w:val="none"/>
                <w:u w:val="single"/>
                <w:lang w:val="en-US" w:eastAsia="zh-CN"/>
              </w:rPr>
              <w:t>3</w:t>
            </w:r>
            <w:r>
              <w:rPr>
                <w:rFonts w:hint="eastAsia" w:ascii="宋体" w:hAnsi="宋体" w:cs="仿宋"/>
                <w:b/>
                <w:bCs/>
                <w:sz w:val="24"/>
                <w:highlight w:val="none"/>
                <w:u w:val="single"/>
              </w:rPr>
              <w:t>0</w:t>
            </w:r>
            <w:r>
              <w:rPr>
                <w:rFonts w:hint="eastAsia" w:ascii="宋体" w:hAnsi="宋体" w:cs="仿宋"/>
                <w:sz w:val="24"/>
                <w:highlight w:val="none"/>
              </w:rPr>
              <w:t>；</w:t>
            </w:r>
          </w:p>
          <w:p>
            <w:pPr>
              <w:snapToGrid w:val="0"/>
              <w:spacing w:line="400" w:lineRule="exact"/>
              <w:rPr>
                <w:rFonts w:ascii="宋体" w:hAnsi="宋体" w:cs="仿宋"/>
                <w:sz w:val="24"/>
                <w:highlight w:val="none"/>
              </w:rPr>
            </w:pPr>
            <w:r>
              <w:rPr>
                <w:rFonts w:hint="eastAsia" w:ascii="宋体" w:hAnsi="宋体" w:cs="仿宋"/>
                <w:sz w:val="24"/>
                <w:highlight w:val="none"/>
              </w:rPr>
              <w:t>投标文件递交地点：</w:t>
            </w:r>
            <w:r>
              <w:rPr>
                <w:rFonts w:hint="eastAsia" w:ascii="宋体" w:hAnsi="宋体" w:cs="仿宋"/>
                <w:b/>
                <w:bCs/>
                <w:sz w:val="24"/>
                <w:highlight w:val="none"/>
                <w:u w:val="single"/>
              </w:rPr>
              <w:t>本项目通过“政府采购云平台（www.zcygov.cn）”实行在线投标响应（电子投标）。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仿宋"/>
                <w:sz w:val="24"/>
                <w:szCs w:val="20"/>
              </w:rPr>
            </w:pPr>
            <w:r>
              <w:rPr>
                <w:rFonts w:hint="eastAsia" w:ascii="宋体" w:hAnsi="宋体" w:cs="仿宋"/>
                <w:sz w:val="24"/>
              </w:rPr>
              <w:t>7</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仿宋"/>
                <w:sz w:val="24"/>
                <w:highlight w:val="none"/>
              </w:rPr>
            </w:pPr>
            <w:r>
              <w:rPr>
                <w:rFonts w:hint="eastAsia" w:ascii="宋体" w:hAnsi="宋体" w:cs="仿宋"/>
                <w:sz w:val="24"/>
                <w:highlight w:val="none"/>
              </w:rPr>
              <w:t>开标时间：</w:t>
            </w:r>
            <w:r>
              <w:rPr>
                <w:rFonts w:hint="eastAsia" w:ascii="宋体" w:hAnsi="宋体" w:cs="仿宋"/>
                <w:b/>
                <w:bCs/>
                <w:sz w:val="24"/>
                <w:highlight w:val="none"/>
                <w:u w:val="single"/>
              </w:rPr>
              <w:t>202</w:t>
            </w:r>
            <w:r>
              <w:rPr>
                <w:rFonts w:hint="eastAsia" w:ascii="宋体" w:hAnsi="宋体" w:cs="仿宋"/>
                <w:b/>
                <w:bCs/>
                <w:sz w:val="24"/>
                <w:highlight w:val="none"/>
                <w:u w:val="single"/>
                <w:lang w:val="en-US" w:eastAsia="zh-CN"/>
              </w:rPr>
              <w:t>4</w:t>
            </w:r>
            <w:r>
              <w:rPr>
                <w:rFonts w:hint="eastAsia" w:ascii="宋体" w:hAnsi="宋体" w:cs="仿宋"/>
                <w:b/>
                <w:bCs/>
                <w:sz w:val="24"/>
                <w:highlight w:val="none"/>
                <w:u w:val="single"/>
              </w:rPr>
              <w:t>年</w:t>
            </w:r>
            <w:r>
              <w:rPr>
                <w:rFonts w:hint="eastAsia" w:ascii="宋体" w:hAnsi="宋体" w:cs="仿宋"/>
                <w:b/>
                <w:bCs/>
                <w:sz w:val="24"/>
                <w:highlight w:val="none"/>
                <w:u w:val="single"/>
                <w:lang w:val="en-US" w:eastAsia="zh-CN"/>
              </w:rPr>
              <w:t>4</w:t>
            </w:r>
            <w:r>
              <w:rPr>
                <w:rFonts w:hint="eastAsia" w:ascii="宋体" w:hAnsi="宋体" w:cs="仿宋"/>
                <w:b/>
                <w:bCs/>
                <w:sz w:val="24"/>
                <w:highlight w:val="none"/>
                <w:u w:val="single"/>
              </w:rPr>
              <w:t>月</w:t>
            </w:r>
            <w:r>
              <w:rPr>
                <w:rFonts w:hint="eastAsia" w:ascii="宋体" w:hAnsi="宋体" w:cs="仿宋"/>
                <w:b/>
                <w:bCs/>
                <w:sz w:val="24"/>
                <w:highlight w:val="none"/>
                <w:u w:val="single"/>
                <w:lang w:val="en-US" w:eastAsia="zh-CN"/>
              </w:rPr>
              <w:t>24</w:t>
            </w:r>
            <w:r>
              <w:rPr>
                <w:rFonts w:hint="eastAsia" w:ascii="宋体" w:hAnsi="宋体" w:cs="仿宋"/>
                <w:b/>
                <w:bCs/>
                <w:sz w:val="24"/>
                <w:highlight w:val="none"/>
                <w:u w:val="single"/>
              </w:rPr>
              <w:t>日</w:t>
            </w:r>
            <w:r>
              <w:rPr>
                <w:rFonts w:hint="eastAsia" w:ascii="宋体" w:hAnsi="宋体" w:cs="仿宋"/>
                <w:b/>
                <w:bCs/>
                <w:sz w:val="24"/>
                <w:highlight w:val="none"/>
                <w:u w:val="single"/>
                <w:lang w:eastAsia="zh-CN"/>
              </w:rPr>
              <w:t>下</w:t>
            </w:r>
            <w:r>
              <w:rPr>
                <w:rFonts w:hint="eastAsia" w:ascii="宋体" w:hAnsi="宋体" w:cs="仿宋"/>
                <w:b/>
                <w:bCs/>
                <w:sz w:val="24"/>
                <w:highlight w:val="none"/>
                <w:u w:val="single"/>
              </w:rPr>
              <w:t>午</w:t>
            </w:r>
            <w:r>
              <w:rPr>
                <w:rFonts w:hint="eastAsia" w:ascii="宋体" w:hAnsi="宋体" w:cs="仿宋"/>
                <w:b/>
                <w:bCs/>
                <w:sz w:val="24"/>
                <w:highlight w:val="none"/>
                <w:u w:val="single"/>
                <w:lang w:val="en-US" w:eastAsia="zh-CN"/>
              </w:rPr>
              <w:t>13:30</w:t>
            </w:r>
            <w:r>
              <w:rPr>
                <w:rFonts w:hint="eastAsia" w:ascii="宋体" w:hAnsi="宋体" w:cs="仿宋"/>
                <w:sz w:val="24"/>
                <w:highlight w:val="none"/>
              </w:rPr>
              <w:t>；</w:t>
            </w:r>
          </w:p>
          <w:p>
            <w:pPr>
              <w:snapToGrid w:val="0"/>
              <w:spacing w:line="400" w:lineRule="exact"/>
              <w:rPr>
                <w:rFonts w:ascii="宋体" w:hAnsi="宋体" w:cs="仿宋"/>
                <w:sz w:val="24"/>
                <w:highlight w:val="none"/>
              </w:rPr>
            </w:pPr>
            <w:r>
              <w:rPr>
                <w:rFonts w:hint="eastAsia" w:ascii="宋体" w:hAnsi="宋体" w:cs="仿宋"/>
                <w:sz w:val="24"/>
                <w:highlight w:val="none"/>
              </w:rPr>
              <w:t>地点：</w:t>
            </w:r>
            <w:r>
              <w:rPr>
                <w:rFonts w:hint="eastAsia" w:ascii="宋体" w:hAnsi="宋体" w:cs="宋体"/>
                <w:b/>
                <w:bCs/>
                <w:kern w:val="0"/>
                <w:sz w:val="24"/>
                <w:highlight w:val="none"/>
              </w:rPr>
              <w:t>湖州市吴兴区公共资源交易中心开标室（40</w:t>
            </w:r>
            <w:r>
              <w:rPr>
                <w:rFonts w:hint="eastAsia" w:ascii="宋体" w:hAnsi="宋体" w:cs="宋体"/>
                <w:b/>
                <w:bCs/>
                <w:kern w:val="0"/>
                <w:sz w:val="24"/>
                <w:highlight w:val="none"/>
                <w:lang w:val="en-US" w:eastAsia="zh-CN"/>
              </w:rPr>
              <w:t>4</w:t>
            </w:r>
            <w:bookmarkStart w:id="30" w:name="_GoBack"/>
            <w:bookmarkEnd w:id="30"/>
            <w:r>
              <w:rPr>
                <w:rFonts w:hint="eastAsia" w:ascii="宋体" w:hAnsi="宋体" w:cs="宋体"/>
                <w:b/>
                <w:bCs/>
                <w:kern w:val="0"/>
                <w:sz w:val="24"/>
                <w:highlight w:val="none"/>
              </w:rPr>
              <w:t>号）【湖州市吴兴区区府路1188号总部自由港E幢4楼（具体位置：吴兴大道与区府路交叉口，吴兴区住建局对面）】</w:t>
            </w:r>
            <w:r>
              <w:rPr>
                <w:rFonts w:hint="eastAsia" w:ascii="宋体" w:hAnsi="宋体" w:cs="仿宋"/>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仿宋"/>
                <w:sz w:val="24"/>
                <w:szCs w:val="20"/>
              </w:rPr>
            </w:pPr>
            <w:r>
              <w:rPr>
                <w:rFonts w:hint="eastAsia" w:ascii="宋体" w:hAnsi="宋体" w:cs="仿宋"/>
                <w:sz w:val="24"/>
              </w:rPr>
              <w:t>8</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仿宋"/>
                <w:sz w:val="24"/>
              </w:rPr>
            </w:pPr>
            <w:r>
              <w:rPr>
                <w:rFonts w:hint="eastAsia" w:ascii="宋体" w:hAnsi="宋体" w:cs="仿宋"/>
                <w:sz w:val="24"/>
              </w:rPr>
              <w:t>评标办法及评分标准：附后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仿宋"/>
                <w:sz w:val="24"/>
              </w:rPr>
            </w:pPr>
            <w:r>
              <w:rPr>
                <w:rFonts w:hint="eastAsia" w:ascii="宋体" w:hAnsi="宋体" w:cs="仿宋"/>
                <w:sz w:val="24"/>
              </w:rPr>
              <w:t>9</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仿宋"/>
                <w:sz w:val="24"/>
              </w:rPr>
            </w:pPr>
            <w:r>
              <w:rPr>
                <w:rFonts w:hint="eastAsia" w:ascii="宋体" w:hAnsi="宋体" w:cs="仿宋"/>
                <w:sz w:val="24"/>
              </w:rPr>
              <w:t>开始评标前采购代理机构将依法对投标供应商的信用记录查询：依据财库[2016]125号文件执行</w:t>
            </w:r>
          </w:p>
          <w:p>
            <w:pPr>
              <w:snapToGrid w:val="0"/>
              <w:spacing w:line="400" w:lineRule="exact"/>
              <w:rPr>
                <w:rFonts w:ascii="宋体" w:hAnsi="宋体" w:cs="仿宋"/>
                <w:sz w:val="24"/>
              </w:rPr>
            </w:pPr>
            <w:r>
              <w:rPr>
                <w:rFonts w:hint="eastAsia" w:ascii="宋体" w:hAnsi="宋体" w:cs="仿宋"/>
                <w:sz w:val="24"/>
              </w:rPr>
              <w:t>查询渠道：信用中国（www.creditchina.gov.cn）、中国政府采购网（www.ccgp.gov.cn）；</w:t>
            </w:r>
          </w:p>
          <w:p>
            <w:pPr>
              <w:snapToGrid w:val="0"/>
              <w:spacing w:line="400" w:lineRule="exact"/>
              <w:rPr>
                <w:rFonts w:ascii="宋体" w:hAnsi="宋体" w:cs="仿宋"/>
                <w:sz w:val="24"/>
              </w:rPr>
            </w:pPr>
            <w:r>
              <w:rPr>
                <w:rFonts w:hint="eastAsia" w:ascii="宋体" w:hAnsi="宋体" w:cs="仿宋"/>
                <w:sz w:val="24"/>
              </w:rPr>
              <w:t>截止时点：截止提交投标文件截止时间前3年内；</w:t>
            </w:r>
          </w:p>
          <w:p>
            <w:pPr>
              <w:snapToGrid w:val="0"/>
              <w:spacing w:line="400" w:lineRule="exact"/>
              <w:rPr>
                <w:rFonts w:ascii="宋体" w:hAnsi="宋体" w:cs="仿宋"/>
                <w:sz w:val="24"/>
              </w:rPr>
            </w:pPr>
            <w:r>
              <w:rPr>
                <w:rFonts w:hint="eastAsia" w:ascii="宋体" w:hAnsi="宋体" w:cs="仿宋"/>
                <w:sz w:val="24"/>
              </w:rPr>
              <w:t>查询记录和证据的留存：网站查询，打印留存。</w:t>
            </w:r>
          </w:p>
          <w:p>
            <w:pPr>
              <w:snapToGrid w:val="0"/>
              <w:spacing w:line="400" w:lineRule="exact"/>
              <w:rPr>
                <w:rFonts w:ascii="宋体" w:hAnsi="宋体" w:cs="仿宋"/>
                <w:sz w:val="24"/>
              </w:rPr>
            </w:pPr>
            <w:r>
              <w:rPr>
                <w:rFonts w:hint="eastAsia" w:ascii="宋体" w:hAnsi="宋体" w:cs="仿宋"/>
                <w:sz w:val="24"/>
              </w:rPr>
              <w:t>使用规则：被列入失信被执行人、重大税收违法案件当事人名单、政府采购严重违法失信行为记录名单及其它不符合《中华人民共和国政府采购法》第二十二条规定条件的，其投标将被拒绝。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仿宋"/>
                <w:sz w:val="24"/>
                <w:szCs w:val="20"/>
              </w:rPr>
            </w:pPr>
            <w:r>
              <w:rPr>
                <w:rFonts w:hint="eastAsia" w:ascii="宋体" w:hAnsi="宋体" w:cs="仿宋"/>
                <w:sz w:val="24"/>
              </w:rPr>
              <w:t>10</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仿宋"/>
                <w:sz w:val="24"/>
              </w:rPr>
            </w:pPr>
            <w:r>
              <w:rPr>
                <w:rFonts w:hint="eastAsia" w:ascii="宋体" w:hAnsi="宋体" w:cs="仿宋"/>
                <w:sz w:val="24"/>
              </w:rPr>
              <w:t>评标结果公示：评标结束后2个工作日内，评标结果公告于：</w:t>
            </w:r>
          </w:p>
          <w:p>
            <w:pPr>
              <w:snapToGrid w:val="0"/>
              <w:spacing w:line="400" w:lineRule="exact"/>
              <w:rPr>
                <w:rFonts w:ascii="宋体" w:hAnsi="宋体" w:cs="仿宋"/>
                <w:sz w:val="24"/>
              </w:rPr>
            </w:pPr>
            <w:r>
              <w:rPr>
                <w:rFonts w:hint="eastAsia" w:ascii="宋体" w:hAnsi="宋体" w:cs="仿宋"/>
                <w:sz w:val="24"/>
              </w:rPr>
              <w:t>浙江政府采购网(</w:t>
            </w:r>
            <w:r>
              <w:rPr>
                <w:rFonts w:ascii="宋体" w:hAnsi="宋体" w:cs="宋体"/>
                <w:sz w:val="24"/>
              </w:rPr>
              <w:t>http://zfcg.czt.zj.gov.cn/</w:t>
            </w:r>
            <w:r>
              <w:rPr>
                <w:rFonts w:hint="eastAsia" w:ascii="宋体" w:hAnsi="宋体" w:cs="仿宋"/>
                <w:sz w:val="24"/>
              </w:rPr>
              <w:t>)</w:t>
            </w:r>
          </w:p>
          <w:p>
            <w:pPr>
              <w:snapToGrid w:val="0"/>
              <w:spacing w:line="400" w:lineRule="exact"/>
              <w:jc w:val="left"/>
              <w:rPr>
                <w:rFonts w:ascii="宋体" w:hAnsi="宋体" w:cs="仿宋"/>
                <w:sz w:val="24"/>
              </w:rPr>
            </w:pPr>
            <w:r>
              <w:rPr>
                <w:rFonts w:hint="eastAsia" w:ascii="宋体" w:hAnsi="宋体" w:cs="宋体"/>
                <w:kern w:val="0"/>
                <w:sz w:val="24"/>
              </w:rPr>
              <w:t>湖州市公共资源交易信息网（</w:t>
            </w:r>
            <w:r>
              <w:rPr>
                <w:rFonts w:hint="eastAsia" w:ascii="宋体" w:hAnsi="宋体" w:cs="宋体"/>
                <w:kern w:val="0"/>
                <w:sz w:val="24"/>
                <w:lang w:eastAsia="zh-CN"/>
              </w:rPr>
              <w:t>http://ggzyjy.huzhou.gov.cn/</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仿宋"/>
                <w:sz w:val="24"/>
              </w:rPr>
            </w:pPr>
            <w:r>
              <w:rPr>
                <w:rFonts w:hint="eastAsia" w:ascii="宋体" w:hAnsi="宋体" w:cs="仿宋"/>
                <w:sz w:val="24"/>
              </w:rPr>
              <w:t>11</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仿宋"/>
                <w:sz w:val="24"/>
              </w:rPr>
            </w:pPr>
            <w:r>
              <w:rPr>
                <w:rFonts w:hint="eastAsia" w:ascii="宋体" w:hAnsi="宋体"/>
                <w:sz w:val="24"/>
              </w:rPr>
              <w:t xml:space="preserve">在确定中标供应商后，领取中标通知书前，中标供应商须提供一份完整的纸质投标文件给采购人，纸质投标文件须与电子投标文件格式及内容一致。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仿宋"/>
                <w:sz w:val="24"/>
                <w:szCs w:val="20"/>
              </w:rPr>
            </w:pPr>
            <w:r>
              <w:rPr>
                <w:rFonts w:hint="eastAsia" w:ascii="宋体" w:hAnsi="宋体" w:cs="仿宋"/>
                <w:sz w:val="24"/>
              </w:rPr>
              <w:t>12</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仿宋"/>
                <w:sz w:val="24"/>
              </w:rPr>
            </w:pPr>
            <w:r>
              <w:rPr>
                <w:rFonts w:hint="eastAsia" w:ascii="宋体" w:hAnsi="宋体" w:cs="仿宋"/>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仿宋"/>
                <w:sz w:val="24"/>
              </w:rPr>
            </w:pPr>
            <w:r>
              <w:rPr>
                <w:rFonts w:hint="eastAsia" w:ascii="宋体" w:hAnsi="宋体" w:cs="仿宋"/>
                <w:sz w:val="24"/>
              </w:rPr>
              <w:t>13</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仿宋"/>
                <w:sz w:val="24"/>
              </w:rPr>
            </w:pPr>
            <w:r>
              <w:rPr>
                <w:rFonts w:hint="eastAsia" w:ascii="宋体" w:hAnsi="宋体" w:cs="仿宋"/>
                <w:sz w:val="24"/>
              </w:rPr>
              <w:t>履约保证金的收取及退还:不缴纳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仿宋"/>
                <w:sz w:val="24"/>
                <w:szCs w:val="20"/>
              </w:rPr>
            </w:pPr>
            <w:r>
              <w:rPr>
                <w:rFonts w:hint="eastAsia" w:ascii="宋体" w:hAnsi="宋体" w:cs="仿宋"/>
                <w:sz w:val="24"/>
              </w:rPr>
              <w:t>14</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仿宋"/>
                <w:sz w:val="24"/>
              </w:rPr>
            </w:pPr>
            <w:r>
              <w:rPr>
                <w:rFonts w:hint="eastAsia" w:ascii="宋体" w:hAnsi="宋体" w:cs="仿宋"/>
                <w:sz w:val="24"/>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仿宋"/>
                <w:sz w:val="24"/>
                <w:szCs w:val="20"/>
              </w:rPr>
            </w:pPr>
            <w:r>
              <w:rPr>
                <w:rFonts w:hint="eastAsia" w:ascii="宋体" w:hAnsi="宋体" w:cs="仿宋"/>
                <w:sz w:val="24"/>
              </w:rPr>
              <w:t>15</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仿宋"/>
                <w:sz w:val="24"/>
              </w:rPr>
            </w:pPr>
            <w:r>
              <w:rPr>
                <w:rFonts w:hint="eastAsia" w:ascii="宋体" w:hAnsi="宋体" w:cs="仿宋"/>
                <w:sz w:val="24"/>
              </w:rPr>
              <w:t>付款方式：详见合同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仿宋"/>
                <w:sz w:val="24"/>
                <w:szCs w:val="20"/>
              </w:rPr>
            </w:pPr>
            <w:r>
              <w:rPr>
                <w:rFonts w:hint="eastAsia" w:ascii="宋体" w:hAnsi="宋体" w:cs="仿宋"/>
                <w:sz w:val="24"/>
              </w:rPr>
              <w:t>16</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仿宋"/>
                <w:sz w:val="24"/>
              </w:rPr>
            </w:pPr>
            <w:r>
              <w:rPr>
                <w:rFonts w:hint="eastAsia" w:ascii="宋体" w:hAnsi="宋体" w:cs="仿宋"/>
                <w:sz w:val="24"/>
              </w:rPr>
              <w:t>投标有效期：自投标文件递交截止之日起</w:t>
            </w:r>
            <w:r>
              <w:rPr>
                <w:rFonts w:hint="eastAsia" w:ascii="宋体" w:hAnsi="宋体" w:cs="仿宋"/>
                <w:sz w:val="24"/>
                <w:u w:val="single"/>
              </w:rPr>
              <w:t xml:space="preserve">  60 </w:t>
            </w:r>
            <w:r>
              <w:rPr>
                <w:rFonts w:hint="eastAsia" w:ascii="宋体" w:hAnsi="宋体" w:cs="仿宋"/>
                <w:sz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仿宋"/>
                <w:sz w:val="24"/>
                <w:szCs w:val="20"/>
              </w:rPr>
            </w:pPr>
            <w:r>
              <w:rPr>
                <w:rFonts w:hint="eastAsia" w:ascii="宋体" w:hAnsi="宋体" w:cs="仿宋"/>
                <w:sz w:val="24"/>
              </w:rPr>
              <w:t>17</w:t>
            </w:r>
          </w:p>
        </w:tc>
        <w:tc>
          <w:tcPr>
            <w:tcW w:w="456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仿宋"/>
                <w:sz w:val="24"/>
              </w:rPr>
            </w:pPr>
            <w:r>
              <w:rPr>
                <w:rFonts w:hint="eastAsia" w:ascii="宋体" w:hAnsi="宋体" w:cs="仿宋"/>
                <w:sz w:val="24"/>
              </w:rPr>
              <w:t>解释：本招标文件的解释权属于招标采购单位。</w:t>
            </w:r>
          </w:p>
        </w:tc>
      </w:tr>
    </w:tbl>
    <w:p>
      <w:pPr>
        <w:rPr>
          <w:rFonts w:ascii="宋体" w:hAnsi="宋体" w:cs="仿宋"/>
          <w:b/>
          <w:sz w:val="32"/>
          <w:szCs w:val="32"/>
        </w:rPr>
      </w:pPr>
      <w:bookmarkStart w:id="18" w:name="_Toc9577"/>
      <w:r>
        <w:rPr>
          <w:rFonts w:hint="eastAsia" w:ascii="宋体" w:hAnsi="宋体" w:cs="仿宋"/>
          <w:b/>
          <w:sz w:val="32"/>
          <w:szCs w:val="32"/>
        </w:rPr>
        <w:br w:type="page"/>
      </w:r>
    </w:p>
    <w:p>
      <w:pPr>
        <w:spacing w:line="500" w:lineRule="exact"/>
        <w:jc w:val="center"/>
        <w:outlineLvl w:val="1"/>
        <w:rPr>
          <w:rFonts w:ascii="宋体" w:hAnsi="宋体" w:cs="仿宋"/>
          <w:b/>
          <w:sz w:val="32"/>
          <w:szCs w:val="32"/>
        </w:rPr>
      </w:pPr>
      <w:r>
        <w:rPr>
          <w:rFonts w:hint="eastAsia" w:ascii="宋体" w:hAnsi="宋体" w:cs="仿宋"/>
          <w:b/>
          <w:sz w:val="32"/>
          <w:szCs w:val="32"/>
        </w:rPr>
        <w:t>一、总  则</w:t>
      </w:r>
      <w:bookmarkEnd w:id="18"/>
    </w:p>
    <w:p>
      <w:pPr>
        <w:snapToGrid w:val="0"/>
        <w:spacing w:line="360" w:lineRule="auto"/>
        <w:ind w:firstLine="482" w:firstLineChars="200"/>
        <w:outlineLvl w:val="2"/>
        <w:rPr>
          <w:rFonts w:ascii="宋体" w:hAnsi="宋体" w:cs="仿宋"/>
          <w:b/>
          <w:sz w:val="24"/>
        </w:rPr>
      </w:pPr>
      <w:r>
        <w:rPr>
          <w:rFonts w:hint="eastAsia" w:ascii="宋体" w:hAnsi="宋体" w:cs="仿宋"/>
          <w:b/>
          <w:sz w:val="24"/>
        </w:rPr>
        <w:t>（一） 适用范围</w:t>
      </w:r>
    </w:p>
    <w:p>
      <w:pPr>
        <w:snapToGrid w:val="0"/>
        <w:spacing w:line="360" w:lineRule="auto"/>
        <w:ind w:firstLine="480" w:firstLineChars="200"/>
        <w:rPr>
          <w:rFonts w:ascii="宋体" w:hAnsi="宋体" w:cs="仿宋"/>
          <w:bCs/>
          <w:snapToGrid w:val="0"/>
          <w:sz w:val="24"/>
          <w:u w:val="single"/>
        </w:rPr>
      </w:pPr>
      <w:r>
        <w:rPr>
          <w:rFonts w:hint="eastAsia" w:ascii="宋体" w:hAnsi="宋体" w:cs="仿宋"/>
          <w:sz w:val="24"/>
        </w:rPr>
        <w:t>本招标文件（采购文件）适用于中共湖州市吴兴区委政法委员会刑事诉讼涉案财物管理项目（2024-2025年度）（重新招标）的招标、投标、评标、定标、验收、合同履约、付款等行为（法律、法规另有规定的，从其规定）。</w:t>
      </w:r>
    </w:p>
    <w:p>
      <w:pPr>
        <w:snapToGrid w:val="0"/>
        <w:spacing w:line="360" w:lineRule="auto"/>
        <w:ind w:firstLine="482" w:firstLineChars="200"/>
        <w:outlineLvl w:val="2"/>
        <w:rPr>
          <w:rFonts w:ascii="宋体" w:hAnsi="宋体" w:cs="仿宋"/>
          <w:b/>
          <w:sz w:val="24"/>
        </w:rPr>
      </w:pPr>
      <w:r>
        <w:rPr>
          <w:rFonts w:hint="eastAsia" w:ascii="宋体" w:hAnsi="宋体" w:cs="仿宋"/>
          <w:b/>
          <w:sz w:val="24"/>
        </w:rPr>
        <w:t>（二）定义</w:t>
      </w:r>
    </w:p>
    <w:p>
      <w:pPr>
        <w:pStyle w:val="26"/>
        <w:spacing w:line="360" w:lineRule="auto"/>
        <w:ind w:firstLine="480" w:firstLineChars="200"/>
        <w:rPr>
          <w:rFonts w:hAnsi="宋体"/>
          <w:sz w:val="24"/>
          <w:szCs w:val="24"/>
        </w:rPr>
      </w:pPr>
      <w:r>
        <w:rPr>
          <w:rFonts w:hAnsi="宋体"/>
          <w:sz w:val="24"/>
          <w:szCs w:val="24"/>
        </w:rPr>
        <w:t>1</w:t>
      </w:r>
      <w:r>
        <w:rPr>
          <w:rFonts w:hint="eastAsia" w:hAnsi="宋体"/>
          <w:sz w:val="24"/>
          <w:szCs w:val="24"/>
        </w:rPr>
        <w:t>、</w:t>
      </w:r>
      <w:r>
        <w:rPr>
          <w:rFonts w:hAnsi="宋体"/>
          <w:sz w:val="24"/>
          <w:szCs w:val="24"/>
        </w:rPr>
        <w:t>“采购人”系指</w:t>
      </w:r>
      <w:r>
        <w:rPr>
          <w:rFonts w:hint="eastAsia" w:hAnsi="宋体"/>
          <w:sz w:val="24"/>
          <w:szCs w:val="24"/>
        </w:rPr>
        <w:t>中共湖州市吴兴区委政法委员会</w:t>
      </w:r>
      <w:r>
        <w:rPr>
          <w:rFonts w:hAnsi="宋体"/>
          <w:sz w:val="24"/>
          <w:szCs w:val="24"/>
        </w:rPr>
        <w:t>。</w:t>
      </w:r>
    </w:p>
    <w:p>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供应商”系指提交投标文件的单位或个人。</w:t>
      </w:r>
    </w:p>
    <w:p>
      <w:pPr>
        <w:snapToGrid w:val="0"/>
        <w:spacing w:line="360" w:lineRule="auto"/>
        <w:ind w:firstLine="480" w:firstLineChars="200"/>
        <w:jc w:val="left"/>
        <w:rPr>
          <w:rFonts w:ascii="宋体" w:hAnsi="宋体"/>
          <w:sz w:val="24"/>
        </w:rPr>
      </w:pPr>
      <w:r>
        <w:rPr>
          <w:rFonts w:hint="eastAsia" w:ascii="宋体" w:hAnsi="宋体"/>
          <w:sz w:val="24"/>
        </w:rPr>
        <w:t>3、“采购代理机构”系指浙江星兴工程咨询有限公司。</w:t>
      </w:r>
    </w:p>
    <w:p>
      <w:pPr>
        <w:snapToGrid w:val="0"/>
        <w:spacing w:line="360" w:lineRule="auto"/>
        <w:ind w:firstLine="480" w:firstLineChars="200"/>
        <w:jc w:val="left"/>
        <w:rPr>
          <w:rFonts w:ascii="宋体" w:hAnsi="宋体" w:cs="仿宋"/>
          <w:sz w:val="24"/>
        </w:rPr>
      </w:pPr>
      <w:r>
        <w:rPr>
          <w:rFonts w:hint="eastAsia" w:ascii="宋体" w:hAnsi="宋体" w:cs="仿宋"/>
          <w:sz w:val="24"/>
        </w:rPr>
        <w:t>4、“产品”系指供方按招标文件规定，须向采购单位提供的一切设备、保险、税金、备品备件、工具、手册及其它有关技术资料和材料。</w:t>
      </w:r>
    </w:p>
    <w:p>
      <w:pPr>
        <w:snapToGrid w:val="0"/>
        <w:spacing w:line="360" w:lineRule="auto"/>
        <w:ind w:firstLine="480" w:firstLineChars="200"/>
        <w:jc w:val="left"/>
        <w:rPr>
          <w:rFonts w:ascii="宋体" w:hAnsi="宋体" w:cs="仿宋"/>
          <w:sz w:val="24"/>
        </w:rPr>
      </w:pPr>
      <w:r>
        <w:rPr>
          <w:rFonts w:hint="eastAsia" w:ascii="宋体" w:hAnsi="宋体" w:cs="仿宋"/>
          <w:sz w:val="24"/>
        </w:rPr>
        <w:t>5、“服务”系指招标文件规定投标供应商中标后须承担的与本项目有关的义务。</w:t>
      </w:r>
    </w:p>
    <w:p>
      <w:pPr>
        <w:snapToGrid w:val="0"/>
        <w:spacing w:line="360" w:lineRule="auto"/>
        <w:ind w:firstLine="480" w:firstLineChars="200"/>
        <w:jc w:val="left"/>
        <w:rPr>
          <w:rFonts w:ascii="宋体" w:hAnsi="宋体" w:cs="仿宋"/>
          <w:sz w:val="24"/>
        </w:rPr>
      </w:pPr>
      <w:r>
        <w:rPr>
          <w:rFonts w:hint="eastAsia" w:ascii="宋体" w:hAnsi="宋体" w:cs="仿宋"/>
          <w:sz w:val="24"/>
        </w:rPr>
        <w:t>6、“项目”系指投标供应商按招标文件规定向采购单位提供的产品和服务。</w:t>
      </w:r>
    </w:p>
    <w:p>
      <w:pPr>
        <w:snapToGrid w:val="0"/>
        <w:spacing w:line="360" w:lineRule="auto"/>
        <w:ind w:firstLine="480" w:firstLineChars="200"/>
        <w:jc w:val="left"/>
        <w:rPr>
          <w:rFonts w:ascii="宋体" w:hAnsi="宋体" w:cs="仿宋"/>
          <w:sz w:val="24"/>
        </w:rPr>
      </w:pPr>
      <w:r>
        <w:rPr>
          <w:rFonts w:hint="eastAsia" w:ascii="宋体" w:hAnsi="宋体" w:cs="仿宋"/>
          <w:sz w:val="24"/>
        </w:rPr>
        <w:t>7、“书面形式”包括</w:t>
      </w:r>
      <w:r>
        <w:rPr>
          <w:rFonts w:ascii="宋体" w:hAnsi="宋体" w:cs="Arial"/>
          <w:kern w:val="0"/>
          <w:sz w:val="24"/>
        </w:rPr>
        <w:t>信函、传真、电子扫描件</w:t>
      </w:r>
      <w:r>
        <w:rPr>
          <w:rFonts w:hint="eastAsia" w:ascii="宋体" w:hAnsi="宋体" w:cs="仿宋"/>
          <w:sz w:val="24"/>
        </w:rPr>
        <w:t>等。</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（三）招标方式</w:t>
      </w:r>
    </w:p>
    <w:p>
      <w:pPr>
        <w:snapToGrid w:val="0"/>
        <w:spacing w:line="500" w:lineRule="exact"/>
        <w:ind w:firstLine="480" w:firstLineChars="200"/>
        <w:rPr>
          <w:rFonts w:ascii="宋体" w:hAnsi="宋体" w:cs="仿宋"/>
          <w:sz w:val="24"/>
          <w:szCs w:val="20"/>
        </w:rPr>
      </w:pPr>
      <w:r>
        <w:rPr>
          <w:rFonts w:hint="eastAsia" w:ascii="宋体" w:hAnsi="宋体" w:cs="仿宋"/>
          <w:sz w:val="24"/>
        </w:rPr>
        <w:t>本次招标采用公开招标方式进行。</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（四）投标委托</w:t>
      </w:r>
    </w:p>
    <w:p>
      <w:pPr>
        <w:snapToGrid w:val="0"/>
        <w:spacing w:line="500" w:lineRule="exact"/>
        <w:ind w:firstLine="480" w:firstLineChars="200"/>
        <w:rPr>
          <w:rFonts w:ascii="宋体" w:hAnsi="宋体" w:cs="仿宋"/>
          <w:sz w:val="24"/>
        </w:rPr>
      </w:pPr>
      <w:r>
        <w:rPr>
          <w:rFonts w:hint="eastAsia" w:ascii="宋体" w:hAnsi="宋体" w:cs="仿宋"/>
          <w:sz w:val="24"/>
        </w:rPr>
        <w:t>各投标供应商应指派专人（法定代表人或其他本单位正式员工）负责本项目的投标、开标、评标等具体事务和签署相关文件。</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（五）投标费用</w:t>
      </w:r>
    </w:p>
    <w:p>
      <w:pPr>
        <w:spacing w:line="360" w:lineRule="auto"/>
        <w:ind w:firstLine="480" w:firstLineChars="200"/>
        <w:rPr>
          <w:rFonts w:ascii="宋体" w:hAnsi="宋体" w:cs="仿宋"/>
          <w:sz w:val="24"/>
        </w:rPr>
      </w:pPr>
      <w:r>
        <w:rPr>
          <w:rFonts w:hint="eastAsia" w:ascii="宋体" w:hAnsi="宋体" w:cs="仿宋"/>
          <w:sz w:val="24"/>
        </w:rPr>
        <w:t>不论投标结果如何，投标供应商均应自行承担所有与投标有关的全部费用（招标文件有相关规定除外）。</w:t>
      </w:r>
    </w:p>
    <w:p>
      <w:pPr>
        <w:spacing w:line="360" w:lineRule="auto"/>
        <w:ind w:firstLine="480" w:firstLineChars="200"/>
        <w:rPr>
          <w:rFonts w:hint="eastAsia" w:ascii="宋体" w:hAnsi="宋体" w:cs="仿宋"/>
          <w:sz w:val="24"/>
        </w:rPr>
      </w:pPr>
      <w:r>
        <w:rPr>
          <w:rFonts w:hint="eastAsia" w:ascii="宋体" w:hAnsi="宋体" w:cs="仿宋"/>
          <w:sz w:val="24"/>
        </w:rPr>
        <w:t>本项目招标代理服务费：按人民币</w:t>
      </w:r>
      <w:r>
        <w:rPr>
          <w:rFonts w:hint="eastAsia" w:ascii="宋体" w:hAnsi="宋体" w:cs="仿宋"/>
          <w:sz w:val="24"/>
          <w:lang w:eastAsia="zh-CN"/>
        </w:rPr>
        <w:t>贰万</w:t>
      </w:r>
      <w:r>
        <w:rPr>
          <w:rFonts w:hint="eastAsia" w:ascii="宋体" w:hAnsi="宋体" w:cs="仿宋"/>
          <w:sz w:val="24"/>
        </w:rPr>
        <w:t>元整收取。由中标供应商全额支付，投标供应商应自行考虑列入投标报价。</w:t>
      </w:r>
    </w:p>
    <w:p>
      <w:pPr>
        <w:snapToGrid w:val="0"/>
        <w:spacing w:line="360" w:lineRule="auto"/>
        <w:ind w:firstLine="472" w:firstLineChars="196"/>
        <w:jc w:val="left"/>
        <w:rPr>
          <w:rFonts w:ascii="宋体" w:hAnsi="宋体"/>
          <w:b/>
          <w:sz w:val="24"/>
        </w:rPr>
      </w:pPr>
      <w:r>
        <w:rPr>
          <w:rFonts w:hint="eastAsia" w:ascii="宋体" w:hAnsi="宋体"/>
          <w:b/>
          <w:sz w:val="24"/>
        </w:rPr>
        <w:t>（六）联合体投标</w:t>
      </w:r>
    </w:p>
    <w:p>
      <w:pPr>
        <w:snapToGrid w:val="0"/>
        <w:spacing w:line="360" w:lineRule="auto"/>
        <w:ind w:firstLine="480" w:firstLineChars="200"/>
        <w:jc w:val="left"/>
        <w:rPr>
          <w:rFonts w:ascii="宋体" w:hAnsi="宋体" w:cs="Arial"/>
          <w:sz w:val="24"/>
        </w:rPr>
      </w:pPr>
      <w:r>
        <w:rPr>
          <w:rFonts w:hint="eastAsia" w:ascii="宋体" w:hAnsi="宋体" w:cs="Arial"/>
          <w:sz w:val="24"/>
        </w:rPr>
        <w:t>本项目接受联合体投标。</w:t>
      </w:r>
    </w:p>
    <w:p>
      <w:pPr>
        <w:snapToGrid w:val="0"/>
        <w:spacing w:line="360" w:lineRule="auto"/>
        <w:ind w:firstLine="472" w:firstLineChars="196"/>
        <w:rPr>
          <w:rFonts w:ascii="宋体" w:hAnsi="宋体" w:cs="宋体"/>
          <w:b/>
          <w:kern w:val="0"/>
          <w:sz w:val="24"/>
        </w:rPr>
      </w:pPr>
      <w:r>
        <w:rPr>
          <w:rFonts w:hint="eastAsia" w:ascii="宋体" w:hAnsi="宋体"/>
          <w:b/>
          <w:sz w:val="24"/>
        </w:rPr>
        <w:t>（七）</w:t>
      </w:r>
      <w:r>
        <w:rPr>
          <w:rFonts w:hint="eastAsia" w:ascii="宋体" w:hAnsi="宋体" w:cs="宋体"/>
          <w:b/>
          <w:kern w:val="0"/>
          <w:sz w:val="24"/>
        </w:rPr>
        <w:t>转包与分包</w:t>
      </w:r>
    </w:p>
    <w:p>
      <w:pPr>
        <w:snapToGrid w:val="0"/>
        <w:spacing w:line="360" w:lineRule="auto"/>
        <w:ind w:firstLine="480" w:firstLineChars="200"/>
        <w:rPr>
          <w:rFonts w:ascii="宋体" w:hAnsi="宋体"/>
          <w:sz w:val="24"/>
        </w:rPr>
      </w:pPr>
      <w:r>
        <w:rPr>
          <w:rFonts w:ascii="宋体" w:hAnsi="宋体" w:cs="宋体"/>
          <w:kern w:val="0"/>
          <w:sz w:val="24"/>
        </w:rPr>
        <w:t>本项目不允许</w:t>
      </w:r>
      <w:r>
        <w:rPr>
          <w:rFonts w:hint="eastAsia" w:ascii="宋体" w:hAnsi="宋体" w:cs="宋体"/>
          <w:kern w:val="0"/>
          <w:sz w:val="24"/>
        </w:rPr>
        <w:t>任何形式的</w:t>
      </w:r>
      <w:r>
        <w:rPr>
          <w:rFonts w:ascii="宋体" w:hAnsi="宋体" w:cs="宋体"/>
          <w:kern w:val="0"/>
          <w:sz w:val="24"/>
        </w:rPr>
        <w:t>转包</w:t>
      </w:r>
      <w:r>
        <w:rPr>
          <w:rFonts w:hint="eastAsia" w:ascii="宋体" w:hAnsi="宋体" w:cs="宋体"/>
          <w:kern w:val="0"/>
          <w:sz w:val="24"/>
        </w:rPr>
        <w:t>和</w:t>
      </w:r>
      <w:r>
        <w:rPr>
          <w:rFonts w:ascii="宋体" w:hAnsi="宋体" w:cs="宋体"/>
          <w:kern w:val="0"/>
          <w:sz w:val="24"/>
        </w:rPr>
        <w:t>分包</w:t>
      </w:r>
      <w:r>
        <w:rPr>
          <w:rFonts w:hint="eastAsia" w:ascii="宋体" w:hAnsi="宋体" w:cs="宋体"/>
          <w:kern w:val="0"/>
          <w:sz w:val="24"/>
        </w:rPr>
        <w:t>。</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（八）特别说明：</w:t>
      </w:r>
    </w:p>
    <w:p>
      <w:pPr>
        <w:spacing w:line="500" w:lineRule="exact"/>
        <w:ind w:firstLine="480" w:firstLineChars="200"/>
        <w:rPr>
          <w:rFonts w:ascii="宋体" w:hAnsi="宋体" w:cs="仿宋"/>
          <w:sz w:val="24"/>
        </w:rPr>
      </w:pPr>
      <w:r>
        <w:rPr>
          <w:rFonts w:hint="eastAsia" w:ascii="宋体" w:hAnsi="宋体" w:cs="仿宋"/>
          <w:sz w:val="24"/>
        </w:rPr>
        <w:t>▲1、单位负责人为同一人或者存在直接控股、管理关系的不同投标供应商，不得参加同一合同项下的政府采购活动。</w:t>
      </w:r>
    </w:p>
    <w:p>
      <w:pPr>
        <w:spacing w:line="500" w:lineRule="exact"/>
        <w:ind w:firstLine="480" w:firstLineChars="200"/>
        <w:rPr>
          <w:rFonts w:ascii="宋体" w:hAnsi="宋体" w:cs="仿宋"/>
          <w:sz w:val="24"/>
        </w:rPr>
      </w:pPr>
      <w:r>
        <w:rPr>
          <w:rFonts w:hint="eastAsia" w:ascii="宋体" w:hAnsi="宋体" w:cs="仿宋"/>
          <w:sz w:val="24"/>
        </w:rPr>
        <w:t>▲2、投标供应商投标所使用的资格、信誉、业绩与企业认证必须为本法人所拥有。投标供应商投标所使用的采购项目实施人员必须为本法人员工（或必须为本法人或控股公司正式员工）。</w:t>
      </w:r>
    </w:p>
    <w:p>
      <w:pPr>
        <w:spacing w:line="500" w:lineRule="exact"/>
        <w:ind w:firstLine="480" w:firstLineChars="200"/>
        <w:rPr>
          <w:rFonts w:ascii="宋体" w:hAnsi="宋体" w:cs="仿宋"/>
          <w:sz w:val="24"/>
        </w:rPr>
      </w:pPr>
      <w:r>
        <w:rPr>
          <w:rFonts w:hint="eastAsia" w:ascii="宋体" w:hAnsi="宋体" w:cs="仿宋"/>
          <w:sz w:val="24"/>
        </w:rPr>
        <w:t>▲3、投标供应商应仔细阅读招标文件的所有内容，按照招标文件的要求提交投标文件，并对所提供的全部资料的真实性承担法律责任。</w:t>
      </w:r>
    </w:p>
    <w:p>
      <w:pPr>
        <w:spacing w:line="500" w:lineRule="exact"/>
        <w:ind w:firstLine="480" w:firstLineChars="200"/>
        <w:rPr>
          <w:rFonts w:ascii="宋体" w:hAnsi="宋体" w:cs="仿宋"/>
          <w:sz w:val="24"/>
        </w:rPr>
      </w:pPr>
      <w:r>
        <w:rPr>
          <w:rFonts w:hint="eastAsia" w:ascii="宋体" w:hAnsi="宋体" w:cs="仿宋"/>
          <w:sz w:val="24"/>
        </w:rPr>
        <w:t>▲4、投标供应商在投标活动中提供任何虚假材料,其投标无效，并报监管部门查处中标后发现的,中标人须依照《中华人民共和国政府采购法》第七十七条之规定处以采购金额千分之五以上千分之十以下的罚款， 列入不良行为记录名单， 在一至三年内禁止参加政府采购活动，有违法所得的，并处没收违法所得，情节严重的，由工商行政管理机关吊销营业执照； 构成犯罪的，依法追究刑事责任。</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（九）质疑和投诉</w:t>
      </w:r>
    </w:p>
    <w:p>
      <w:pPr>
        <w:spacing w:line="500" w:lineRule="exact"/>
        <w:ind w:firstLine="480" w:firstLineChars="200"/>
        <w:rPr>
          <w:rFonts w:ascii="宋体" w:hAnsi="宋体" w:cs="仿宋"/>
          <w:sz w:val="24"/>
        </w:rPr>
      </w:pPr>
      <w:r>
        <w:rPr>
          <w:rFonts w:hint="eastAsia" w:ascii="宋体" w:hAnsi="宋体" w:cs="仿宋"/>
          <w:sz w:val="24"/>
        </w:rPr>
        <w:t>1、投标供应商认为招标文件、招标过程或中标结果使自己的合法权益受到损害的，应当在知道或者应知其权益受到损害之日起七个工作日内，以书面形式向采购单位、招标方提出质疑。投标供应商对招标采购单位的质疑答复不满意或者招标采购单位未在规定时间内作出答复的，可以在答复期满后十五个工作日内向同级采购监管部门投诉。</w:t>
      </w:r>
    </w:p>
    <w:p>
      <w:pPr>
        <w:spacing w:line="500" w:lineRule="exact"/>
        <w:ind w:firstLine="480" w:firstLineChars="200"/>
        <w:rPr>
          <w:rFonts w:ascii="宋体" w:hAnsi="宋体" w:cs="仿宋"/>
          <w:sz w:val="24"/>
        </w:rPr>
      </w:pPr>
      <w:r>
        <w:rPr>
          <w:rFonts w:hint="eastAsia" w:ascii="宋体" w:hAnsi="宋体" w:cs="仿宋"/>
          <w:sz w:val="24"/>
        </w:rPr>
        <w:t>2、提出质疑的投标供应商（以下简称质疑投标供应商）应当是参与所质疑项目采购活动的投标供应商。</w:t>
      </w:r>
    </w:p>
    <w:p>
      <w:pPr>
        <w:spacing w:line="500" w:lineRule="exact"/>
        <w:ind w:firstLine="480" w:firstLineChars="200"/>
        <w:rPr>
          <w:rFonts w:ascii="宋体" w:hAnsi="宋体" w:cs="仿宋"/>
          <w:sz w:val="24"/>
        </w:rPr>
      </w:pPr>
      <w:r>
        <w:rPr>
          <w:rFonts w:hint="eastAsia" w:ascii="宋体" w:hAnsi="宋体" w:cs="仿宋"/>
          <w:sz w:val="24"/>
        </w:rPr>
        <w:t>潜在投标供应商已依法获取其可质疑的招标文件的，可以对该文件提出质疑。对招标文件提出质疑的，应当在获取招标文件或者招标文件公告期限届满之日起7个工作日内提出。</w:t>
      </w:r>
    </w:p>
    <w:p>
      <w:pPr>
        <w:spacing w:line="500" w:lineRule="exact"/>
        <w:ind w:firstLine="480" w:firstLineChars="200"/>
        <w:rPr>
          <w:rFonts w:ascii="宋体" w:hAnsi="宋体" w:cs="仿宋"/>
          <w:sz w:val="24"/>
        </w:rPr>
      </w:pPr>
      <w:r>
        <w:rPr>
          <w:rFonts w:hint="eastAsia" w:ascii="宋体" w:hAnsi="宋体" w:cs="仿宋"/>
          <w:sz w:val="24"/>
        </w:rPr>
        <w:t>3、投标供应商提出质疑应当提交质疑函和必要的证明材料。质疑函应当包括下列内容：</w:t>
      </w:r>
    </w:p>
    <w:p>
      <w:pPr>
        <w:spacing w:line="500" w:lineRule="exact"/>
        <w:ind w:firstLine="480" w:firstLineChars="200"/>
        <w:rPr>
          <w:rFonts w:ascii="宋体" w:hAnsi="宋体" w:cs="仿宋"/>
          <w:sz w:val="24"/>
        </w:rPr>
      </w:pPr>
      <w:r>
        <w:rPr>
          <w:rFonts w:hint="eastAsia" w:ascii="宋体" w:hAnsi="宋体" w:cs="仿宋"/>
          <w:sz w:val="24"/>
        </w:rPr>
        <w:t>（1）投标供应商的姓名或者名称、地址、邮编、联系人及联系电话；</w:t>
      </w:r>
    </w:p>
    <w:p>
      <w:pPr>
        <w:spacing w:line="500" w:lineRule="exact"/>
        <w:ind w:firstLine="480" w:firstLineChars="200"/>
        <w:rPr>
          <w:rFonts w:ascii="宋体" w:hAnsi="宋体" w:cs="仿宋"/>
          <w:sz w:val="24"/>
        </w:rPr>
      </w:pPr>
      <w:r>
        <w:rPr>
          <w:rFonts w:hint="eastAsia" w:ascii="宋体" w:hAnsi="宋体" w:cs="仿宋"/>
          <w:sz w:val="24"/>
        </w:rPr>
        <w:t>（2）质疑项目的名称、编号；</w:t>
      </w:r>
    </w:p>
    <w:p>
      <w:pPr>
        <w:spacing w:line="500" w:lineRule="exact"/>
        <w:ind w:firstLine="480" w:firstLineChars="200"/>
        <w:rPr>
          <w:rFonts w:ascii="宋体" w:hAnsi="宋体" w:cs="仿宋"/>
          <w:sz w:val="24"/>
        </w:rPr>
      </w:pPr>
      <w:r>
        <w:rPr>
          <w:rFonts w:hint="eastAsia" w:ascii="宋体" w:hAnsi="宋体" w:cs="仿宋"/>
          <w:sz w:val="24"/>
        </w:rPr>
        <w:t>（3）具体、明确的质疑事项和与质疑事项相关的请求；</w:t>
      </w:r>
    </w:p>
    <w:p>
      <w:pPr>
        <w:spacing w:line="500" w:lineRule="exact"/>
        <w:ind w:firstLine="480" w:firstLineChars="200"/>
        <w:rPr>
          <w:rFonts w:ascii="宋体" w:hAnsi="宋体" w:cs="仿宋"/>
          <w:sz w:val="24"/>
        </w:rPr>
      </w:pPr>
      <w:r>
        <w:rPr>
          <w:rFonts w:hint="eastAsia" w:ascii="宋体" w:hAnsi="宋体" w:cs="仿宋"/>
          <w:sz w:val="24"/>
        </w:rPr>
        <w:t>（4）事实依据；</w:t>
      </w:r>
    </w:p>
    <w:p>
      <w:pPr>
        <w:spacing w:line="500" w:lineRule="exact"/>
        <w:ind w:firstLine="480" w:firstLineChars="200"/>
        <w:rPr>
          <w:rFonts w:ascii="宋体" w:hAnsi="宋体" w:cs="仿宋"/>
          <w:sz w:val="24"/>
        </w:rPr>
      </w:pPr>
      <w:r>
        <w:rPr>
          <w:rFonts w:hint="eastAsia" w:ascii="宋体" w:hAnsi="宋体" w:cs="仿宋"/>
          <w:sz w:val="24"/>
        </w:rPr>
        <w:t>（5）必要的法律依据；</w:t>
      </w:r>
    </w:p>
    <w:p>
      <w:pPr>
        <w:spacing w:line="500" w:lineRule="exact"/>
        <w:ind w:firstLine="480" w:firstLineChars="200"/>
        <w:rPr>
          <w:rFonts w:ascii="宋体" w:hAnsi="宋体" w:cs="仿宋"/>
          <w:sz w:val="24"/>
        </w:rPr>
      </w:pPr>
      <w:r>
        <w:rPr>
          <w:rFonts w:hint="eastAsia" w:ascii="宋体" w:hAnsi="宋体" w:cs="仿宋"/>
          <w:sz w:val="24"/>
        </w:rPr>
        <w:t>（6）提出质疑的日期。</w:t>
      </w:r>
    </w:p>
    <w:p>
      <w:pPr>
        <w:spacing w:line="500" w:lineRule="exact"/>
        <w:ind w:firstLine="480" w:firstLineChars="200"/>
        <w:rPr>
          <w:rFonts w:ascii="宋体" w:hAnsi="宋体" w:cs="仿宋"/>
          <w:sz w:val="24"/>
        </w:rPr>
      </w:pPr>
      <w:r>
        <w:rPr>
          <w:rFonts w:hint="eastAsia" w:ascii="宋体" w:hAnsi="宋体" w:cs="仿宋"/>
          <w:sz w:val="24"/>
        </w:rPr>
        <w:t>投标供应商为自然人的，应当由本人签字；投标供应商为法人或者其他组织的，应当由法定代表人、主要负责人，或者其授权代表签字或者盖章，并加盖公章。</w:t>
      </w:r>
    </w:p>
    <w:p>
      <w:pPr>
        <w:spacing w:line="500" w:lineRule="exact"/>
        <w:ind w:firstLine="480" w:firstLineChars="200"/>
        <w:rPr>
          <w:rFonts w:ascii="宋体" w:hAnsi="宋体" w:cs="仿宋"/>
          <w:sz w:val="24"/>
        </w:rPr>
      </w:pPr>
      <w:r>
        <w:rPr>
          <w:rFonts w:hint="eastAsia" w:ascii="宋体" w:hAnsi="宋体" w:cs="仿宋"/>
          <w:sz w:val="24"/>
        </w:rPr>
        <w:t>4、采购人、采购代理机构不得拒收质疑投标供应商在法定质疑期内发出的质疑函，应当在收到质疑函后7个工作日内作出答复，并以书面形式通知质疑投标供应商和其他有关投标供应商。</w:t>
      </w:r>
    </w:p>
    <w:p>
      <w:pPr>
        <w:spacing w:line="500" w:lineRule="exact"/>
        <w:ind w:firstLine="480" w:firstLineChars="200"/>
        <w:rPr>
          <w:rFonts w:ascii="宋体" w:hAnsi="宋体" w:cs="仿宋"/>
          <w:sz w:val="24"/>
        </w:rPr>
      </w:pPr>
      <w:r>
        <w:rPr>
          <w:rFonts w:hint="eastAsia" w:ascii="宋体" w:hAnsi="宋体" w:cs="仿宋"/>
          <w:sz w:val="24"/>
        </w:rPr>
        <w:t>5、投标供应商对评审过程、中标或者成交结果提出质疑的，采购人、采购代理机构可以组织原评标委员会、竞争性谈判小组、询价小组或者竞争性评标委员会协助答复质疑。</w:t>
      </w:r>
    </w:p>
    <w:p>
      <w:pPr>
        <w:spacing w:line="500" w:lineRule="exact"/>
        <w:ind w:firstLine="480" w:firstLineChars="200"/>
        <w:rPr>
          <w:rFonts w:ascii="宋体" w:hAnsi="宋体" w:cs="仿宋"/>
          <w:sz w:val="24"/>
        </w:rPr>
      </w:pPr>
      <w:r>
        <w:rPr>
          <w:rFonts w:hint="eastAsia" w:ascii="宋体" w:hAnsi="宋体" w:cs="仿宋"/>
          <w:sz w:val="24"/>
        </w:rPr>
        <w:t>6、质疑答复应当包括下列内容：</w:t>
      </w:r>
    </w:p>
    <w:p>
      <w:pPr>
        <w:spacing w:line="500" w:lineRule="exact"/>
        <w:ind w:firstLine="480" w:firstLineChars="200"/>
        <w:rPr>
          <w:rFonts w:ascii="宋体" w:hAnsi="宋体" w:cs="仿宋"/>
          <w:sz w:val="24"/>
        </w:rPr>
      </w:pPr>
      <w:r>
        <w:rPr>
          <w:rFonts w:hint="eastAsia" w:ascii="宋体" w:hAnsi="宋体" w:cs="仿宋"/>
          <w:sz w:val="24"/>
        </w:rPr>
        <w:t>（1）质疑投标供应商的姓名或者名称；</w:t>
      </w:r>
    </w:p>
    <w:p>
      <w:pPr>
        <w:spacing w:line="500" w:lineRule="exact"/>
        <w:ind w:firstLine="480" w:firstLineChars="200"/>
        <w:rPr>
          <w:rFonts w:ascii="宋体" w:hAnsi="宋体" w:cs="仿宋"/>
          <w:sz w:val="24"/>
        </w:rPr>
      </w:pPr>
      <w:r>
        <w:rPr>
          <w:rFonts w:hint="eastAsia" w:ascii="宋体" w:hAnsi="宋体" w:cs="仿宋"/>
          <w:sz w:val="24"/>
        </w:rPr>
        <w:t>（2）收到质疑函的日期、质疑项目名称及编号；</w:t>
      </w:r>
    </w:p>
    <w:p>
      <w:pPr>
        <w:spacing w:line="500" w:lineRule="exact"/>
        <w:ind w:firstLine="480" w:firstLineChars="200"/>
        <w:rPr>
          <w:rFonts w:ascii="宋体" w:hAnsi="宋体" w:cs="仿宋"/>
          <w:sz w:val="24"/>
        </w:rPr>
      </w:pPr>
      <w:r>
        <w:rPr>
          <w:rFonts w:hint="eastAsia" w:ascii="宋体" w:hAnsi="宋体" w:cs="仿宋"/>
          <w:sz w:val="24"/>
        </w:rPr>
        <w:t>（3）质疑事项、质疑答复的具体内容、事实依据和法律依据；</w:t>
      </w:r>
    </w:p>
    <w:p>
      <w:pPr>
        <w:spacing w:line="500" w:lineRule="exact"/>
        <w:ind w:firstLine="480" w:firstLineChars="200"/>
        <w:rPr>
          <w:rFonts w:ascii="宋体" w:hAnsi="宋体" w:cs="仿宋"/>
          <w:sz w:val="24"/>
        </w:rPr>
      </w:pPr>
      <w:r>
        <w:rPr>
          <w:rFonts w:hint="eastAsia" w:ascii="宋体" w:hAnsi="宋体" w:cs="仿宋"/>
          <w:sz w:val="24"/>
        </w:rPr>
        <w:t>（4）告知质疑投标供应商依法投诉的权利；</w:t>
      </w:r>
    </w:p>
    <w:p>
      <w:pPr>
        <w:spacing w:line="500" w:lineRule="exact"/>
        <w:ind w:firstLine="480" w:firstLineChars="200"/>
        <w:rPr>
          <w:rFonts w:ascii="宋体" w:hAnsi="宋体" w:cs="仿宋"/>
          <w:sz w:val="24"/>
        </w:rPr>
      </w:pPr>
      <w:r>
        <w:rPr>
          <w:rFonts w:hint="eastAsia" w:ascii="宋体" w:hAnsi="宋体" w:cs="仿宋"/>
          <w:sz w:val="24"/>
        </w:rPr>
        <w:t>（5）质疑答复人名称；</w:t>
      </w:r>
    </w:p>
    <w:p>
      <w:pPr>
        <w:spacing w:line="500" w:lineRule="exact"/>
        <w:ind w:firstLine="480" w:firstLineChars="200"/>
        <w:rPr>
          <w:rFonts w:ascii="宋体" w:hAnsi="宋体" w:cs="仿宋"/>
          <w:sz w:val="24"/>
        </w:rPr>
      </w:pPr>
      <w:r>
        <w:rPr>
          <w:rFonts w:hint="eastAsia" w:ascii="宋体" w:hAnsi="宋体" w:cs="仿宋"/>
          <w:sz w:val="24"/>
        </w:rPr>
        <w:t>（6）答复质疑的日期。</w:t>
      </w:r>
    </w:p>
    <w:p>
      <w:pPr>
        <w:spacing w:line="500" w:lineRule="exact"/>
        <w:ind w:firstLine="480" w:firstLineChars="200"/>
        <w:rPr>
          <w:rFonts w:ascii="宋体" w:hAnsi="宋体" w:cs="仿宋"/>
          <w:sz w:val="24"/>
        </w:rPr>
      </w:pPr>
      <w:r>
        <w:rPr>
          <w:rFonts w:hint="eastAsia" w:ascii="宋体" w:hAnsi="宋体" w:cs="仿宋"/>
          <w:sz w:val="24"/>
        </w:rPr>
        <w:t>质疑答复的内容不得涉及商业秘密。</w:t>
      </w:r>
    </w:p>
    <w:p>
      <w:pPr>
        <w:spacing w:line="500" w:lineRule="exact"/>
        <w:ind w:firstLine="480" w:firstLineChars="200"/>
        <w:rPr>
          <w:rFonts w:ascii="宋体" w:hAnsi="宋体" w:cs="仿宋"/>
          <w:sz w:val="24"/>
        </w:rPr>
      </w:pPr>
      <w:r>
        <w:rPr>
          <w:rFonts w:hint="eastAsia" w:ascii="宋体" w:hAnsi="宋体" w:cs="仿宋"/>
          <w:sz w:val="24"/>
        </w:rPr>
        <w:t>7、采购人、采购代理机构认为投标供应商质疑不成立，或者成立但未对中标、成交结果构成影响的，继续开展采购活动；认为投标供应商质疑成立且影响或者可能影响中标、成交结果的，按照下列情况处理：</w:t>
      </w:r>
    </w:p>
    <w:p>
      <w:pPr>
        <w:spacing w:line="500" w:lineRule="exact"/>
        <w:ind w:firstLine="480" w:firstLineChars="200"/>
        <w:rPr>
          <w:rFonts w:ascii="宋体" w:hAnsi="宋体" w:cs="仿宋"/>
          <w:sz w:val="24"/>
        </w:rPr>
      </w:pPr>
      <w:r>
        <w:rPr>
          <w:rFonts w:hint="eastAsia" w:ascii="宋体" w:hAnsi="宋体" w:cs="仿宋"/>
          <w:sz w:val="24"/>
        </w:rPr>
        <w:t>（1）对招标文件提出的质疑，依法通过澄清或者修改可以继续开展采购活动的，澄清或者修改招标文件后继续开展采购活动；否则应当修改招标文件后重新开展采购活动。</w:t>
      </w:r>
    </w:p>
    <w:p>
      <w:pPr>
        <w:spacing w:line="500" w:lineRule="exact"/>
        <w:ind w:firstLine="480" w:firstLineChars="200"/>
        <w:rPr>
          <w:rFonts w:ascii="宋体" w:hAnsi="宋体" w:cs="仿宋"/>
          <w:sz w:val="24"/>
        </w:rPr>
      </w:pPr>
      <w:r>
        <w:rPr>
          <w:rFonts w:hint="eastAsia" w:ascii="宋体" w:hAnsi="宋体" w:cs="仿宋"/>
          <w:sz w:val="24"/>
        </w:rPr>
        <w:t>（2）对采购过程、中标或者成交结果提出的质疑，合格投标供应商符合法定数量时，可以从合格的中标或者成交候选人中另行确定中标、成交投标供应商的，应当依法另行确定中标、成交投标供应商；否则应当重新开展采购活动。</w:t>
      </w:r>
    </w:p>
    <w:p>
      <w:pPr>
        <w:spacing w:line="500" w:lineRule="exact"/>
        <w:ind w:firstLine="480" w:firstLineChars="200"/>
        <w:rPr>
          <w:rFonts w:ascii="宋体" w:hAnsi="宋体" w:cs="仿宋"/>
          <w:sz w:val="24"/>
        </w:rPr>
      </w:pPr>
      <w:r>
        <w:rPr>
          <w:rFonts w:hint="eastAsia" w:ascii="宋体" w:hAnsi="宋体" w:cs="仿宋"/>
          <w:sz w:val="24"/>
        </w:rPr>
        <w:t>质疑答复导致中标、成交结果改变的，采购人或者采购代理机构应当将有关情况书面报告本级财政部门。</w:t>
      </w:r>
    </w:p>
    <w:p>
      <w:pPr>
        <w:spacing w:line="500" w:lineRule="exact"/>
        <w:jc w:val="center"/>
        <w:outlineLvl w:val="1"/>
        <w:rPr>
          <w:rFonts w:ascii="宋体" w:hAnsi="宋体" w:cs="仿宋"/>
          <w:b/>
          <w:sz w:val="32"/>
          <w:szCs w:val="32"/>
        </w:rPr>
      </w:pPr>
      <w:bookmarkStart w:id="19" w:name="_Toc13309"/>
      <w:r>
        <w:rPr>
          <w:rFonts w:hint="eastAsia" w:ascii="宋体" w:hAnsi="宋体" w:cs="仿宋"/>
          <w:b/>
          <w:sz w:val="32"/>
          <w:szCs w:val="32"/>
        </w:rPr>
        <w:t>二、招标文件</w:t>
      </w:r>
      <w:bookmarkEnd w:id="19"/>
    </w:p>
    <w:p>
      <w:pPr>
        <w:snapToGrid w:val="0"/>
        <w:spacing w:line="500" w:lineRule="exact"/>
        <w:ind w:firstLine="482" w:firstLineChars="200"/>
        <w:outlineLvl w:val="2"/>
        <w:rPr>
          <w:rFonts w:ascii="宋体" w:hAnsi="宋体" w:cs="仿宋"/>
          <w:b/>
          <w:sz w:val="24"/>
        </w:rPr>
      </w:pPr>
      <w:r>
        <w:rPr>
          <w:rFonts w:hint="eastAsia" w:ascii="宋体" w:hAnsi="宋体" w:cs="仿宋"/>
          <w:b/>
          <w:sz w:val="24"/>
        </w:rPr>
        <w:t>（一）招标文件的构成。本招标文件由以下部份组成：</w:t>
      </w:r>
    </w:p>
    <w:p>
      <w:pPr>
        <w:snapToGrid w:val="0"/>
        <w:spacing w:line="500" w:lineRule="exact"/>
        <w:ind w:firstLine="480" w:firstLineChars="200"/>
        <w:rPr>
          <w:rFonts w:ascii="宋体" w:hAnsi="宋体" w:cs="仿宋"/>
          <w:sz w:val="24"/>
        </w:rPr>
      </w:pPr>
      <w:r>
        <w:rPr>
          <w:rFonts w:hint="eastAsia" w:ascii="宋体" w:hAnsi="宋体" w:cs="仿宋"/>
          <w:sz w:val="24"/>
        </w:rPr>
        <w:t>1、招标公告</w:t>
      </w:r>
    </w:p>
    <w:p>
      <w:pPr>
        <w:snapToGrid w:val="0"/>
        <w:spacing w:line="500" w:lineRule="exact"/>
        <w:ind w:firstLine="480" w:firstLineChars="200"/>
        <w:rPr>
          <w:rFonts w:ascii="宋体" w:hAnsi="宋体" w:cs="仿宋"/>
          <w:sz w:val="24"/>
        </w:rPr>
      </w:pPr>
      <w:r>
        <w:rPr>
          <w:rFonts w:hint="eastAsia" w:ascii="宋体" w:hAnsi="宋体" w:cs="仿宋"/>
          <w:sz w:val="24"/>
        </w:rPr>
        <w:t>2、招标需求</w:t>
      </w:r>
    </w:p>
    <w:p>
      <w:pPr>
        <w:snapToGrid w:val="0"/>
        <w:spacing w:line="500" w:lineRule="exact"/>
        <w:ind w:firstLine="480" w:firstLineChars="200"/>
        <w:rPr>
          <w:rFonts w:ascii="宋体" w:hAnsi="宋体" w:cs="仿宋"/>
          <w:sz w:val="24"/>
        </w:rPr>
      </w:pPr>
      <w:r>
        <w:rPr>
          <w:rFonts w:hint="eastAsia" w:ascii="宋体" w:hAnsi="宋体" w:cs="仿宋"/>
          <w:sz w:val="24"/>
        </w:rPr>
        <w:t>3、投标供应商须知</w:t>
      </w:r>
    </w:p>
    <w:p>
      <w:pPr>
        <w:snapToGrid w:val="0"/>
        <w:spacing w:line="500" w:lineRule="exact"/>
        <w:ind w:firstLine="480" w:firstLineChars="200"/>
        <w:rPr>
          <w:rFonts w:ascii="宋体" w:hAnsi="宋体" w:cs="仿宋"/>
          <w:sz w:val="24"/>
        </w:rPr>
      </w:pPr>
      <w:r>
        <w:rPr>
          <w:rFonts w:hint="eastAsia" w:ascii="宋体" w:hAnsi="宋体" w:cs="仿宋"/>
          <w:sz w:val="24"/>
        </w:rPr>
        <w:t>4、评标办法及标准</w:t>
      </w:r>
    </w:p>
    <w:p>
      <w:pPr>
        <w:snapToGrid w:val="0"/>
        <w:spacing w:line="500" w:lineRule="exact"/>
        <w:ind w:firstLine="480" w:firstLineChars="200"/>
        <w:rPr>
          <w:rFonts w:ascii="宋体" w:hAnsi="宋体" w:cs="仿宋"/>
          <w:sz w:val="24"/>
        </w:rPr>
      </w:pPr>
      <w:r>
        <w:rPr>
          <w:rFonts w:hint="eastAsia" w:ascii="宋体" w:hAnsi="宋体" w:cs="仿宋"/>
          <w:sz w:val="24"/>
        </w:rPr>
        <w:t>5、合同主要条款</w:t>
      </w:r>
    </w:p>
    <w:p>
      <w:pPr>
        <w:snapToGrid w:val="0"/>
        <w:spacing w:line="500" w:lineRule="exact"/>
        <w:ind w:firstLine="480" w:firstLineChars="200"/>
        <w:rPr>
          <w:rFonts w:ascii="宋体" w:hAnsi="宋体" w:cs="仿宋"/>
          <w:sz w:val="24"/>
        </w:rPr>
      </w:pPr>
      <w:r>
        <w:rPr>
          <w:rFonts w:hint="eastAsia" w:ascii="宋体" w:hAnsi="宋体" w:cs="仿宋"/>
          <w:sz w:val="24"/>
        </w:rPr>
        <w:t>6、投标文件格式</w:t>
      </w:r>
    </w:p>
    <w:p>
      <w:pPr>
        <w:snapToGrid w:val="0"/>
        <w:spacing w:line="500" w:lineRule="exact"/>
        <w:ind w:firstLine="480" w:firstLineChars="200"/>
        <w:rPr>
          <w:rFonts w:ascii="宋体" w:hAnsi="宋体" w:cs="仿宋"/>
          <w:sz w:val="24"/>
        </w:rPr>
      </w:pPr>
      <w:r>
        <w:rPr>
          <w:rFonts w:hint="eastAsia" w:ascii="宋体" w:hAnsi="宋体" w:cs="仿宋"/>
          <w:sz w:val="24"/>
        </w:rPr>
        <w:t>7、本项目招标文件的澄清、答复、修改、补充的内容</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（二）投标供应商的风险</w:t>
      </w:r>
    </w:p>
    <w:p>
      <w:pPr>
        <w:snapToGrid w:val="0"/>
        <w:spacing w:line="500" w:lineRule="exact"/>
        <w:ind w:firstLine="480" w:firstLineChars="200"/>
        <w:rPr>
          <w:rFonts w:ascii="宋体" w:hAnsi="宋体" w:cs="仿宋"/>
          <w:sz w:val="24"/>
        </w:rPr>
      </w:pPr>
      <w:r>
        <w:rPr>
          <w:rFonts w:hint="eastAsia" w:ascii="宋体" w:hAnsi="宋体" w:cs="仿宋"/>
          <w:sz w:val="24"/>
        </w:rPr>
        <w:t>投标供应商没有按照招标文件要求提供全部资料，或者投标供应商没有对招标文件在各方面作出实质性响应是投标供应商的风险，并可能导致其投标被拒绝。</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（三）招标文件的澄清与修改</w:t>
      </w:r>
    </w:p>
    <w:p>
      <w:pPr>
        <w:snapToGrid w:val="0"/>
        <w:spacing w:line="500" w:lineRule="exact"/>
        <w:ind w:firstLine="480" w:firstLineChars="200"/>
        <w:rPr>
          <w:rFonts w:ascii="宋体" w:hAnsi="宋体" w:cs="仿宋"/>
          <w:sz w:val="24"/>
        </w:rPr>
      </w:pPr>
      <w:r>
        <w:rPr>
          <w:rFonts w:hint="eastAsia" w:ascii="宋体" w:hAnsi="宋体" w:cs="仿宋"/>
          <w:sz w:val="24"/>
        </w:rPr>
        <w:t>1、投标供应商应认真阅读本招标文件，发现本文件表述不清晰、存在歧视性、排他性或者其他违法内容的，应当于</w:t>
      </w:r>
      <w:r>
        <w:rPr>
          <w:rFonts w:hint="eastAsia" w:ascii="宋体" w:hAnsi="宋体" w:cs="仿宋"/>
          <w:b/>
          <w:bCs/>
          <w:sz w:val="24"/>
          <w:u w:val="single"/>
        </w:rPr>
        <w:t>采购文件发布后7个工作日内</w:t>
      </w:r>
      <w:r>
        <w:rPr>
          <w:rFonts w:hint="eastAsia" w:ascii="宋体" w:hAnsi="宋体" w:cs="仿宋"/>
          <w:sz w:val="24"/>
        </w:rPr>
        <w:t>，一次性以书面形式要求招标采购单位作出书面解释、澄清或者向招标采购单位提出书面质疑。招标采购单位对已发出的招标文件进行必要澄清、答复、修改或补充的，应当在招标文件要求提交投标文件截止时间三日前，</w:t>
      </w:r>
      <w:r>
        <w:rPr>
          <w:rFonts w:hint="eastAsia" w:ascii="宋体" w:hAnsi="宋体" w:cs="Arial"/>
          <w:b/>
          <w:kern w:val="0"/>
          <w:sz w:val="24"/>
          <w:szCs w:val="22"/>
        </w:rPr>
        <w:t>在财政部门指定的政府采购信息发布媒体上发布澄清或</w:t>
      </w:r>
      <w:r>
        <w:rPr>
          <w:rFonts w:ascii="宋体" w:hAnsi="宋体" w:cs="Arial"/>
          <w:b/>
          <w:kern w:val="0"/>
          <w:sz w:val="24"/>
          <w:szCs w:val="22"/>
        </w:rPr>
        <w:t>更正公告，并以</w:t>
      </w:r>
      <w:r>
        <w:rPr>
          <w:rFonts w:hint="eastAsia" w:ascii="宋体" w:hAnsi="宋体" w:cs="Arial"/>
          <w:b/>
          <w:kern w:val="0"/>
          <w:sz w:val="24"/>
          <w:szCs w:val="22"/>
        </w:rPr>
        <w:t>传真或邮件（原文扫描件）或网上公告等形式告知所有已登记获取采购文件的投标供应商</w:t>
      </w:r>
      <w:r>
        <w:rPr>
          <w:rFonts w:hint="eastAsia" w:ascii="宋体" w:hAnsi="宋体" w:cs="仿宋"/>
          <w:sz w:val="24"/>
        </w:rPr>
        <w:t>。</w:t>
      </w:r>
    </w:p>
    <w:p>
      <w:pPr>
        <w:snapToGrid w:val="0"/>
        <w:spacing w:line="500" w:lineRule="exact"/>
        <w:ind w:firstLine="480" w:firstLineChars="200"/>
        <w:rPr>
          <w:rFonts w:ascii="宋体" w:hAnsi="宋体" w:cs="仿宋"/>
          <w:sz w:val="24"/>
        </w:rPr>
      </w:pPr>
      <w:r>
        <w:rPr>
          <w:rFonts w:hint="eastAsia" w:ascii="宋体" w:hAnsi="宋体" w:cs="仿宋"/>
          <w:sz w:val="24"/>
        </w:rPr>
        <w:t>2、招标采购单位必须以传真或邮件（原文扫描件）或网上公告等答复投标供应商要求澄清的问题，并将不包含问题来源的答复以此形式通知所有获取招标文件的投标供应商；除传真或邮件（原文扫描件）或网上公告形式答复以外的其他澄清方式及澄清内容均无效。</w:t>
      </w:r>
    </w:p>
    <w:p>
      <w:pPr>
        <w:snapToGrid w:val="0"/>
        <w:spacing w:line="500" w:lineRule="exact"/>
        <w:ind w:firstLine="480" w:firstLineChars="200"/>
        <w:rPr>
          <w:rFonts w:ascii="宋体" w:hAnsi="宋体" w:cs="仿宋"/>
          <w:sz w:val="24"/>
        </w:rPr>
      </w:pPr>
      <w:r>
        <w:rPr>
          <w:rFonts w:hint="eastAsia" w:ascii="宋体" w:hAnsi="宋体" w:cs="仿宋"/>
          <w:sz w:val="24"/>
        </w:rPr>
        <w:t>3、招标文件澄清、答复、修改、补充的内容为招标文件的组成部分。当招标文件与招标文件的答复、澄清、修改、补充通知就同一内容的表述不一致时，以最后发出的文件为准。</w:t>
      </w:r>
    </w:p>
    <w:p>
      <w:pPr>
        <w:snapToGrid w:val="0"/>
        <w:spacing w:line="500" w:lineRule="exact"/>
        <w:ind w:firstLine="480" w:firstLineChars="200"/>
        <w:rPr>
          <w:rFonts w:ascii="宋体" w:hAnsi="宋体" w:cs="仿宋"/>
          <w:sz w:val="24"/>
        </w:rPr>
      </w:pPr>
      <w:r>
        <w:rPr>
          <w:rFonts w:hint="eastAsia" w:ascii="宋体" w:hAnsi="宋体" w:cs="仿宋"/>
          <w:sz w:val="24"/>
        </w:rPr>
        <w:t>4、招标文件的澄清、答复、修改或补充都应该通过本招标机构以法定形式发布，采购单位非通过本机构，不得擅自澄清、答复、修改或补充招标文件。</w:t>
      </w:r>
    </w:p>
    <w:p>
      <w:pPr>
        <w:spacing w:line="500" w:lineRule="exact"/>
        <w:jc w:val="center"/>
        <w:outlineLvl w:val="1"/>
        <w:rPr>
          <w:rFonts w:ascii="宋体" w:hAnsi="宋体" w:cs="仿宋"/>
          <w:sz w:val="24"/>
        </w:rPr>
      </w:pPr>
      <w:bookmarkStart w:id="20" w:name="_Toc3451"/>
      <w:r>
        <w:rPr>
          <w:rFonts w:hint="eastAsia" w:ascii="宋体" w:hAnsi="宋体" w:cs="仿宋"/>
          <w:b/>
          <w:sz w:val="32"/>
          <w:szCs w:val="32"/>
        </w:rPr>
        <w:t>三、投标文件的编制</w:t>
      </w:r>
      <w:bookmarkEnd w:id="20"/>
    </w:p>
    <w:p>
      <w:pPr>
        <w:numPr>
          <w:ilvl w:val="0"/>
          <w:numId w:val="6"/>
        </w:numPr>
        <w:snapToGrid w:val="0"/>
        <w:spacing w:line="360" w:lineRule="auto"/>
        <w:ind w:firstLine="482" w:firstLineChars="200"/>
        <w:outlineLvl w:val="2"/>
        <w:rPr>
          <w:rFonts w:ascii="宋体" w:hAnsi="宋体" w:cs="仿宋"/>
          <w:b/>
          <w:sz w:val="24"/>
        </w:rPr>
      </w:pPr>
      <w:r>
        <w:rPr>
          <w:rFonts w:hint="eastAsia" w:ascii="宋体" w:hAnsi="宋体" w:cs="仿宋"/>
          <w:b/>
          <w:sz w:val="24"/>
        </w:rPr>
        <w:t>投标文件的组成</w:t>
      </w:r>
    </w:p>
    <w:p>
      <w:pPr>
        <w:snapToGrid w:val="0"/>
        <w:spacing w:line="500" w:lineRule="exact"/>
        <w:ind w:firstLine="480" w:firstLineChars="200"/>
      </w:pPr>
      <w:r>
        <w:rPr>
          <w:rFonts w:hint="eastAsia" w:ascii="宋体" w:hAnsi="宋体" w:cs="宋体"/>
          <w:sz w:val="24"/>
        </w:rPr>
        <w:t>投标文件（包括电子投标文件及数据电子备份投标文件）由《资格文件》、《商务技术文件》和《报价文件》组成，</w:t>
      </w:r>
      <w:r>
        <w:rPr>
          <w:rFonts w:hint="eastAsia" w:ascii="宋体" w:hAnsi="宋体" w:cs="宋体"/>
          <w:b/>
          <w:bCs/>
          <w:sz w:val="24"/>
        </w:rPr>
        <w:t>其中电子投标文件中所须加盖公章部分均采用 CA 签章。</w:t>
      </w:r>
    </w:p>
    <w:p>
      <w:pPr>
        <w:numPr>
          <w:ilvl w:val="0"/>
          <w:numId w:val="7"/>
        </w:numPr>
        <w:snapToGrid w:val="0"/>
        <w:spacing w:line="360" w:lineRule="auto"/>
        <w:ind w:firstLine="482" w:firstLineChars="200"/>
        <w:outlineLvl w:val="3"/>
        <w:rPr>
          <w:rFonts w:ascii="宋体" w:hAnsi="Courier New" w:cs="Courier New"/>
          <w:b/>
          <w:bCs/>
          <w:sz w:val="24"/>
          <w:szCs w:val="21"/>
        </w:rPr>
      </w:pPr>
      <w:r>
        <w:rPr>
          <w:rFonts w:hint="eastAsia" w:ascii="宋体" w:hAnsi="Courier New" w:cs="Courier New"/>
          <w:b/>
          <w:bCs/>
          <w:sz w:val="24"/>
          <w:szCs w:val="21"/>
        </w:rPr>
        <w:t>资格文件：</w:t>
      </w:r>
    </w:p>
    <w:p>
      <w:pPr>
        <w:pStyle w:val="63"/>
        <w:spacing w:line="360" w:lineRule="auto"/>
        <w:rPr>
          <w:rFonts w:ascii="宋体" w:hAnsi="Courier New" w:cs="Courier New"/>
          <w:kern w:val="2"/>
          <w:sz w:val="24"/>
          <w:szCs w:val="21"/>
        </w:rPr>
      </w:pPr>
      <w:r>
        <w:rPr>
          <w:rFonts w:hint="eastAsia" w:ascii="宋体" w:hAnsi="宋体" w:eastAsia="宋体" w:cs="宋体"/>
          <w:kern w:val="2"/>
          <w:sz w:val="24"/>
          <w:szCs w:val="21"/>
        </w:rPr>
        <w:t xml:space="preserve"> </w:t>
      </w:r>
      <w:r>
        <w:rPr>
          <w:rFonts w:hint="eastAsia" w:ascii="宋体" w:hAnsi="宋体" w:eastAsia="宋体" w:cs="宋体"/>
          <w:kern w:val="2"/>
          <w:sz w:val="24"/>
          <w:szCs w:val="21"/>
          <w:lang w:val="en-US" w:eastAsia="zh-CN"/>
        </w:rPr>
        <w:t xml:space="preserve">   </w:t>
      </w:r>
      <w:r>
        <w:rPr>
          <w:rFonts w:hint="eastAsia" w:ascii="宋体" w:hAnsi="宋体" w:eastAsia="宋体" w:cs="宋体"/>
          <w:kern w:val="2"/>
          <w:sz w:val="24"/>
          <w:szCs w:val="21"/>
        </w:rPr>
        <w:t>（1）投标单位情况表；</w:t>
      </w:r>
    </w:p>
    <w:p>
      <w:pPr>
        <w:pStyle w:val="26"/>
        <w:spacing w:line="360" w:lineRule="auto"/>
        <w:ind w:firstLine="480" w:firstLineChars="200"/>
        <w:rPr>
          <w:sz w:val="24"/>
        </w:rPr>
      </w:pPr>
      <w:r>
        <w:rPr>
          <w:rFonts w:hint="eastAsia"/>
          <w:sz w:val="24"/>
        </w:rPr>
        <w:t>（2）有效的营业执照、税务登记证、组织机构代码证或“三证合一”的营业执照或“五证合一”的营业执照；</w:t>
      </w:r>
    </w:p>
    <w:p>
      <w:pPr>
        <w:snapToGrid w:val="0"/>
        <w:spacing w:line="360" w:lineRule="auto"/>
        <w:ind w:firstLine="480" w:firstLineChars="200"/>
        <w:rPr>
          <w:rFonts w:ascii="宋体" w:hAnsi="宋体" w:cs="宋体"/>
          <w:sz w:val="24"/>
        </w:rPr>
      </w:pPr>
      <w:r>
        <w:rPr>
          <w:rFonts w:hint="eastAsia" w:ascii="宋体" w:hAnsi="宋体" w:cs="宋体"/>
          <w:sz w:val="24"/>
        </w:rPr>
        <w:t>（3）法定代表人或其授权代理人的授权证书及身份证明；</w:t>
      </w:r>
    </w:p>
    <w:p>
      <w:pPr>
        <w:snapToGrid w:val="0"/>
        <w:spacing w:line="360" w:lineRule="auto"/>
        <w:ind w:firstLine="480" w:firstLineChars="200"/>
        <w:rPr>
          <w:rFonts w:ascii="宋体" w:hAnsi="宋体" w:cs="宋体"/>
          <w:kern w:val="0"/>
          <w:sz w:val="24"/>
        </w:rPr>
      </w:pPr>
      <w:r>
        <w:rPr>
          <w:rFonts w:hint="eastAsia" w:ascii="宋体" w:hAnsi="宋体" w:cs="宋体"/>
          <w:sz w:val="24"/>
        </w:rPr>
        <w:t>（4</w:t>
      </w:r>
      <w:r>
        <w:rPr>
          <w:rFonts w:hint="eastAsia" w:hAnsi="宋体" w:cs="Arial"/>
          <w:sz w:val="24"/>
        </w:rPr>
        <w:t>）</w:t>
      </w:r>
      <w:r>
        <w:rPr>
          <w:rFonts w:hint="eastAsia" w:ascii="宋体" w:hAnsi="宋体" w:cs="宋体"/>
          <w:sz w:val="24"/>
        </w:rPr>
        <w:t>授权代理人提供近三个月中任意一个月的社保证明；</w:t>
      </w:r>
    </w:p>
    <w:p>
      <w:pPr>
        <w:pStyle w:val="26"/>
        <w:spacing w:line="360" w:lineRule="auto"/>
        <w:ind w:firstLine="480" w:firstLineChars="200"/>
        <w:rPr>
          <w:rFonts w:hAnsi="宋体"/>
          <w:sz w:val="24"/>
        </w:rPr>
      </w:pPr>
      <w:r>
        <w:rPr>
          <w:rFonts w:hint="eastAsia" w:hAnsi="宋体"/>
          <w:sz w:val="24"/>
        </w:rPr>
        <w:t>（5</w:t>
      </w:r>
      <w:r>
        <w:rPr>
          <w:rFonts w:hAnsi="宋体"/>
          <w:sz w:val="24"/>
        </w:rPr>
        <w:t>）</w:t>
      </w:r>
      <w:r>
        <w:rPr>
          <w:rFonts w:hint="eastAsia" w:hAnsi="宋体"/>
          <w:sz w:val="24"/>
        </w:rPr>
        <w:t>供应商的依法缴纳税收和社会保障资金的承诺函；</w:t>
      </w:r>
    </w:p>
    <w:p>
      <w:pPr>
        <w:pStyle w:val="26"/>
        <w:spacing w:line="360" w:lineRule="auto"/>
        <w:ind w:firstLine="480" w:firstLineChars="200"/>
        <w:rPr>
          <w:sz w:val="24"/>
        </w:rPr>
      </w:pPr>
      <w:r>
        <w:rPr>
          <w:rFonts w:hint="eastAsia" w:hAnsi="宋体"/>
          <w:sz w:val="24"/>
        </w:rPr>
        <w:t>（6）</w:t>
      </w:r>
      <w:r>
        <w:rPr>
          <w:rFonts w:hint="eastAsia"/>
          <w:sz w:val="24"/>
        </w:rPr>
        <w:t>提供自招标公告发布之日起至投标截止日前任意时间的“信用中国”网站（www.creditchina.gov.cn）、中国政府采购网（www.ccgp.gov.cn）供应商信用查询网页截图。（以开标当日采购人或由采购人委托的评标委员会核实的查询结果为准）；</w:t>
      </w:r>
    </w:p>
    <w:p>
      <w:pPr>
        <w:pStyle w:val="26"/>
        <w:spacing w:line="360" w:lineRule="auto"/>
        <w:ind w:firstLine="480" w:firstLineChars="200"/>
        <w:rPr>
          <w:rFonts w:hint="eastAsia" w:hAnsi="宋体"/>
          <w:sz w:val="24"/>
        </w:rPr>
      </w:pPr>
      <w:r>
        <w:rPr>
          <w:rFonts w:hint="eastAsia"/>
          <w:sz w:val="24"/>
        </w:rPr>
        <w:t>（7）</w:t>
      </w:r>
      <w:r>
        <w:rPr>
          <w:rFonts w:hint="eastAsia" w:hAnsi="宋体"/>
          <w:sz w:val="24"/>
        </w:rPr>
        <w:t>信用承诺书；</w:t>
      </w:r>
    </w:p>
    <w:p>
      <w:pPr>
        <w:pStyle w:val="26"/>
        <w:spacing w:line="360" w:lineRule="auto"/>
        <w:ind w:firstLine="480" w:firstLineChars="200"/>
        <w:rPr>
          <w:rFonts w:hint="eastAsia" w:hAnsi="宋体" w:eastAsia="宋体"/>
          <w:sz w:val="24"/>
          <w:lang w:eastAsia="zh-CN"/>
        </w:rPr>
      </w:pPr>
      <w:r>
        <w:rPr>
          <w:rFonts w:hint="eastAsia" w:hAnsi="宋体"/>
          <w:sz w:val="24"/>
          <w:lang w:eastAsia="zh-CN"/>
        </w:rPr>
        <w:t>（</w:t>
      </w:r>
      <w:r>
        <w:rPr>
          <w:rFonts w:hint="eastAsia" w:hAnsi="宋体"/>
          <w:sz w:val="24"/>
          <w:lang w:val="en-US" w:eastAsia="zh-CN"/>
        </w:rPr>
        <w:t>8</w:t>
      </w:r>
      <w:r>
        <w:rPr>
          <w:rFonts w:hint="eastAsia" w:hAnsi="宋体"/>
          <w:sz w:val="24"/>
          <w:lang w:eastAsia="zh-CN"/>
        </w:rPr>
        <w:t>）</w:t>
      </w:r>
      <w:r>
        <w:rPr>
          <w:rFonts w:hint="eastAsia" w:ascii="宋体" w:hAnsi="宋体" w:eastAsia="宋体" w:cs="宋体"/>
          <w:sz w:val="24"/>
        </w:rPr>
        <w:t>供应商</w:t>
      </w:r>
      <w:r>
        <w:rPr>
          <w:rFonts w:hint="eastAsia" w:ascii="宋体" w:hAnsi="宋体" w:eastAsia="宋体" w:cs="宋体"/>
          <w:sz w:val="24"/>
          <w:lang w:eastAsia="zh-CN"/>
        </w:rPr>
        <w:t>的</w:t>
      </w:r>
      <w:r>
        <w:rPr>
          <w:rFonts w:hint="eastAsia" w:ascii="宋体" w:hAnsi="宋体" w:eastAsia="宋体" w:cs="宋体"/>
          <w:sz w:val="24"/>
        </w:rPr>
        <w:t>《中小企业声明函》，或属残疾人福利性单位、监狱企业的证明</w:t>
      </w:r>
      <w:r>
        <w:rPr>
          <w:rFonts w:hint="eastAsia" w:ascii="宋体" w:hAnsi="宋体" w:eastAsia="宋体" w:cs="宋体"/>
          <w:sz w:val="24"/>
          <w:lang w:eastAsia="zh-CN"/>
        </w:rPr>
        <w:t>。</w:t>
      </w:r>
    </w:p>
    <w:p>
      <w:pPr>
        <w:spacing w:line="360" w:lineRule="auto"/>
        <w:ind w:firstLine="472" w:firstLineChars="196"/>
        <w:rPr>
          <w:rFonts w:hAnsi="宋体"/>
          <w:b/>
          <w:sz w:val="24"/>
        </w:rPr>
      </w:pPr>
      <w:r>
        <w:rPr>
          <w:rFonts w:hint="eastAsia" w:hAnsi="宋体"/>
          <w:b/>
          <w:sz w:val="24"/>
        </w:rPr>
        <w:t>2、技术、商务、资信及其他文件</w:t>
      </w:r>
    </w:p>
    <w:p>
      <w:pPr>
        <w:spacing w:line="360" w:lineRule="auto"/>
        <w:ind w:firstLine="480" w:firstLineChars="200"/>
        <w:rPr>
          <w:rFonts w:ascii="宋体" w:hAnsi="宋体" w:cs="宋体"/>
          <w:b/>
          <w:sz w:val="24"/>
        </w:rPr>
      </w:pPr>
      <w:r>
        <w:rPr>
          <w:rFonts w:hint="eastAsia" w:ascii="宋体" w:hAnsi="宋体" w:cs="宋体"/>
          <w:sz w:val="24"/>
        </w:rPr>
        <w:t>（1）评分索引表（格式见附件，主要用于评审委员会对应评分内容，包括商务部分、技术部分）</w:t>
      </w:r>
      <w:r>
        <w:rPr>
          <w:rFonts w:hint="eastAsia" w:ascii="宋体" w:hAnsi="宋体" w:cs="宋体"/>
          <w:b/>
          <w:sz w:val="24"/>
        </w:rPr>
        <w:t>；</w:t>
      </w:r>
    </w:p>
    <w:p>
      <w:pPr>
        <w:snapToGrid w:val="0"/>
        <w:spacing w:line="360" w:lineRule="auto"/>
        <w:ind w:firstLine="480" w:firstLineChars="200"/>
        <w:jc w:val="left"/>
      </w:pPr>
      <w:r>
        <w:rPr>
          <w:rFonts w:hint="eastAsia" w:ascii="宋体" w:hAnsi="宋体"/>
          <w:sz w:val="24"/>
        </w:rPr>
        <w:t>（2）投标声明书（格式见附件）；</w:t>
      </w:r>
    </w:p>
    <w:p>
      <w:pPr>
        <w:spacing w:line="360" w:lineRule="auto"/>
        <w:ind w:firstLine="480" w:firstLineChars="200"/>
        <w:rPr>
          <w:rFonts w:ascii="宋体" w:hAnsi="宋体"/>
          <w:sz w:val="24"/>
        </w:rPr>
      </w:pPr>
      <w:r>
        <w:rPr>
          <w:rFonts w:hint="eastAsia" w:ascii="宋体" w:hAnsi="宋体"/>
          <w:sz w:val="24"/>
        </w:rPr>
        <w:t>（3）对本项目的理解；</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eastAsia="zh-CN"/>
        </w:rPr>
        <w:t>重难点分析及解决措施</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eastAsia="zh-CN"/>
        </w:rPr>
        <w:t>系统功能</w:t>
      </w:r>
      <w:r>
        <w:rPr>
          <w:rFonts w:hint="eastAsia" w:ascii="宋体" w:hAnsi="宋体"/>
          <w:sz w:val="24"/>
        </w:rPr>
        <w:t>；</w:t>
      </w:r>
    </w:p>
    <w:p>
      <w:pPr>
        <w:pStyle w:val="21"/>
        <w:ind w:left="0" w:leftChars="0" w:firstLine="480"/>
        <w:rPr>
          <w:rFonts w:ascii="宋体" w:hAnsi="宋体"/>
          <w:sz w:val="24"/>
        </w:rPr>
      </w:pPr>
      <w:r>
        <w:rPr>
          <w:rFonts w:hint="eastAsia" w:ascii="宋体" w:hAnsi="宋体"/>
          <w:sz w:val="24"/>
        </w:rPr>
        <w:t>（6）</w:t>
      </w:r>
      <w:r>
        <w:rPr>
          <w:rFonts w:hint="eastAsia" w:ascii="宋体" w:hAnsi="宋体"/>
          <w:sz w:val="24"/>
          <w:lang w:eastAsia="zh-CN"/>
        </w:rPr>
        <w:t>涉案财物出入库流程及操作规范</w:t>
      </w:r>
      <w:r>
        <w:rPr>
          <w:rFonts w:hint="eastAsia" w:ascii="宋体" w:hAnsi="宋体"/>
          <w:sz w:val="24"/>
        </w:rPr>
        <w:t>；</w:t>
      </w:r>
    </w:p>
    <w:p>
      <w:pPr>
        <w:pStyle w:val="21"/>
        <w:ind w:left="0" w:leftChars="0" w:firstLine="480"/>
        <w:rPr>
          <w:rFonts w:ascii="宋体" w:hAnsi="宋体"/>
          <w:sz w:val="24"/>
        </w:rPr>
      </w:pPr>
      <w:r>
        <w:rPr>
          <w:rFonts w:hint="eastAsia" w:ascii="宋体" w:hAnsi="宋体"/>
          <w:sz w:val="24"/>
        </w:rPr>
        <w:t>（7）</w:t>
      </w:r>
      <w:r>
        <w:rPr>
          <w:rFonts w:hint="eastAsia" w:ascii="宋体" w:hAnsi="宋体"/>
          <w:sz w:val="24"/>
          <w:lang w:eastAsia="zh-CN"/>
        </w:rPr>
        <w:t>各项制度</w:t>
      </w:r>
      <w:r>
        <w:rPr>
          <w:rFonts w:hint="eastAsia" w:ascii="宋体" w:hAnsi="宋体"/>
          <w:sz w:val="24"/>
        </w:rPr>
        <w:t>；</w:t>
      </w:r>
    </w:p>
    <w:p>
      <w:pPr>
        <w:pStyle w:val="21"/>
        <w:ind w:left="0" w:leftChars="0" w:firstLine="480"/>
        <w:rPr>
          <w:rFonts w:ascii="宋体" w:hAnsi="宋体"/>
          <w:sz w:val="24"/>
        </w:rPr>
      </w:pPr>
      <w:r>
        <w:rPr>
          <w:rFonts w:hint="eastAsia" w:ascii="宋体" w:hAnsi="宋体"/>
          <w:sz w:val="24"/>
        </w:rPr>
        <w:t>（8）</w:t>
      </w:r>
      <w:r>
        <w:rPr>
          <w:rFonts w:hint="eastAsia" w:ascii="宋体" w:hAnsi="宋体"/>
          <w:sz w:val="24"/>
          <w:lang w:eastAsia="zh-CN"/>
        </w:rPr>
        <w:t>硬件配备</w:t>
      </w:r>
      <w:r>
        <w:rPr>
          <w:rFonts w:hint="eastAsia" w:ascii="宋体" w:hAnsi="宋体"/>
          <w:sz w:val="24"/>
        </w:rPr>
        <w:t>；</w:t>
      </w:r>
    </w:p>
    <w:p>
      <w:pPr>
        <w:pStyle w:val="2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w:t>
      </w:r>
      <w:r>
        <w:rPr>
          <w:rFonts w:hint="eastAsia" w:ascii="宋体" w:hAnsi="宋体"/>
          <w:sz w:val="24"/>
          <w:lang w:eastAsia="zh-CN"/>
        </w:rPr>
        <w:t>服务团队</w:t>
      </w:r>
      <w:r>
        <w:rPr>
          <w:rFonts w:hint="eastAsia" w:ascii="宋体" w:hAnsi="宋体"/>
          <w:sz w:val="24"/>
        </w:rPr>
        <w:t>；</w:t>
      </w:r>
    </w:p>
    <w:p>
      <w:pPr>
        <w:pStyle w:val="2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w:t>
      </w:r>
      <w:r>
        <w:rPr>
          <w:rFonts w:hint="eastAsia" w:ascii="宋体" w:hAnsi="宋体"/>
          <w:sz w:val="24"/>
          <w:lang w:eastAsia="zh-CN"/>
        </w:rPr>
        <w:t>场地设置</w:t>
      </w:r>
      <w:r>
        <w:rPr>
          <w:rFonts w:hint="eastAsia" w:ascii="宋体" w:hAnsi="宋体"/>
          <w:sz w:val="24"/>
        </w:rPr>
        <w:t>；</w:t>
      </w:r>
    </w:p>
    <w:p>
      <w:pPr>
        <w:pStyle w:val="21"/>
        <w:ind w:left="0" w:leftChars="0" w:firstLine="480"/>
        <w:rPr>
          <w:rFonts w:hint="eastAsia" w:ascii="宋体" w:hAnsi="宋体"/>
          <w:sz w:val="24"/>
        </w:rPr>
      </w:pPr>
      <w:r>
        <w:rPr>
          <w:rFonts w:hint="eastAsia" w:ascii="宋体" w:hAnsi="宋体"/>
          <w:sz w:val="24"/>
        </w:rPr>
        <w:t>（</w:t>
      </w:r>
      <w:r>
        <w:rPr>
          <w:rFonts w:hint="eastAsia" w:ascii="宋体" w:hAnsi="宋体"/>
          <w:sz w:val="24"/>
          <w:lang w:val="en-US" w:eastAsia="zh-CN"/>
        </w:rPr>
        <w:t>11</w:t>
      </w:r>
      <w:r>
        <w:rPr>
          <w:rFonts w:hint="eastAsia" w:ascii="宋体" w:hAnsi="宋体"/>
          <w:sz w:val="24"/>
        </w:rPr>
        <w:t>）</w:t>
      </w:r>
      <w:r>
        <w:rPr>
          <w:rFonts w:hint="eastAsia" w:ascii="宋体" w:hAnsi="宋体"/>
          <w:sz w:val="24"/>
          <w:lang w:eastAsia="zh-CN"/>
        </w:rPr>
        <w:t>响应时间</w:t>
      </w:r>
      <w:r>
        <w:rPr>
          <w:rFonts w:hint="eastAsia" w:ascii="宋体" w:hAnsi="宋体"/>
          <w:sz w:val="24"/>
        </w:rPr>
        <w:t>；</w:t>
      </w:r>
    </w:p>
    <w:p>
      <w:pPr>
        <w:pStyle w:val="21"/>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12</w:t>
      </w:r>
      <w:r>
        <w:rPr>
          <w:rFonts w:hint="eastAsia" w:ascii="宋体" w:hAnsi="宋体"/>
          <w:sz w:val="24"/>
          <w:lang w:eastAsia="zh-CN"/>
        </w:rPr>
        <w:t>）针对本项目的合理化建议；</w:t>
      </w:r>
    </w:p>
    <w:p>
      <w:pPr>
        <w:pStyle w:val="21"/>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13</w:t>
      </w:r>
      <w:r>
        <w:rPr>
          <w:rFonts w:hint="eastAsia" w:ascii="宋体" w:hAnsi="宋体"/>
          <w:sz w:val="24"/>
          <w:lang w:eastAsia="zh-CN"/>
        </w:rPr>
        <w:t>）企业业绩；</w:t>
      </w:r>
    </w:p>
    <w:p>
      <w:pPr>
        <w:pStyle w:val="21"/>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14</w:t>
      </w:r>
      <w:r>
        <w:rPr>
          <w:rFonts w:hint="eastAsia" w:ascii="宋体" w:hAnsi="宋体"/>
          <w:sz w:val="24"/>
          <w:lang w:eastAsia="zh-CN"/>
        </w:rPr>
        <w:t>）企业综合实力；</w:t>
      </w:r>
    </w:p>
    <w:p>
      <w:pPr>
        <w:pStyle w:val="21"/>
        <w:ind w:left="0" w:leftChars="0" w:firstLine="480"/>
        <w:rPr>
          <w:rFonts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）商务响应表；</w:t>
      </w:r>
    </w:p>
    <w:p>
      <w:pPr>
        <w:snapToGri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）其他投标供应商认为有必要提供的资料。</w:t>
      </w:r>
    </w:p>
    <w:p>
      <w:pPr>
        <w:pStyle w:val="18"/>
        <w:spacing w:line="360" w:lineRule="auto"/>
        <w:ind w:firstLine="482" w:firstLineChars="200"/>
        <w:rPr>
          <w:rFonts w:ascii="宋体"/>
          <w:b/>
          <w:sz w:val="24"/>
          <w:szCs w:val="24"/>
        </w:rPr>
      </w:pPr>
      <w:r>
        <w:rPr>
          <w:rFonts w:hint="eastAsia" w:ascii="宋体"/>
          <w:b/>
          <w:sz w:val="24"/>
          <w:szCs w:val="24"/>
        </w:rPr>
        <w:t>3、报价文件</w:t>
      </w:r>
    </w:p>
    <w:p>
      <w:pPr>
        <w:tabs>
          <w:tab w:val="left" w:pos="720"/>
        </w:tabs>
        <w:spacing w:line="360" w:lineRule="auto"/>
        <w:ind w:firstLine="480" w:firstLineChars="200"/>
        <w:rPr>
          <w:rFonts w:ascii="宋体" w:hAnsi="宋体"/>
          <w:sz w:val="24"/>
        </w:rPr>
      </w:pPr>
      <w:r>
        <w:rPr>
          <w:rFonts w:hint="eastAsia" w:ascii="宋体" w:hAnsi="宋体"/>
          <w:sz w:val="24"/>
        </w:rPr>
        <w:t>（1) 投标函；</w:t>
      </w:r>
    </w:p>
    <w:p>
      <w:pPr>
        <w:tabs>
          <w:tab w:val="left" w:pos="720"/>
        </w:tabs>
        <w:spacing w:line="360" w:lineRule="auto"/>
        <w:ind w:firstLine="480" w:firstLineChars="200"/>
        <w:rPr>
          <w:rFonts w:ascii="宋体" w:hAnsi="宋体"/>
          <w:sz w:val="24"/>
        </w:rPr>
      </w:pPr>
      <w:r>
        <w:rPr>
          <w:rFonts w:hint="eastAsia" w:ascii="宋体" w:hAnsi="宋体"/>
          <w:sz w:val="24"/>
        </w:rPr>
        <w:t>（2) 开标一览表（格式见附件）；</w:t>
      </w:r>
    </w:p>
    <w:p>
      <w:pPr>
        <w:tabs>
          <w:tab w:val="left" w:pos="720"/>
        </w:tabs>
        <w:spacing w:line="360" w:lineRule="auto"/>
        <w:ind w:firstLine="480" w:firstLineChars="200"/>
        <w:rPr>
          <w:rFonts w:ascii="宋体" w:hAnsi="宋体"/>
          <w:sz w:val="24"/>
        </w:rPr>
      </w:pPr>
      <w:r>
        <w:rPr>
          <w:rFonts w:hint="eastAsia" w:ascii="宋体" w:hAnsi="宋体"/>
          <w:sz w:val="24"/>
        </w:rPr>
        <w:t>（3）报价明细表；</w:t>
      </w:r>
    </w:p>
    <w:p>
      <w:pPr>
        <w:tabs>
          <w:tab w:val="left" w:pos="720"/>
        </w:tabs>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）招标代理服务费承诺函(格式见附件)；</w:t>
      </w:r>
    </w:p>
    <w:p>
      <w:pPr>
        <w:tabs>
          <w:tab w:val="left" w:pos="720"/>
        </w:tabs>
        <w:spacing w:line="360" w:lineRule="auto"/>
        <w:ind w:firstLine="480" w:firstLineChars="200"/>
      </w:pPr>
      <w:r>
        <w:rPr>
          <w:rFonts w:hint="eastAsia" w:ascii="宋体" w:hAnsi="宋体"/>
          <w:sz w:val="24"/>
        </w:rPr>
        <w:t>（</w:t>
      </w:r>
      <w:r>
        <w:rPr>
          <w:rFonts w:hint="eastAsia" w:ascii="宋体" w:hAnsi="宋体"/>
          <w:sz w:val="24"/>
          <w:lang w:val="en-US" w:eastAsia="zh-CN"/>
        </w:rPr>
        <w:t>5</w:t>
      </w:r>
      <w:r>
        <w:rPr>
          <w:rFonts w:hint="eastAsia" w:ascii="宋体" w:hAnsi="宋体"/>
          <w:sz w:val="24"/>
        </w:rPr>
        <w:t>）其他投标供应商认为有必要提供的资料。</w:t>
      </w:r>
      <w:r>
        <w:rPr>
          <w:rFonts w:hint="eastAsia" w:ascii="宋体" w:hAnsi="宋体"/>
          <w:sz w:val="24"/>
        </w:rPr>
        <w:tab/>
      </w:r>
      <w:r>
        <w:tab/>
      </w:r>
    </w:p>
    <w:p>
      <w:pPr>
        <w:snapToGrid w:val="0"/>
        <w:spacing w:line="360" w:lineRule="auto"/>
        <w:ind w:firstLine="480"/>
        <w:rPr>
          <w:rFonts w:ascii="宋体"/>
          <w:b/>
          <w:color w:val="000000"/>
          <w:sz w:val="24"/>
        </w:rPr>
      </w:pPr>
      <w:r>
        <w:rPr>
          <w:rFonts w:hint="eastAsia" w:ascii="宋体" w:hAnsi="宋体"/>
          <w:b/>
          <w:sz w:val="24"/>
        </w:rPr>
        <w:t>（二）投标文件的语言及计量</w:t>
      </w:r>
    </w:p>
    <w:p>
      <w:pPr>
        <w:snapToGrid w:val="0"/>
        <w:spacing w:line="360" w:lineRule="auto"/>
        <w:ind w:firstLine="480"/>
        <w:rPr>
          <w:rFonts w:ascii="宋体"/>
          <w:b/>
          <w:color w:val="000000"/>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投标文件以及投标供应商与采购人就有关投标事宜的所有来往函电，均应以中文汉语书写。除签名、盖章、专用名称等特殊情形外，以中文汉语以外的文字表述的投标文件视同未提供。</w:t>
      </w:r>
    </w:p>
    <w:p>
      <w:pPr>
        <w:snapToGrid w:val="0"/>
        <w:spacing w:line="360" w:lineRule="auto"/>
        <w:ind w:firstLine="480"/>
        <w:rPr>
          <w:rFonts w:ascii="宋体"/>
          <w:b/>
          <w:color w:val="000000"/>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投标计量单位，采购文件已有明确规定的，使用采购文件规定的计量单位</w:t>
      </w:r>
      <w:r>
        <w:rPr>
          <w:rFonts w:hint="eastAsia" w:ascii="宋体" w:hAnsi="宋体"/>
          <w:sz w:val="24"/>
        </w:rPr>
        <w:t>；</w:t>
      </w:r>
      <w:r>
        <w:rPr>
          <w:rFonts w:ascii="宋体" w:hAnsi="宋体"/>
          <w:sz w:val="24"/>
        </w:rPr>
        <w:t>采购文件没有规定的，应采用中华人民共和国法定计量单位（货币单位：人民币元），否则视同未响应。</w:t>
      </w:r>
    </w:p>
    <w:p>
      <w:pPr>
        <w:snapToGrid w:val="0"/>
        <w:spacing w:line="360" w:lineRule="auto"/>
        <w:ind w:firstLine="480"/>
        <w:rPr>
          <w:rFonts w:ascii="宋体"/>
          <w:b/>
          <w:color w:val="000000"/>
          <w:sz w:val="24"/>
        </w:rPr>
      </w:pPr>
      <w:r>
        <w:rPr>
          <w:rFonts w:hint="eastAsia" w:ascii="宋体" w:hAnsi="宋体"/>
          <w:sz w:val="24"/>
        </w:rPr>
        <w:t>▲</w:t>
      </w:r>
      <w:r>
        <w:rPr>
          <w:rFonts w:hint="eastAsia" w:ascii="宋体" w:hAnsi="宋体"/>
          <w:b/>
          <w:sz w:val="24"/>
        </w:rPr>
        <w:t>（三）投标报价：</w:t>
      </w:r>
    </w:p>
    <w:p>
      <w:pPr>
        <w:snapToGrid w:val="0"/>
        <w:spacing w:line="360" w:lineRule="auto"/>
        <w:ind w:firstLine="480"/>
        <w:rPr>
          <w:rFonts w:ascii="宋体"/>
          <w:b/>
          <w:color w:val="000000"/>
          <w:sz w:val="24"/>
        </w:rPr>
      </w:pPr>
      <w:r>
        <w:rPr>
          <w:rFonts w:ascii="宋体" w:hAnsi="宋体"/>
          <w:sz w:val="24"/>
        </w:rPr>
        <w:t>1</w:t>
      </w:r>
      <w:r>
        <w:rPr>
          <w:rFonts w:hint="eastAsia" w:ascii="宋体" w:hAnsi="宋体"/>
          <w:sz w:val="24"/>
        </w:rPr>
        <w:t>、</w:t>
      </w:r>
      <w:r>
        <w:rPr>
          <w:rFonts w:ascii="宋体" w:hAnsi="宋体"/>
          <w:sz w:val="24"/>
        </w:rPr>
        <w:t>投标报价应按采购文件中相关附表格式填写。</w:t>
      </w:r>
      <w:r>
        <w:rPr>
          <w:rFonts w:hint="eastAsia" w:ascii="宋体" w:hAnsi="宋体" w:cs="宋体"/>
          <w:kern w:val="0"/>
          <w:sz w:val="24"/>
        </w:rPr>
        <w:t>所有投标均以人民币报价为准</w:t>
      </w:r>
      <w:r>
        <w:rPr>
          <w:rFonts w:hint="eastAsia" w:ascii="宋体"/>
          <w:color w:val="000000"/>
          <w:sz w:val="24"/>
        </w:rPr>
        <w:t>。</w:t>
      </w:r>
    </w:p>
    <w:p>
      <w:pPr>
        <w:snapToGrid w:val="0"/>
        <w:spacing w:line="360" w:lineRule="auto"/>
        <w:ind w:firstLine="480" w:firstLineChars="200"/>
        <w:jc w:val="left"/>
        <w:rPr>
          <w:rFonts w:ascii="宋体" w:hAnsi="宋体" w:cs="宋体"/>
          <w:bCs/>
        </w:rPr>
      </w:pPr>
      <w:r>
        <w:rPr>
          <w:rFonts w:ascii="宋体" w:hAnsi="宋体"/>
          <w:sz w:val="24"/>
        </w:rPr>
        <w:t>2</w:t>
      </w:r>
      <w:r>
        <w:rPr>
          <w:rFonts w:hint="eastAsia" w:ascii="宋体" w:hAnsi="宋体"/>
          <w:sz w:val="24"/>
        </w:rPr>
        <w:t>、</w:t>
      </w:r>
      <w:r>
        <w:rPr>
          <w:rFonts w:ascii="宋体" w:hAnsi="宋体"/>
          <w:sz w:val="24"/>
        </w:rPr>
        <w:t>投标报价是履行合同的最终价格</w:t>
      </w:r>
      <w:r>
        <w:rPr>
          <w:rFonts w:hint="eastAsia" w:ascii="宋体" w:hAnsi="宋体" w:cs="宋体"/>
          <w:bCs/>
        </w:rPr>
        <w:t>，</w:t>
      </w:r>
      <w:r>
        <w:rPr>
          <w:rFonts w:ascii="宋体" w:hAnsi="宋体"/>
          <w:sz w:val="24"/>
        </w:rPr>
        <w:t>应包括</w:t>
      </w:r>
      <w:r>
        <w:rPr>
          <w:rFonts w:hint="eastAsia" w:ascii="宋体" w:hAnsi="宋体"/>
          <w:sz w:val="24"/>
        </w:rPr>
        <w:t>系统的设备、人员、交通、耗材、培训、调试、验收、专用工具、保险、税金等完成本项目的</w:t>
      </w:r>
      <w:r>
        <w:rPr>
          <w:rFonts w:hAnsi="宋体"/>
          <w:color w:val="000000"/>
          <w:sz w:val="24"/>
        </w:rPr>
        <w:t>一切税金和费用。</w:t>
      </w:r>
    </w:p>
    <w:p>
      <w:pPr>
        <w:spacing w:line="360" w:lineRule="auto"/>
        <w:ind w:firstLine="480" w:firstLineChars="200"/>
        <w:rPr>
          <w:rFonts w:ascii="Wingdings" w:hAnsi="Wingdings" w:cs="Wingdings"/>
          <w:b/>
          <w:color w:val="000000"/>
          <w:kern w:val="0"/>
          <w:sz w:val="24"/>
          <w:u w:val="single"/>
        </w:rPr>
      </w:pPr>
      <w:r>
        <w:rPr>
          <w:rFonts w:ascii="Wingdings" w:hAnsi="Wingdings" w:cs="Wingdings"/>
          <w:color w:val="000000"/>
          <w:kern w:val="0"/>
          <w:sz w:val="24"/>
          <w:u w:val="single"/>
        </w:rPr>
        <w:t>投标供应商对在合同执行中，除上述费用及采购文件规定的由中标供应商负责的工作范围以外需要采购人协调或提供便利的工作应当在报价文件中说明。</w:t>
      </w:r>
    </w:p>
    <w:p>
      <w:pPr>
        <w:snapToGrid w:val="0"/>
        <w:spacing w:line="360" w:lineRule="auto"/>
        <w:ind w:firstLine="480"/>
        <w:rPr>
          <w:rFonts w:hAnsi="宋体"/>
          <w:color w:val="000000"/>
        </w:rPr>
      </w:pPr>
      <w:r>
        <w:rPr>
          <w:rFonts w:ascii="宋体" w:hAnsi="宋体"/>
          <w:sz w:val="24"/>
        </w:rPr>
        <w:t>3</w:t>
      </w:r>
      <w:r>
        <w:rPr>
          <w:rFonts w:hint="eastAsia" w:ascii="宋体" w:hAnsi="宋体"/>
          <w:sz w:val="24"/>
        </w:rPr>
        <w:t>、</w:t>
      </w:r>
      <w:r>
        <w:rPr>
          <w:rFonts w:ascii="宋体" w:hAnsi="宋体"/>
          <w:sz w:val="24"/>
        </w:rPr>
        <w:t>投标文件只允许有一个报价，有选择的</w:t>
      </w:r>
      <w:r>
        <w:rPr>
          <w:rFonts w:hint="eastAsia" w:ascii="宋体" w:hAnsi="宋体"/>
          <w:sz w:val="24"/>
        </w:rPr>
        <w:t>或有条件的</w:t>
      </w:r>
      <w:r>
        <w:rPr>
          <w:rFonts w:ascii="宋体" w:hAnsi="宋体"/>
          <w:sz w:val="24"/>
        </w:rPr>
        <w:t>报价将不予接受。</w:t>
      </w:r>
    </w:p>
    <w:p>
      <w:pPr>
        <w:snapToGrid w:val="0"/>
        <w:spacing w:line="360" w:lineRule="auto"/>
        <w:ind w:firstLine="480"/>
        <w:rPr>
          <w:rFonts w:ascii="宋体"/>
          <w:color w:val="000000"/>
          <w:sz w:val="24"/>
        </w:rPr>
      </w:pPr>
      <w:r>
        <w:rPr>
          <w:rFonts w:hint="eastAsia" w:ascii="宋体"/>
          <w:color w:val="000000"/>
          <w:sz w:val="24"/>
        </w:rPr>
        <w:t>4、投标供应商的最终报价由投标供应商自担全部风险责任，中标后不得以任何理由调整报价或追加任何费用；</w:t>
      </w:r>
    </w:p>
    <w:p>
      <w:pPr>
        <w:snapToGrid w:val="0"/>
        <w:spacing w:line="360" w:lineRule="auto"/>
        <w:ind w:firstLine="480"/>
        <w:rPr>
          <w:rFonts w:ascii="宋体"/>
          <w:color w:val="000000"/>
          <w:sz w:val="24"/>
        </w:rPr>
      </w:pPr>
      <w:r>
        <w:rPr>
          <w:rFonts w:hint="eastAsia" w:ascii="宋体"/>
          <w:color w:val="000000"/>
          <w:sz w:val="24"/>
        </w:rPr>
        <w:t>5、投标供应商所有优惠条件和优惠费用不得降低和影响本采购项目质量；</w:t>
      </w:r>
    </w:p>
    <w:p>
      <w:pPr>
        <w:snapToGrid w:val="0"/>
        <w:spacing w:line="360" w:lineRule="auto"/>
        <w:ind w:firstLine="480"/>
        <w:rPr>
          <w:rFonts w:ascii="宋体"/>
          <w:color w:val="000000"/>
          <w:sz w:val="24"/>
        </w:rPr>
      </w:pPr>
      <w:r>
        <w:rPr>
          <w:rFonts w:hint="eastAsia" w:ascii="宋体"/>
          <w:color w:val="000000"/>
          <w:sz w:val="24"/>
        </w:rPr>
        <w:t>6、报价如单价与总价不符时，以单价为准；大写与小写不符时以大写为准；</w:t>
      </w:r>
    </w:p>
    <w:p>
      <w:pPr>
        <w:snapToGrid w:val="0"/>
        <w:spacing w:line="360" w:lineRule="auto"/>
        <w:ind w:firstLine="480"/>
        <w:rPr>
          <w:rFonts w:ascii="宋体"/>
          <w:color w:val="000000"/>
          <w:sz w:val="24"/>
        </w:rPr>
      </w:pPr>
      <w:r>
        <w:rPr>
          <w:rFonts w:hint="eastAsia" w:ascii="宋体"/>
          <w:color w:val="000000"/>
          <w:sz w:val="24"/>
        </w:rPr>
        <w:t>7、投标供应商对采购文件里有关投标报价的全部内容应仔细确认，若有个别异议，应在开标前提出修改意见，否则视同全部确认；</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（四）投标文件的有效期</w:t>
      </w:r>
    </w:p>
    <w:p>
      <w:pPr>
        <w:pStyle w:val="12"/>
        <w:widowControl w:val="0"/>
        <w:tabs>
          <w:tab w:val="clear" w:pos="454"/>
        </w:tabs>
        <w:snapToGrid w:val="0"/>
        <w:spacing w:afterLines="0" w:line="500" w:lineRule="exact"/>
        <w:ind w:left="0" w:firstLine="480" w:firstLineChars="200"/>
        <w:jc w:val="both"/>
        <w:rPr>
          <w:rFonts w:ascii="宋体" w:hAnsi="宋体" w:cs="仿宋"/>
          <w:szCs w:val="24"/>
        </w:rPr>
      </w:pPr>
      <w:r>
        <w:rPr>
          <w:rFonts w:hint="eastAsia" w:ascii="宋体" w:hAnsi="宋体" w:cs="仿宋"/>
          <w:szCs w:val="24"/>
        </w:rPr>
        <w:t>▲1、自投标截止日起</w:t>
      </w:r>
      <w:r>
        <w:rPr>
          <w:rFonts w:hint="eastAsia" w:ascii="宋体" w:hAnsi="宋体" w:cs="仿宋"/>
          <w:szCs w:val="24"/>
          <w:u w:val="single"/>
        </w:rPr>
        <w:t>60</w:t>
      </w:r>
      <w:r>
        <w:rPr>
          <w:rFonts w:hint="eastAsia" w:ascii="宋体" w:hAnsi="宋体" w:cs="仿宋"/>
          <w:szCs w:val="24"/>
        </w:rPr>
        <w:t>天投标文件应保持有效。有效期不足的投标文件将被拒绝。</w:t>
      </w:r>
    </w:p>
    <w:p>
      <w:pPr>
        <w:pStyle w:val="12"/>
        <w:widowControl w:val="0"/>
        <w:tabs>
          <w:tab w:val="clear" w:pos="454"/>
        </w:tabs>
        <w:snapToGrid w:val="0"/>
        <w:spacing w:afterLines="0" w:line="500" w:lineRule="exact"/>
        <w:ind w:left="0" w:firstLine="480" w:firstLineChars="200"/>
        <w:jc w:val="both"/>
        <w:rPr>
          <w:rFonts w:ascii="宋体" w:hAnsi="宋体" w:cs="仿宋"/>
          <w:szCs w:val="24"/>
        </w:rPr>
      </w:pPr>
      <w:r>
        <w:rPr>
          <w:rFonts w:hint="eastAsia" w:ascii="宋体" w:hAnsi="宋体" w:cs="仿宋"/>
          <w:szCs w:val="24"/>
        </w:rPr>
        <w:t>2、在特殊情况下，采购单位可与投标供应商协商延长投标书的有效期，这种要求和答复均以书面形式进行。</w:t>
      </w:r>
    </w:p>
    <w:p>
      <w:pPr>
        <w:snapToGrid w:val="0"/>
        <w:spacing w:line="500" w:lineRule="exact"/>
        <w:ind w:firstLine="480" w:firstLineChars="200"/>
        <w:rPr>
          <w:rFonts w:ascii="宋体" w:hAnsi="宋体" w:cs="仿宋"/>
          <w:b/>
          <w:sz w:val="24"/>
        </w:rPr>
      </w:pPr>
      <w:r>
        <w:rPr>
          <w:rFonts w:hint="eastAsia" w:ascii="宋体" w:hAnsi="宋体" w:cs="仿宋"/>
          <w:sz w:val="24"/>
        </w:rPr>
        <w:t>3、投标供应商可拒绝接受延期要求。同意延长有效期的投标供应商需要相应延长投标保证金的有效期，但不能修改投标文件。</w:t>
      </w:r>
    </w:p>
    <w:p>
      <w:pPr>
        <w:snapToGrid w:val="0"/>
        <w:spacing w:line="500" w:lineRule="exact"/>
        <w:ind w:firstLine="480" w:firstLineChars="200"/>
        <w:rPr>
          <w:rFonts w:ascii="宋体" w:hAnsi="宋体" w:cs="仿宋"/>
          <w:b/>
          <w:sz w:val="24"/>
        </w:rPr>
      </w:pPr>
      <w:r>
        <w:rPr>
          <w:rFonts w:hint="eastAsia" w:ascii="宋体" w:hAnsi="宋体" w:cs="仿宋"/>
          <w:sz w:val="24"/>
        </w:rPr>
        <w:t>4、中标人的投标文件自开标之日起至合同履行完毕止均应保持有效。</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（五）投标文件的编制</w:t>
      </w:r>
    </w:p>
    <w:p>
      <w:pPr>
        <w:snapToGrid w:val="0"/>
        <w:spacing w:line="500" w:lineRule="exact"/>
        <w:ind w:firstLine="480" w:firstLineChars="200"/>
        <w:rPr>
          <w:rFonts w:ascii="宋体" w:hAnsi="宋体" w:cs="仿宋"/>
          <w:bCs/>
          <w:sz w:val="24"/>
        </w:rPr>
      </w:pPr>
      <w:r>
        <w:rPr>
          <w:rFonts w:hint="eastAsia" w:ascii="宋体" w:hAnsi="宋体" w:cs="仿宋"/>
          <w:bCs/>
          <w:sz w:val="24"/>
        </w:rPr>
        <w:t>1、本项目通过“政府采购云平台（www.zcygov.cn）”实行在线投标响应（电子投标）。投标供应商应通过“政采云电子交易客户端”，并按照本采购文件和“政府采购云平台”的要求编制并加密投标文件。</w:t>
      </w:r>
    </w:p>
    <w:p>
      <w:pPr>
        <w:snapToGrid w:val="0"/>
        <w:spacing w:line="500" w:lineRule="exact"/>
        <w:ind w:firstLine="480" w:firstLineChars="200"/>
        <w:rPr>
          <w:rFonts w:ascii="宋体" w:hAnsi="宋体" w:cs="仿宋"/>
          <w:bCs/>
          <w:sz w:val="24"/>
        </w:rPr>
      </w:pPr>
      <w:r>
        <w:rPr>
          <w:rFonts w:hint="eastAsia" w:ascii="宋体" w:hAnsi="宋体" w:cs="仿宋"/>
          <w:bCs/>
          <w:sz w:val="24"/>
        </w:rPr>
        <w:t>2、投标供应商应当按照本章节“投标文件的组成”规定的内容及顺序在“政采云电子交易客户端”编制投标文件。其中《资格文件》和《商务技术资信及其他文件》中不得出现本项目投标报价，如因投标供应商原因提前泄露投标报价，是投标供应商的责任。</w:t>
      </w:r>
    </w:p>
    <w:p>
      <w:pPr>
        <w:snapToGrid w:val="0"/>
        <w:spacing w:line="500" w:lineRule="exact"/>
        <w:ind w:firstLine="480" w:firstLineChars="200"/>
        <w:rPr>
          <w:rFonts w:ascii="宋体" w:hAnsi="宋体" w:cs="仿宋"/>
          <w:bCs/>
          <w:sz w:val="24"/>
        </w:rPr>
      </w:pPr>
      <w:r>
        <w:rPr>
          <w:rFonts w:hint="eastAsia" w:ascii="宋体" w:hAnsi="宋体" w:cs="仿宋"/>
          <w:bCs/>
          <w:sz w:val="24"/>
        </w:rPr>
        <w:t>3、本采购文件中有提供格式的，投标供应商须参照格式进行编制（格式中要求提供相关证明材料的还需后附相关证明材料），并按格式要求在指定位置根据要求进行签章，未提供格式的，请各投标供应商自行拟定格式，并加盖单位公章并由法定代表人或其授权代表签署（盖章），否则视为未提供。</w:t>
      </w:r>
    </w:p>
    <w:p>
      <w:pPr>
        <w:snapToGrid w:val="0"/>
        <w:spacing w:line="500" w:lineRule="exact"/>
        <w:ind w:firstLine="480" w:firstLineChars="200"/>
        <w:rPr>
          <w:rFonts w:ascii="宋体" w:hAnsi="宋体" w:cs="仿宋"/>
          <w:bCs/>
          <w:sz w:val="24"/>
        </w:rPr>
      </w:pPr>
      <w:r>
        <w:rPr>
          <w:rFonts w:hint="eastAsia" w:ascii="宋体" w:hAnsi="宋体" w:cs="仿宋"/>
          <w:bCs/>
          <w:sz w:val="24"/>
        </w:rPr>
        <w:t>4、《投标文件》内容不完整、编排混乱导致《投标文件》被误读、漏读或者查找不到相关内容的，是投标供应商的责任。</w:t>
      </w:r>
    </w:p>
    <w:p>
      <w:pPr>
        <w:snapToGrid w:val="0"/>
        <w:spacing w:line="500" w:lineRule="exact"/>
        <w:ind w:firstLine="480" w:firstLineChars="200"/>
        <w:rPr>
          <w:rFonts w:ascii="宋体" w:hAnsi="宋体" w:cs="仿宋"/>
          <w:bCs/>
          <w:sz w:val="24"/>
        </w:rPr>
      </w:pPr>
      <w:r>
        <w:rPr>
          <w:rFonts w:hint="eastAsia" w:ascii="宋体" w:hAnsi="宋体" w:cs="仿宋"/>
          <w:bCs/>
          <w:sz w:val="24"/>
        </w:rPr>
        <w:t>5、《投标文件》因字迹潦草、上传的内容不清楚或表达不清所引起的后果由投标供应商负责。</w:t>
      </w:r>
    </w:p>
    <w:p>
      <w:pPr>
        <w:snapToGrid w:val="0"/>
        <w:spacing w:line="500" w:lineRule="exact"/>
        <w:ind w:firstLine="480" w:firstLineChars="200"/>
        <w:rPr>
          <w:rFonts w:ascii="宋体" w:hAnsi="宋体" w:cs="仿宋"/>
          <w:bCs/>
          <w:sz w:val="24"/>
        </w:rPr>
      </w:pPr>
      <w:r>
        <w:rPr>
          <w:rFonts w:hint="eastAsia" w:ascii="宋体" w:hAnsi="宋体" w:cs="仿宋"/>
          <w:bCs/>
          <w:sz w:val="24"/>
        </w:rPr>
        <w:t>6、投标供应商没有按照本采购文件中“投标文件组成”要求提供全部资料，或者没有仔细阅读采购文件，或者没有对采购文件在各方面的要求作出实质性响应是投标供应商的风险，由此造成的一切后果由投标供应商自行承担。</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（六）投标文件的签章</w:t>
      </w:r>
    </w:p>
    <w:p>
      <w:pPr>
        <w:snapToGrid w:val="0"/>
        <w:spacing w:line="500" w:lineRule="exact"/>
        <w:ind w:firstLine="480" w:firstLineChars="200"/>
        <w:rPr>
          <w:rFonts w:ascii="宋体" w:hAnsi="宋体" w:cs="仿宋"/>
          <w:bCs/>
          <w:sz w:val="24"/>
        </w:rPr>
      </w:pPr>
      <w:r>
        <w:rPr>
          <w:rFonts w:hint="eastAsia" w:ascii="宋体" w:hAnsi="宋体" w:cs="仿宋"/>
          <w:bCs/>
          <w:sz w:val="24"/>
        </w:rPr>
        <w:t>1、《投标文件》的签章：使用电子签章；</w:t>
      </w:r>
    </w:p>
    <w:p>
      <w:pPr>
        <w:snapToGrid w:val="0"/>
        <w:spacing w:line="500" w:lineRule="exact"/>
        <w:ind w:firstLine="480" w:firstLineChars="200"/>
        <w:rPr>
          <w:rFonts w:ascii="宋体" w:hAnsi="宋体" w:cs="仿宋"/>
          <w:bCs/>
          <w:sz w:val="24"/>
        </w:rPr>
      </w:pPr>
      <w:r>
        <w:rPr>
          <w:rFonts w:hint="eastAsia" w:ascii="宋体" w:hAnsi="宋体" w:cs="仿宋"/>
          <w:bCs/>
          <w:sz w:val="24"/>
        </w:rPr>
        <w:t>2、《投标文件》应由投标供应商法定代表人或其授权代表签字（或盖章），并同时加盖单位公章。</w:t>
      </w:r>
    </w:p>
    <w:p>
      <w:pPr>
        <w:snapToGrid w:val="0"/>
        <w:spacing w:line="500" w:lineRule="exact"/>
        <w:ind w:firstLine="480" w:firstLineChars="200"/>
        <w:rPr>
          <w:rFonts w:ascii="宋体" w:hAnsi="宋体" w:cs="仿宋"/>
          <w:bCs/>
          <w:sz w:val="24"/>
        </w:rPr>
      </w:pPr>
      <w:r>
        <w:rPr>
          <w:rFonts w:hint="eastAsia" w:ascii="宋体" w:hAnsi="宋体" w:cs="仿宋"/>
          <w:bCs/>
          <w:sz w:val="24"/>
        </w:rPr>
        <w:t>3、参与在线投标时如遇平台技术问题详询95763。</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（七）投标文件的形式</w:t>
      </w:r>
    </w:p>
    <w:p>
      <w:pPr>
        <w:snapToGrid w:val="0"/>
        <w:spacing w:line="500" w:lineRule="exact"/>
        <w:ind w:firstLine="480" w:firstLineChars="200"/>
        <w:rPr>
          <w:rFonts w:ascii="宋体" w:hAnsi="宋体" w:cs="仿宋"/>
          <w:bCs/>
          <w:sz w:val="24"/>
        </w:rPr>
      </w:pPr>
      <w:r>
        <w:rPr>
          <w:rFonts w:hint="eastAsia" w:ascii="宋体" w:hAnsi="宋体" w:cs="仿宋"/>
          <w:bCs/>
          <w:sz w:val="24"/>
        </w:rPr>
        <w:t>1、投标文件的形式：见《前附表》；</w:t>
      </w:r>
    </w:p>
    <w:p>
      <w:pPr>
        <w:snapToGrid w:val="0"/>
        <w:spacing w:line="500" w:lineRule="exact"/>
        <w:ind w:firstLine="480" w:firstLineChars="200"/>
        <w:rPr>
          <w:rFonts w:ascii="宋体" w:hAnsi="宋体" w:cs="仿宋"/>
          <w:bCs/>
          <w:sz w:val="24"/>
        </w:rPr>
      </w:pPr>
      <w:r>
        <w:rPr>
          <w:rFonts w:hint="eastAsia" w:ascii="宋体" w:hAnsi="宋体" w:cs="仿宋"/>
          <w:bCs/>
          <w:sz w:val="24"/>
        </w:rPr>
        <w:t>2、“电子加密投标文件”：“电子加密投标文件”是指通过“政采云电子交易客户端”完成投标文件编制后生成并加密的数据电文形式的投标文件。</w:t>
      </w:r>
    </w:p>
    <w:p>
      <w:pPr>
        <w:snapToGrid w:val="0"/>
        <w:spacing w:line="500" w:lineRule="exact"/>
        <w:ind w:firstLine="480" w:firstLineChars="200"/>
        <w:rPr>
          <w:rFonts w:ascii="宋体" w:hAnsi="宋体" w:cs="仿宋"/>
          <w:bCs/>
          <w:sz w:val="24"/>
        </w:rPr>
      </w:pPr>
      <w:r>
        <w:rPr>
          <w:rFonts w:hint="eastAsia" w:ascii="宋体" w:hAnsi="宋体" w:cs="仿宋"/>
          <w:bCs/>
          <w:sz w:val="24"/>
        </w:rPr>
        <w:t>3、“备份投标文件”：“备份投标文件”是指与“电子加密投标文件”同时生成的数据电文形式的电子文件（备份标书），其他方式编制的“备份投标文件”视为无效的“备份投标文件”。</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（八）投标文件的份数：投标文件的份数：</w:t>
      </w:r>
      <w:r>
        <w:rPr>
          <w:rFonts w:hint="eastAsia" w:ascii="宋体" w:hAnsi="宋体" w:cs="仿宋"/>
          <w:bCs/>
          <w:sz w:val="24"/>
        </w:rPr>
        <w:t>见《前附表》</w:t>
      </w:r>
      <w:r>
        <w:rPr>
          <w:rFonts w:hint="eastAsia" w:ascii="宋体" w:hAnsi="宋体" w:cs="仿宋"/>
          <w:b/>
          <w:sz w:val="24"/>
        </w:rPr>
        <w:t>。</w:t>
      </w:r>
    </w:p>
    <w:p>
      <w:pPr>
        <w:snapToGrid w:val="0"/>
        <w:spacing w:beforeLines="50" w:line="360" w:lineRule="auto"/>
        <w:ind w:firstLine="482" w:firstLineChars="200"/>
        <w:jc w:val="left"/>
        <w:rPr>
          <w:rFonts w:ascii="宋体" w:hAnsi="宋体" w:cs="宋体"/>
          <w:sz w:val="24"/>
        </w:rPr>
      </w:pPr>
      <w:r>
        <w:rPr>
          <w:rFonts w:hint="eastAsia" w:ascii="宋体" w:hAnsi="宋体" w:cs="宋体"/>
          <w:b/>
          <w:sz w:val="24"/>
        </w:rPr>
        <w:t>（九）投标文件的上传和递交：</w:t>
      </w:r>
      <w:r>
        <w:rPr>
          <w:rFonts w:hint="eastAsia" w:ascii="宋体" w:hAnsi="宋体" w:cs="宋体"/>
          <w:sz w:val="24"/>
        </w:rPr>
        <w:t>见《前附表》。</w:t>
      </w:r>
    </w:p>
    <w:p>
      <w:pPr>
        <w:snapToGrid w:val="0"/>
        <w:spacing w:beforeLines="50" w:line="360" w:lineRule="auto"/>
        <w:ind w:firstLine="482" w:firstLineChars="200"/>
        <w:jc w:val="left"/>
        <w:rPr>
          <w:rFonts w:ascii="宋体" w:hAnsi="宋体" w:cs="宋体"/>
          <w:sz w:val="24"/>
        </w:rPr>
      </w:pPr>
      <w:r>
        <w:rPr>
          <w:rFonts w:hint="eastAsia" w:ascii="宋体" w:hAnsi="宋体" w:cs="宋体"/>
          <w:b/>
          <w:sz w:val="24"/>
        </w:rPr>
        <w:t>（十）“电子加密投标文件”解密和异常情况处理：</w:t>
      </w:r>
      <w:r>
        <w:rPr>
          <w:rFonts w:hint="eastAsia" w:ascii="宋体" w:hAnsi="宋体" w:cs="宋体"/>
          <w:sz w:val="24"/>
        </w:rPr>
        <w:t>见《前附表》。</w:t>
      </w:r>
    </w:p>
    <w:p>
      <w:pPr>
        <w:snapToGrid w:val="0"/>
        <w:spacing w:beforeLines="50" w:line="360" w:lineRule="auto"/>
        <w:ind w:firstLine="482" w:firstLineChars="200"/>
        <w:jc w:val="left"/>
        <w:rPr>
          <w:rFonts w:ascii="宋体" w:hAnsi="宋体" w:cs="宋体"/>
          <w:b/>
          <w:sz w:val="24"/>
        </w:rPr>
      </w:pPr>
      <w:r>
        <w:rPr>
          <w:rFonts w:hint="eastAsia" w:ascii="宋体" w:hAnsi="宋体" w:cs="宋体"/>
          <w:b/>
          <w:sz w:val="24"/>
        </w:rPr>
        <w:t>（十一）投标文件的补充、修改或撤回</w:t>
      </w:r>
    </w:p>
    <w:p>
      <w:pPr>
        <w:spacing w:line="360" w:lineRule="auto"/>
        <w:ind w:firstLine="424" w:firstLineChars="177"/>
        <w:rPr>
          <w:rFonts w:ascii="宋体" w:hAnsi="宋体" w:cs="宋体"/>
          <w:bCs/>
          <w:sz w:val="24"/>
        </w:rPr>
      </w:pPr>
      <w:r>
        <w:rPr>
          <w:rFonts w:hint="eastAsia" w:ascii="宋体" w:hAnsi="宋体" w:cs="宋体"/>
          <w:bCs/>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360" w:lineRule="auto"/>
        <w:ind w:firstLine="480" w:firstLineChars="200"/>
        <w:outlineLvl w:val="2"/>
      </w:pPr>
      <w:r>
        <w:rPr>
          <w:rFonts w:hint="eastAsia" w:ascii="宋体" w:hAnsi="宋体" w:cs="宋体"/>
          <w:bCs/>
          <w:sz w:val="24"/>
        </w:rPr>
        <w:t>2、投标截止时间后，投标供应商不得撤回、修改《投标文件》。</w:t>
      </w:r>
    </w:p>
    <w:p>
      <w:pPr>
        <w:spacing w:line="500" w:lineRule="exact"/>
        <w:jc w:val="center"/>
        <w:outlineLvl w:val="1"/>
        <w:rPr>
          <w:rFonts w:ascii="宋体" w:hAnsi="宋体" w:cs="仿宋"/>
          <w:b/>
          <w:sz w:val="32"/>
          <w:szCs w:val="32"/>
        </w:rPr>
      </w:pPr>
      <w:bookmarkStart w:id="21" w:name="_Toc16193"/>
      <w:r>
        <w:rPr>
          <w:rFonts w:hint="eastAsia" w:ascii="宋体" w:hAnsi="宋体" w:cs="仿宋"/>
          <w:b/>
          <w:sz w:val="32"/>
          <w:szCs w:val="32"/>
        </w:rPr>
        <w:t>四、开标</w:t>
      </w:r>
      <w:bookmarkEnd w:id="21"/>
    </w:p>
    <w:p>
      <w:pPr>
        <w:snapToGrid w:val="0"/>
        <w:spacing w:line="500" w:lineRule="exact"/>
        <w:ind w:firstLine="482" w:firstLineChars="200"/>
        <w:outlineLvl w:val="2"/>
        <w:rPr>
          <w:rFonts w:ascii="宋体" w:hAnsi="宋体" w:cs="仿宋"/>
          <w:b/>
          <w:sz w:val="24"/>
        </w:rPr>
      </w:pPr>
      <w:r>
        <w:rPr>
          <w:rFonts w:hint="eastAsia" w:ascii="宋体" w:hAnsi="宋体" w:cs="仿宋"/>
          <w:b/>
          <w:sz w:val="24"/>
        </w:rPr>
        <w:t>（一）开标形式</w:t>
      </w:r>
    </w:p>
    <w:p>
      <w:pPr>
        <w:pStyle w:val="26"/>
        <w:spacing w:line="500" w:lineRule="exact"/>
        <w:ind w:firstLine="480" w:firstLineChars="200"/>
        <w:rPr>
          <w:rFonts w:hAnsi="宋体" w:cs="仿宋"/>
          <w:sz w:val="24"/>
          <w:szCs w:val="24"/>
        </w:rPr>
      </w:pPr>
      <w:r>
        <w:rPr>
          <w:rFonts w:hint="eastAsia" w:hAnsi="宋体" w:cs="仿宋"/>
          <w:sz w:val="24"/>
          <w:szCs w:val="24"/>
        </w:rPr>
        <w:t>采购代理机构将按照采购文件规定的时间通过“政府采购云平台”组织开标、开启投标文件，所有投标供应商均应当准时在线参加。</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（二）开标准备</w:t>
      </w:r>
    </w:p>
    <w:p>
      <w:pPr>
        <w:pStyle w:val="26"/>
        <w:spacing w:line="500" w:lineRule="exact"/>
        <w:ind w:firstLine="480" w:firstLineChars="200"/>
        <w:rPr>
          <w:rFonts w:hAnsi="宋体" w:cs="仿宋"/>
          <w:sz w:val="24"/>
          <w:szCs w:val="24"/>
        </w:rPr>
      </w:pPr>
      <w:r>
        <w:rPr>
          <w:rFonts w:hint="eastAsia" w:hAnsi="宋体" w:cs="仿宋"/>
          <w:sz w:val="24"/>
          <w:szCs w:val="24"/>
        </w:rPr>
        <w:t>1、开标的准备工作由采购代理机构负责落实；</w:t>
      </w:r>
    </w:p>
    <w:p>
      <w:pPr>
        <w:pStyle w:val="26"/>
        <w:spacing w:line="500" w:lineRule="exact"/>
        <w:ind w:firstLine="480" w:firstLineChars="200"/>
        <w:rPr>
          <w:rFonts w:hAnsi="宋体" w:cs="仿宋"/>
          <w:sz w:val="24"/>
          <w:szCs w:val="24"/>
        </w:rPr>
      </w:pPr>
      <w:r>
        <w:rPr>
          <w:rFonts w:hint="eastAsia" w:hAnsi="宋体" w:cs="仿宋"/>
          <w:sz w:val="24"/>
          <w:szCs w:val="24"/>
        </w:rPr>
        <w:t>2、</w:t>
      </w:r>
      <w:r>
        <w:rPr>
          <w:rFonts w:hint="eastAsia" w:hAnsi="宋体" w:cs="仿宋"/>
          <w:b/>
          <w:bCs/>
          <w:sz w:val="24"/>
          <w:szCs w:val="24"/>
        </w:rPr>
        <w:t>采购代理机构将按照采购文件规定的时间通过“政府采购云平台”组织开标、开启投标文件，所有投标供应商均应当准时在线参加。投标供应商如不参加开标大会的，视同认可开标结果，事后不得对采购相关人员、开标过程和开标结果提出异议，同时投标供应商因未在线参加开标而导致投标文件无法按时解密等一切后果由投标供应商自己承担</w:t>
      </w:r>
      <w:r>
        <w:rPr>
          <w:rFonts w:hint="eastAsia" w:hAnsi="宋体" w:cs="仿宋"/>
          <w:sz w:val="24"/>
          <w:szCs w:val="24"/>
        </w:rPr>
        <w:t>。</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（三）开标流程（两个阶段）</w:t>
      </w:r>
    </w:p>
    <w:p>
      <w:pPr>
        <w:snapToGrid w:val="0"/>
        <w:spacing w:line="500" w:lineRule="exact"/>
        <w:ind w:firstLine="482" w:firstLineChars="200"/>
        <w:outlineLvl w:val="3"/>
        <w:rPr>
          <w:rFonts w:ascii="宋体" w:hAnsi="宋体" w:cs="仿宋"/>
          <w:b/>
          <w:sz w:val="24"/>
        </w:rPr>
      </w:pPr>
      <w:r>
        <w:rPr>
          <w:rFonts w:hint="eastAsia" w:ascii="宋体" w:hAnsi="宋体" w:cs="仿宋"/>
          <w:b/>
          <w:sz w:val="24"/>
        </w:rPr>
        <w:t>1、开标第一阶段</w:t>
      </w:r>
    </w:p>
    <w:p>
      <w:pPr>
        <w:pStyle w:val="26"/>
        <w:spacing w:line="500" w:lineRule="exact"/>
        <w:ind w:firstLine="480" w:firstLineChars="200"/>
        <w:rPr>
          <w:rFonts w:hAnsi="宋体" w:cs="仿宋"/>
          <w:sz w:val="24"/>
          <w:szCs w:val="24"/>
        </w:rPr>
      </w:pPr>
      <w:r>
        <w:rPr>
          <w:rFonts w:hint="eastAsia" w:hAnsi="宋体" w:cs="仿宋"/>
          <w:sz w:val="24"/>
          <w:szCs w:val="24"/>
        </w:rPr>
        <w:t>（1）向各投标供应商发出电子加密投标文件【开始解密】通知，由投标供应商按采购文件规定的时间内自行进行投标文件解密。投标供应商在规定的时间内无法完成已递交的“电子加密投标文件”解密的，如已按规定递交了备份投标文件的，将由采购代理机构按“政府采购云平台”操作规范点击“异常处理”，由代理机构将备份投标文件上传至“政府采购云平台”，上传成功后，“电子加密投标文件”自动失效；</w:t>
      </w:r>
    </w:p>
    <w:p>
      <w:pPr>
        <w:pStyle w:val="26"/>
        <w:spacing w:line="500" w:lineRule="exact"/>
        <w:ind w:firstLine="480" w:firstLineChars="200"/>
        <w:rPr>
          <w:rFonts w:hAnsi="宋体" w:cs="仿宋"/>
          <w:sz w:val="24"/>
          <w:szCs w:val="24"/>
        </w:rPr>
      </w:pPr>
      <w:r>
        <w:rPr>
          <w:rFonts w:hint="eastAsia" w:hAnsi="宋体" w:cs="仿宋"/>
          <w:sz w:val="24"/>
          <w:szCs w:val="24"/>
        </w:rPr>
        <w:t>（2）投标文件解密结束，开启投标文件，进入资格审查；</w:t>
      </w:r>
    </w:p>
    <w:p>
      <w:pPr>
        <w:pStyle w:val="26"/>
        <w:spacing w:line="500" w:lineRule="exact"/>
        <w:ind w:firstLine="480" w:firstLineChars="200"/>
        <w:rPr>
          <w:rFonts w:hAnsi="宋体" w:cs="仿宋"/>
          <w:sz w:val="24"/>
          <w:szCs w:val="24"/>
        </w:rPr>
      </w:pPr>
      <w:r>
        <w:rPr>
          <w:rFonts w:hint="eastAsia" w:hAnsi="宋体" w:cs="仿宋"/>
          <w:sz w:val="24"/>
          <w:szCs w:val="24"/>
        </w:rPr>
        <w:t>（3）开启资格审查通过的投标供应商的商务技术资信及其他文件进入符合性审查、商务技术评审；</w:t>
      </w:r>
    </w:p>
    <w:p>
      <w:pPr>
        <w:pStyle w:val="26"/>
        <w:spacing w:line="500" w:lineRule="exact"/>
        <w:ind w:firstLine="480" w:firstLineChars="200"/>
        <w:rPr>
          <w:rFonts w:hAnsi="宋体" w:cs="仿宋"/>
          <w:sz w:val="24"/>
          <w:szCs w:val="24"/>
        </w:rPr>
      </w:pPr>
      <w:r>
        <w:rPr>
          <w:rFonts w:hint="eastAsia" w:hAnsi="宋体" w:cs="仿宋"/>
          <w:sz w:val="24"/>
          <w:szCs w:val="24"/>
        </w:rPr>
        <w:t>（4）第一阶段开标结束。</w:t>
      </w:r>
    </w:p>
    <w:p>
      <w:pPr>
        <w:pStyle w:val="26"/>
        <w:spacing w:line="500" w:lineRule="exact"/>
        <w:ind w:firstLine="482" w:firstLineChars="200"/>
        <w:rPr>
          <w:rFonts w:hAnsi="宋体" w:cs="仿宋"/>
          <w:b/>
          <w:bCs/>
          <w:sz w:val="24"/>
          <w:szCs w:val="24"/>
        </w:rPr>
      </w:pPr>
      <w:r>
        <w:rPr>
          <w:rFonts w:hint="eastAsia" w:hAnsi="宋体" w:cs="仿宋"/>
          <w:b/>
          <w:bCs/>
          <w:sz w:val="24"/>
          <w:szCs w:val="24"/>
        </w:rPr>
        <w:t>备注：开标大会的第一阶段结束后，采购人或采购代理机构将依法对投标供应商的资格进行审查，资格审查结束后进入符合性审查和商务技术的评审工作。</w:t>
      </w:r>
    </w:p>
    <w:p>
      <w:pPr>
        <w:snapToGrid w:val="0"/>
        <w:spacing w:line="500" w:lineRule="exact"/>
        <w:ind w:firstLine="482" w:firstLineChars="200"/>
        <w:outlineLvl w:val="3"/>
        <w:rPr>
          <w:rFonts w:ascii="宋体" w:hAnsi="宋体" w:cs="仿宋"/>
          <w:b/>
          <w:sz w:val="24"/>
        </w:rPr>
      </w:pPr>
      <w:r>
        <w:rPr>
          <w:rFonts w:hint="eastAsia" w:ascii="宋体" w:hAnsi="宋体" w:cs="仿宋"/>
          <w:b/>
          <w:sz w:val="24"/>
        </w:rPr>
        <w:t>2、开标大会第二阶段</w:t>
      </w:r>
    </w:p>
    <w:p>
      <w:pPr>
        <w:spacing w:line="500" w:lineRule="exact"/>
        <w:ind w:firstLine="480" w:firstLineChars="200"/>
        <w:jc w:val="left"/>
        <w:rPr>
          <w:rFonts w:ascii="宋体" w:hAnsi="宋体" w:cs="仿宋"/>
          <w:sz w:val="24"/>
        </w:rPr>
      </w:pPr>
      <w:r>
        <w:rPr>
          <w:rFonts w:hint="eastAsia" w:ascii="宋体" w:hAnsi="宋体" w:cs="仿宋"/>
          <w:sz w:val="24"/>
        </w:rPr>
        <w:t>（1）符合性审查、商务技术评审结束后，举行开标大会第二阶段会议。首先通过政采云公布符合性审查、商务技术评审无效投标供应商名称及理由；公布经商务技术评审后有效投标供应商的名单，同时公布其商务技术得分（总分）情况。</w:t>
      </w:r>
    </w:p>
    <w:p>
      <w:pPr>
        <w:spacing w:line="500" w:lineRule="exact"/>
        <w:ind w:firstLine="480" w:firstLineChars="200"/>
        <w:jc w:val="left"/>
        <w:rPr>
          <w:rFonts w:ascii="宋体" w:hAnsi="宋体" w:cs="仿宋"/>
          <w:sz w:val="24"/>
        </w:rPr>
      </w:pPr>
      <w:r>
        <w:rPr>
          <w:rFonts w:hint="eastAsia" w:ascii="宋体" w:hAnsi="宋体" w:cs="仿宋"/>
          <w:sz w:val="24"/>
        </w:rPr>
        <w:t>（2）开启符合性审查、商务技术评审有效投标供应商的《报价文件》，通过政采云公布开标记录表（所有投标供应商的报价），投标供应商对自己的报价金额有异议的通过发送邮件形式说明（不予说明视为无异议）。唱标结束后，由评标委员会对报价的合理性、准确性等进行审查核实。</w:t>
      </w:r>
    </w:p>
    <w:p>
      <w:pPr>
        <w:spacing w:line="500" w:lineRule="exact"/>
        <w:ind w:firstLine="480" w:firstLineChars="200"/>
        <w:jc w:val="left"/>
        <w:rPr>
          <w:rFonts w:ascii="宋体" w:hAnsi="宋体" w:cs="仿宋"/>
          <w:sz w:val="24"/>
        </w:rPr>
      </w:pPr>
      <w:r>
        <w:rPr>
          <w:rFonts w:hint="eastAsia" w:ascii="宋体" w:hAnsi="宋体" w:cs="仿宋"/>
          <w:sz w:val="24"/>
        </w:rPr>
        <w:t>（3）评审结束后，通过政采云公布中标候选投标供应商名单，及采购人最终确定中标人。</w:t>
      </w:r>
    </w:p>
    <w:p>
      <w:pPr>
        <w:spacing w:line="500" w:lineRule="exact"/>
        <w:ind w:firstLine="482" w:firstLineChars="200"/>
        <w:jc w:val="left"/>
        <w:rPr>
          <w:rFonts w:ascii="宋体" w:hAnsi="宋体" w:cs="仿宋"/>
          <w:b/>
          <w:bCs/>
          <w:sz w:val="24"/>
        </w:rPr>
      </w:pPr>
      <w:r>
        <w:rPr>
          <w:rFonts w:hint="eastAsia" w:ascii="宋体" w:hAnsi="宋体" w:cs="仿宋"/>
          <w:b/>
          <w:bCs/>
          <w:sz w:val="24"/>
        </w:rPr>
        <w:t>特别说明：如遇“政府采购云平台”电子化开标或评审程序调整的，按调整后程序执行。</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（四）投标供应商资格审查</w:t>
      </w:r>
    </w:p>
    <w:p>
      <w:pPr>
        <w:spacing w:line="500" w:lineRule="exact"/>
        <w:ind w:firstLine="480" w:firstLineChars="200"/>
        <w:jc w:val="left"/>
        <w:rPr>
          <w:rFonts w:ascii="宋体" w:hAnsi="宋体" w:cs="仿宋"/>
          <w:sz w:val="24"/>
        </w:rPr>
      </w:pPr>
      <w:r>
        <w:rPr>
          <w:rFonts w:hint="eastAsia" w:ascii="宋体" w:hAnsi="宋体" w:cs="仿宋"/>
          <w:sz w:val="24"/>
        </w:rPr>
        <w:t>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500" w:lineRule="exact"/>
        <w:ind w:firstLine="480" w:firstLineChars="200"/>
        <w:jc w:val="left"/>
        <w:rPr>
          <w:rFonts w:ascii="宋体" w:hAnsi="宋体" w:cs="仿宋"/>
          <w:sz w:val="24"/>
        </w:rPr>
      </w:pPr>
      <w:r>
        <w:rPr>
          <w:rFonts w:hint="eastAsia" w:ascii="宋体" w:hAnsi="宋体" w:cs="仿宋"/>
          <w:sz w:val="24"/>
        </w:rPr>
        <w:t>2、投标供应商提交的资格证明材料无法证明其符合采购文件规定的“投标供应商资格要求”的，采购人或采购代理机构将对其作资格审查不通过处理（无效投标），并不再将其投标提交评标委员会进行后续评审。</w:t>
      </w:r>
    </w:p>
    <w:p>
      <w:pPr>
        <w:spacing w:line="500" w:lineRule="exact"/>
        <w:ind w:firstLine="480" w:firstLineChars="200"/>
        <w:jc w:val="left"/>
      </w:pPr>
      <w:r>
        <w:rPr>
          <w:rFonts w:hint="eastAsia" w:ascii="宋体" w:hAnsi="宋体" w:cs="仿宋"/>
          <w:sz w:val="24"/>
        </w:rPr>
        <w:t>3、单位负责人为同一人或者存在直接控股、管理关系的不同投标供应商参加同一项目下的政府采购活动的，相关投标供应商均作资格无效处理。</w:t>
      </w:r>
    </w:p>
    <w:p>
      <w:pPr>
        <w:spacing w:line="500" w:lineRule="exact"/>
        <w:jc w:val="center"/>
        <w:outlineLvl w:val="1"/>
        <w:rPr>
          <w:rFonts w:ascii="宋体" w:hAnsi="宋体" w:cs="仿宋"/>
          <w:b/>
          <w:sz w:val="32"/>
          <w:szCs w:val="32"/>
        </w:rPr>
      </w:pPr>
      <w:bookmarkStart w:id="22" w:name="_Toc17761"/>
      <w:r>
        <w:rPr>
          <w:rFonts w:hint="eastAsia" w:ascii="宋体" w:hAnsi="宋体" w:cs="仿宋"/>
          <w:b/>
          <w:sz w:val="32"/>
          <w:szCs w:val="32"/>
        </w:rPr>
        <w:t>五、评标</w:t>
      </w:r>
      <w:bookmarkEnd w:id="22"/>
    </w:p>
    <w:p>
      <w:pPr>
        <w:snapToGrid w:val="0"/>
        <w:spacing w:line="500" w:lineRule="exact"/>
        <w:ind w:firstLine="482" w:firstLineChars="200"/>
        <w:outlineLvl w:val="2"/>
        <w:rPr>
          <w:rFonts w:ascii="宋体" w:hAnsi="宋体" w:cs="仿宋"/>
          <w:b/>
          <w:sz w:val="24"/>
        </w:rPr>
      </w:pPr>
      <w:r>
        <w:rPr>
          <w:rFonts w:hint="eastAsia" w:ascii="宋体" w:hAnsi="宋体" w:cs="仿宋"/>
          <w:b/>
          <w:sz w:val="24"/>
        </w:rPr>
        <w:t>（一）评审工作的组织</w:t>
      </w:r>
    </w:p>
    <w:p>
      <w:pPr>
        <w:spacing w:line="500" w:lineRule="exact"/>
        <w:ind w:firstLine="480" w:firstLineChars="200"/>
        <w:jc w:val="left"/>
        <w:rPr>
          <w:rFonts w:ascii="宋体" w:hAnsi="宋体" w:cs="仿宋"/>
          <w:sz w:val="24"/>
        </w:rPr>
      </w:pPr>
      <w:r>
        <w:rPr>
          <w:rFonts w:hint="eastAsia" w:ascii="宋体" w:hAnsi="宋体" w:cs="仿宋"/>
          <w:sz w:val="24"/>
        </w:rPr>
        <w:t>1、采购代理机构负责组织本项目的评审工作，并依据《政府采购货物和服务招标投标管理办法（财政部第87号令）》第四十五条的相关规定履行职责。</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（二）评标委员会的组建</w:t>
      </w:r>
    </w:p>
    <w:p>
      <w:pPr>
        <w:spacing w:line="500" w:lineRule="exact"/>
        <w:ind w:firstLine="480" w:firstLineChars="200"/>
        <w:jc w:val="left"/>
        <w:rPr>
          <w:rFonts w:ascii="宋体" w:hAnsi="宋体" w:cs="仿宋"/>
          <w:sz w:val="24"/>
        </w:rPr>
      </w:pPr>
      <w:r>
        <w:rPr>
          <w:rFonts w:hint="eastAsia" w:ascii="宋体" w:hAnsi="宋体" w:cs="仿宋"/>
          <w:sz w:val="24"/>
        </w:rPr>
        <w:t>1、评标委员会由采购人或采购代理机构依法组建，成员包括采购人代表和评审专家，成员人数为5人或以上单数，其中评审专家不少于成员总数的三分之二。</w:t>
      </w:r>
    </w:p>
    <w:p>
      <w:pPr>
        <w:spacing w:line="500" w:lineRule="exact"/>
        <w:ind w:firstLine="480" w:firstLineChars="200"/>
        <w:jc w:val="left"/>
        <w:rPr>
          <w:rFonts w:ascii="宋体" w:hAnsi="宋体" w:cs="仿宋"/>
          <w:sz w:val="24"/>
        </w:rPr>
      </w:pPr>
      <w:r>
        <w:rPr>
          <w:rFonts w:hint="eastAsia" w:ascii="宋体" w:hAnsi="宋体" w:cs="仿宋"/>
          <w:sz w:val="24"/>
        </w:rPr>
        <w:t>2、评标委员会成员名单在评审结果（采购结果）公告前保密。</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（三）评标委员会的职责</w:t>
      </w:r>
    </w:p>
    <w:p>
      <w:pPr>
        <w:spacing w:line="500" w:lineRule="exact"/>
        <w:ind w:firstLine="482" w:firstLineChars="200"/>
        <w:jc w:val="left"/>
        <w:rPr>
          <w:rFonts w:ascii="宋体" w:hAnsi="宋体" w:cs="仿宋"/>
          <w:b/>
          <w:bCs/>
          <w:sz w:val="24"/>
        </w:rPr>
      </w:pPr>
      <w:r>
        <w:rPr>
          <w:rFonts w:hint="eastAsia" w:ascii="宋体" w:hAnsi="宋体" w:cs="仿宋"/>
          <w:b/>
          <w:bCs/>
          <w:sz w:val="24"/>
        </w:rPr>
        <w:t>1、评标委员会负责具体评审事务，并独立履行下列职责：</w:t>
      </w:r>
    </w:p>
    <w:p>
      <w:pPr>
        <w:spacing w:line="500" w:lineRule="exact"/>
        <w:ind w:firstLine="480" w:firstLineChars="200"/>
        <w:jc w:val="left"/>
        <w:rPr>
          <w:rFonts w:ascii="宋体" w:hAnsi="宋体" w:cs="仿宋"/>
          <w:sz w:val="24"/>
        </w:rPr>
      </w:pPr>
      <w:r>
        <w:rPr>
          <w:rFonts w:hint="eastAsia" w:ascii="宋体" w:hAnsi="宋体" w:cs="仿宋"/>
          <w:sz w:val="24"/>
        </w:rPr>
        <w:t>（1）审查、评价投标文件是否符合采购文件的资信、技术等实质性要求；</w:t>
      </w:r>
    </w:p>
    <w:p>
      <w:pPr>
        <w:spacing w:line="500" w:lineRule="exact"/>
        <w:ind w:firstLine="480" w:firstLineChars="200"/>
        <w:jc w:val="left"/>
        <w:rPr>
          <w:rFonts w:ascii="宋体" w:hAnsi="宋体" w:cs="仿宋"/>
          <w:sz w:val="24"/>
        </w:rPr>
      </w:pPr>
      <w:r>
        <w:rPr>
          <w:rFonts w:hint="eastAsia" w:ascii="宋体" w:hAnsi="宋体" w:cs="仿宋"/>
          <w:sz w:val="24"/>
        </w:rPr>
        <w:t>（2）要求投标供应商对投标文件有关事项作出澄清或者说明；</w:t>
      </w:r>
    </w:p>
    <w:p>
      <w:pPr>
        <w:spacing w:line="500" w:lineRule="exact"/>
        <w:ind w:firstLine="480" w:firstLineChars="200"/>
        <w:jc w:val="left"/>
        <w:rPr>
          <w:rFonts w:ascii="宋体" w:hAnsi="宋体" w:cs="仿宋"/>
          <w:sz w:val="24"/>
        </w:rPr>
      </w:pPr>
      <w:r>
        <w:rPr>
          <w:rFonts w:hint="eastAsia" w:ascii="宋体" w:hAnsi="宋体" w:cs="仿宋"/>
          <w:sz w:val="24"/>
        </w:rPr>
        <w:t>（3）对投标文件进行比较和评价；</w:t>
      </w:r>
    </w:p>
    <w:p>
      <w:pPr>
        <w:spacing w:line="500" w:lineRule="exact"/>
        <w:ind w:firstLine="480" w:firstLineChars="200"/>
        <w:jc w:val="left"/>
        <w:rPr>
          <w:rFonts w:ascii="宋体" w:hAnsi="宋体" w:cs="仿宋"/>
          <w:sz w:val="24"/>
        </w:rPr>
      </w:pPr>
      <w:r>
        <w:rPr>
          <w:rFonts w:hint="eastAsia" w:ascii="宋体" w:hAnsi="宋体" w:cs="仿宋"/>
          <w:sz w:val="24"/>
        </w:rPr>
        <w:t>（4）确定中标候选人名单，以及根据采购人委托直接确定中标人；</w:t>
      </w:r>
    </w:p>
    <w:p>
      <w:pPr>
        <w:spacing w:line="500" w:lineRule="exact"/>
        <w:ind w:firstLine="480" w:firstLineChars="200"/>
        <w:jc w:val="left"/>
        <w:rPr>
          <w:rFonts w:ascii="宋体" w:hAnsi="宋体" w:cs="仿宋"/>
          <w:sz w:val="24"/>
        </w:rPr>
      </w:pPr>
      <w:r>
        <w:rPr>
          <w:rFonts w:hint="eastAsia" w:ascii="宋体" w:hAnsi="宋体" w:cs="仿宋"/>
          <w:sz w:val="24"/>
        </w:rPr>
        <w:t>（5）向采购人、采购代理机构或者有关部门报告评审中发现的违法行为。</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（四）评审原则</w:t>
      </w:r>
    </w:p>
    <w:p>
      <w:pPr>
        <w:spacing w:line="500" w:lineRule="exact"/>
        <w:ind w:firstLine="480" w:firstLineChars="200"/>
        <w:jc w:val="left"/>
        <w:rPr>
          <w:rFonts w:ascii="宋体" w:hAnsi="宋体" w:cs="仿宋"/>
          <w:sz w:val="24"/>
        </w:rPr>
      </w:pPr>
      <w:r>
        <w:rPr>
          <w:rFonts w:hint="eastAsia" w:ascii="宋体" w:hAnsi="宋体" w:cs="仿宋"/>
          <w:sz w:val="24"/>
        </w:rPr>
        <w:t>1、评审原则：评标委员会按照客观、公正、审慎、择优的原则，根据采购文件规定的评审程序、评审方法和评审标准进行独立评审。</w:t>
      </w:r>
    </w:p>
    <w:p>
      <w:pPr>
        <w:spacing w:line="500" w:lineRule="exact"/>
        <w:ind w:firstLine="480" w:firstLineChars="200"/>
        <w:jc w:val="left"/>
        <w:rPr>
          <w:rFonts w:ascii="宋体" w:hAnsi="宋体" w:cs="仿宋"/>
          <w:sz w:val="24"/>
        </w:rPr>
      </w:pPr>
      <w:r>
        <w:rPr>
          <w:rFonts w:hint="eastAsia" w:ascii="宋体" w:hAnsi="宋体" w:cs="仿宋"/>
          <w:sz w:val="24"/>
        </w:rPr>
        <w:t>2、评审工作将依据采购文件、投标文件及采购文件中事先已列明的内容进行。</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（五）评审意见的争议处理</w:t>
      </w:r>
    </w:p>
    <w:p>
      <w:pPr>
        <w:spacing w:line="500" w:lineRule="exact"/>
        <w:ind w:firstLine="480" w:firstLineChars="200"/>
        <w:jc w:val="left"/>
        <w:rPr>
          <w:rFonts w:ascii="宋体" w:hAnsi="宋体" w:cs="仿宋"/>
          <w:sz w:val="24"/>
        </w:rPr>
      </w:pPr>
      <w:r>
        <w:rPr>
          <w:rFonts w:hint="eastAsia" w:ascii="宋体" w:hAnsi="宋体" w:cs="仿宋"/>
          <w:sz w:val="24"/>
        </w:rPr>
        <w:t>评标委员会成员对需要共同认定的事项存在争议的，按照少数服从多数的原则作出结论。持不同意见的评标委员会成员应当在评审报告上签署不同意见及理由，否则视为同意评审报告。</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（六）评委纪律</w:t>
      </w:r>
    </w:p>
    <w:p>
      <w:pPr>
        <w:spacing w:line="500" w:lineRule="exact"/>
        <w:ind w:firstLine="480" w:firstLineChars="200"/>
        <w:jc w:val="left"/>
        <w:rPr>
          <w:rFonts w:ascii="宋体" w:hAnsi="宋体" w:cs="仿宋"/>
          <w:sz w:val="24"/>
        </w:rPr>
      </w:pPr>
      <w:r>
        <w:rPr>
          <w:rFonts w:hint="eastAsia" w:ascii="宋体" w:hAnsi="宋体" w:cs="仿宋"/>
          <w:sz w:val="24"/>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（七）评审流程及内容</w:t>
      </w:r>
    </w:p>
    <w:p>
      <w:pPr>
        <w:spacing w:line="500" w:lineRule="exact"/>
        <w:ind w:firstLine="482" w:firstLineChars="200"/>
        <w:jc w:val="left"/>
        <w:rPr>
          <w:rFonts w:ascii="宋体" w:hAnsi="宋体" w:cs="仿宋"/>
          <w:b/>
          <w:bCs/>
          <w:sz w:val="24"/>
        </w:rPr>
      </w:pPr>
      <w:r>
        <w:rPr>
          <w:rFonts w:hint="eastAsia" w:ascii="宋体" w:hAnsi="宋体" w:cs="仿宋"/>
          <w:b/>
          <w:bCs/>
          <w:sz w:val="24"/>
        </w:rPr>
        <w:t>本项目具体的评审事务由评标委员会负责，评审流程及内容如下：</w:t>
      </w:r>
    </w:p>
    <w:p>
      <w:pPr>
        <w:spacing w:line="500" w:lineRule="exact"/>
        <w:ind w:firstLine="480" w:firstLineChars="200"/>
        <w:jc w:val="left"/>
        <w:outlineLvl w:val="3"/>
        <w:rPr>
          <w:rFonts w:ascii="宋体" w:hAnsi="宋体" w:cs="仿宋"/>
          <w:sz w:val="24"/>
        </w:rPr>
      </w:pPr>
      <w:r>
        <w:rPr>
          <w:rFonts w:hint="eastAsia" w:ascii="宋体" w:hAnsi="宋体" w:cs="仿宋"/>
          <w:sz w:val="24"/>
        </w:rPr>
        <w:t>1、评审前准备</w:t>
      </w:r>
    </w:p>
    <w:p>
      <w:pPr>
        <w:spacing w:line="500" w:lineRule="exact"/>
        <w:ind w:firstLine="480" w:firstLineChars="200"/>
        <w:jc w:val="left"/>
        <w:rPr>
          <w:rFonts w:ascii="宋体" w:hAnsi="宋体" w:cs="仿宋"/>
          <w:sz w:val="24"/>
        </w:rPr>
      </w:pPr>
      <w:r>
        <w:rPr>
          <w:rFonts w:hint="eastAsia" w:ascii="宋体" w:hAnsi="宋体" w:cs="仿宋"/>
          <w:sz w:val="24"/>
        </w:rPr>
        <w:t>（1）由评审专家推选评审小组组长，采购人代表不得担任评审小组组长。</w:t>
      </w:r>
    </w:p>
    <w:p>
      <w:pPr>
        <w:spacing w:line="500" w:lineRule="exact"/>
        <w:ind w:firstLine="480" w:firstLineChars="200"/>
        <w:jc w:val="left"/>
        <w:rPr>
          <w:rFonts w:ascii="宋体" w:hAnsi="宋体" w:cs="仿宋"/>
          <w:sz w:val="24"/>
        </w:rPr>
      </w:pPr>
      <w:r>
        <w:rPr>
          <w:rFonts w:hint="eastAsia" w:ascii="宋体" w:hAnsi="宋体" w:cs="仿宋"/>
          <w:sz w:val="24"/>
        </w:rPr>
        <w:t>（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pPr>
        <w:spacing w:line="500" w:lineRule="exact"/>
        <w:ind w:firstLine="480" w:firstLineChars="200"/>
        <w:jc w:val="left"/>
        <w:outlineLvl w:val="3"/>
        <w:rPr>
          <w:rFonts w:ascii="宋体" w:hAnsi="宋体" w:cs="仿宋"/>
          <w:sz w:val="24"/>
        </w:rPr>
      </w:pPr>
      <w:r>
        <w:rPr>
          <w:rFonts w:hint="eastAsia" w:ascii="宋体" w:hAnsi="宋体" w:cs="仿宋"/>
          <w:sz w:val="24"/>
        </w:rPr>
        <w:t>2、投标文件的初步审查、符合性审查</w:t>
      </w:r>
    </w:p>
    <w:p>
      <w:pPr>
        <w:spacing w:line="500" w:lineRule="exact"/>
        <w:ind w:firstLine="482" w:firstLineChars="200"/>
        <w:jc w:val="left"/>
        <w:rPr>
          <w:rFonts w:ascii="宋体" w:hAnsi="宋体" w:cs="仿宋"/>
          <w:b/>
          <w:bCs/>
          <w:sz w:val="24"/>
        </w:rPr>
      </w:pPr>
      <w:r>
        <w:rPr>
          <w:rFonts w:hint="eastAsia" w:ascii="宋体" w:hAnsi="宋体" w:cs="仿宋"/>
          <w:b/>
          <w:bCs/>
          <w:sz w:val="24"/>
        </w:rPr>
        <w:t>对所有通过资格审查的投标供应商的投标文件进行初步审查，审查、评价投标文件是否符合采购文件的资信、技术、服务等实质性要求。</w:t>
      </w:r>
    </w:p>
    <w:p>
      <w:pPr>
        <w:spacing w:line="500" w:lineRule="exact"/>
        <w:ind w:firstLine="480" w:firstLineChars="200"/>
        <w:jc w:val="left"/>
        <w:rPr>
          <w:rFonts w:ascii="宋体" w:hAnsi="宋体" w:cs="仿宋"/>
          <w:sz w:val="24"/>
        </w:rPr>
      </w:pPr>
      <w:r>
        <w:rPr>
          <w:rFonts w:hint="eastAsia" w:ascii="宋体" w:hAnsi="宋体" w:cs="仿宋"/>
          <w:sz w:val="24"/>
        </w:rPr>
        <w:t>（1）评标委员会首先对所有通过资格审查的投标供应商的投标文件进行符合性审查，审查每份投标文件是否实质上响应了采购文件的要求（实质性响应的投标文件是指投标文件符合采购文件规定的实质性内容、条件和规定）。</w:t>
      </w:r>
    </w:p>
    <w:p>
      <w:pPr>
        <w:spacing w:line="500" w:lineRule="exact"/>
        <w:ind w:firstLine="480" w:firstLineChars="200"/>
        <w:jc w:val="left"/>
        <w:outlineLvl w:val="3"/>
        <w:rPr>
          <w:rFonts w:ascii="宋体" w:hAnsi="宋体" w:cs="仿宋"/>
          <w:sz w:val="24"/>
        </w:rPr>
      </w:pPr>
      <w:r>
        <w:rPr>
          <w:rFonts w:hint="eastAsia" w:ascii="宋体" w:hAnsi="宋体" w:cs="仿宋"/>
          <w:sz w:val="24"/>
        </w:rPr>
        <w:t>3、投标文件的澄清、说明或补正</w:t>
      </w:r>
    </w:p>
    <w:p>
      <w:pPr>
        <w:spacing w:line="500" w:lineRule="exact"/>
        <w:ind w:firstLine="480" w:firstLineChars="200"/>
        <w:jc w:val="left"/>
        <w:rPr>
          <w:rFonts w:ascii="宋体" w:hAnsi="宋体" w:cs="仿宋"/>
          <w:sz w:val="24"/>
        </w:rPr>
      </w:pPr>
      <w:r>
        <w:rPr>
          <w:rFonts w:hint="eastAsia" w:ascii="宋体" w:hAnsi="宋体" w:cs="仿宋"/>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pacing w:line="500" w:lineRule="exact"/>
        <w:ind w:firstLine="480" w:firstLineChars="200"/>
        <w:jc w:val="left"/>
        <w:rPr>
          <w:rFonts w:ascii="宋体" w:hAnsi="宋体" w:cs="仿宋"/>
          <w:sz w:val="24"/>
        </w:rPr>
      </w:pPr>
      <w:r>
        <w:rPr>
          <w:rFonts w:hint="eastAsia" w:ascii="宋体" w:hAnsi="宋体" w:cs="仿宋"/>
          <w:sz w:val="24"/>
        </w:rPr>
        <w:t>（2）评标过程中评标委员会对投标供应商提出质询或要求投标供应商书面确认的（或通过“政府采购云平台”在线答复），采用书面形式提交并加盖公章，或者由法定代表人或其授权的代表签字或盖章，30分钟内予以书面回复或确认，否则视为不予回复或确认，评标委员会有权拒绝该投标文件，澄清、说明或者补正不得超出投标文件的范围或者改变投标文件的实质性内容。</w:t>
      </w:r>
    </w:p>
    <w:p>
      <w:pPr>
        <w:spacing w:line="500" w:lineRule="exact"/>
        <w:ind w:firstLine="480" w:firstLineChars="200"/>
        <w:jc w:val="left"/>
        <w:outlineLvl w:val="3"/>
        <w:rPr>
          <w:rFonts w:ascii="宋体" w:hAnsi="宋体" w:cs="仿宋"/>
          <w:sz w:val="24"/>
        </w:rPr>
      </w:pPr>
      <w:r>
        <w:rPr>
          <w:rFonts w:hint="eastAsia" w:ascii="宋体" w:hAnsi="宋体" w:cs="仿宋"/>
          <w:sz w:val="24"/>
        </w:rPr>
        <w:t>4、投标文件的错误修正</w:t>
      </w:r>
    </w:p>
    <w:p>
      <w:pPr>
        <w:spacing w:line="500" w:lineRule="exact"/>
        <w:ind w:firstLine="480" w:firstLineChars="200"/>
        <w:jc w:val="left"/>
        <w:rPr>
          <w:rFonts w:ascii="宋体" w:hAnsi="宋体" w:cs="仿宋"/>
          <w:sz w:val="24"/>
        </w:rPr>
      </w:pPr>
      <w:r>
        <w:rPr>
          <w:rFonts w:hint="eastAsia" w:ascii="宋体" w:hAnsi="宋体" w:cs="仿宋"/>
          <w:sz w:val="24"/>
        </w:rPr>
        <w:t>《投标文件》如果出现计算或表达上的错误，修正错误的原则如下：</w:t>
      </w:r>
    </w:p>
    <w:p>
      <w:pPr>
        <w:spacing w:line="500" w:lineRule="exact"/>
        <w:ind w:firstLine="480" w:firstLineChars="200"/>
        <w:jc w:val="left"/>
        <w:rPr>
          <w:rFonts w:ascii="宋体" w:hAnsi="宋体" w:cs="仿宋"/>
          <w:sz w:val="24"/>
        </w:rPr>
      </w:pPr>
      <w:r>
        <w:rPr>
          <w:rFonts w:hint="eastAsia" w:ascii="宋体" w:hAnsi="宋体" w:cs="仿宋"/>
          <w:sz w:val="24"/>
        </w:rPr>
        <w:t>（1）投标文件中开标一览表内容与投标文件中相应内容不一致的，以开标一览表为准。</w:t>
      </w:r>
    </w:p>
    <w:p>
      <w:pPr>
        <w:spacing w:line="500" w:lineRule="exact"/>
        <w:ind w:firstLine="480" w:firstLineChars="200"/>
        <w:jc w:val="left"/>
        <w:rPr>
          <w:rFonts w:ascii="宋体" w:hAnsi="宋体" w:cs="仿宋"/>
          <w:sz w:val="24"/>
        </w:rPr>
      </w:pPr>
      <w:r>
        <w:rPr>
          <w:rFonts w:hint="eastAsia" w:ascii="宋体" w:hAnsi="宋体" w:cs="仿宋"/>
          <w:sz w:val="24"/>
        </w:rPr>
        <w:t>（2）《投标文件》的大写金额和小写金额不一致的，以大写金额为准；</w:t>
      </w:r>
    </w:p>
    <w:p>
      <w:pPr>
        <w:spacing w:line="500" w:lineRule="exact"/>
        <w:ind w:firstLine="480" w:firstLineChars="200"/>
        <w:jc w:val="left"/>
        <w:rPr>
          <w:rFonts w:ascii="宋体" w:hAnsi="宋体" w:cs="仿宋"/>
          <w:sz w:val="24"/>
        </w:rPr>
      </w:pPr>
      <w:r>
        <w:rPr>
          <w:rFonts w:hint="eastAsia" w:ascii="宋体" w:hAnsi="宋体" w:cs="仿宋"/>
          <w:sz w:val="24"/>
        </w:rPr>
        <w:t>（3）单价金额小数点或者百分比有明显错位的，应以开标一览表的总价为准，并修改单价；</w:t>
      </w:r>
    </w:p>
    <w:p>
      <w:pPr>
        <w:spacing w:line="500" w:lineRule="exact"/>
        <w:ind w:firstLine="480" w:firstLineChars="200"/>
        <w:jc w:val="left"/>
        <w:rPr>
          <w:rFonts w:ascii="宋体" w:hAnsi="宋体" w:cs="仿宋"/>
          <w:sz w:val="24"/>
        </w:rPr>
      </w:pPr>
      <w:r>
        <w:rPr>
          <w:rFonts w:hint="eastAsia" w:ascii="宋体" w:hAnsi="宋体" w:cs="仿宋"/>
          <w:sz w:val="24"/>
        </w:rPr>
        <w:t>（4）总价金额与按单价汇总金额不一致的，以单价金额计算结果为准。</w:t>
      </w:r>
    </w:p>
    <w:p>
      <w:pPr>
        <w:spacing w:line="500" w:lineRule="exact"/>
        <w:ind w:firstLine="480" w:firstLineChars="200"/>
        <w:jc w:val="left"/>
        <w:outlineLvl w:val="3"/>
        <w:rPr>
          <w:rFonts w:ascii="宋体" w:hAnsi="宋体" w:cs="仿宋"/>
          <w:sz w:val="24"/>
        </w:rPr>
      </w:pPr>
      <w:r>
        <w:rPr>
          <w:rFonts w:hint="eastAsia" w:ascii="宋体" w:hAnsi="宋体" w:cs="仿宋"/>
          <w:sz w:val="24"/>
        </w:rPr>
        <w:t>5、对不同文字文本《投标文件》的解释发生异议的，以中文文本为准。</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（八）投标文件有下列情况之一者将视为无效：</w:t>
      </w:r>
    </w:p>
    <w:p>
      <w:pPr>
        <w:spacing w:line="500" w:lineRule="exact"/>
        <w:ind w:firstLine="482" w:firstLineChars="200"/>
        <w:jc w:val="left"/>
        <w:outlineLvl w:val="3"/>
        <w:rPr>
          <w:rFonts w:ascii="宋体" w:hAnsi="宋体" w:cs="仿宋"/>
          <w:b/>
          <w:bCs/>
          <w:sz w:val="24"/>
        </w:rPr>
      </w:pPr>
      <w:r>
        <w:rPr>
          <w:rFonts w:hint="eastAsia" w:ascii="宋体" w:hAnsi="宋体" w:cs="仿宋"/>
          <w:b/>
          <w:bCs/>
          <w:sz w:val="24"/>
        </w:rPr>
        <w:t>1、资格文件、商务技术资信及其他文件符合性审查中，存在下列情形之一的，经评标委员会认定后作无效标处理：</w:t>
      </w:r>
    </w:p>
    <w:p>
      <w:pPr>
        <w:spacing w:line="500" w:lineRule="exact"/>
        <w:ind w:firstLine="480" w:firstLineChars="200"/>
        <w:jc w:val="left"/>
        <w:rPr>
          <w:rFonts w:ascii="宋体" w:hAnsi="宋体" w:cs="仿宋"/>
          <w:sz w:val="24"/>
        </w:rPr>
      </w:pPr>
      <w:r>
        <w:rPr>
          <w:rFonts w:hint="eastAsia" w:ascii="宋体" w:hAnsi="宋体" w:cs="仿宋"/>
          <w:sz w:val="24"/>
        </w:rPr>
        <w:t>（1）投标文件未有效授权，法定代表人授权委托书等填写错误或有涂改未修正的；</w:t>
      </w:r>
    </w:p>
    <w:p>
      <w:pPr>
        <w:spacing w:line="500" w:lineRule="exact"/>
        <w:ind w:firstLine="480" w:firstLineChars="200"/>
        <w:jc w:val="left"/>
        <w:rPr>
          <w:rFonts w:ascii="宋体" w:hAnsi="宋体" w:cs="仿宋"/>
          <w:sz w:val="24"/>
        </w:rPr>
      </w:pPr>
      <w:r>
        <w:rPr>
          <w:rFonts w:hint="eastAsia" w:ascii="宋体" w:hAnsi="宋体" w:cs="仿宋"/>
          <w:sz w:val="24"/>
        </w:rPr>
        <w:t>（2）投标文件没有对本采购文件作出实质性响应的，或不满足（不响应）本采购文件实质性要求条款的，或资格文件证明文件不全的，或存在采购文件中明确规定的其他无效标情形的；</w:t>
      </w:r>
    </w:p>
    <w:p>
      <w:pPr>
        <w:spacing w:line="500" w:lineRule="exact"/>
        <w:ind w:firstLine="480" w:firstLineChars="200"/>
        <w:jc w:val="left"/>
        <w:rPr>
          <w:rFonts w:ascii="宋体" w:hAnsi="宋体" w:cs="仿宋"/>
          <w:sz w:val="24"/>
        </w:rPr>
      </w:pPr>
      <w:r>
        <w:rPr>
          <w:rFonts w:hint="eastAsia" w:ascii="宋体" w:hAnsi="宋体" w:cs="仿宋"/>
          <w:sz w:val="24"/>
        </w:rPr>
        <w:t>（3）投标文件存在一个或一个以上备选（替代）投标方案的；</w:t>
      </w:r>
    </w:p>
    <w:p>
      <w:pPr>
        <w:spacing w:line="500" w:lineRule="exact"/>
        <w:ind w:firstLine="480" w:firstLineChars="200"/>
        <w:jc w:val="left"/>
        <w:rPr>
          <w:rFonts w:ascii="宋体" w:hAnsi="宋体" w:cs="仿宋"/>
          <w:sz w:val="24"/>
        </w:rPr>
      </w:pPr>
      <w:r>
        <w:rPr>
          <w:rFonts w:hint="eastAsia" w:ascii="宋体" w:hAnsi="宋体" w:cs="仿宋"/>
          <w:sz w:val="24"/>
        </w:rPr>
        <w:t>（4）仅提交“备份投标文件”的；</w:t>
      </w:r>
    </w:p>
    <w:p>
      <w:pPr>
        <w:spacing w:line="500" w:lineRule="exact"/>
        <w:ind w:firstLine="480" w:firstLineChars="200"/>
        <w:jc w:val="left"/>
        <w:rPr>
          <w:rFonts w:ascii="宋体" w:hAnsi="宋体" w:cs="仿宋"/>
          <w:sz w:val="24"/>
        </w:rPr>
      </w:pPr>
      <w:r>
        <w:rPr>
          <w:rFonts w:hint="eastAsia" w:ascii="宋体" w:hAnsi="宋体" w:cs="仿宋"/>
          <w:sz w:val="24"/>
        </w:rPr>
        <w:t>（5）资格文件组成内容不齐全；</w:t>
      </w:r>
    </w:p>
    <w:p>
      <w:pPr>
        <w:spacing w:line="500" w:lineRule="exact"/>
        <w:ind w:firstLine="480" w:firstLineChars="200"/>
        <w:jc w:val="left"/>
        <w:rPr>
          <w:rFonts w:ascii="宋体" w:hAnsi="宋体" w:cs="仿宋"/>
          <w:sz w:val="24"/>
        </w:rPr>
      </w:pPr>
      <w:r>
        <w:rPr>
          <w:rFonts w:hint="eastAsia" w:ascii="宋体" w:hAnsi="宋体" w:cs="仿宋"/>
          <w:sz w:val="24"/>
        </w:rPr>
        <w:t>（6）投标文件标注的响应或偏离情况与事实不符，或提供了虚假材料的；</w:t>
      </w:r>
    </w:p>
    <w:p>
      <w:pPr>
        <w:spacing w:line="500" w:lineRule="exact"/>
        <w:ind w:firstLine="480" w:firstLineChars="200"/>
        <w:jc w:val="left"/>
        <w:rPr>
          <w:rFonts w:ascii="宋体" w:hAnsi="宋体" w:cs="仿宋"/>
          <w:sz w:val="24"/>
        </w:rPr>
      </w:pPr>
      <w:r>
        <w:rPr>
          <w:rFonts w:hint="eastAsia" w:ascii="宋体" w:hAnsi="宋体" w:cs="仿宋"/>
          <w:sz w:val="24"/>
        </w:rPr>
        <w:t>（7）不响应或擅自改变本采购文件要求或投标文件有采购人不能接受的附加条件的；</w:t>
      </w:r>
    </w:p>
    <w:p>
      <w:pPr>
        <w:spacing w:line="500" w:lineRule="exact"/>
        <w:ind w:firstLine="480" w:firstLineChars="200"/>
        <w:jc w:val="left"/>
        <w:rPr>
          <w:rFonts w:ascii="宋体" w:hAnsi="宋体" w:cs="仿宋"/>
          <w:sz w:val="24"/>
        </w:rPr>
      </w:pPr>
      <w:r>
        <w:rPr>
          <w:rFonts w:hint="eastAsia" w:ascii="宋体" w:hAnsi="宋体" w:cs="仿宋"/>
          <w:sz w:val="24"/>
        </w:rPr>
        <w:t>（8）参加同一项目下政府采购活动的不同投标供应商之间存在利害关系并且存在影响政府采购公平竞争行为的；</w:t>
      </w:r>
    </w:p>
    <w:p>
      <w:pPr>
        <w:spacing w:line="500" w:lineRule="exact"/>
        <w:ind w:firstLine="480" w:firstLineChars="200"/>
        <w:jc w:val="left"/>
        <w:rPr>
          <w:rFonts w:ascii="宋体" w:hAnsi="宋体" w:cs="仿宋"/>
          <w:sz w:val="24"/>
        </w:rPr>
      </w:pPr>
      <w:r>
        <w:rPr>
          <w:rFonts w:hint="eastAsia" w:ascii="宋体" w:hAnsi="宋体" w:cs="仿宋"/>
          <w:sz w:val="24"/>
        </w:rPr>
        <w:t>（9）违反国家或政府部门相关法律、法规、文件规定的。</w:t>
      </w:r>
    </w:p>
    <w:p>
      <w:pPr>
        <w:spacing w:line="500" w:lineRule="exact"/>
        <w:ind w:firstLine="482" w:firstLineChars="200"/>
        <w:jc w:val="left"/>
        <w:outlineLvl w:val="3"/>
        <w:rPr>
          <w:rFonts w:ascii="宋体" w:hAnsi="宋体" w:cs="仿宋"/>
          <w:b/>
          <w:bCs/>
          <w:sz w:val="24"/>
        </w:rPr>
      </w:pPr>
      <w:r>
        <w:rPr>
          <w:rFonts w:hint="eastAsia" w:ascii="宋体" w:hAnsi="宋体" w:cs="仿宋"/>
          <w:b/>
          <w:bCs/>
          <w:sz w:val="24"/>
        </w:rPr>
        <w:t>2、报价文件符合性审查中，存在下列情形之一的，经评标委员会认定后作无效标处理：</w:t>
      </w:r>
    </w:p>
    <w:p>
      <w:pPr>
        <w:spacing w:line="500" w:lineRule="exact"/>
        <w:ind w:firstLine="480" w:firstLineChars="200"/>
        <w:jc w:val="left"/>
        <w:rPr>
          <w:rFonts w:ascii="宋体" w:hAnsi="宋体" w:cs="仿宋"/>
          <w:sz w:val="24"/>
        </w:rPr>
      </w:pPr>
      <w:r>
        <w:rPr>
          <w:rFonts w:hint="eastAsia" w:ascii="宋体" w:hAnsi="宋体" w:cs="仿宋"/>
          <w:sz w:val="24"/>
        </w:rPr>
        <w:t>（1）投标文件没有对本采购文件作出实质性响应的，或不满足（不响应）本采购文件规定的实质性要求条款的，或存在采购文件中明确规定的其他无效标情形的；</w:t>
      </w:r>
    </w:p>
    <w:p>
      <w:pPr>
        <w:spacing w:line="500" w:lineRule="exact"/>
        <w:ind w:firstLine="480" w:firstLineChars="200"/>
        <w:jc w:val="left"/>
        <w:rPr>
          <w:rFonts w:ascii="宋体" w:hAnsi="宋体" w:cs="仿宋"/>
          <w:sz w:val="24"/>
        </w:rPr>
      </w:pPr>
      <w:r>
        <w:rPr>
          <w:rFonts w:hint="eastAsia" w:ascii="宋体" w:hAnsi="宋体" w:cs="仿宋"/>
          <w:sz w:val="24"/>
        </w:rPr>
        <w:t>（2）投标文件存在一个或一个以上备选（替代）投标方案的；</w:t>
      </w:r>
    </w:p>
    <w:p>
      <w:pPr>
        <w:spacing w:line="500" w:lineRule="exact"/>
        <w:ind w:firstLine="480" w:firstLineChars="200"/>
        <w:jc w:val="left"/>
        <w:rPr>
          <w:rFonts w:ascii="宋体" w:hAnsi="宋体" w:cs="仿宋"/>
          <w:sz w:val="24"/>
        </w:rPr>
      </w:pPr>
      <w:r>
        <w:rPr>
          <w:rFonts w:hint="eastAsia" w:ascii="宋体" w:hAnsi="宋体" w:cs="仿宋"/>
          <w:sz w:val="24"/>
        </w:rPr>
        <w:t>（3）未按照采购文件标明的币种报价的，或者投标报价涵盖的内容不符合采购文件要求的；</w:t>
      </w:r>
    </w:p>
    <w:p>
      <w:pPr>
        <w:spacing w:line="500" w:lineRule="exact"/>
        <w:ind w:firstLine="480" w:firstLineChars="200"/>
        <w:jc w:val="left"/>
        <w:rPr>
          <w:rFonts w:ascii="宋体" w:hAnsi="宋体" w:cs="仿宋"/>
          <w:sz w:val="24"/>
        </w:rPr>
      </w:pPr>
      <w:r>
        <w:rPr>
          <w:rFonts w:hint="eastAsia" w:ascii="宋体" w:hAnsi="宋体" w:cs="仿宋"/>
          <w:sz w:val="24"/>
        </w:rPr>
        <w:t>（4）投标报价具有选择性；</w:t>
      </w:r>
    </w:p>
    <w:p>
      <w:pPr>
        <w:spacing w:line="500" w:lineRule="exact"/>
        <w:ind w:firstLine="480" w:firstLineChars="200"/>
        <w:jc w:val="left"/>
        <w:rPr>
          <w:rFonts w:ascii="宋体" w:hAnsi="宋体" w:cs="仿宋"/>
          <w:sz w:val="24"/>
        </w:rPr>
      </w:pPr>
      <w:r>
        <w:rPr>
          <w:rFonts w:hint="eastAsia" w:ascii="宋体" w:hAnsi="宋体" w:cs="仿宋"/>
          <w:sz w:val="24"/>
        </w:rPr>
        <w:t>（5）投标报价超过采购预算（或最高限价）的；</w:t>
      </w:r>
    </w:p>
    <w:p>
      <w:pPr>
        <w:spacing w:line="500" w:lineRule="exact"/>
        <w:ind w:firstLine="480" w:firstLineChars="200"/>
        <w:jc w:val="left"/>
        <w:rPr>
          <w:rFonts w:ascii="宋体" w:hAnsi="宋体" w:cs="仿宋"/>
          <w:sz w:val="24"/>
        </w:rPr>
      </w:pPr>
      <w:r>
        <w:rPr>
          <w:rFonts w:hint="eastAsia" w:ascii="宋体" w:hAnsi="宋体" w:cs="仿宋"/>
          <w:sz w:val="24"/>
        </w:rPr>
        <w:t>（6）投标文件组成内容不齐全，本采购文件规定必须提供而未提供的（属于资格审查范围的除外）；</w:t>
      </w:r>
    </w:p>
    <w:p>
      <w:pPr>
        <w:spacing w:line="500" w:lineRule="exact"/>
        <w:ind w:firstLine="480" w:firstLineChars="200"/>
        <w:jc w:val="left"/>
        <w:rPr>
          <w:rFonts w:ascii="宋体" w:hAnsi="宋体" w:cs="仿宋"/>
          <w:sz w:val="24"/>
        </w:rPr>
      </w:pPr>
      <w:r>
        <w:rPr>
          <w:rFonts w:hint="eastAsia" w:ascii="宋体" w:hAnsi="宋体" w:cs="仿宋"/>
          <w:sz w:val="24"/>
        </w:rPr>
        <w:t>（7）投标文件标注的响应或偏离情况与事实不符，或提供了虚假材料的；</w:t>
      </w:r>
    </w:p>
    <w:p>
      <w:pPr>
        <w:spacing w:line="500" w:lineRule="exact"/>
        <w:ind w:firstLine="480" w:firstLineChars="200"/>
        <w:jc w:val="left"/>
        <w:rPr>
          <w:rFonts w:ascii="宋体" w:hAnsi="宋体" w:cs="仿宋"/>
          <w:sz w:val="24"/>
        </w:rPr>
      </w:pPr>
      <w:r>
        <w:rPr>
          <w:rFonts w:hint="eastAsia" w:ascii="宋体" w:hAnsi="宋体" w:cs="仿宋"/>
          <w:sz w:val="24"/>
        </w:rPr>
        <w:t>（8）不响应或擅自改变本采购文件要求或投标文件有采购人不能接受的附加条件的；</w:t>
      </w:r>
    </w:p>
    <w:p>
      <w:pPr>
        <w:spacing w:line="500" w:lineRule="exact"/>
        <w:ind w:firstLine="480" w:firstLineChars="200"/>
        <w:jc w:val="left"/>
        <w:rPr>
          <w:rFonts w:ascii="宋体" w:hAnsi="宋体" w:cs="仿宋"/>
          <w:sz w:val="24"/>
        </w:rPr>
      </w:pPr>
      <w:r>
        <w:rPr>
          <w:rFonts w:hint="eastAsia" w:ascii="宋体" w:hAnsi="宋体" w:cs="仿宋"/>
          <w:sz w:val="24"/>
        </w:rPr>
        <w:t>（9）评审委员会认为投标供应商报价明显低于其他合格投标供应商的报价，有可能影响服务质量或者不能诚信履约的，应当要求其在合理时间内提供书面说明，必要时提供相关证明材料；投标供应商不能证明其报价合理性的，评审委员会应当将其作为无效投标或者无效响应处理；</w:t>
      </w:r>
    </w:p>
    <w:p>
      <w:pPr>
        <w:spacing w:line="500" w:lineRule="exact"/>
        <w:ind w:firstLine="480" w:firstLineChars="200"/>
        <w:jc w:val="left"/>
        <w:rPr>
          <w:rFonts w:ascii="宋体" w:hAnsi="宋体" w:cs="仿宋"/>
          <w:sz w:val="24"/>
        </w:rPr>
      </w:pPr>
      <w:r>
        <w:rPr>
          <w:rFonts w:hint="eastAsia" w:ascii="宋体" w:hAnsi="宋体" w:cs="仿宋"/>
          <w:sz w:val="24"/>
        </w:rPr>
        <w:t>（10）违反国家或政府部门相关法律、法规、文件规定的。</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（九）投标文件的评估、比较、评分</w:t>
      </w:r>
    </w:p>
    <w:p>
      <w:pPr>
        <w:spacing w:line="500" w:lineRule="exact"/>
        <w:ind w:firstLine="480" w:firstLineChars="200"/>
        <w:jc w:val="left"/>
        <w:rPr>
          <w:rFonts w:ascii="宋体" w:hAnsi="宋体" w:cs="仿宋"/>
          <w:sz w:val="24"/>
        </w:rPr>
      </w:pPr>
      <w:r>
        <w:rPr>
          <w:rFonts w:hint="eastAsia" w:ascii="宋体" w:hAnsi="宋体" w:cs="仿宋"/>
          <w:sz w:val="24"/>
        </w:rPr>
        <w:t>1、评标委员会应当按照采购文件中规定的评审方法和标准，对符合性审查合格的投标文件进行商务和技术评估，综合比较与评价。评标时，评标委员会各成员将独立对每个投标供应商的投标文件进行评价，并汇总每个投标供应商的得分。评审细则详见第四部分“评标办法及评分标准”。</w:t>
      </w:r>
    </w:p>
    <w:p>
      <w:pPr>
        <w:spacing w:line="500" w:lineRule="exact"/>
        <w:ind w:firstLine="480" w:firstLineChars="200"/>
        <w:jc w:val="left"/>
        <w:rPr>
          <w:rFonts w:ascii="宋体" w:hAnsi="宋体" w:cs="仿宋"/>
          <w:sz w:val="24"/>
        </w:rPr>
      </w:pPr>
      <w:r>
        <w:rPr>
          <w:rFonts w:hint="eastAsia" w:ascii="宋体" w:hAnsi="宋体" w:cs="仿宋"/>
          <w:sz w:val="24"/>
        </w:rPr>
        <w:t>2、对采购代理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（十）修改评审结果</w:t>
      </w:r>
    </w:p>
    <w:p>
      <w:pPr>
        <w:spacing w:line="500" w:lineRule="exact"/>
        <w:ind w:firstLine="482" w:firstLineChars="200"/>
        <w:jc w:val="left"/>
        <w:outlineLvl w:val="3"/>
        <w:rPr>
          <w:rFonts w:ascii="宋体" w:hAnsi="宋体" w:cs="仿宋"/>
          <w:b/>
          <w:bCs/>
          <w:sz w:val="24"/>
        </w:rPr>
      </w:pPr>
      <w:r>
        <w:rPr>
          <w:rFonts w:hint="eastAsia" w:ascii="宋体" w:hAnsi="宋体" w:cs="仿宋"/>
          <w:b/>
          <w:bCs/>
          <w:sz w:val="24"/>
        </w:rPr>
        <w:t>1、评标结果汇总完成后，除下列情形外，任何人不得修改评标结果：</w:t>
      </w:r>
    </w:p>
    <w:p>
      <w:pPr>
        <w:spacing w:line="500" w:lineRule="exact"/>
        <w:ind w:firstLine="480" w:firstLineChars="200"/>
        <w:jc w:val="left"/>
        <w:rPr>
          <w:rFonts w:ascii="宋体" w:hAnsi="宋体" w:cs="仿宋"/>
          <w:sz w:val="24"/>
        </w:rPr>
      </w:pPr>
      <w:r>
        <w:rPr>
          <w:rFonts w:hint="eastAsia" w:ascii="宋体" w:hAnsi="宋体" w:cs="仿宋"/>
          <w:sz w:val="24"/>
        </w:rPr>
        <w:t>（1）分值汇总计算错误的；</w:t>
      </w:r>
    </w:p>
    <w:p>
      <w:pPr>
        <w:spacing w:line="500" w:lineRule="exact"/>
        <w:ind w:firstLine="480" w:firstLineChars="200"/>
        <w:jc w:val="left"/>
        <w:rPr>
          <w:rFonts w:ascii="宋体" w:hAnsi="宋体" w:cs="仿宋"/>
          <w:sz w:val="24"/>
        </w:rPr>
      </w:pPr>
      <w:r>
        <w:rPr>
          <w:rFonts w:hint="eastAsia" w:ascii="宋体" w:hAnsi="宋体" w:cs="仿宋"/>
          <w:sz w:val="24"/>
        </w:rPr>
        <w:t>（2）分项评分超出评分标准范围的；</w:t>
      </w:r>
    </w:p>
    <w:p>
      <w:pPr>
        <w:spacing w:line="500" w:lineRule="exact"/>
        <w:ind w:firstLine="480" w:firstLineChars="200"/>
        <w:jc w:val="left"/>
        <w:rPr>
          <w:rFonts w:ascii="宋体" w:hAnsi="宋体" w:cs="仿宋"/>
          <w:sz w:val="24"/>
        </w:rPr>
      </w:pPr>
      <w:r>
        <w:rPr>
          <w:rFonts w:hint="eastAsia" w:ascii="宋体" w:hAnsi="宋体" w:cs="仿宋"/>
          <w:sz w:val="24"/>
        </w:rPr>
        <w:t>（3）评标委员会成员对客观评审因素评分不一致的；</w:t>
      </w:r>
    </w:p>
    <w:p>
      <w:pPr>
        <w:spacing w:line="500" w:lineRule="exact"/>
        <w:ind w:firstLine="480" w:firstLineChars="200"/>
        <w:jc w:val="left"/>
        <w:rPr>
          <w:rFonts w:ascii="宋体" w:hAnsi="宋体" w:cs="仿宋"/>
          <w:sz w:val="24"/>
        </w:rPr>
      </w:pPr>
      <w:r>
        <w:rPr>
          <w:rFonts w:hint="eastAsia" w:ascii="宋体" w:hAnsi="宋体" w:cs="仿宋"/>
          <w:sz w:val="24"/>
        </w:rPr>
        <w:t>（4）经评标委员会认定评分畸高、畸低的。</w:t>
      </w:r>
    </w:p>
    <w:p>
      <w:pPr>
        <w:spacing w:line="500" w:lineRule="exact"/>
        <w:ind w:firstLine="482" w:firstLineChars="200"/>
        <w:jc w:val="left"/>
        <w:outlineLvl w:val="3"/>
        <w:rPr>
          <w:rFonts w:ascii="宋体" w:hAnsi="宋体" w:cs="仿宋"/>
          <w:b/>
          <w:bCs/>
          <w:sz w:val="24"/>
        </w:rPr>
      </w:pPr>
      <w:r>
        <w:rPr>
          <w:rFonts w:hint="eastAsia" w:ascii="宋体" w:hAnsi="宋体" w:cs="仿宋"/>
          <w:b/>
          <w:bCs/>
          <w:sz w:val="24"/>
        </w:rPr>
        <w:t>2、评标报告签署前，经复核发现存在以上情形之一的，评标委员会将当场修改评标结果，并在评标报告中记载。</w:t>
      </w:r>
    </w:p>
    <w:p>
      <w:pPr>
        <w:snapToGrid w:val="0"/>
        <w:spacing w:line="500" w:lineRule="exact"/>
        <w:ind w:firstLine="482" w:firstLineChars="200"/>
        <w:outlineLvl w:val="2"/>
        <w:rPr>
          <w:rFonts w:ascii="宋体" w:hAnsi="宋体" w:cs="仿宋"/>
          <w:b/>
          <w:sz w:val="24"/>
        </w:rPr>
      </w:pPr>
      <w:r>
        <w:rPr>
          <w:rFonts w:hint="eastAsia" w:ascii="宋体" w:hAnsi="宋体" w:cs="仿宋"/>
          <w:b/>
          <w:sz w:val="24"/>
        </w:rPr>
        <w:t>（十一）投标供应商排序及推荐中标候选投标供应商</w:t>
      </w:r>
    </w:p>
    <w:p>
      <w:pPr>
        <w:spacing w:line="500" w:lineRule="exact"/>
        <w:ind w:firstLine="480" w:firstLineChars="200"/>
        <w:jc w:val="left"/>
        <w:rPr>
          <w:rFonts w:ascii="宋体" w:hAnsi="宋体" w:cs="仿宋"/>
          <w:sz w:val="24"/>
        </w:rPr>
      </w:pPr>
      <w:r>
        <w:rPr>
          <w:rFonts w:hint="eastAsia" w:ascii="宋体" w:hAnsi="宋体" w:cs="仿宋"/>
          <w:sz w:val="24"/>
        </w:rPr>
        <w:t>评标委员会根据以下规定确定投标供应商排名并推荐中标候选投标供应商。</w:t>
      </w:r>
    </w:p>
    <w:p>
      <w:pPr>
        <w:spacing w:line="500" w:lineRule="exact"/>
        <w:ind w:firstLine="482" w:firstLineChars="200"/>
        <w:rPr>
          <w:rFonts w:ascii="宋体" w:hAnsi="宋体" w:cs="宋体"/>
          <w:kern w:val="0"/>
          <w:sz w:val="24"/>
        </w:rPr>
      </w:pPr>
      <w:r>
        <w:rPr>
          <w:rFonts w:hint="eastAsia" w:ascii="宋体" w:hAnsi="宋体" w:cs="宋体"/>
          <w:b/>
          <w:sz w:val="24"/>
        </w:rPr>
        <w:t>1、评标委员会根据各投标供应商的综合得分（商务技术分与报价得分之和）从高到低依次进行排名排序。特殊情形按以下原则处理：</w:t>
      </w:r>
    </w:p>
    <w:p>
      <w:pPr>
        <w:spacing w:line="500" w:lineRule="exact"/>
        <w:ind w:firstLine="480" w:firstLineChars="200"/>
        <w:jc w:val="left"/>
        <w:rPr>
          <w:rFonts w:ascii="宋体" w:hAnsi="宋体" w:cs="仿宋"/>
          <w:sz w:val="24"/>
        </w:rPr>
      </w:pPr>
      <w:r>
        <w:rPr>
          <w:rFonts w:hint="eastAsia" w:ascii="宋体" w:hAnsi="宋体" w:cs="仿宋"/>
          <w:sz w:val="24"/>
        </w:rPr>
        <w:t>（1）综合得分相同的，按投标报价低的优先原则确定排名；</w:t>
      </w:r>
    </w:p>
    <w:p>
      <w:pPr>
        <w:spacing w:line="500" w:lineRule="exact"/>
        <w:ind w:firstLine="480" w:firstLineChars="200"/>
        <w:jc w:val="left"/>
        <w:rPr>
          <w:rFonts w:ascii="宋体" w:hAnsi="宋体" w:cs="仿宋"/>
          <w:sz w:val="24"/>
        </w:rPr>
      </w:pPr>
      <w:r>
        <w:rPr>
          <w:rFonts w:hint="eastAsia" w:ascii="宋体" w:hAnsi="宋体" w:cs="仿宋"/>
          <w:sz w:val="24"/>
        </w:rPr>
        <w:t>（2）综合得分和投标报价均相同的，按技术得分从高到低确定排名；</w:t>
      </w:r>
    </w:p>
    <w:p>
      <w:pPr>
        <w:spacing w:line="500" w:lineRule="exact"/>
        <w:ind w:firstLine="482" w:firstLineChars="200"/>
        <w:rPr>
          <w:rFonts w:ascii="宋体" w:hAnsi="宋体" w:cs="宋体"/>
          <w:b/>
          <w:sz w:val="24"/>
        </w:rPr>
      </w:pPr>
      <w:r>
        <w:rPr>
          <w:rFonts w:hint="eastAsia" w:ascii="宋体" w:hAnsi="宋体" w:cs="宋体"/>
          <w:b/>
          <w:sz w:val="24"/>
        </w:rPr>
        <w:t>2、根据最终得分排序，通过书面评审报告的形式，向采购人推荐排名第一的投标供应商为中标人。</w:t>
      </w:r>
    </w:p>
    <w:p>
      <w:pPr>
        <w:spacing w:line="500" w:lineRule="exact"/>
        <w:ind w:firstLine="482" w:firstLineChars="200"/>
        <w:rPr>
          <w:rFonts w:ascii="宋体" w:hAnsi="宋体" w:cs="宋体"/>
          <w:b/>
          <w:sz w:val="24"/>
        </w:rPr>
      </w:pPr>
      <w:r>
        <w:rPr>
          <w:rFonts w:hint="eastAsia" w:ascii="宋体" w:hAnsi="宋体" w:cs="宋体"/>
          <w:b/>
          <w:sz w:val="24"/>
        </w:rPr>
        <w:t>（十二）起草、签署评审报告</w:t>
      </w:r>
    </w:p>
    <w:p>
      <w:pPr>
        <w:autoSpaceDE w:val="0"/>
        <w:autoSpaceDN w:val="0"/>
        <w:spacing w:line="500" w:lineRule="exact"/>
        <w:ind w:firstLine="480" w:firstLineChars="200"/>
        <w:rPr>
          <w:rFonts w:ascii="宋体" w:hAnsi="宋体" w:cs="宋体"/>
          <w:sz w:val="24"/>
        </w:rPr>
      </w:pPr>
      <w:r>
        <w:rPr>
          <w:rFonts w:hint="eastAsia" w:ascii="宋体" w:hAnsi="宋体" w:cs="宋体"/>
          <w:sz w:val="24"/>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115"/>
        <w:spacing w:before="0" w:line="500" w:lineRule="exact"/>
        <w:ind w:firstLine="482"/>
        <w:outlineLvl w:val="0"/>
        <w:rPr>
          <w:rFonts w:ascii="宋体" w:hAnsi="宋体" w:cs="宋体"/>
          <w:b/>
          <w:szCs w:val="24"/>
        </w:rPr>
      </w:pPr>
      <w:r>
        <w:rPr>
          <w:rFonts w:hint="eastAsia" w:ascii="宋体" w:hAnsi="宋体" w:cs="宋体"/>
          <w:b/>
          <w:szCs w:val="24"/>
        </w:rPr>
        <w:t>（十三） 评标内容的保密</w:t>
      </w:r>
    </w:p>
    <w:p>
      <w:pPr>
        <w:pStyle w:val="115"/>
        <w:spacing w:before="0" w:line="500" w:lineRule="exact"/>
        <w:ind w:firstLine="480"/>
        <w:rPr>
          <w:rFonts w:ascii="宋体" w:hAnsi="宋体" w:cs="宋体"/>
          <w:szCs w:val="24"/>
        </w:rPr>
      </w:pPr>
      <w:r>
        <w:rPr>
          <w:rFonts w:hint="eastAsia" w:ascii="宋体" w:hAnsi="宋体" w:cs="宋体"/>
          <w:szCs w:val="24"/>
        </w:rPr>
        <w:t>1、公开开标后，直到宣布中标人止，凡属于审查、澄清、评价和比较投标的所有资料，都不应向投标供应商或与评标无关的其他人泄露。</w:t>
      </w:r>
    </w:p>
    <w:p>
      <w:pPr>
        <w:pStyle w:val="115"/>
        <w:spacing w:before="0" w:line="500" w:lineRule="exact"/>
        <w:ind w:firstLine="480"/>
        <w:rPr>
          <w:rFonts w:ascii="宋体" w:hAnsi="宋体" w:cs="宋体"/>
          <w:szCs w:val="24"/>
        </w:rPr>
      </w:pPr>
      <w:r>
        <w:rPr>
          <w:rFonts w:hint="eastAsia" w:ascii="宋体" w:hAnsi="宋体" w:cs="宋体"/>
          <w:szCs w:val="24"/>
        </w:rPr>
        <w:t>2、在投标文件的审查、澄清、评价和比较以及确定中标人过程中，投标供应商对采购人和评标机构施加影响的任何行为，都将导致取消资格。</w:t>
      </w:r>
    </w:p>
    <w:p>
      <w:pPr>
        <w:pStyle w:val="115"/>
        <w:spacing w:before="0" w:line="500" w:lineRule="exact"/>
        <w:ind w:firstLine="482"/>
        <w:outlineLvl w:val="2"/>
        <w:rPr>
          <w:rFonts w:ascii="宋体" w:hAnsi="宋体" w:cs="宋体"/>
          <w:b/>
          <w:szCs w:val="24"/>
        </w:rPr>
      </w:pPr>
      <w:r>
        <w:rPr>
          <w:rFonts w:hint="eastAsia" w:ascii="宋体" w:hAnsi="宋体" w:cs="宋体"/>
          <w:b/>
          <w:szCs w:val="24"/>
        </w:rPr>
        <w:t>（十四） 投标文件的澄清</w:t>
      </w:r>
    </w:p>
    <w:p>
      <w:pPr>
        <w:snapToGrid w:val="0"/>
        <w:spacing w:line="500" w:lineRule="exact"/>
        <w:ind w:firstLine="480" w:firstLineChars="200"/>
        <w:rPr>
          <w:rFonts w:ascii="宋体" w:hAnsi="宋体" w:cs="宋体"/>
          <w:sz w:val="24"/>
        </w:rPr>
      </w:pPr>
      <w:r>
        <w:rPr>
          <w:rFonts w:hint="eastAsia" w:ascii="宋体" w:hAnsi="宋体" w:cs="宋体"/>
          <w:sz w:val="24"/>
        </w:rPr>
        <w:t>1、公开开标后，直到宣布中标人止，凡属于审查、澄清、评价和比较投标的所有资料，都不应向投标供应商或与评标无关的其他人泄露。</w:t>
      </w:r>
    </w:p>
    <w:p>
      <w:pPr>
        <w:snapToGrid w:val="0"/>
        <w:spacing w:line="500" w:lineRule="exact"/>
        <w:ind w:firstLine="480" w:firstLineChars="200"/>
        <w:rPr>
          <w:rFonts w:ascii="宋体" w:hAnsi="宋体" w:cs="宋体"/>
          <w:sz w:val="24"/>
        </w:rPr>
      </w:pPr>
      <w:r>
        <w:rPr>
          <w:rFonts w:hint="eastAsia" w:ascii="宋体" w:hAnsi="宋体" w:cs="宋体"/>
          <w:sz w:val="24"/>
        </w:rPr>
        <w:t>2、在投标文件的审查、澄清、评价和比较以及确定中标人过程中，投标供应商对采购人、采购代理机构和评标委员会施加影响的任何行为，都将导致取消资格。</w:t>
      </w:r>
    </w:p>
    <w:p>
      <w:pPr>
        <w:pStyle w:val="115"/>
        <w:spacing w:before="0" w:line="500" w:lineRule="exact"/>
        <w:ind w:firstLine="482"/>
        <w:outlineLvl w:val="2"/>
        <w:rPr>
          <w:rFonts w:ascii="宋体" w:hAnsi="宋体" w:cs="宋体"/>
          <w:b/>
          <w:szCs w:val="24"/>
        </w:rPr>
      </w:pPr>
      <w:r>
        <w:rPr>
          <w:rFonts w:hint="eastAsia" w:ascii="宋体" w:hAnsi="宋体" w:cs="宋体"/>
          <w:b/>
          <w:szCs w:val="24"/>
        </w:rPr>
        <w:t>（十五）废标</w:t>
      </w:r>
    </w:p>
    <w:p>
      <w:pPr>
        <w:pStyle w:val="20"/>
        <w:snapToGrid w:val="0"/>
        <w:rPr>
          <w:rFonts w:hAnsi="宋体" w:cs="宋体"/>
          <w:sz w:val="24"/>
          <w:szCs w:val="24"/>
        </w:rPr>
      </w:pPr>
      <w:r>
        <w:rPr>
          <w:rFonts w:hint="eastAsia" w:hAnsi="宋体" w:cs="宋体"/>
          <w:sz w:val="24"/>
          <w:szCs w:val="24"/>
        </w:rPr>
        <w:t>在采购中，出现下列情形之一的，应予废标：</w:t>
      </w:r>
    </w:p>
    <w:p>
      <w:pPr>
        <w:pStyle w:val="20"/>
        <w:snapToGrid w:val="0"/>
        <w:rPr>
          <w:rFonts w:hAnsi="宋体" w:cs="宋体"/>
          <w:sz w:val="24"/>
          <w:szCs w:val="24"/>
        </w:rPr>
      </w:pPr>
      <w:r>
        <w:rPr>
          <w:rFonts w:hint="eastAsia" w:hAnsi="宋体" w:cs="宋体"/>
          <w:sz w:val="24"/>
          <w:szCs w:val="24"/>
        </w:rPr>
        <w:t>1、符合专业条件的投标供应商或者对采购文件作实质响应的投标供应商不足3家的；</w:t>
      </w:r>
    </w:p>
    <w:p>
      <w:pPr>
        <w:pStyle w:val="20"/>
        <w:snapToGrid w:val="0"/>
        <w:rPr>
          <w:rFonts w:hAnsi="宋体" w:cs="宋体"/>
          <w:sz w:val="24"/>
          <w:szCs w:val="24"/>
        </w:rPr>
      </w:pPr>
      <w:r>
        <w:rPr>
          <w:rFonts w:hint="eastAsia" w:hAnsi="宋体" w:cs="宋体"/>
          <w:sz w:val="24"/>
          <w:szCs w:val="24"/>
        </w:rPr>
        <w:t>2、出现影响采购公正的违法、违规行为的；</w:t>
      </w:r>
    </w:p>
    <w:p>
      <w:pPr>
        <w:pStyle w:val="20"/>
        <w:snapToGrid w:val="0"/>
        <w:rPr>
          <w:rFonts w:hAnsi="宋体" w:cs="宋体"/>
          <w:sz w:val="24"/>
          <w:szCs w:val="24"/>
        </w:rPr>
      </w:pPr>
      <w:r>
        <w:rPr>
          <w:rFonts w:hint="eastAsia" w:hAnsi="宋体" w:cs="宋体"/>
          <w:sz w:val="24"/>
          <w:szCs w:val="24"/>
        </w:rPr>
        <w:t>3、报价均超过预算，不能支付的；</w:t>
      </w:r>
    </w:p>
    <w:p>
      <w:pPr>
        <w:snapToGrid w:val="0"/>
        <w:spacing w:line="500" w:lineRule="exact"/>
        <w:ind w:firstLine="480" w:firstLineChars="200"/>
        <w:rPr>
          <w:rFonts w:ascii="宋体" w:hAnsi="宋体" w:cs="宋体"/>
          <w:bCs/>
          <w:sz w:val="24"/>
        </w:rPr>
      </w:pPr>
      <w:r>
        <w:rPr>
          <w:rFonts w:hint="eastAsia" w:ascii="宋体" w:hAnsi="宋体" w:cs="宋体"/>
          <w:sz w:val="24"/>
        </w:rPr>
        <w:t>4、因重大变故，采购任务取消的。</w:t>
      </w:r>
    </w:p>
    <w:p>
      <w:pPr>
        <w:pStyle w:val="115"/>
        <w:spacing w:before="0" w:line="500" w:lineRule="exact"/>
        <w:ind w:firstLine="482"/>
        <w:outlineLvl w:val="2"/>
        <w:rPr>
          <w:rFonts w:ascii="宋体" w:hAnsi="宋体" w:cs="宋体"/>
          <w:b/>
          <w:szCs w:val="24"/>
        </w:rPr>
      </w:pPr>
      <w:r>
        <w:rPr>
          <w:rFonts w:hint="eastAsia" w:ascii="宋体" w:hAnsi="宋体" w:cs="宋体"/>
          <w:b/>
          <w:szCs w:val="24"/>
        </w:rPr>
        <w:t>（十六）可中止电子交易活动的情形</w:t>
      </w:r>
    </w:p>
    <w:p>
      <w:pPr>
        <w:spacing w:line="500" w:lineRule="exact"/>
        <w:ind w:firstLine="482" w:firstLineChars="200"/>
        <w:rPr>
          <w:rFonts w:ascii="宋体" w:hAnsi="宋体" w:cs="宋体"/>
          <w:sz w:val="24"/>
        </w:rPr>
      </w:pPr>
      <w:r>
        <w:rPr>
          <w:rFonts w:hint="eastAsia" w:ascii="宋体" w:hAnsi="宋体" w:cs="宋体"/>
          <w:b/>
          <w:sz w:val="24"/>
        </w:rPr>
        <w:t>采购过程中出现以下情形，导致电子交易平台无法正常运行，或者无法保证电子交易的公平、公正和安全时，采购代理机构可中止电子交易活动：</w:t>
      </w:r>
    </w:p>
    <w:p>
      <w:pPr>
        <w:spacing w:line="500" w:lineRule="exact"/>
        <w:ind w:firstLine="480" w:firstLineChars="200"/>
        <w:rPr>
          <w:rFonts w:ascii="宋体" w:hAnsi="宋体" w:cs="宋体"/>
          <w:sz w:val="24"/>
        </w:rPr>
      </w:pPr>
      <w:r>
        <w:rPr>
          <w:rFonts w:hint="eastAsia" w:ascii="宋体" w:hAnsi="宋体" w:cs="宋体"/>
          <w:sz w:val="24"/>
        </w:rPr>
        <w:t>1、电子交易平台发生故障而无法登录访问的；</w:t>
      </w:r>
    </w:p>
    <w:p>
      <w:pPr>
        <w:spacing w:line="500" w:lineRule="exact"/>
        <w:ind w:firstLine="480" w:firstLineChars="200"/>
        <w:rPr>
          <w:rFonts w:ascii="宋体" w:hAnsi="宋体" w:cs="宋体"/>
          <w:sz w:val="24"/>
        </w:rPr>
      </w:pPr>
      <w:r>
        <w:rPr>
          <w:rFonts w:hint="eastAsia" w:ascii="宋体" w:hAnsi="宋体" w:cs="宋体"/>
          <w:sz w:val="24"/>
        </w:rPr>
        <w:t>2、电子交易平台应用或数据库出现错误，不能进行正常操作的；</w:t>
      </w:r>
    </w:p>
    <w:p>
      <w:pPr>
        <w:spacing w:line="500" w:lineRule="exact"/>
        <w:ind w:firstLine="480" w:firstLineChars="200"/>
        <w:rPr>
          <w:rFonts w:ascii="宋体" w:hAnsi="宋体" w:cs="宋体"/>
          <w:sz w:val="24"/>
        </w:rPr>
      </w:pPr>
      <w:r>
        <w:rPr>
          <w:rFonts w:hint="eastAsia" w:ascii="宋体" w:hAnsi="宋体" w:cs="宋体"/>
          <w:sz w:val="24"/>
        </w:rPr>
        <w:t>3、电子交易平台发现严重安全漏洞，有潜在泄密危险的；</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sz w:val="24"/>
        </w:rPr>
      </w:pPr>
      <w:r>
        <w:rPr>
          <w:rFonts w:hint="eastAsia" w:ascii="宋体" w:hAnsi="宋体" w:cs="宋体"/>
          <w:sz w:val="24"/>
        </w:rPr>
        <w:t>4、病毒发作导致不能进行正常操作的；</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sz w:val="24"/>
        </w:rPr>
      </w:pPr>
      <w:r>
        <w:rPr>
          <w:rFonts w:hint="eastAsia" w:ascii="宋体" w:hAnsi="宋体" w:cs="宋体"/>
          <w:sz w:val="24"/>
        </w:rPr>
        <w:t>5、其他无法保证电子交易的公平、公正和安全的情况。</w:t>
      </w:r>
    </w:p>
    <w:p>
      <w:pPr>
        <w:pStyle w:val="20"/>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Ansi="宋体" w:cs="仿宋"/>
          <w:b/>
          <w:sz w:val="24"/>
          <w:szCs w:val="24"/>
        </w:rPr>
      </w:pPr>
      <w:r>
        <w:rPr>
          <w:rFonts w:hint="eastAsia" w:hAnsi="宋体" w:cs="宋体"/>
          <w:b/>
          <w:sz w:val="24"/>
          <w:szCs w:val="24"/>
        </w:rPr>
        <w:t>出现以上规定的情形，如果不影响采购公平、公正性的，采购代理机构可以待上述情形消除后继续组织电子交易活动；如果影响或可能影响采购公平、公正性的，应当重新采购</w:t>
      </w:r>
      <w:r>
        <w:rPr>
          <w:rFonts w:hint="eastAsia" w:hAnsi="宋体" w:cs="仿宋"/>
          <w:b/>
          <w:sz w:val="24"/>
          <w:szCs w:val="24"/>
        </w:rPr>
        <w:t>。</w:t>
      </w:r>
    </w:p>
    <w:p>
      <w:pPr>
        <w:keepNext w:val="0"/>
        <w:keepLines w:val="0"/>
        <w:pageBreakBefore w:val="0"/>
        <w:kinsoku/>
        <w:wordWrap/>
        <w:overflowPunct/>
        <w:topLinePunct w:val="0"/>
        <w:autoSpaceDE/>
        <w:autoSpaceDN/>
        <w:bidi w:val="0"/>
        <w:adjustRightInd/>
        <w:spacing w:line="420" w:lineRule="exact"/>
        <w:jc w:val="center"/>
        <w:textAlignment w:val="auto"/>
        <w:outlineLvl w:val="1"/>
        <w:rPr>
          <w:rFonts w:ascii="宋体" w:hAnsi="宋体" w:cs="仿宋"/>
          <w:b/>
          <w:sz w:val="32"/>
          <w:szCs w:val="32"/>
        </w:rPr>
      </w:pPr>
      <w:bookmarkStart w:id="23" w:name="_Toc7711"/>
      <w:r>
        <w:rPr>
          <w:rFonts w:hint="eastAsia" w:ascii="宋体" w:hAnsi="宋体" w:cs="仿宋"/>
          <w:b/>
          <w:sz w:val="32"/>
          <w:szCs w:val="32"/>
        </w:rPr>
        <w:t>六、定标</w:t>
      </w:r>
      <w:bookmarkEnd w:id="23"/>
    </w:p>
    <w:p>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outlineLvl w:val="2"/>
        <w:rPr>
          <w:rFonts w:ascii="宋体" w:hAnsi="宋体" w:cs="仿宋"/>
          <w:b/>
          <w:sz w:val="24"/>
        </w:rPr>
      </w:pPr>
      <w:r>
        <w:rPr>
          <w:rFonts w:hint="eastAsia" w:ascii="宋体" w:hAnsi="宋体" w:cs="仿宋"/>
          <w:b/>
          <w:sz w:val="24"/>
        </w:rPr>
        <w:t>（一）确定中标人。本项目由采购单位授权评标委员会直接确定中标人。</w:t>
      </w:r>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1、采购代理机构在评标结束后2个工作日内将评标报告交采购单位确认，同时在发布招标公告的网站上对评标结果进行公示。</w:t>
      </w:r>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2、投标供应商对评标结果无异议的，采购单位应在收到评标报告后5个工作日内对评标结果进行确认。如有投标供应商对评标结果提出质疑的，采购单位可在质疑处理完毕后确定中标人。</w:t>
      </w:r>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3、采购单位依法确定中标人后2个工作日内，采购代理机构以书面形式发出《中标通知书》。</w:t>
      </w:r>
    </w:p>
    <w:p>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outlineLvl w:val="2"/>
        <w:rPr>
          <w:rFonts w:ascii="宋体" w:hAnsi="宋体" w:cs="仿宋"/>
          <w:b/>
          <w:sz w:val="24"/>
        </w:rPr>
      </w:pPr>
      <w:r>
        <w:rPr>
          <w:rFonts w:hint="eastAsia" w:ascii="宋体" w:hAnsi="宋体" w:cs="仿宋"/>
          <w:b/>
          <w:sz w:val="24"/>
        </w:rPr>
        <w:t>（二）中标通知书</w:t>
      </w:r>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1、确定中标投标供应商后，招标采购单位将以书面形式发出中标通知书，通知中标的投标供应商其投标被接受。</w:t>
      </w:r>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2、中标通知书为双方签订合同的依据。</w:t>
      </w:r>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3、中标投标供应商应根据中标通知书中规定的时间内，由法定代表人或其授权代理人与采购单位签订合同。</w:t>
      </w:r>
    </w:p>
    <w:p>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outlineLvl w:val="2"/>
        <w:rPr>
          <w:rFonts w:ascii="宋体" w:hAnsi="宋体" w:cs="仿宋"/>
          <w:b/>
          <w:sz w:val="24"/>
        </w:rPr>
      </w:pPr>
      <w:r>
        <w:rPr>
          <w:rFonts w:hint="eastAsia" w:ascii="宋体" w:hAnsi="宋体" w:cs="仿宋"/>
          <w:b/>
          <w:sz w:val="24"/>
        </w:rPr>
        <w:t>（三）出现下述情况之一的，采购单位可以与排位在中标人之后第一位的中标候选人签订政府采购合同，以此类推。采购单位也可重新组织招标。</w:t>
      </w:r>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1、中标人因自身原因放弃中标成交或因不可抗力不能履行合同的；</w:t>
      </w:r>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2、经质疑，采购代理机构审查确认因中标人在本次采购活动中存在违法违规行为或其他原因使质疑成立的。</w:t>
      </w:r>
    </w:p>
    <w:p>
      <w:pPr>
        <w:keepNext w:val="0"/>
        <w:keepLines w:val="0"/>
        <w:pageBreakBefore w:val="0"/>
        <w:kinsoku/>
        <w:wordWrap/>
        <w:overflowPunct/>
        <w:topLinePunct w:val="0"/>
        <w:autoSpaceDE/>
        <w:autoSpaceDN/>
        <w:bidi w:val="0"/>
        <w:adjustRightInd/>
        <w:spacing w:line="420" w:lineRule="exact"/>
        <w:jc w:val="center"/>
        <w:textAlignment w:val="auto"/>
        <w:outlineLvl w:val="1"/>
        <w:rPr>
          <w:rFonts w:ascii="宋体" w:hAnsi="宋体" w:cs="仿宋"/>
          <w:b/>
          <w:sz w:val="32"/>
          <w:szCs w:val="32"/>
        </w:rPr>
      </w:pPr>
      <w:bookmarkStart w:id="24" w:name="_Toc23098"/>
      <w:r>
        <w:rPr>
          <w:rFonts w:hint="eastAsia" w:ascii="宋体" w:hAnsi="宋体" w:cs="仿宋"/>
          <w:b/>
          <w:sz w:val="32"/>
          <w:szCs w:val="32"/>
        </w:rPr>
        <w:t>七、合同授予</w:t>
      </w:r>
      <w:bookmarkEnd w:id="24"/>
    </w:p>
    <w:p>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outlineLvl w:val="2"/>
        <w:rPr>
          <w:rFonts w:ascii="宋体" w:hAnsi="宋体" w:cs="仿宋"/>
          <w:b/>
          <w:sz w:val="24"/>
        </w:rPr>
      </w:pPr>
      <w:r>
        <w:rPr>
          <w:rFonts w:hint="eastAsia" w:ascii="宋体" w:hAnsi="宋体" w:cs="仿宋"/>
          <w:b/>
          <w:sz w:val="24"/>
        </w:rPr>
        <w:t>（一）签订合同</w:t>
      </w:r>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1、采购人与中标人应当在《中标通知书》发出之日起30日内签订政府采购合同。同时，采购代理机构对合同内容进行审查，如发现与采购结果和投标承诺内容不一致的，应予以纠正。</w:t>
      </w:r>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2、中标人拖延、拒签合同的，或未按投标时承诺的内容履行的，将被取消中标资格，采购人可以与排位在中标人之后第一位的中标候选人签订政府采购合同,以此类推。</w:t>
      </w: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2"/>
        <w:rPr>
          <w:rFonts w:ascii="宋体" w:hAnsi="宋体" w:cs="仿宋"/>
          <w:b/>
          <w:sz w:val="24"/>
        </w:rPr>
      </w:pPr>
      <w:r>
        <w:rPr>
          <w:rFonts w:hint="eastAsia" w:ascii="宋体" w:hAnsi="宋体" w:cs="仿宋"/>
          <w:b/>
          <w:sz w:val="24"/>
        </w:rPr>
        <w:t>（二）履约保证金：</w:t>
      </w:r>
      <w:r>
        <w:rPr>
          <w:rFonts w:hint="eastAsia" w:ascii="宋体" w:hAnsi="宋体" w:cs="仿宋"/>
          <w:sz w:val="24"/>
        </w:rPr>
        <w:t>无</w:t>
      </w:r>
    </w:p>
    <w:p>
      <w:pPr>
        <w:spacing w:line="500" w:lineRule="exact"/>
        <w:jc w:val="center"/>
        <w:outlineLvl w:val="0"/>
        <w:rPr>
          <w:rFonts w:ascii="宋体" w:hAnsi="宋体" w:cs="仿宋"/>
          <w:b/>
          <w:sz w:val="44"/>
          <w:szCs w:val="44"/>
        </w:rPr>
      </w:pPr>
      <w:r>
        <w:rPr>
          <w:rFonts w:hint="eastAsia" w:ascii="宋体" w:hAnsi="宋体" w:cs="仿宋"/>
          <w:b/>
          <w:sz w:val="44"/>
          <w:szCs w:val="44"/>
        </w:rPr>
        <w:br w:type="page"/>
      </w:r>
      <w:bookmarkStart w:id="25" w:name="_Toc31705"/>
      <w:r>
        <w:rPr>
          <w:rFonts w:hint="eastAsia" w:ascii="宋体" w:hAnsi="宋体" w:cs="仿宋"/>
          <w:b/>
          <w:sz w:val="30"/>
          <w:szCs w:val="30"/>
        </w:rPr>
        <w:t>第四章  评标办法及评分标准</w:t>
      </w:r>
      <w:bookmarkEnd w:id="25"/>
    </w:p>
    <w:p>
      <w:pPr>
        <w:spacing w:line="500" w:lineRule="exact"/>
        <w:ind w:firstLine="480" w:firstLineChars="200"/>
        <w:rPr>
          <w:rFonts w:ascii="宋体" w:hAnsi="宋体" w:cs="仿宋"/>
          <w:sz w:val="24"/>
        </w:rPr>
      </w:pPr>
      <w:r>
        <w:rPr>
          <w:rFonts w:hint="eastAsia" w:ascii="宋体" w:hAnsi="宋体" w:cs="仿宋"/>
          <w:sz w:val="24"/>
        </w:rPr>
        <w:t>为公正、公平、科学地选择中标人，根据《中华人民共和国政府采购法》、《政府采购货物和服务招投标管理办法》等有关法律法规的规定，并结合本项目的实际，制定本办法。</w:t>
      </w:r>
    </w:p>
    <w:p>
      <w:pPr>
        <w:spacing w:line="500" w:lineRule="exact"/>
        <w:ind w:firstLine="480" w:firstLineChars="200"/>
        <w:rPr>
          <w:rFonts w:ascii="宋体" w:hAnsi="宋体" w:cs="仿宋"/>
          <w:bCs/>
          <w:sz w:val="24"/>
          <w:szCs w:val="48"/>
        </w:rPr>
      </w:pPr>
      <w:r>
        <w:rPr>
          <w:rFonts w:hint="eastAsia" w:ascii="宋体" w:hAnsi="宋体" w:cs="仿宋"/>
          <w:sz w:val="24"/>
        </w:rPr>
        <w:t>本办法适用于中共湖州市吴兴区委政法委员会刑事诉讼涉案财物管理项目（2024-2025年度）（重新招标）</w:t>
      </w:r>
      <w:r>
        <w:rPr>
          <w:rFonts w:hint="eastAsia" w:ascii="宋体" w:hAnsi="宋体" w:cs="仿宋"/>
          <w:bCs/>
          <w:sz w:val="24"/>
          <w:szCs w:val="48"/>
        </w:rPr>
        <w:t>的评标。</w:t>
      </w:r>
    </w:p>
    <w:p>
      <w:pPr>
        <w:spacing w:line="500" w:lineRule="exact"/>
        <w:ind w:firstLine="562" w:firstLineChars="200"/>
        <w:outlineLvl w:val="1"/>
        <w:rPr>
          <w:rFonts w:ascii="宋体" w:hAnsi="宋体" w:cs="仿宋"/>
          <w:b/>
          <w:szCs w:val="28"/>
        </w:rPr>
      </w:pPr>
      <w:bookmarkStart w:id="26" w:name="_Toc23132"/>
      <w:r>
        <w:rPr>
          <w:rFonts w:hint="eastAsia" w:ascii="宋体" w:hAnsi="宋体" w:cs="仿宋"/>
          <w:b/>
          <w:szCs w:val="28"/>
        </w:rPr>
        <w:t>一、总则</w:t>
      </w:r>
      <w:bookmarkEnd w:id="26"/>
    </w:p>
    <w:p>
      <w:pPr>
        <w:spacing w:line="500" w:lineRule="exact"/>
        <w:ind w:firstLine="480" w:firstLineChars="200"/>
        <w:rPr>
          <w:rFonts w:ascii="宋体" w:hAnsi="宋体" w:cs="仿宋"/>
          <w:bCs/>
          <w:sz w:val="24"/>
        </w:rPr>
      </w:pPr>
      <w:r>
        <w:rPr>
          <w:rFonts w:hint="eastAsia" w:ascii="宋体" w:hAnsi="宋体" w:cs="仿宋"/>
          <w:sz w:val="24"/>
        </w:rPr>
        <w:t>本次评标采用综合评分法，总分为100分，其中价格分</w:t>
      </w:r>
      <w:r>
        <w:rPr>
          <w:rFonts w:hint="eastAsia" w:ascii="宋体" w:hAnsi="宋体" w:cs="仿宋"/>
          <w:sz w:val="24"/>
          <w:lang w:val="en-US" w:eastAsia="zh-CN"/>
        </w:rPr>
        <w:t>2</w:t>
      </w:r>
      <w:r>
        <w:rPr>
          <w:rFonts w:hint="eastAsia" w:ascii="宋体" w:hAnsi="宋体" w:cs="仿宋"/>
          <w:sz w:val="24"/>
        </w:rPr>
        <w:t>0分；商务技术分</w:t>
      </w:r>
      <w:r>
        <w:rPr>
          <w:rFonts w:hint="eastAsia" w:ascii="宋体" w:hAnsi="宋体" w:cs="仿宋"/>
          <w:sz w:val="24"/>
          <w:lang w:val="en-US" w:eastAsia="zh-CN"/>
        </w:rPr>
        <w:t>8</w:t>
      </w:r>
      <w:r>
        <w:rPr>
          <w:rFonts w:hint="eastAsia" w:ascii="宋体" w:hAnsi="宋体" w:cs="仿宋"/>
          <w:sz w:val="24"/>
        </w:rPr>
        <w:t>0分。合格投标供应商的评标得分为各项目汇总得分</w:t>
      </w:r>
      <w:r>
        <w:rPr>
          <w:rFonts w:hint="eastAsia" w:ascii="宋体" w:hAnsi="宋体" w:cs="仿宋"/>
          <w:bCs/>
          <w:sz w:val="24"/>
        </w:rPr>
        <w:t>。</w:t>
      </w:r>
    </w:p>
    <w:p>
      <w:pPr>
        <w:spacing w:line="500" w:lineRule="exact"/>
        <w:ind w:firstLine="480" w:firstLineChars="200"/>
        <w:rPr>
          <w:rFonts w:ascii="宋体" w:hAnsi="宋体" w:cs="仿宋"/>
          <w:bCs/>
          <w:sz w:val="24"/>
        </w:rPr>
      </w:pPr>
      <w:r>
        <w:rPr>
          <w:rFonts w:hint="eastAsia" w:ascii="宋体" w:hAnsi="宋体" w:cs="仿宋"/>
          <w:bCs/>
          <w:sz w:val="24"/>
        </w:rPr>
        <w:t>评分过程中采用四舍五入法，并保留小数2位。</w:t>
      </w:r>
    </w:p>
    <w:p>
      <w:pPr>
        <w:spacing w:line="500" w:lineRule="exact"/>
        <w:ind w:firstLine="480" w:firstLineChars="200"/>
        <w:rPr>
          <w:rFonts w:ascii="宋体" w:hAnsi="宋体" w:cs="仿宋"/>
          <w:bCs/>
          <w:sz w:val="24"/>
        </w:rPr>
      </w:pPr>
      <w:r>
        <w:rPr>
          <w:rFonts w:hint="eastAsia" w:ascii="宋体" w:hAnsi="宋体" w:cs="仿宋"/>
          <w:sz w:val="24"/>
        </w:rPr>
        <w:t>投标供应商评标</w:t>
      </w:r>
      <w:r>
        <w:rPr>
          <w:rFonts w:hint="eastAsia" w:ascii="宋体" w:hAnsi="宋体" w:cs="仿宋"/>
          <w:bCs/>
          <w:sz w:val="24"/>
        </w:rPr>
        <w:t>综合得分=价格分+商务技术分</w:t>
      </w:r>
    </w:p>
    <w:p>
      <w:pPr>
        <w:spacing w:line="520" w:lineRule="exact"/>
        <w:ind w:firstLine="562" w:firstLineChars="200"/>
        <w:jc w:val="left"/>
        <w:rPr>
          <w:rFonts w:ascii="宋体" w:hAnsi="宋体" w:cs="仿宋"/>
          <w:b/>
          <w:szCs w:val="28"/>
        </w:rPr>
      </w:pPr>
      <w:bookmarkStart w:id="27" w:name="_Toc25886"/>
      <w:r>
        <w:rPr>
          <w:rFonts w:hint="eastAsia" w:ascii="宋体" w:hAnsi="宋体" w:cs="仿宋"/>
          <w:b/>
          <w:szCs w:val="28"/>
        </w:rPr>
        <w:t>二、评标内容及标准</w:t>
      </w:r>
      <w:bookmarkEnd w:id="27"/>
    </w:p>
    <w:p>
      <w:pPr>
        <w:pStyle w:val="20"/>
        <w:ind w:firstLine="482" w:firstLineChars="200"/>
        <w:outlineLvl w:val="2"/>
        <w:rPr>
          <w:rFonts w:hAnsi="宋体" w:cs="仿宋"/>
          <w:b/>
          <w:bCs/>
          <w:sz w:val="24"/>
        </w:rPr>
      </w:pPr>
      <w:r>
        <w:rPr>
          <w:rFonts w:hint="eastAsia" w:hAnsi="宋体" w:cs="仿宋"/>
          <w:b/>
          <w:sz w:val="24"/>
        </w:rPr>
        <w:t>（一）</w:t>
      </w:r>
      <w:r>
        <w:rPr>
          <w:rFonts w:hint="eastAsia" w:hAnsi="宋体" w:cs="仿宋"/>
          <w:b/>
          <w:bCs/>
          <w:sz w:val="24"/>
        </w:rPr>
        <w:t>价格分（</w:t>
      </w:r>
      <w:r>
        <w:rPr>
          <w:rFonts w:hint="eastAsia" w:hAnsi="宋体" w:cs="仿宋"/>
          <w:b/>
          <w:bCs/>
          <w:sz w:val="24"/>
          <w:lang w:val="en-US" w:eastAsia="zh-CN"/>
        </w:rPr>
        <w:t>2</w:t>
      </w:r>
      <w:r>
        <w:rPr>
          <w:rFonts w:hint="eastAsia" w:hAnsi="宋体" w:cs="仿宋"/>
          <w:b/>
          <w:bCs/>
          <w:sz w:val="24"/>
        </w:rPr>
        <w:t>0分）</w:t>
      </w:r>
    </w:p>
    <w:p>
      <w:pPr>
        <w:pStyle w:val="20"/>
        <w:ind w:firstLine="480" w:firstLineChars="200"/>
        <w:rPr>
          <w:rFonts w:hAnsi="宋体" w:cs="仿宋"/>
          <w:bCs/>
          <w:sz w:val="24"/>
        </w:rPr>
      </w:pPr>
      <w:r>
        <w:rPr>
          <w:rFonts w:hint="eastAsia" w:hAnsi="宋体" w:cs="仿宋"/>
          <w:bCs/>
          <w:sz w:val="24"/>
        </w:rPr>
        <w:t>价格部分评审：</w:t>
      </w:r>
    </w:p>
    <w:p>
      <w:pPr>
        <w:pStyle w:val="20"/>
        <w:ind w:firstLine="480" w:firstLineChars="200"/>
        <w:rPr>
          <w:rFonts w:hAnsi="宋体" w:cs="仿宋"/>
          <w:bCs/>
          <w:sz w:val="24"/>
          <w:szCs w:val="24"/>
        </w:rPr>
      </w:pPr>
      <w:r>
        <w:rPr>
          <w:rFonts w:hint="eastAsia" w:hAnsi="宋体" w:cs="仿宋"/>
          <w:bCs/>
          <w:sz w:val="24"/>
        </w:rPr>
        <w:t>价格分</w:t>
      </w:r>
      <w:r>
        <w:rPr>
          <w:rFonts w:hint="eastAsia" w:hAnsi="宋体" w:cs="仿宋"/>
          <w:bCs/>
          <w:sz w:val="24"/>
          <w:szCs w:val="24"/>
        </w:rPr>
        <w:t>采用低价优先法计算，即满足招标文件要求且投标价格最低（最优惠）的有效投标报价为评标基准价，其他投标供应商的价格分按照下列公式计算（结果保留2位小数，第3位四舍五入）：</w:t>
      </w:r>
    </w:p>
    <w:p>
      <w:pPr>
        <w:snapToGrid w:val="0"/>
        <w:spacing w:line="360" w:lineRule="auto"/>
        <w:ind w:firstLine="482"/>
        <w:rPr>
          <w:rFonts w:ascii="宋体" w:hAnsi="宋体"/>
          <w:sz w:val="24"/>
        </w:rPr>
      </w:pPr>
      <w:r>
        <w:rPr>
          <w:rFonts w:hint="eastAsia" w:ascii="宋体" w:hAnsi="宋体" w:cs="宋体"/>
          <w:b/>
          <w:color w:val="000000"/>
          <w:sz w:val="24"/>
          <w:shd w:val="pct10" w:color="auto" w:fill="FFFFFF"/>
        </w:rPr>
        <w:t>价格分=（评标基准价/投标报价）×</w:t>
      </w:r>
      <w:r>
        <w:rPr>
          <w:rFonts w:hint="eastAsia" w:ascii="宋体" w:hAnsi="宋体" w:cs="宋体"/>
          <w:b/>
          <w:color w:val="000000"/>
          <w:sz w:val="24"/>
          <w:shd w:val="pct10" w:color="auto" w:fill="FFFFFF"/>
          <w:lang w:val="en-US" w:eastAsia="zh-CN"/>
        </w:rPr>
        <w:t>20</w:t>
      </w:r>
      <w:r>
        <w:rPr>
          <w:rFonts w:hint="eastAsia" w:ascii="宋体" w:hAnsi="宋体" w:cs="宋体"/>
          <w:b/>
          <w:color w:val="000000"/>
          <w:sz w:val="24"/>
          <w:shd w:val="pct10" w:color="auto" w:fill="FFFFFF"/>
        </w:rPr>
        <w:t>%×100</w:t>
      </w:r>
    </w:p>
    <w:p>
      <w:pPr>
        <w:autoSpaceDE w:val="0"/>
        <w:autoSpaceDN w:val="0"/>
        <w:spacing w:before="66" w:line="375" w:lineRule="auto"/>
        <w:ind w:left="291" w:leftChars="104" w:right="291" w:rightChars="104"/>
        <w:rPr>
          <w:rFonts w:hint="eastAsia" w:ascii="宋体" w:hAnsi="宋体"/>
          <w:sz w:val="24"/>
        </w:rPr>
      </w:pPr>
      <w:r>
        <w:rPr>
          <w:rFonts w:hint="eastAsia" w:hAnsi="宋体"/>
          <w:sz w:val="24"/>
        </w:rPr>
        <w:t>评委</w:t>
      </w:r>
      <w:r>
        <w:rPr>
          <w:rFonts w:hint="eastAsia" w:ascii="宋体" w:hAnsi="宋体"/>
          <w:sz w:val="24"/>
        </w:rPr>
        <w:t>小组认为供应商的报价明低于其他通过符合性审查供应商的报价，有可能影响产品质量或都不能诚信履约的，应当要求供应商书面说明并提供相关证明材料。供应商不能当场合理说明原因并提供证明材料的，评标委员会应将该供应商的</w:t>
      </w:r>
      <w:r>
        <w:rPr>
          <w:rFonts w:hint="eastAsia" w:hAnsi="宋体"/>
          <w:sz w:val="24"/>
        </w:rPr>
        <w:t>响</w:t>
      </w:r>
      <w:r>
        <w:rPr>
          <w:rFonts w:hint="eastAsia" w:ascii="宋体" w:hAnsi="宋体"/>
          <w:sz w:val="24"/>
        </w:rPr>
        <w:t>应文件作无效处理，并在评审报告中说明。</w:t>
      </w:r>
    </w:p>
    <w:p>
      <w:pPr>
        <w:pStyle w:val="20"/>
        <w:ind w:firstLine="482" w:firstLineChars="200"/>
        <w:outlineLvl w:val="2"/>
        <w:rPr>
          <w:rFonts w:hAnsi="宋体" w:cs="仿宋"/>
          <w:b/>
          <w:bCs/>
          <w:sz w:val="24"/>
        </w:rPr>
      </w:pPr>
      <w:r>
        <w:rPr>
          <w:rFonts w:hint="eastAsia" w:hAnsi="宋体" w:cs="仿宋"/>
          <w:b/>
          <w:bCs/>
          <w:sz w:val="24"/>
        </w:rPr>
        <w:t>（二）商务技术分（</w:t>
      </w:r>
      <w:r>
        <w:rPr>
          <w:rFonts w:hint="eastAsia" w:hAnsi="宋体" w:cs="仿宋"/>
          <w:b/>
          <w:bCs/>
          <w:sz w:val="24"/>
          <w:lang w:val="en-US" w:eastAsia="zh-CN"/>
        </w:rPr>
        <w:t>8</w:t>
      </w:r>
      <w:r>
        <w:rPr>
          <w:rFonts w:hint="eastAsia" w:hAnsi="宋体" w:cs="仿宋"/>
          <w:b/>
          <w:bCs/>
          <w:sz w:val="24"/>
        </w:rPr>
        <w:t>0分）</w:t>
      </w:r>
    </w:p>
    <w:p>
      <w:pPr>
        <w:pStyle w:val="20"/>
        <w:ind w:firstLine="720" w:firstLineChars="300"/>
        <w:outlineLvl w:val="2"/>
        <w:rPr>
          <w:rFonts w:hAnsi="宋体" w:cs="仿宋"/>
          <w:sz w:val="24"/>
        </w:rPr>
      </w:pPr>
      <w:r>
        <w:rPr>
          <w:rFonts w:hint="eastAsia" w:hAnsi="宋体" w:cs="仿宋"/>
          <w:sz w:val="24"/>
        </w:rPr>
        <w:t>技术、商务、资信及其他分按照评标小组成员的独立评分结果汇总数的算术平均分计算，计算公式为：</w:t>
      </w:r>
    </w:p>
    <w:p>
      <w:pPr>
        <w:pStyle w:val="20"/>
        <w:ind w:firstLine="723" w:firstLineChars="300"/>
        <w:outlineLvl w:val="2"/>
        <w:rPr>
          <w:rFonts w:hAnsi="宋体" w:cs="仿宋"/>
          <w:b/>
          <w:bCs/>
          <w:sz w:val="24"/>
        </w:rPr>
      </w:pPr>
      <w:r>
        <w:rPr>
          <w:rFonts w:hint="eastAsia" w:hAnsi="宋体" w:cs="仿宋"/>
          <w:b/>
          <w:bCs/>
          <w:sz w:val="24"/>
        </w:rPr>
        <w:t>技术分、商务分、资信及其他分=（评标小组所有成员评分合计数）/（评标小组组成人员数）</w:t>
      </w:r>
    </w:p>
    <w:p>
      <w:pPr>
        <w:pStyle w:val="20"/>
        <w:ind w:firstLine="0"/>
        <w:outlineLvl w:val="2"/>
        <w:rPr>
          <w:rFonts w:hAnsi="宋体" w:cs="仿宋"/>
          <w:b/>
          <w:bCs/>
          <w:sz w:val="24"/>
        </w:rPr>
      </w:pPr>
    </w:p>
    <w:p>
      <w:pPr>
        <w:pStyle w:val="20"/>
        <w:ind w:firstLine="723" w:firstLineChars="300"/>
        <w:outlineLvl w:val="2"/>
        <w:rPr>
          <w:rFonts w:hAnsi="宋体" w:cs="仿宋"/>
          <w:b/>
          <w:bCs/>
          <w:sz w:val="24"/>
        </w:rPr>
      </w:pPr>
    </w:p>
    <w:p>
      <w:pPr>
        <w:rPr>
          <w:rFonts w:ascii="宋体" w:hAnsi="宋体" w:cs="宋体"/>
          <w:b/>
          <w:sz w:val="24"/>
        </w:rPr>
      </w:pPr>
      <w:r>
        <w:rPr>
          <w:rFonts w:hint="eastAsia" w:ascii="宋体" w:hAnsi="宋体" w:cs="宋体"/>
          <w:b/>
          <w:sz w:val="24"/>
        </w:rPr>
        <w:br w:type="page"/>
      </w:r>
    </w:p>
    <w:p>
      <w:pPr>
        <w:spacing w:line="440" w:lineRule="exact"/>
      </w:pPr>
      <w:r>
        <w:rPr>
          <w:rFonts w:hint="eastAsia" w:ascii="宋体" w:hAnsi="宋体" w:cs="宋体"/>
          <w:b/>
          <w:sz w:val="24"/>
        </w:rPr>
        <w:t>附件：评分表格式（技术、商务、资信及其他分，共</w:t>
      </w:r>
      <w:r>
        <w:rPr>
          <w:rFonts w:hint="eastAsia" w:ascii="宋体" w:hAnsi="宋体" w:cs="宋体"/>
          <w:b/>
          <w:sz w:val="24"/>
          <w:lang w:val="en-US" w:eastAsia="zh-CN"/>
        </w:rPr>
        <w:t>8</w:t>
      </w:r>
      <w:r>
        <w:rPr>
          <w:rFonts w:hint="eastAsia" w:ascii="宋体" w:hAnsi="宋体" w:cs="宋体"/>
          <w:b/>
          <w:sz w:val="24"/>
        </w:rPr>
        <w:t>0分）</w:t>
      </w:r>
    </w:p>
    <w:p/>
    <w:tbl>
      <w:tblPr>
        <w:tblStyle w:val="42"/>
        <w:tblW w:w="102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9"/>
        <w:gridCol w:w="1259"/>
        <w:gridCol w:w="7456"/>
        <w:gridCol w:w="9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pPr>
              <w:pStyle w:val="36"/>
              <w:spacing w:line="400" w:lineRule="exact"/>
              <w:ind w:firstLine="0" w:firstLineChars="0"/>
              <w:jc w:val="center"/>
              <w:rPr>
                <w:b/>
                <w:bCs/>
                <w:color w:val="000000"/>
                <w:sz w:val="24"/>
                <w:szCs w:val="24"/>
              </w:rPr>
            </w:pPr>
            <w:bookmarkStart w:id="28" w:name="_Toc16549"/>
            <w:r>
              <w:rPr>
                <w:rFonts w:hint="eastAsia"/>
                <w:b/>
                <w:bCs/>
                <w:color w:val="000000"/>
                <w:sz w:val="24"/>
                <w:szCs w:val="24"/>
              </w:rPr>
              <w:t>序号</w:t>
            </w:r>
          </w:p>
        </w:tc>
        <w:tc>
          <w:tcPr>
            <w:tcW w:w="1259" w:type="dxa"/>
            <w:tcBorders>
              <w:top w:val="single" w:color="auto" w:sz="4" w:space="0"/>
              <w:left w:val="single" w:color="auto" w:sz="4" w:space="0"/>
              <w:bottom w:val="single" w:color="auto" w:sz="4" w:space="0"/>
              <w:right w:val="single" w:color="auto" w:sz="4" w:space="0"/>
            </w:tcBorders>
            <w:noWrap/>
            <w:vAlign w:val="center"/>
          </w:tcPr>
          <w:p>
            <w:pPr>
              <w:pStyle w:val="36"/>
              <w:spacing w:line="400" w:lineRule="exact"/>
              <w:ind w:firstLine="0" w:firstLineChars="0"/>
              <w:jc w:val="center"/>
              <w:rPr>
                <w:b/>
                <w:bCs/>
                <w:color w:val="000000"/>
                <w:sz w:val="24"/>
                <w:szCs w:val="24"/>
              </w:rPr>
            </w:pPr>
            <w:r>
              <w:rPr>
                <w:rFonts w:hint="eastAsia"/>
                <w:b/>
                <w:bCs/>
                <w:color w:val="000000"/>
                <w:sz w:val="24"/>
                <w:szCs w:val="24"/>
              </w:rPr>
              <w:t>评审内容</w:t>
            </w:r>
          </w:p>
        </w:tc>
        <w:tc>
          <w:tcPr>
            <w:tcW w:w="7456" w:type="dxa"/>
            <w:tcBorders>
              <w:top w:val="single" w:color="auto" w:sz="4" w:space="0"/>
              <w:left w:val="single" w:color="auto" w:sz="4" w:space="0"/>
              <w:bottom w:val="single" w:color="auto" w:sz="4" w:space="0"/>
              <w:right w:val="single" w:color="auto" w:sz="4" w:space="0"/>
            </w:tcBorders>
            <w:noWrap/>
            <w:vAlign w:val="center"/>
          </w:tcPr>
          <w:p>
            <w:pPr>
              <w:pStyle w:val="36"/>
              <w:spacing w:line="400" w:lineRule="exact"/>
              <w:ind w:firstLine="388"/>
              <w:jc w:val="center"/>
              <w:rPr>
                <w:b/>
                <w:bCs/>
                <w:color w:val="000000"/>
                <w:sz w:val="24"/>
                <w:szCs w:val="24"/>
              </w:rPr>
            </w:pPr>
            <w:r>
              <w:rPr>
                <w:rFonts w:hint="eastAsia"/>
                <w:b/>
                <w:bCs/>
                <w:color w:val="000000"/>
                <w:sz w:val="24"/>
                <w:szCs w:val="24"/>
              </w:rPr>
              <w:t>评分标准</w:t>
            </w:r>
          </w:p>
        </w:tc>
        <w:tc>
          <w:tcPr>
            <w:tcW w:w="919" w:type="dxa"/>
            <w:tcBorders>
              <w:top w:val="single" w:color="auto" w:sz="4" w:space="0"/>
              <w:left w:val="single" w:color="auto" w:sz="4" w:space="0"/>
              <w:bottom w:val="single" w:color="auto" w:sz="4" w:space="0"/>
              <w:right w:val="single" w:color="auto" w:sz="4" w:space="0"/>
            </w:tcBorders>
            <w:noWrap/>
            <w:vAlign w:val="center"/>
          </w:tcPr>
          <w:p>
            <w:pPr>
              <w:pStyle w:val="36"/>
              <w:spacing w:line="400" w:lineRule="exact"/>
              <w:ind w:firstLine="0" w:firstLineChars="0"/>
              <w:jc w:val="center"/>
              <w:rPr>
                <w:b/>
                <w:bCs/>
                <w:color w:val="000000"/>
                <w:sz w:val="24"/>
                <w:szCs w:val="24"/>
              </w:rPr>
            </w:pPr>
            <w:r>
              <w:rPr>
                <w:rFonts w:hint="eastAsia"/>
                <w:b/>
                <w:bCs/>
                <w:color w:val="000000"/>
                <w:sz w:val="24"/>
                <w:szCs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599" w:type="dxa"/>
            <w:tcBorders>
              <w:top w:val="single" w:color="auto" w:sz="4" w:space="0"/>
              <w:left w:val="single" w:color="auto" w:sz="4" w:space="0"/>
              <w:right w:val="single" w:color="auto" w:sz="4" w:space="0"/>
            </w:tcBorders>
            <w:noWrap/>
            <w:vAlign w:val="center"/>
          </w:tcPr>
          <w:p>
            <w:pPr>
              <w:widowControl/>
              <w:spacing w:line="400" w:lineRule="exact"/>
              <w:jc w:val="center"/>
              <w:rPr>
                <w:rFonts w:hint="eastAsia" w:ascii="宋体" w:hAnsi="宋体" w:eastAsia="宋体"/>
                <w:b/>
                <w:bCs/>
                <w:color w:val="000000"/>
                <w:sz w:val="24"/>
                <w:lang w:val="en-US" w:eastAsia="zh-CN"/>
              </w:rPr>
            </w:pPr>
            <w:r>
              <w:rPr>
                <w:rFonts w:hint="eastAsia" w:ascii="宋体" w:hAnsi="宋体"/>
                <w:b/>
                <w:bCs/>
                <w:color w:val="000000"/>
                <w:sz w:val="24"/>
                <w:lang w:val="en-US" w:eastAsia="zh-CN"/>
              </w:rPr>
              <w:t>1</w:t>
            </w:r>
          </w:p>
        </w:tc>
        <w:tc>
          <w:tcPr>
            <w:tcW w:w="1259" w:type="dxa"/>
            <w:tcBorders>
              <w:top w:val="single" w:color="auto" w:sz="4" w:space="0"/>
              <w:left w:val="single" w:color="auto" w:sz="4" w:space="0"/>
              <w:right w:val="single" w:color="auto" w:sz="4" w:space="0"/>
            </w:tcBorders>
            <w:noWrap/>
            <w:vAlign w:val="center"/>
          </w:tcPr>
          <w:p>
            <w:pPr>
              <w:pStyle w:val="28"/>
              <w:spacing w:line="400" w:lineRule="exact"/>
              <w:ind w:firstLine="0" w:firstLineChars="0"/>
              <w:jc w:val="center"/>
              <w:rPr>
                <w:rFonts w:hint="eastAsia"/>
                <w:b/>
                <w:bCs/>
                <w:sz w:val="24"/>
                <w:szCs w:val="24"/>
              </w:rPr>
            </w:pPr>
            <w:r>
              <w:rPr>
                <w:rFonts w:hint="eastAsia"/>
                <w:b/>
                <w:bCs/>
                <w:sz w:val="24"/>
                <w:szCs w:val="24"/>
              </w:rPr>
              <w:t>对本项目的理解</w:t>
            </w:r>
          </w:p>
        </w:tc>
        <w:tc>
          <w:tcPr>
            <w:tcW w:w="7456" w:type="dxa"/>
            <w:tcBorders>
              <w:top w:val="single" w:color="auto" w:sz="4" w:space="0"/>
              <w:left w:val="single" w:color="auto" w:sz="4" w:space="0"/>
              <w:bottom w:val="single" w:color="auto" w:sz="4" w:space="0"/>
              <w:right w:val="single" w:color="auto" w:sz="4" w:space="0"/>
            </w:tcBorders>
            <w:noWrap/>
            <w:vAlign w:val="center"/>
          </w:tcPr>
          <w:p>
            <w:pPr>
              <w:spacing w:line="440" w:lineRule="atLeast"/>
              <w:jc w:val="left"/>
              <w:rPr>
                <w:rFonts w:hint="eastAsia" w:ascii="宋体" w:hAnsi="宋体"/>
                <w:sz w:val="24"/>
              </w:rPr>
            </w:pPr>
            <w:r>
              <w:rPr>
                <w:rFonts w:ascii="宋体" w:hAnsi="宋体"/>
                <w:sz w:val="24"/>
              </w:rPr>
              <w:t>根据各投标供应商对项目的认识和理解</w:t>
            </w:r>
            <w:r>
              <w:rPr>
                <w:rFonts w:hint="eastAsia" w:ascii="宋体" w:hAnsi="宋体"/>
                <w:sz w:val="24"/>
              </w:rPr>
              <w:t>，总体建设现状的了解与剖析、现有工作基础及相关的规范与标准的熟悉程度是否全面、到位进行综合打分。了解全面、剖析到位的</w:t>
            </w:r>
            <w:r>
              <w:rPr>
                <w:rFonts w:hint="eastAsia" w:ascii="宋体" w:hAnsi="宋体"/>
                <w:sz w:val="24"/>
                <w:lang w:val="en-US" w:eastAsia="zh-CN"/>
              </w:rPr>
              <w:t>4-</w:t>
            </w:r>
            <w:r>
              <w:rPr>
                <w:rFonts w:hint="eastAsia" w:ascii="宋体" w:hAnsi="宋体"/>
                <w:sz w:val="24"/>
              </w:rPr>
              <w:t>5分；基本了解、剖析较为到位的得</w:t>
            </w:r>
            <w:r>
              <w:rPr>
                <w:rFonts w:hint="eastAsia" w:ascii="宋体" w:hAnsi="宋体"/>
                <w:sz w:val="24"/>
                <w:lang w:val="en-US" w:eastAsia="zh-CN"/>
              </w:rPr>
              <w:t>2-4</w:t>
            </w:r>
            <w:r>
              <w:rPr>
                <w:rFonts w:hint="eastAsia" w:ascii="宋体" w:hAnsi="宋体"/>
                <w:sz w:val="24"/>
              </w:rPr>
              <w:t>分；了解片面、剖析简单的得</w:t>
            </w:r>
            <w:r>
              <w:rPr>
                <w:rFonts w:hint="eastAsia" w:ascii="宋体" w:hAnsi="宋体"/>
                <w:sz w:val="24"/>
                <w:lang w:val="en-US" w:eastAsia="zh-CN"/>
              </w:rPr>
              <w:t>0-2</w:t>
            </w:r>
            <w:r>
              <w:rPr>
                <w:rFonts w:hint="eastAsia" w:ascii="宋体" w:hAnsi="宋体"/>
                <w:sz w:val="24"/>
              </w:rPr>
              <w:t>分，内容存在缺漏的或未提供的不得分。</w:t>
            </w:r>
          </w:p>
        </w:tc>
        <w:tc>
          <w:tcPr>
            <w:tcW w:w="919" w:type="dxa"/>
            <w:tcBorders>
              <w:top w:val="single" w:color="auto" w:sz="4" w:space="0"/>
              <w:left w:val="single" w:color="auto" w:sz="4" w:space="0"/>
              <w:right w:val="single" w:color="auto" w:sz="4" w:space="0"/>
            </w:tcBorders>
            <w:noWrap/>
            <w:vAlign w:val="center"/>
          </w:tcPr>
          <w:p>
            <w:pPr>
              <w:autoSpaceDE w:val="0"/>
              <w:autoSpaceDN w:val="0"/>
              <w:adjustRightInd w:val="0"/>
              <w:snapToGrid w:val="0"/>
              <w:spacing w:line="340" w:lineRule="exact"/>
              <w:ind w:left="-140" w:leftChars="-50" w:right="-140" w:rightChars="-50"/>
              <w:jc w:val="center"/>
              <w:rPr>
                <w:rFonts w:hint="default" w:ascii="宋体" w:hAnsi="宋体" w:eastAsia="宋体"/>
                <w:sz w:val="24"/>
                <w:lang w:val="en-US" w:eastAsia="zh-CN"/>
              </w:rPr>
            </w:pPr>
            <w:r>
              <w:rPr>
                <w:rFonts w:hint="eastAsia" w:ascii="宋体" w:hAnsi="宋体"/>
                <w:sz w:val="24"/>
                <w:lang w:val="en-US" w:eastAsia="zh-CN"/>
              </w:rPr>
              <w:t>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0" w:hRule="atLeast"/>
          <w:jc w:val="center"/>
        </w:trPr>
        <w:tc>
          <w:tcPr>
            <w:tcW w:w="599" w:type="dxa"/>
            <w:tcBorders>
              <w:top w:val="single" w:color="auto" w:sz="4" w:space="0"/>
              <w:left w:val="single" w:color="auto" w:sz="4" w:space="0"/>
              <w:right w:val="single" w:color="auto" w:sz="4" w:space="0"/>
            </w:tcBorders>
            <w:noWrap/>
            <w:vAlign w:val="center"/>
          </w:tcPr>
          <w:p>
            <w:pPr>
              <w:widowControl/>
              <w:spacing w:line="400" w:lineRule="exact"/>
              <w:jc w:val="center"/>
              <w:rPr>
                <w:rFonts w:hint="eastAsia" w:ascii="宋体" w:hAnsi="宋体" w:eastAsia="宋体"/>
                <w:b/>
                <w:bCs/>
                <w:color w:val="000000"/>
                <w:sz w:val="24"/>
                <w:lang w:eastAsia="zh-CN"/>
              </w:rPr>
            </w:pPr>
            <w:r>
              <w:rPr>
                <w:rFonts w:hint="eastAsia" w:ascii="宋体" w:hAnsi="宋体"/>
                <w:b/>
                <w:bCs/>
                <w:color w:val="000000"/>
                <w:sz w:val="24"/>
                <w:lang w:val="en-US" w:eastAsia="zh-CN"/>
              </w:rPr>
              <w:t>2</w:t>
            </w:r>
          </w:p>
        </w:tc>
        <w:tc>
          <w:tcPr>
            <w:tcW w:w="1259" w:type="dxa"/>
            <w:tcBorders>
              <w:top w:val="single" w:color="auto" w:sz="4" w:space="0"/>
              <w:left w:val="single" w:color="auto" w:sz="4" w:space="0"/>
              <w:right w:val="single" w:color="auto" w:sz="4" w:space="0"/>
            </w:tcBorders>
            <w:noWrap/>
            <w:vAlign w:val="center"/>
          </w:tcPr>
          <w:p>
            <w:pPr>
              <w:pStyle w:val="28"/>
              <w:spacing w:line="400" w:lineRule="exact"/>
              <w:ind w:firstLine="0" w:firstLineChars="0"/>
              <w:jc w:val="center"/>
              <w:rPr>
                <w:b/>
                <w:bCs/>
                <w:sz w:val="24"/>
                <w:szCs w:val="24"/>
              </w:rPr>
            </w:pPr>
            <w:r>
              <w:rPr>
                <w:rFonts w:hint="eastAsia"/>
                <w:b/>
                <w:bCs/>
                <w:sz w:val="24"/>
                <w:szCs w:val="24"/>
              </w:rPr>
              <w:t>重难点分析及解决措施</w:t>
            </w:r>
          </w:p>
        </w:tc>
        <w:tc>
          <w:tcPr>
            <w:tcW w:w="7456"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440" w:lineRule="atLeast"/>
              <w:jc w:val="left"/>
              <w:rPr>
                <w:rFonts w:hint="eastAsia" w:ascii="宋体" w:hAnsi="宋体" w:eastAsia="宋体"/>
                <w:sz w:val="24"/>
                <w:lang w:val="en-US" w:eastAsia="zh-CN"/>
              </w:rPr>
            </w:pPr>
            <w:r>
              <w:rPr>
                <w:rFonts w:hint="eastAsia" w:ascii="宋体" w:hAnsi="宋体" w:eastAsia="宋体"/>
                <w:sz w:val="24"/>
                <w:lang w:val="en-US" w:eastAsia="zh-CN"/>
              </w:rPr>
              <w:t>投标人针对本项目中涉案财物安全防护措施、集约化管理和最大化保障财物价值等重点和难点的分析全面、到位的得</w:t>
            </w:r>
            <w:r>
              <w:rPr>
                <w:rFonts w:hint="eastAsia" w:ascii="宋体" w:hAnsi="宋体"/>
                <w:sz w:val="24"/>
                <w:lang w:val="en-US" w:eastAsia="zh-CN"/>
              </w:rPr>
              <w:t>4-</w:t>
            </w:r>
            <w:r>
              <w:rPr>
                <w:rFonts w:hint="eastAsia" w:ascii="宋体" w:hAnsi="宋体" w:eastAsia="宋体"/>
                <w:sz w:val="24"/>
                <w:lang w:val="en-US" w:eastAsia="zh-CN"/>
              </w:rPr>
              <w:t>5分；分析较为全面、到位的得</w:t>
            </w:r>
            <w:r>
              <w:rPr>
                <w:rFonts w:hint="eastAsia" w:ascii="宋体" w:hAnsi="宋体"/>
                <w:sz w:val="24"/>
                <w:lang w:val="en-US" w:eastAsia="zh-CN"/>
              </w:rPr>
              <w:t>2-4</w:t>
            </w:r>
            <w:r>
              <w:rPr>
                <w:rFonts w:hint="eastAsia" w:ascii="宋体" w:hAnsi="宋体" w:eastAsia="宋体"/>
                <w:sz w:val="24"/>
                <w:lang w:val="en-US" w:eastAsia="zh-CN"/>
              </w:rPr>
              <w:t>分；分析简单或存在缺漏的得</w:t>
            </w:r>
            <w:r>
              <w:rPr>
                <w:rFonts w:hint="eastAsia" w:ascii="宋体" w:hAnsi="宋体"/>
                <w:sz w:val="24"/>
                <w:lang w:val="en-US" w:eastAsia="zh-CN"/>
              </w:rPr>
              <w:t>0-2</w:t>
            </w:r>
            <w:r>
              <w:rPr>
                <w:rFonts w:hint="eastAsia" w:ascii="宋体" w:hAnsi="宋体" w:eastAsia="宋体"/>
                <w:sz w:val="24"/>
                <w:lang w:val="en-US" w:eastAsia="zh-CN"/>
              </w:rPr>
              <w:t>分，未提供的不得分</w:t>
            </w:r>
            <w:r>
              <w:rPr>
                <w:rFonts w:hint="eastAsia" w:ascii="宋体" w:hAnsi="宋体"/>
                <w:sz w:val="24"/>
                <w:lang w:val="en-US" w:eastAsia="zh-CN"/>
              </w:rPr>
              <w:t>。</w:t>
            </w:r>
          </w:p>
        </w:tc>
        <w:tc>
          <w:tcPr>
            <w:tcW w:w="919" w:type="dxa"/>
            <w:tcBorders>
              <w:top w:val="single" w:color="auto" w:sz="4" w:space="0"/>
              <w:left w:val="single" w:color="auto" w:sz="4" w:space="0"/>
              <w:right w:val="single" w:color="auto" w:sz="4" w:space="0"/>
            </w:tcBorders>
            <w:noWrap/>
            <w:vAlign w:val="center"/>
          </w:tcPr>
          <w:p>
            <w:pPr>
              <w:autoSpaceDE w:val="0"/>
              <w:autoSpaceDN w:val="0"/>
              <w:adjustRightInd w:val="0"/>
              <w:snapToGrid w:val="0"/>
              <w:spacing w:line="340" w:lineRule="exact"/>
              <w:ind w:left="-140" w:leftChars="-50" w:right="-140" w:rightChars="-50"/>
              <w:jc w:val="center"/>
              <w:rPr>
                <w:rFonts w:hAnsi="宋体"/>
                <w:color w:val="000000"/>
                <w:sz w:val="24"/>
              </w:rPr>
            </w:pPr>
            <w:r>
              <w:rPr>
                <w:rFonts w:hint="eastAsia" w:ascii="宋体" w:hAnsi="宋体"/>
                <w:sz w:val="24"/>
              </w:rPr>
              <w:t>0-</w:t>
            </w:r>
            <w:r>
              <w:rPr>
                <w:rFonts w:hint="eastAsia" w:ascii="宋体" w:hAnsi="宋体"/>
                <w:sz w:val="24"/>
                <w:lang w:val="en-US" w:eastAsia="zh-CN"/>
              </w:rPr>
              <w:t>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1"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宋体" w:hAnsi="宋体" w:eastAsia="宋体"/>
                <w:b/>
                <w:bCs/>
                <w:color w:val="000000"/>
                <w:sz w:val="24"/>
                <w:lang w:val="en-US" w:eastAsia="zh-CN"/>
              </w:rPr>
            </w:pPr>
            <w:r>
              <w:rPr>
                <w:rFonts w:hint="eastAsia" w:ascii="宋体" w:hAnsi="宋体"/>
                <w:b/>
                <w:bCs/>
                <w:color w:val="000000"/>
                <w:sz w:val="24"/>
                <w:lang w:val="en-US" w:eastAsia="zh-CN"/>
              </w:rPr>
              <w:t>3</w:t>
            </w:r>
          </w:p>
        </w:tc>
        <w:tc>
          <w:tcPr>
            <w:tcW w:w="1259" w:type="dxa"/>
            <w:tcBorders>
              <w:top w:val="single" w:color="auto" w:sz="4" w:space="0"/>
              <w:left w:val="single" w:color="auto" w:sz="4" w:space="0"/>
              <w:bottom w:val="single" w:color="auto" w:sz="4" w:space="0"/>
              <w:right w:val="single" w:color="auto" w:sz="4" w:space="0"/>
            </w:tcBorders>
            <w:noWrap/>
            <w:vAlign w:val="center"/>
          </w:tcPr>
          <w:p>
            <w:pPr>
              <w:pStyle w:val="28"/>
              <w:spacing w:line="400" w:lineRule="exact"/>
              <w:ind w:firstLine="0" w:firstLineChars="0"/>
              <w:jc w:val="center"/>
              <w:rPr>
                <w:rFonts w:hint="eastAsia" w:eastAsia="宋体"/>
                <w:b/>
                <w:bCs/>
                <w:sz w:val="24"/>
                <w:szCs w:val="24"/>
                <w:lang w:eastAsia="zh-CN"/>
              </w:rPr>
            </w:pPr>
            <w:r>
              <w:rPr>
                <w:rFonts w:hint="eastAsia"/>
                <w:b/>
                <w:bCs/>
                <w:sz w:val="24"/>
                <w:szCs w:val="24"/>
                <w:lang w:eastAsia="zh-CN"/>
              </w:rPr>
              <w:t>系统功能</w:t>
            </w:r>
          </w:p>
        </w:tc>
        <w:tc>
          <w:tcPr>
            <w:tcW w:w="7456"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440" w:lineRule="atLeast"/>
              <w:jc w:val="left"/>
              <w:rPr>
                <w:rFonts w:hint="eastAsia" w:ascii="宋体" w:hAnsi="宋体"/>
                <w:color w:val="000000" w:themeColor="text1"/>
                <w:sz w:val="24"/>
                <w:szCs w:val="24"/>
                <w:lang w:val="en-US" w:eastAsia="zh-CN"/>
              </w:rPr>
            </w:pPr>
            <w:r>
              <w:rPr>
                <w:rFonts w:hint="eastAsia" w:ascii="宋体" w:hAnsi="宋体"/>
                <w:color w:val="000000" w:themeColor="text1"/>
                <w:sz w:val="24"/>
                <w:szCs w:val="24"/>
                <w:lang w:val="en-US" w:eastAsia="zh-CN"/>
              </w:rPr>
              <w:t>1、根据投标人提供涉案财物集中管理信息系统截图信息，系统是否包含案件编号、办案单位、财物基本情况、保管状态、保管库位和移交记录等信息等实用信息，每项功能信息得1分，最高得6分，缺项扣1分，扣完为止。</w:t>
            </w:r>
          </w:p>
          <w:p>
            <w:pPr>
              <w:numPr>
                <w:ilvl w:val="0"/>
                <w:numId w:val="0"/>
              </w:numPr>
              <w:spacing w:line="440" w:lineRule="atLeast"/>
              <w:ind w:leftChars="0"/>
              <w:jc w:val="left"/>
              <w:rPr>
                <w:rFonts w:hint="eastAsia" w:ascii="宋体" w:hAnsi="宋体"/>
                <w:color w:val="000000" w:themeColor="text1"/>
                <w:sz w:val="24"/>
                <w:szCs w:val="24"/>
                <w:lang w:val="en-US" w:eastAsia="zh-CN"/>
              </w:rPr>
            </w:pPr>
            <w:r>
              <w:rPr>
                <w:rFonts w:hint="eastAsia" w:ascii="宋体" w:hAnsi="宋体"/>
                <w:color w:val="000000" w:themeColor="text1"/>
                <w:sz w:val="24"/>
                <w:szCs w:val="24"/>
                <w:lang w:val="en-US" w:eastAsia="zh-CN"/>
              </w:rPr>
              <w:t>2、根据投标人提供远程管理系统截图信息，系统是否包含实时展示涉案财物的功能、审核、辨认及庭审举证质证功能等实用信息，每项功能信息得1分，最高得4分。</w:t>
            </w:r>
          </w:p>
          <w:p>
            <w:pPr>
              <w:numPr>
                <w:ilvl w:val="0"/>
                <w:numId w:val="0"/>
              </w:numPr>
              <w:spacing w:line="440" w:lineRule="atLeast"/>
              <w:ind w:leftChars="0"/>
              <w:jc w:val="left"/>
              <w:rPr>
                <w:rFonts w:hint="default" w:ascii="宋体" w:hAnsi="宋体" w:eastAsia="宋体"/>
                <w:color w:val="000000" w:themeColor="text1"/>
                <w:sz w:val="24"/>
                <w:szCs w:val="24"/>
                <w:lang w:val="en-US" w:eastAsia="zh-CN"/>
              </w:rPr>
            </w:pPr>
            <w:r>
              <w:rPr>
                <w:rFonts w:hint="eastAsia" w:ascii="宋体" w:hAnsi="宋体"/>
                <w:color w:val="000000" w:themeColor="text1"/>
                <w:sz w:val="24"/>
                <w:szCs w:val="24"/>
                <w:lang w:val="en-US" w:eastAsia="zh-CN"/>
              </w:rPr>
              <w:t>3、系统满足接通一体化平台，实现公检法信息数据系统关联和实时更新的得2分。</w:t>
            </w:r>
          </w:p>
        </w:tc>
        <w:tc>
          <w:tcPr>
            <w:tcW w:w="91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40" w:lineRule="exact"/>
              <w:ind w:left="-140" w:leftChars="-50" w:right="-140" w:rightChars="-50"/>
              <w:jc w:val="center"/>
              <w:rPr>
                <w:rFonts w:hint="default" w:ascii="宋体" w:hAnsi="宋体" w:eastAsia="宋体"/>
                <w:sz w:val="24"/>
                <w:lang w:val="en-US" w:eastAsia="zh-CN"/>
              </w:rPr>
            </w:pPr>
            <w:r>
              <w:rPr>
                <w:rFonts w:hint="eastAsia" w:ascii="宋体" w:hAnsi="宋体"/>
                <w:sz w:val="24"/>
                <w:lang w:val="en-US" w:eastAsia="zh-CN"/>
              </w:rPr>
              <w:t>0-12分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1"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default" w:ascii="宋体" w:hAnsi="宋体"/>
                <w:b/>
                <w:bCs/>
                <w:color w:val="000000"/>
                <w:sz w:val="24"/>
                <w:lang w:val="en-US" w:eastAsia="zh-CN"/>
              </w:rPr>
            </w:pPr>
            <w:r>
              <w:rPr>
                <w:rFonts w:hint="eastAsia" w:ascii="宋体" w:hAnsi="宋体"/>
                <w:b/>
                <w:bCs/>
                <w:color w:val="000000"/>
                <w:sz w:val="24"/>
                <w:lang w:val="en-US" w:eastAsia="zh-CN"/>
              </w:rPr>
              <w:t>4</w:t>
            </w:r>
          </w:p>
        </w:tc>
        <w:tc>
          <w:tcPr>
            <w:tcW w:w="1259" w:type="dxa"/>
            <w:tcBorders>
              <w:top w:val="single" w:color="auto" w:sz="4" w:space="0"/>
              <w:left w:val="single" w:color="auto" w:sz="4" w:space="0"/>
              <w:bottom w:val="single" w:color="auto" w:sz="4" w:space="0"/>
              <w:right w:val="single" w:color="auto" w:sz="4" w:space="0"/>
            </w:tcBorders>
            <w:noWrap/>
            <w:vAlign w:val="center"/>
          </w:tcPr>
          <w:p>
            <w:pPr>
              <w:pStyle w:val="28"/>
              <w:spacing w:line="400" w:lineRule="exact"/>
              <w:ind w:firstLine="0" w:firstLineChars="0"/>
              <w:jc w:val="center"/>
              <w:rPr>
                <w:rFonts w:hint="eastAsia"/>
                <w:b/>
                <w:bCs/>
                <w:sz w:val="24"/>
                <w:szCs w:val="24"/>
                <w:lang w:eastAsia="zh-CN"/>
              </w:rPr>
            </w:pPr>
            <w:r>
              <w:rPr>
                <w:rFonts w:hint="eastAsia"/>
                <w:b/>
                <w:bCs/>
                <w:sz w:val="24"/>
                <w:szCs w:val="24"/>
                <w:lang w:eastAsia="zh-CN"/>
              </w:rPr>
              <w:t>涉案物资出入库流程及操作规范</w:t>
            </w:r>
          </w:p>
        </w:tc>
        <w:tc>
          <w:tcPr>
            <w:tcW w:w="7456"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440" w:lineRule="atLeast"/>
              <w:ind w:leftChars="0"/>
              <w:jc w:val="left"/>
              <w:rPr>
                <w:rFonts w:hint="eastAsia" w:ascii="宋体" w:hAnsi="宋体"/>
                <w:color w:val="000000" w:themeColor="text1"/>
                <w:sz w:val="24"/>
                <w:szCs w:val="24"/>
                <w:lang w:val="en-US" w:eastAsia="zh-CN"/>
              </w:rPr>
            </w:pPr>
            <w:r>
              <w:rPr>
                <w:rFonts w:hint="eastAsia" w:cs="宋体"/>
                <w:color w:val="000000"/>
                <w:sz w:val="24"/>
              </w:rPr>
              <w:t>根据投标人针对涉案物资出入库流程及操作规范进行综合打分。需考虑且延续采购人实际的内部业务流程，需制定详尽的流程图和节点操作规范，内容需涵盖物资进仓入库、物资出库、备货、库存管理）、物资盘点。内容详细、完整、可行</w:t>
            </w:r>
            <w:r>
              <w:rPr>
                <w:rFonts w:hint="eastAsia" w:cs="宋体"/>
                <w:color w:val="000000"/>
                <w:sz w:val="24"/>
                <w:lang w:eastAsia="zh-CN"/>
              </w:rPr>
              <w:t>行高</w:t>
            </w:r>
            <w:r>
              <w:rPr>
                <w:rFonts w:hint="eastAsia" w:cs="宋体"/>
                <w:color w:val="000000"/>
                <w:sz w:val="24"/>
              </w:rPr>
              <w:t>的得</w:t>
            </w:r>
            <w:r>
              <w:rPr>
                <w:rFonts w:hint="eastAsia" w:cs="宋体"/>
                <w:color w:val="000000"/>
                <w:sz w:val="24"/>
                <w:lang w:val="en-US" w:eastAsia="zh-CN"/>
              </w:rPr>
              <w:t>4-</w:t>
            </w:r>
            <w:r>
              <w:rPr>
                <w:rFonts w:hint="eastAsia" w:cs="宋体"/>
                <w:color w:val="000000"/>
                <w:sz w:val="24"/>
              </w:rPr>
              <w:t>5分；内容较为详细、可行</w:t>
            </w:r>
            <w:r>
              <w:rPr>
                <w:rFonts w:hint="eastAsia" w:cs="宋体"/>
                <w:color w:val="000000"/>
                <w:sz w:val="24"/>
                <w:lang w:eastAsia="zh-CN"/>
              </w:rPr>
              <w:t>性一般</w:t>
            </w:r>
            <w:r>
              <w:rPr>
                <w:rFonts w:hint="eastAsia" w:cs="宋体"/>
                <w:color w:val="000000"/>
                <w:sz w:val="24"/>
              </w:rPr>
              <w:t>的得</w:t>
            </w:r>
            <w:r>
              <w:rPr>
                <w:rFonts w:hint="eastAsia" w:cs="宋体"/>
                <w:color w:val="000000"/>
                <w:sz w:val="24"/>
                <w:lang w:val="en-US" w:eastAsia="zh-CN"/>
              </w:rPr>
              <w:t>2-4</w:t>
            </w:r>
            <w:r>
              <w:rPr>
                <w:rFonts w:hint="eastAsia" w:cs="宋体"/>
                <w:color w:val="000000"/>
                <w:sz w:val="24"/>
              </w:rPr>
              <w:t>分；内容简单或存在缺漏的得</w:t>
            </w:r>
            <w:r>
              <w:rPr>
                <w:rFonts w:hint="eastAsia" w:cs="宋体"/>
                <w:color w:val="000000"/>
                <w:sz w:val="24"/>
                <w:lang w:val="en-US" w:eastAsia="zh-CN"/>
              </w:rPr>
              <w:t>0-2</w:t>
            </w:r>
            <w:r>
              <w:rPr>
                <w:rFonts w:hint="eastAsia" w:cs="宋体"/>
                <w:color w:val="000000"/>
                <w:sz w:val="24"/>
              </w:rPr>
              <w:t>分，未提供的不得分。</w:t>
            </w:r>
          </w:p>
        </w:tc>
        <w:tc>
          <w:tcPr>
            <w:tcW w:w="91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40" w:lineRule="exact"/>
              <w:ind w:left="-140" w:leftChars="-50" w:right="-140" w:rightChars="-50"/>
              <w:jc w:val="center"/>
              <w:rPr>
                <w:rFonts w:hint="default" w:ascii="宋体" w:hAnsi="宋体"/>
                <w:sz w:val="24"/>
                <w:lang w:val="en-US" w:eastAsia="zh-CN"/>
              </w:rPr>
            </w:pPr>
            <w:r>
              <w:rPr>
                <w:rFonts w:hint="eastAsia" w:ascii="宋体" w:hAnsi="宋体"/>
                <w:sz w:val="24"/>
                <w:lang w:val="en-US" w:eastAsia="zh-CN"/>
              </w:rPr>
              <w:t>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1"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宋体" w:hAnsi="宋体" w:eastAsia="宋体"/>
                <w:b/>
                <w:bCs/>
                <w:color w:val="000000"/>
                <w:sz w:val="24"/>
                <w:lang w:val="en-US" w:eastAsia="zh-CN"/>
              </w:rPr>
            </w:pPr>
            <w:r>
              <w:rPr>
                <w:rFonts w:hint="eastAsia" w:ascii="宋体" w:hAnsi="宋体"/>
                <w:b/>
                <w:bCs/>
                <w:color w:val="000000"/>
                <w:sz w:val="24"/>
                <w:lang w:val="en-US" w:eastAsia="zh-CN"/>
              </w:rPr>
              <w:t>5</w:t>
            </w:r>
          </w:p>
        </w:tc>
        <w:tc>
          <w:tcPr>
            <w:tcW w:w="1259" w:type="dxa"/>
            <w:tcBorders>
              <w:top w:val="single" w:color="auto" w:sz="4" w:space="0"/>
              <w:left w:val="single" w:color="auto" w:sz="4" w:space="0"/>
              <w:bottom w:val="single" w:color="auto" w:sz="4" w:space="0"/>
              <w:right w:val="single" w:color="auto" w:sz="4" w:space="0"/>
            </w:tcBorders>
            <w:noWrap/>
            <w:vAlign w:val="center"/>
          </w:tcPr>
          <w:p>
            <w:pPr>
              <w:pStyle w:val="28"/>
              <w:spacing w:line="400" w:lineRule="exact"/>
              <w:ind w:firstLine="0" w:firstLineChars="0"/>
              <w:jc w:val="center"/>
              <w:rPr>
                <w:rFonts w:hint="eastAsia"/>
                <w:b/>
                <w:bCs/>
                <w:sz w:val="24"/>
                <w:szCs w:val="24"/>
                <w:lang w:eastAsia="zh-CN"/>
              </w:rPr>
            </w:pPr>
            <w:r>
              <w:rPr>
                <w:rFonts w:hint="eastAsia"/>
                <w:b/>
                <w:bCs/>
                <w:sz w:val="24"/>
                <w:szCs w:val="24"/>
                <w:lang w:eastAsia="zh-CN"/>
              </w:rPr>
              <w:t>各项制度</w:t>
            </w:r>
          </w:p>
        </w:tc>
        <w:tc>
          <w:tcPr>
            <w:tcW w:w="7456" w:type="dxa"/>
            <w:tcBorders>
              <w:top w:val="single" w:color="auto" w:sz="4" w:space="0"/>
              <w:left w:val="single" w:color="auto" w:sz="4" w:space="0"/>
              <w:bottom w:val="single" w:color="auto" w:sz="4" w:space="0"/>
              <w:right w:val="single" w:color="auto" w:sz="4" w:space="0"/>
            </w:tcBorders>
            <w:noWrap/>
            <w:vAlign w:val="center"/>
          </w:tcPr>
          <w:p>
            <w:pPr>
              <w:numPr>
                <w:ilvl w:val="0"/>
                <w:numId w:val="8"/>
              </w:numPr>
              <w:spacing w:line="440" w:lineRule="atLeast"/>
              <w:ind w:leftChars="0"/>
              <w:jc w:val="left"/>
              <w:rPr>
                <w:rFonts w:hint="eastAsia" w:ascii="宋体" w:hAnsi="宋体" w:eastAsia="宋体" w:cs="Times New Roman"/>
                <w:color w:val="000000" w:themeColor="text1"/>
                <w:sz w:val="24"/>
                <w:szCs w:val="24"/>
                <w:lang w:val="en-US" w:eastAsia="zh-CN"/>
              </w:rPr>
            </w:pPr>
            <w:r>
              <w:rPr>
                <w:rFonts w:hint="eastAsia" w:ascii="宋体" w:hAnsi="宋体" w:eastAsia="宋体" w:cs="Times New Roman"/>
                <w:color w:val="000000" w:themeColor="text1"/>
                <w:sz w:val="24"/>
                <w:szCs w:val="24"/>
                <w:lang w:val="en-US" w:eastAsia="zh-CN"/>
              </w:rPr>
              <w:t>投标单位针对本项目制定的员工档案管理（0-1</w:t>
            </w:r>
            <w:r>
              <w:rPr>
                <w:rFonts w:hint="eastAsia" w:ascii="宋体" w:hAnsi="宋体" w:cs="Times New Roman"/>
                <w:color w:val="000000" w:themeColor="text1"/>
                <w:sz w:val="24"/>
                <w:szCs w:val="24"/>
                <w:lang w:val="en-US" w:eastAsia="zh-CN"/>
              </w:rPr>
              <w:t>分</w:t>
            </w:r>
            <w:r>
              <w:rPr>
                <w:rFonts w:hint="eastAsia" w:ascii="宋体" w:hAnsi="宋体" w:eastAsia="宋体" w:cs="Times New Roman"/>
                <w:color w:val="000000" w:themeColor="text1"/>
                <w:sz w:val="24"/>
                <w:szCs w:val="24"/>
                <w:lang w:val="en-US" w:eastAsia="zh-CN"/>
              </w:rPr>
              <w:t>）；安全管理制度（0-1</w:t>
            </w:r>
            <w:r>
              <w:rPr>
                <w:rFonts w:hint="eastAsia" w:ascii="宋体" w:hAnsi="宋体" w:cs="Times New Roman"/>
                <w:color w:val="000000" w:themeColor="text1"/>
                <w:sz w:val="24"/>
                <w:szCs w:val="24"/>
                <w:lang w:val="en-US" w:eastAsia="zh-CN"/>
              </w:rPr>
              <w:t>分</w:t>
            </w:r>
            <w:r>
              <w:rPr>
                <w:rFonts w:hint="eastAsia" w:ascii="宋体" w:hAnsi="宋体" w:eastAsia="宋体" w:cs="Times New Roman"/>
                <w:color w:val="000000" w:themeColor="text1"/>
                <w:sz w:val="24"/>
                <w:szCs w:val="24"/>
                <w:lang w:val="en-US" w:eastAsia="zh-CN"/>
              </w:rPr>
              <w:t>）；财物管理台账制度（0-1</w:t>
            </w:r>
            <w:r>
              <w:rPr>
                <w:rFonts w:hint="eastAsia" w:ascii="宋体" w:hAnsi="宋体" w:cs="Times New Roman"/>
                <w:color w:val="000000" w:themeColor="text1"/>
                <w:sz w:val="24"/>
                <w:szCs w:val="24"/>
                <w:lang w:val="en-US" w:eastAsia="zh-CN"/>
              </w:rPr>
              <w:t>分</w:t>
            </w:r>
            <w:r>
              <w:rPr>
                <w:rFonts w:hint="eastAsia" w:ascii="宋体" w:hAnsi="宋体" w:eastAsia="宋体" w:cs="Times New Roman"/>
                <w:color w:val="000000" w:themeColor="text1"/>
                <w:sz w:val="24"/>
                <w:szCs w:val="24"/>
                <w:lang w:val="en-US" w:eastAsia="zh-CN"/>
              </w:rPr>
              <w:t>）。</w:t>
            </w:r>
          </w:p>
          <w:p>
            <w:pPr>
              <w:numPr>
                <w:ilvl w:val="0"/>
                <w:numId w:val="8"/>
              </w:numPr>
              <w:spacing w:line="440" w:lineRule="atLeast"/>
              <w:ind w:left="0" w:leftChars="0" w:firstLine="0" w:firstLineChars="0"/>
              <w:jc w:val="left"/>
              <w:rPr>
                <w:rFonts w:hint="eastAsia" w:ascii="宋体" w:hAnsi="宋体" w:eastAsia="宋体" w:cs="Times New Roman"/>
                <w:color w:val="000000" w:themeColor="text1"/>
                <w:sz w:val="24"/>
                <w:szCs w:val="24"/>
                <w:lang w:val="en-US" w:eastAsia="zh-CN"/>
              </w:rPr>
            </w:pPr>
            <w:r>
              <w:rPr>
                <w:rFonts w:hint="eastAsia" w:ascii="宋体" w:hAnsi="宋体" w:eastAsia="宋体" w:cs="Times New Roman"/>
                <w:color w:val="000000" w:themeColor="text1"/>
                <w:sz w:val="24"/>
                <w:szCs w:val="24"/>
                <w:lang w:val="en-US" w:eastAsia="zh-CN"/>
              </w:rPr>
              <w:t>根据投标人针对本项目财物管理信息保密制度的严密性、可行性情况进行打分，</w:t>
            </w:r>
            <w:r>
              <w:rPr>
                <w:rFonts w:hint="eastAsia" w:ascii="宋体" w:hAnsi="宋体" w:cs="Times New Roman"/>
                <w:color w:val="000000" w:themeColor="text1"/>
                <w:sz w:val="24"/>
                <w:szCs w:val="24"/>
                <w:lang w:val="en-US" w:eastAsia="zh-CN"/>
              </w:rPr>
              <w:t>0-2分</w:t>
            </w:r>
            <w:r>
              <w:rPr>
                <w:rFonts w:hint="eastAsia" w:ascii="宋体" w:hAnsi="宋体" w:eastAsia="宋体" w:cs="Times New Roman"/>
                <w:color w:val="000000" w:themeColor="text1"/>
                <w:sz w:val="24"/>
                <w:szCs w:val="24"/>
                <w:lang w:val="en-US" w:eastAsia="zh-CN"/>
              </w:rPr>
              <w:t>。</w:t>
            </w:r>
          </w:p>
          <w:p>
            <w:pPr>
              <w:numPr>
                <w:ilvl w:val="0"/>
                <w:numId w:val="8"/>
              </w:numPr>
              <w:spacing w:line="440" w:lineRule="atLeast"/>
              <w:ind w:left="0" w:leftChars="0" w:firstLine="0" w:firstLineChars="0"/>
              <w:jc w:val="left"/>
              <w:rPr>
                <w:rFonts w:hint="eastAsia" w:ascii="宋体" w:hAnsi="宋体" w:eastAsia="宋体" w:cs="Times New Roman"/>
                <w:color w:val="000000" w:themeColor="text1"/>
                <w:sz w:val="24"/>
                <w:szCs w:val="24"/>
                <w:lang w:val="en-US" w:eastAsia="zh-CN"/>
              </w:rPr>
            </w:pPr>
            <w:r>
              <w:rPr>
                <w:rFonts w:hint="eastAsia" w:ascii="宋体" w:hAnsi="宋体" w:eastAsia="宋体" w:cs="Times New Roman"/>
                <w:color w:val="000000" w:themeColor="text1"/>
                <w:sz w:val="24"/>
                <w:szCs w:val="24"/>
                <w:lang w:val="en-US" w:eastAsia="zh-CN"/>
              </w:rPr>
              <w:t>根据投标人针对本项目制定的服务质量保证制度情况的完备性、保障性、可行性等进行打分</w:t>
            </w:r>
            <w:r>
              <w:rPr>
                <w:rFonts w:hint="eastAsia" w:ascii="宋体" w:hAnsi="宋体" w:cs="Times New Roman"/>
                <w:color w:val="000000" w:themeColor="text1"/>
                <w:sz w:val="24"/>
                <w:szCs w:val="24"/>
                <w:lang w:val="en-US" w:eastAsia="zh-CN"/>
              </w:rPr>
              <w:t>，0-3</w:t>
            </w:r>
            <w:r>
              <w:rPr>
                <w:rFonts w:hint="eastAsia" w:ascii="宋体" w:hAnsi="宋体" w:eastAsia="宋体" w:cs="Times New Roman"/>
                <w:color w:val="000000" w:themeColor="text1"/>
                <w:sz w:val="24"/>
                <w:szCs w:val="24"/>
                <w:lang w:val="en-US" w:eastAsia="zh-CN"/>
              </w:rPr>
              <w:t>分。</w:t>
            </w:r>
          </w:p>
          <w:p>
            <w:pPr>
              <w:numPr>
                <w:ilvl w:val="0"/>
                <w:numId w:val="0"/>
              </w:numPr>
              <w:spacing w:line="440" w:lineRule="atLeast"/>
              <w:ind w:leftChars="0"/>
              <w:jc w:val="left"/>
              <w:rPr>
                <w:rFonts w:hint="eastAsia" w:ascii="宋体" w:hAnsi="宋体" w:eastAsia="仿宋"/>
                <w:color w:val="000000" w:themeColor="text1"/>
                <w:sz w:val="24"/>
                <w:szCs w:val="24"/>
                <w:lang w:val="en-US" w:eastAsia="zh-CN"/>
              </w:rPr>
            </w:pPr>
            <w:r>
              <w:rPr>
                <w:rFonts w:hint="eastAsia" w:ascii="宋体" w:hAnsi="宋体" w:eastAsia="宋体" w:cs="Times New Roman"/>
                <w:color w:val="000000" w:themeColor="text1"/>
                <w:sz w:val="24"/>
                <w:szCs w:val="24"/>
                <w:lang w:val="en-US" w:eastAsia="zh-CN"/>
              </w:rPr>
              <w:t>4、日常管理中因管理不善造成的涉案财物丢失或损坏等情况，根据投标人拟承诺的赔偿责任进行打分，有得2分，否则不得分。</w:t>
            </w:r>
          </w:p>
        </w:tc>
        <w:tc>
          <w:tcPr>
            <w:tcW w:w="91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40" w:lineRule="exact"/>
              <w:ind w:left="-140" w:leftChars="-50" w:right="-140" w:rightChars="-50"/>
              <w:jc w:val="center"/>
              <w:rPr>
                <w:rFonts w:hint="default" w:ascii="宋体" w:hAnsi="宋体"/>
                <w:sz w:val="24"/>
                <w:lang w:val="en-US" w:eastAsia="zh-CN"/>
              </w:rPr>
            </w:pPr>
            <w:r>
              <w:rPr>
                <w:rFonts w:hint="eastAsia" w:ascii="宋体" w:hAnsi="宋体"/>
                <w:sz w:val="24"/>
                <w:lang w:val="en-US" w:eastAsia="zh-CN"/>
              </w:rPr>
              <w:t>0-10分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1"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宋体" w:hAnsi="宋体" w:eastAsia="宋体"/>
                <w:b/>
                <w:bCs/>
                <w:color w:val="000000"/>
                <w:sz w:val="24"/>
                <w:lang w:eastAsia="zh-CN"/>
              </w:rPr>
            </w:pPr>
            <w:r>
              <w:rPr>
                <w:rFonts w:hint="eastAsia" w:ascii="宋体" w:hAnsi="宋体"/>
                <w:b/>
                <w:bCs/>
                <w:color w:val="000000"/>
                <w:sz w:val="24"/>
                <w:lang w:val="en-US" w:eastAsia="zh-CN"/>
              </w:rPr>
              <w:t>6</w:t>
            </w:r>
          </w:p>
        </w:tc>
        <w:tc>
          <w:tcPr>
            <w:tcW w:w="1259" w:type="dxa"/>
            <w:tcBorders>
              <w:top w:val="single" w:color="auto" w:sz="4" w:space="0"/>
              <w:left w:val="single" w:color="auto" w:sz="4" w:space="0"/>
              <w:bottom w:val="single" w:color="auto" w:sz="4" w:space="0"/>
              <w:right w:val="single" w:color="auto" w:sz="4" w:space="0"/>
            </w:tcBorders>
            <w:noWrap/>
            <w:vAlign w:val="center"/>
          </w:tcPr>
          <w:p>
            <w:pPr>
              <w:pStyle w:val="28"/>
              <w:spacing w:line="400" w:lineRule="exact"/>
              <w:ind w:firstLine="0" w:firstLineChars="0"/>
              <w:jc w:val="center"/>
              <w:rPr>
                <w:b/>
                <w:bCs/>
                <w:sz w:val="24"/>
                <w:szCs w:val="24"/>
              </w:rPr>
            </w:pPr>
            <w:r>
              <w:rPr>
                <w:rFonts w:hint="eastAsia"/>
                <w:b/>
                <w:bCs/>
                <w:sz w:val="24"/>
                <w:szCs w:val="24"/>
              </w:rPr>
              <w:t>硬件配备</w:t>
            </w:r>
          </w:p>
        </w:tc>
        <w:tc>
          <w:tcPr>
            <w:tcW w:w="7456"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440" w:lineRule="atLeast"/>
              <w:jc w:val="left"/>
              <w:rPr>
                <w:rFonts w:hint="eastAsia"/>
                <w:color w:val="auto"/>
                <w:lang w:val="en-US" w:eastAsia="zh-CN"/>
              </w:rPr>
            </w:pPr>
            <w:r>
              <w:rPr>
                <w:rFonts w:hint="eastAsia" w:ascii="宋体" w:hAnsi="宋体"/>
                <w:color w:val="auto"/>
                <w:sz w:val="24"/>
                <w:szCs w:val="24"/>
                <w:lang w:val="en-US" w:eastAsia="zh-CN"/>
              </w:rPr>
              <w:t>1、投标人提供的运输车辆需具备车载GPS功能、实时预览、远程监控、行车记录上传、一键报警等功能每提供一辆得1分，最高得5分。</w:t>
            </w:r>
          </w:p>
          <w:p>
            <w:pPr>
              <w:numPr>
                <w:ilvl w:val="0"/>
                <w:numId w:val="0"/>
              </w:numPr>
              <w:spacing w:line="440" w:lineRule="atLeast"/>
              <w:jc w:val="left"/>
              <w:rPr>
                <w:rFonts w:hint="eastAsia" w:ascii="宋体" w:hAnsi="宋体"/>
                <w:color w:val="auto"/>
                <w:sz w:val="24"/>
                <w:szCs w:val="24"/>
                <w:lang w:val="en-US" w:eastAsia="zh-CN"/>
              </w:rPr>
            </w:pPr>
            <w:r>
              <w:rPr>
                <w:rFonts w:hint="eastAsia" w:ascii="宋体" w:hAnsi="宋体"/>
                <w:b/>
                <w:bCs/>
                <w:color w:val="auto"/>
                <w:sz w:val="24"/>
                <w:szCs w:val="24"/>
                <w:lang w:val="en-US" w:eastAsia="zh-CN"/>
              </w:rPr>
              <w:t>注：提供行驶证、车辆照片和车载系统平台页面截图</w:t>
            </w:r>
            <w:r>
              <w:rPr>
                <w:rFonts w:hint="eastAsia" w:ascii="宋体" w:hAnsi="宋体"/>
                <w:color w:val="auto"/>
                <w:sz w:val="24"/>
                <w:szCs w:val="24"/>
                <w:lang w:val="en-US" w:eastAsia="zh-CN"/>
              </w:rPr>
              <w:t>。</w:t>
            </w:r>
          </w:p>
          <w:p>
            <w:pPr>
              <w:numPr>
                <w:ilvl w:val="0"/>
                <w:numId w:val="0"/>
              </w:numPr>
              <w:spacing w:line="440" w:lineRule="atLeast"/>
              <w:ind w:leftChars="0"/>
              <w:jc w:val="left"/>
              <w:rPr>
                <w:rFonts w:hint="eastAsia" w:ascii="宋体" w:hAnsi="宋体" w:cs="Times New Roman"/>
                <w:color w:val="auto"/>
                <w:sz w:val="24"/>
                <w:szCs w:val="24"/>
                <w:lang w:val="en-US" w:eastAsia="zh-CN"/>
              </w:rPr>
            </w:pPr>
            <w:r>
              <w:rPr>
                <w:rFonts w:hint="eastAsia" w:ascii="宋体" w:hAnsi="宋体"/>
                <w:color w:val="auto"/>
                <w:sz w:val="24"/>
                <w:szCs w:val="24"/>
                <w:lang w:val="en-US" w:eastAsia="zh-CN"/>
              </w:rPr>
              <w:t>2、根据投标人针对本项目投入专业工具</w:t>
            </w:r>
            <w:r>
              <w:rPr>
                <w:rFonts w:hint="eastAsia" w:ascii="宋体" w:hAnsi="宋体" w:cs="Times New Roman"/>
                <w:color w:val="auto"/>
                <w:sz w:val="24"/>
                <w:szCs w:val="24"/>
                <w:lang w:val="en-US" w:eastAsia="zh-CN"/>
              </w:rPr>
              <w:t>情况进行打分，最高得4分。具有智能化物证箱，得0.5分。具有冷藏恒温保管柜，得0.5分。具有涉密物品柜保管，得0.5分。具有贵重财物柜，得0.5分。具有电子防磁柜，得0.5分。具有违禁涉毒物品柜，得0.5分。具有化学物品柜，得0.5分。具有执法记录仪，得0.5分。</w:t>
            </w:r>
          </w:p>
          <w:p>
            <w:pPr>
              <w:numPr>
                <w:ilvl w:val="0"/>
                <w:numId w:val="0"/>
              </w:numPr>
              <w:spacing w:line="440" w:lineRule="atLeast"/>
              <w:ind w:leftChars="0"/>
              <w:jc w:val="left"/>
              <w:rPr>
                <w:rFonts w:hint="default" w:ascii="宋体" w:hAnsi="宋体" w:eastAsia="宋体"/>
                <w:sz w:val="24"/>
                <w:lang w:val="en-US" w:eastAsia="zh-CN"/>
              </w:rPr>
            </w:pPr>
            <w:r>
              <w:rPr>
                <w:rFonts w:hint="eastAsia" w:ascii="宋体" w:hAnsi="宋体" w:cs="Times New Roman"/>
                <w:b/>
                <w:bCs/>
                <w:color w:val="auto"/>
                <w:sz w:val="24"/>
                <w:szCs w:val="24"/>
                <w:lang w:val="en-US" w:eastAsia="zh-CN"/>
              </w:rPr>
              <w:t>注：提供相关物品的照片。</w:t>
            </w:r>
          </w:p>
        </w:tc>
        <w:tc>
          <w:tcPr>
            <w:tcW w:w="91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40" w:lineRule="exact"/>
              <w:ind w:left="-140" w:leftChars="-50" w:right="-140" w:rightChars="-50"/>
              <w:jc w:val="center"/>
              <w:rPr>
                <w:rFonts w:ascii="宋体" w:hAnsi="宋体"/>
                <w:sz w:val="24"/>
              </w:rPr>
            </w:pPr>
            <w:r>
              <w:rPr>
                <w:rFonts w:hint="eastAsia" w:ascii="宋体" w:hAnsi="宋体"/>
                <w:sz w:val="24"/>
              </w:rPr>
              <w:t>0-</w:t>
            </w:r>
            <w:r>
              <w:rPr>
                <w:rFonts w:hint="eastAsia" w:ascii="宋体" w:hAnsi="宋体"/>
                <w:sz w:val="24"/>
                <w:lang w:val="en-US" w:eastAsia="zh-CN"/>
              </w:rPr>
              <w:t>9</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8"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宋体" w:hAnsi="宋体" w:eastAsia="宋体"/>
                <w:b/>
                <w:bCs/>
                <w:color w:val="000000"/>
                <w:sz w:val="24"/>
                <w:lang w:eastAsia="zh-CN"/>
              </w:rPr>
            </w:pPr>
            <w:r>
              <w:rPr>
                <w:rFonts w:hint="eastAsia" w:ascii="宋体" w:hAnsi="宋体"/>
                <w:b/>
                <w:bCs/>
                <w:color w:val="000000"/>
                <w:sz w:val="24"/>
                <w:lang w:val="en-US" w:eastAsia="zh-CN"/>
              </w:rPr>
              <w:t>7</w:t>
            </w:r>
          </w:p>
        </w:tc>
        <w:tc>
          <w:tcPr>
            <w:tcW w:w="125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ind w:left="-140" w:leftChars="-50" w:right="-140" w:rightChars="-50"/>
              <w:jc w:val="center"/>
              <w:rPr>
                <w:rFonts w:ascii="宋体" w:hAnsi="宋体"/>
                <w:b/>
                <w:bCs/>
                <w:color w:val="000000"/>
                <w:sz w:val="24"/>
              </w:rPr>
            </w:pPr>
            <w:r>
              <w:rPr>
                <w:rFonts w:ascii="宋体" w:cs="宋体"/>
                <w:b/>
                <w:bCs/>
                <w:color w:val="000000" w:themeColor="text1"/>
                <w:sz w:val="24"/>
                <w:szCs w:val="24"/>
              </w:rPr>
              <w:t>服务团队</w:t>
            </w:r>
          </w:p>
        </w:tc>
        <w:tc>
          <w:tcPr>
            <w:tcW w:w="7456" w:type="dxa"/>
            <w:tcBorders>
              <w:top w:val="single" w:color="auto" w:sz="4" w:space="0"/>
              <w:left w:val="single" w:color="auto" w:sz="4" w:space="0"/>
              <w:bottom w:val="single" w:color="auto" w:sz="4" w:space="0"/>
              <w:right w:val="single" w:color="auto" w:sz="4" w:space="0"/>
            </w:tcBorders>
            <w:noWrap/>
            <w:vAlign w:val="center"/>
          </w:tcPr>
          <w:p>
            <w:pPr>
              <w:pStyle w:val="19"/>
              <w:numPr>
                <w:ilvl w:val="0"/>
                <w:numId w:val="9"/>
              </w:numPr>
              <w:spacing w:line="360" w:lineRule="exact"/>
              <w:ind w:firstLine="0" w:firstLineChars="0"/>
              <w:rPr>
                <w:rFonts w:hint="eastAsia" w:ascii="宋体" w:hAnsi="宋体"/>
                <w:color w:val="000000" w:themeColor="text1"/>
                <w:sz w:val="24"/>
                <w:szCs w:val="24"/>
              </w:rPr>
            </w:pPr>
            <w:r>
              <w:rPr>
                <w:rFonts w:hint="eastAsia" w:ascii="宋体" w:hAnsi="宋体"/>
                <w:color w:val="000000" w:themeColor="text1"/>
                <w:sz w:val="24"/>
                <w:szCs w:val="24"/>
              </w:rPr>
              <w:t>据项目负责人</w:t>
            </w:r>
            <w:r>
              <w:rPr>
                <w:rFonts w:hint="eastAsia" w:ascii="宋体" w:hAnsi="宋体"/>
                <w:color w:val="000000" w:themeColor="text1"/>
                <w:sz w:val="24"/>
                <w:szCs w:val="24"/>
                <w:lang w:eastAsia="zh-CN"/>
              </w:rPr>
              <w:t>具备二级保安师的得</w:t>
            </w:r>
            <w:r>
              <w:rPr>
                <w:rFonts w:hint="eastAsia" w:ascii="宋体" w:hAnsi="宋体"/>
                <w:color w:val="000000" w:themeColor="text1"/>
                <w:sz w:val="24"/>
                <w:szCs w:val="24"/>
                <w:lang w:val="en-US" w:eastAsia="zh-CN"/>
              </w:rPr>
              <w:t>2分</w:t>
            </w:r>
            <w:r>
              <w:rPr>
                <w:rFonts w:hint="eastAsia" w:ascii="宋体" w:hAnsi="宋体"/>
                <w:color w:val="000000" w:themeColor="text1"/>
                <w:sz w:val="24"/>
                <w:szCs w:val="24"/>
              </w:rPr>
              <w:t>。须提供职称证书扫描件和近三个月的社保缴纳证明扫描件并加盖单位公章。</w:t>
            </w:r>
          </w:p>
          <w:p>
            <w:pPr>
              <w:pStyle w:val="19"/>
              <w:numPr>
                <w:ilvl w:val="0"/>
                <w:numId w:val="0"/>
              </w:numPr>
              <w:spacing w:line="360" w:lineRule="exact"/>
              <w:rPr>
                <w:rFonts w:hint="eastAsia" w:ascii="宋体" w:hAnsi="宋体"/>
                <w:color w:val="000000" w:themeColor="text1"/>
                <w:sz w:val="24"/>
                <w:szCs w:val="24"/>
              </w:rPr>
            </w:pPr>
            <w:r>
              <w:rPr>
                <w:rFonts w:hint="eastAsia" w:ascii="宋体" w:hAnsi="宋体"/>
                <w:color w:val="000000" w:themeColor="text1"/>
                <w:sz w:val="24"/>
                <w:szCs w:val="24"/>
                <w:lang w:val="en-US" w:eastAsia="zh-CN"/>
              </w:rPr>
              <w:t>2、</w:t>
            </w:r>
            <w:r>
              <w:rPr>
                <w:rFonts w:hint="eastAsia" w:ascii="宋体" w:hAnsi="宋体"/>
                <w:color w:val="000000" w:themeColor="text1"/>
                <w:sz w:val="24"/>
                <w:szCs w:val="24"/>
              </w:rPr>
              <w:t>项目组成员（除项目负责人外）中具有</w:t>
            </w:r>
            <w:r>
              <w:rPr>
                <w:rFonts w:hint="eastAsia" w:ascii="宋体" w:hAnsi="宋体"/>
                <w:color w:val="000000" w:themeColor="text1"/>
                <w:sz w:val="24"/>
                <w:szCs w:val="24"/>
                <w:lang w:eastAsia="zh-CN"/>
              </w:rPr>
              <w:t>高级</w:t>
            </w:r>
            <w:r>
              <w:rPr>
                <w:rFonts w:hint="eastAsia" w:ascii="宋体" w:hAnsi="宋体"/>
                <w:color w:val="000000" w:themeColor="text1"/>
                <w:sz w:val="24"/>
                <w:szCs w:val="24"/>
              </w:rPr>
              <w:t>保安员职业资格证书的每人得1分，最高得4分。提供保安员职业资格证书扫描件和提供相关人员近三个月的社保缴纳证明扫描件并加盖单位公章。</w:t>
            </w:r>
          </w:p>
          <w:p>
            <w:pPr>
              <w:pStyle w:val="19"/>
              <w:numPr>
                <w:ilvl w:val="0"/>
                <w:numId w:val="0"/>
              </w:numPr>
              <w:spacing w:line="360" w:lineRule="exact"/>
              <w:rPr>
                <w:rFonts w:hint="eastAsia" w:ascii="宋体" w:hAnsi="宋体" w:eastAsia="宋体"/>
                <w:b/>
                <w:sz w:val="24"/>
                <w:szCs w:val="24"/>
                <w:u w:val="single"/>
                <w:lang w:val="en-US" w:eastAsia="zh-CN"/>
              </w:rPr>
            </w:pPr>
            <w:r>
              <w:rPr>
                <w:rFonts w:hint="eastAsia" w:ascii="宋体" w:hAnsi="宋体" w:cs="宋体"/>
                <w:b/>
                <w:kern w:val="0"/>
                <w:sz w:val="24"/>
              </w:rPr>
              <w:t>注：须提供人员职称证书及近一个</w:t>
            </w:r>
            <w:r>
              <w:rPr>
                <w:rFonts w:hint="eastAsia" w:ascii="宋体" w:hAnsi="宋体" w:cs="宋体"/>
                <w:b/>
                <w:kern w:val="0"/>
                <w:sz w:val="24"/>
                <w:lang w:eastAsia="zh-CN"/>
              </w:rPr>
              <w:t>月</w:t>
            </w:r>
            <w:r>
              <w:rPr>
                <w:rFonts w:hint="eastAsia" w:ascii="宋体" w:hAnsi="宋体" w:cs="宋体"/>
                <w:b/>
                <w:kern w:val="0"/>
                <w:sz w:val="24"/>
              </w:rPr>
              <w:t>本单位社保证明原件扫描件，</w:t>
            </w:r>
            <w:r>
              <w:rPr>
                <w:rFonts w:hint="eastAsia" w:ascii="宋体" w:hAnsi="宋体" w:cs="宋体"/>
                <w:b/>
                <w:bCs/>
                <w:sz w:val="24"/>
              </w:rPr>
              <w:t>否则不得分</w:t>
            </w:r>
          </w:p>
        </w:tc>
        <w:tc>
          <w:tcPr>
            <w:tcW w:w="919" w:type="dxa"/>
            <w:tcBorders>
              <w:top w:val="single" w:color="auto" w:sz="4" w:space="0"/>
              <w:left w:val="single" w:color="auto" w:sz="4" w:space="0"/>
              <w:bottom w:val="single" w:color="auto" w:sz="4" w:space="0"/>
              <w:right w:val="single" w:color="auto" w:sz="4" w:space="0"/>
            </w:tcBorders>
            <w:noWrap/>
            <w:vAlign w:val="center"/>
          </w:tcPr>
          <w:p>
            <w:pPr>
              <w:pStyle w:val="26"/>
              <w:ind w:right="-140" w:rightChars="-50"/>
              <w:rPr>
                <w:rFonts w:hAnsi="宋体"/>
                <w:color w:val="000000"/>
                <w:sz w:val="24"/>
                <w:szCs w:val="24"/>
              </w:rPr>
            </w:pPr>
            <w:r>
              <w:rPr>
                <w:rFonts w:hint="eastAsia" w:hAnsi="宋体"/>
                <w:color w:val="000000"/>
                <w:sz w:val="24"/>
                <w:szCs w:val="24"/>
              </w:rPr>
              <w:t>0-</w:t>
            </w:r>
            <w:r>
              <w:rPr>
                <w:rFonts w:hint="eastAsia" w:hAnsi="宋体"/>
                <w:color w:val="000000"/>
                <w:sz w:val="24"/>
                <w:szCs w:val="24"/>
                <w:lang w:val="en-US" w:eastAsia="zh-CN"/>
              </w:rPr>
              <w:t>6</w:t>
            </w:r>
            <w:r>
              <w:rPr>
                <w:rFonts w:hint="eastAsia"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8"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宋体" w:hAnsi="宋体" w:eastAsia="宋体"/>
                <w:b/>
                <w:bCs/>
                <w:color w:val="000000"/>
                <w:sz w:val="24"/>
                <w:lang w:eastAsia="zh-CN"/>
              </w:rPr>
            </w:pPr>
            <w:r>
              <w:rPr>
                <w:rFonts w:hint="eastAsia" w:ascii="宋体" w:hAnsi="宋体"/>
                <w:b/>
                <w:bCs/>
                <w:color w:val="000000"/>
                <w:sz w:val="24"/>
                <w:lang w:val="en-US" w:eastAsia="zh-CN"/>
              </w:rPr>
              <w:t>8</w:t>
            </w:r>
          </w:p>
        </w:tc>
        <w:tc>
          <w:tcPr>
            <w:tcW w:w="125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ind w:left="-140" w:leftChars="-50" w:right="-140" w:rightChars="-50"/>
              <w:jc w:val="center"/>
              <w:rPr>
                <w:rFonts w:ascii="仿宋_GB2312" w:hAnsi="宋体" w:eastAsia="仿宋_GB2312" w:cs="宋体"/>
                <w:b/>
                <w:bCs/>
                <w:kern w:val="0"/>
                <w:sz w:val="24"/>
                <w:lang w:val="zh-CN"/>
              </w:rPr>
            </w:pPr>
            <w:r>
              <w:rPr>
                <w:rFonts w:ascii="宋体" w:cs="宋体"/>
                <w:b/>
                <w:bCs/>
                <w:sz w:val="24"/>
                <w:szCs w:val="24"/>
              </w:rPr>
              <w:t>场地设置</w:t>
            </w:r>
          </w:p>
        </w:tc>
        <w:tc>
          <w:tcPr>
            <w:tcW w:w="7456" w:type="dxa"/>
            <w:tcBorders>
              <w:top w:val="single" w:color="auto" w:sz="4" w:space="0"/>
              <w:left w:val="single" w:color="auto" w:sz="4" w:space="0"/>
              <w:bottom w:val="single" w:color="auto" w:sz="4" w:space="0"/>
              <w:right w:val="single" w:color="auto" w:sz="4" w:space="0"/>
            </w:tcBorders>
            <w:noWrap/>
            <w:vAlign w:val="center"/>
          </w:tcPr>
          <w:p>
            <w:pPr>
              <w:pStyle w:val="19"/>
              <w:numPr>
                <w:ilvl w:val="0"/>
                <w:numId w:val="0"/>
              </w:numPr>
              <w:spacing w:line="360" w:lineRule="exact"/>
              <w:rPr>
                <w:rFonts w:hint="eastAsia"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大件物品保管区：满足1000平方</w:t>
            </w:r>
            <w:r>
              <w:rPr>
                <w:rFonts w:hint="eastAsia" w:ascii="宋体" w:hAnsi="宋体"/>
                <w:color w:val="auto"/>
                <w:sz w:val="24"/>
                <w:szCs w:val="24"/>
                <w:highlight w:val="none"/>
              </w:rPr>
              <w:t>米得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lang w:val="en-US" w:eastAsia="zh-CN"/>
              </w:rPr>
              <w:t>1500</w:t>
            </w:r>
            <w:r>
              <w:rPr>
                <w:rFonts w:hint="eastAsia" w:ascii="宋体" w:hAnsi="宋体"/>
                <w:color w:val="auto"/>
                <w:sz w:val="24"/>
                <w:szCs w:val="24"/>
              </w:rPr>
              <w:t>平方</w:t>
            </w:r>
            <w:r>
              <w:rPr>
                <w:rFonts w:hint="eastAsia" w:ascii="宋体" w:hAnsi="宋体"/>
                <w:color w:val="auto"/>
                <w:sz w:val="24"/>
                <w:szCs w:val="24"/>
                <w:highlight w:val="none"/>
              </w:rPr>
              <w:t>米得</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lang w:val="en-US" w:eastAsia="zh-CN"/>
              </w:rPr>
              <w:t>2000</w:t>
            </w:r>
            <w:r>
              <w:rPr>
                <w:rFonts w:hint="eastAsia" w:ascii="宋体" w:hAnsi="宋体"/>
                <w:color w:val="auto"/>
                <w:sz w:val="24"/>
                <w:szCs w:val="24"/>
              </w:rPr>
              <w:t>平方</w:t>
            </w:r>
            <w:r>
              <w:rPr>
                <w:rFonts w:hint="eastAsia" w:ascii="宋体" w:hAnsi="宋体"/>
                <w:color w:val="auto"/>
                <w:sz w:val="24"/>
                <w:szCs w:val="24"/>
                <w:highlight w:val="none"/>
              </w:rPr>
              <w:t>米得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rPr>
              <w:t>。</w:t>
            </w:r>
            <w:r>
              <w:rPr>
                <w:rFonts w:hint="eastAsia" w:hAnsi="宋体"/>
                <w:color w:val="auto"/>
                <w:sz w:val="24"/>
                <w:szCs w:val="24"/>
              </w:rPr>
              <w:t>（注：需提供载有面积大小的房产证或租赁合同复印件及相关现场照片）</w:t>
            </w:r>
          </w:p>
          <w:p>
            <w:pPr>
              <w:pStyle w:val="19"/>
              <w:numPr>
                <w:ilvl w:val="0"/>
                <w:numId w:val="0"/>
              </w:numPr>
              <w:spacing w:line="360" w:lineRule="exact"/>
              <w:rPr>
                <w:rFonts w:hint="eastAsia" w:ascii="宋体" w:hAnsi="宋体" w:eastAsia="宋体" w:cs="宋体"/>
                <w:bCs/>
                <w:color w:val="auto"/>
                <w:sz w:val="24"/>
                <w:szCs w:val="24"/>
                <w:lang w:val="en-US" w:eastAsia="zh-CN"/>
              </w:rPr>
            </w:pPr>
            <w:r>
              <w:rPr>
                <w:rFonts w:hint="eastAsia" w:ascii="宋体" w:hAnsi="宋体"/>
                <w:color w:val="auto"/>
                <w:sz w:val="24"/>
                <w:szCs w:val="24"/>
                <w:lang w:val="en-US" w:eastAsia="zh-CN"/>
              </w:rPr>
              <w:t>2、</w:t>
            </w:r>
            <w:r>
              <w:rPr>
                <w:rFonts w:hint="eastAsia" w:ascii="宋体" w:hAnsi="宋体"/>
                <w:color w:val="auto"/>
                <w:sz w:val="24"/>
                <w:szCs w:val="24"/>
              </w:rPr>
              <w:t>车辆保管区：分别有室内和室外两个停车场（或</w:t>
            </w:r>
            <w:r>
              <w:rPr>
                <w:rFonts w:ascii="宋体" w:hAnsi="宋体"/>
                <w:color w:val="auto"/>
                <w:sz w:val="24"/>
                <w:szCs w:val="24"/>
              </w:rPr>
              <w:t>具有两个停车场同为室内或室外</w:t>
            </w:r>
            <w:r>
              <w:rPr>
                <w:rFonts w:hint="eastAsia" w:ascii="宋体" w:hAnsi="宋体"/>
                <w:color w:val="auto"/>
                <w:sz w:val="24"/>
                <w:szCs w:val="24"/>
              </w:rPr>
              <w:t>）的</w:t>
            </w:r>
            <w:r>
              <w:rPr>
                <w:rFonts w:hint="eastAsia" w:ascii="宋体" w:hAnsi="宋体"/>
                <w:color w:val="auto"/>
                <w:sz w:val="24"/>
                <w:szCs w:val="24"/>
                <w:lang w:eastAsia="zh-CN"/>
              </w:rPr>
              <w:t>且</w:t>
            </w:r>
            <w:r>
              <w:rPr>
                <w:rFonts w:hint="eastAsia" w:ascii="宋体" w:hAnsi="宋体"/>
                <w:color w:val="auto"/>
                <w:sz w:val="24"/>
                <w:szCs w:val="24"/>
              </w:rPr>
              <w:t>车位数量达到30个得</w:t>
            </w:r>
            <w:r>
              <w:rPr>
                <w:rFonts w:hint="eastAsia" w:ascii="宋体" w:hAnsi="宋体"/>
                <w:color w:val="auto"/>
                <w:sz w:val="24"/>
                <w:szCs w:val="24"/>
                <w:lang w:val="en-US" w:eastAsia="zh-CN"/>
              </w:rPr>
              <w:t>3</w:t>
            </w:r>
            <w:r>
              <w:rPr>
                <w:rFonts w:hint="eastAsia" w:ascii="宋体" w:hAnsi="宋体"/>
                <w:color w:val="auto"/>
                <w:sz w:val="24"/>
                <w:szCs w:val="24"/>
              </w:rPr>
              <w:t>分，每增加10辆加</w:t>
            </w:r>
            <w:r>
              <w:rPr>
                <w:rFonts w:hint="eastAsia" w:ascii="宋体" w:hAnsi="宋体"/>
                <w:color w:val="auto"/>
                <w:sz w:val="24"/>
                <w:szCs w:val="24"/>
                <w:lang w:val="en-US" w:eastAsia="zh-CN"/>
              </w:rPr>
              <w:t>1</w:t>
            </w:r>
            <w:r>
              <w:rPr>
                <w:rFonts w:hint="eastAsia" w:ascii="宋体" w:hAnsi="宋体"/>
                <w:color w:val="auto"/>
                <w:sz w:val="24"/>
                <w:szCs w:val="24"/>
              </w:rPr>
              <w:t>分，最高</w:t>
            </w:r>
            <w:r>
              <w:rPr>
                <w:rFonts w:hint="eastAsia" w:ascii="宋体" w:hAnsi="宋体"/>
                <w:color w:val="auto"/>
                <w:sz w:val="24"/>
                <w:szCs w:val="24"/>
                <w:lang w:eastAsia="zh-CN"/>
              </w:rPr>
              <w:t>加</w:t>
            </w:r>
            <w:r>
              <w:rPr>
                <w:rFonts w:hint="eastAsia" w:ascii="宋体" w:hAnsi="宋体"/>
                <w:color w:val="auto"/>
                <w:sz w:val="24"/>
                <w:szCs w:val="24"/>
                <w:lang w:val="en-US" w:eastAsia="zh-CN"/>
              </w:rPr>
              <w:t>3</w:t>
            </w:r>
            <w:r>
              <w:rPr>
                <w:rFonts w:hint="eastAsia" w:ascii="宋体" w:hAnsi="宋体"/>
                <w:color w:val="auto"/>
                <w:sz w:val="24"/>
                <w:szCs w:val="24"/>
              </w:rPr>
              <w:t>分。</w:t>
            </w:r>
            <w:r>
              <w:rPr>
                <w:rFonts w:hint="eastAsia" w:hAnsi="宋体"/>
                <w:color w:val="auto"/>
                <w:sz w:val="24"/>
                <w:szCs w:val="24"/>
              </w:rPr>
              <w:t>（注：需提供载有面积大小的房产证或租赁合同复印件及相关现场照片）</w:t>
            </w:r>
          </w:p>
        </w:tc>
        <w:tc>
          <w:tcPr>
            <w:tcW w:w="919" w:type="dxa"/>
            <w:tcBorders>
              <w:top w:val="single" w:color="auto" w:sz="4" w:space="0"/>
              <w:left w:val="single" w:color="auto" w:sz="4" w:space="0"/>
              <w:bottom w:val="single" w:color="auto" w:sz="4" w:space="0"/>
              <w:right w:val="single" w:color="auto" w:sz="4" w:space="0"/>
            </w:tcBorders>
            <w:noWrap/>
            <w:vAlign w:val="center"/>
          </w:tcPr>
          <w:p>
            <w:pPr>
              <w:pStyle w:val="26"/>
              <w:ind w:right="-140" w:rightChars="-50"/>
              <w:rPr>
                <w:rFonts w:hAnsi="宋体"/>
                <w:color w:val="000000"/>
                <w:sz w:val="24"/>
                <w:szCs w:val="24"/>
              </w:rPr>
            </w:pPr>
            <w:r>
              <w:rPr>
                <w:rFonts w:hint="eastAsia" w:hAnsi="宋体"/>
                <w:color w:val="000000"/>
                <w:sz w:val="24"/>
                <w:szCs w:val="24"/>
              </w:rPr>
              <w:t>0-</w:t>
            </w:r>
            <w:r>
              <w:rPr>
                <w:rFonts w:hint="eastAsia" w:hAnsi="宋体"/>
                <w:color w:val="000000"/>
                <w:sz w:val="24"/>
                <w:szCs w:val="24"/>
                <w:lang w:val="en-US" w:eastAsia="zh-CN"/>
              </w:rPr>
              <w:t>13</w:t>
            </w:r>
            <w:r>
              <w:rPr>
                <w:rFonts w:hint="eastAsia"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default" w:ascii="宋体" w:hAnsi="宋体" w:eastAsia="宋体"/>
                <w:b/>
                <w:bCs/>
                <w:color w:val="000000"/>
                <w:sz w:val="24"/>
                <w:lang w:val="en-US" w:eastAsia="zh-CN"/>
              </w:rPr>
            </w:pPr>
            <w:r>
              <w:rPr>
                <w:rFonts w:hint="eastAsia" w:ascii="宋体" w:hAnsi="宋体"/>
                <w:b/>
                <w:bCs/>
                <w:color w:val="000000"/>
                <w:sz w:val="24"/>
                <w:lang w:val="en-US" w:eastAsia="zh-CN"/>
              </w:rPr>
              <w:t>9</w:t>
            </w:r>
          </w:p>
        </w:tc>
        <w:tc>
          <w:tcPr>
            <w:tcW w:w="125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ind w:left="-140" w:leftChars="-50" w:right="-140" w:rightChars="-50"/>
              <w:jc w:val="center"/>
              <w:rPr>
                <w:rFonts w:ascii="宋体" w:hAnsi="宋体" w:cs="宋体"/>
                <w:b/>
                <w:bCs/>
                <w:color w:val="000000"/>
                <w:sz w:val="24"/>
              </w:rPr>
            </w:pPr>
            <w:r>
              <w:rPr>
                <w:rFonts w:hint="eastAsia" w:ascii="宋体" w:hAnsi="宋体" w:cs="宋体"/>
                <w:b/>
                <w:bCs/>
                <w:color w:val="000000"/>
                <w:sz w:val="24"/>
              </w:rPr>
              <w:t>响应时间</w:t>
            </w:r>
          </w:p>
        </w:tc>
        <w:tc>
          <w:tcPr>
            <w:tcW w:w="7456" w:type="dxa"/>
            <w:tcBorders>
              <w:top w:val="single" w:color="auto" w:sz="4" w:space="0"/>
              <w:left w:val="single" w:color="auto" w:sz="4" w:space="0"/>
              <w:bottom w:val="single" w:color="auto" w:sz="4" w:space="0"/>
              <w:right w:val="single" w:color="auto" w:sz="4" w:space="0"/>
            </w:tcBorders>
            <w:noWrap/>
            <w:vAlign w:val="center"/>
          </w:tcPr>
          <w:p>
            <w:pPr>
              <w:spacing w:line="440" w:lineRule="atLeast"/>
              <w:jc w:val="left"/>
              <w:rPr>
                <w:rFonts w:hint="eastAsia" w:ascii="宋体" w:hAnsi="宋体" w:eastAsia="宋体" w:cs="宋体"/>
                <w:color w:val="auto"/>
                <w:sz w:val="24"/>
                <w:lang w:eastAsia="zh-CN"/>
              </w:rPr>
            </w:pPr>
            <w:r>
              <w:rPr>
                <w:rFonts w:hint="eastAsia" w:cs="宋体"/>
                <w:bCs/>
                <w:color w:val="auto"/>
                <w:sz w:val="24"/>
                <w:lang w:eastAsia="zh-CN"/>
              </w:rPr>
              <w:t>接</w:t>
            </w:r>
            <w:r>
              <w:rPr>
                <w:rFonts w:hint="eastAsia" w:ascii="宋体" w:hAnsi="宋体" w:cs="宋体"/>
                <w:bCs/>
                <w:color w:val="auto"/>
                <w:sz w:val="24"/>
              </w:rPr>
              <w:t>到采购人通知后承诺</w:t>
            </w:r>
            <w:r>
              <w:rPr>
                <w:rFonts w:hint="eastAsia" w:ascii="宋体" w:hAnsi="宋体" w:cs="宋体"/>
                <w:bCs/>
                <w:color w:val="auto"/>
                <w:sz w:val="24"/>
                <w:lang w:val="en-US" w:eastAsia="zh-CN"/>
              </w:rPr>
              <w:t>1</w:t>
            </w:r>
            <w:r>
              <w:rPr>
                <w:rFonts w:hint="eastAsia" w:ascii="宋体" w:hAnsi="宋体" w:cs="宋体"/>
                <w:bCs/>
                <w:color w:val="auto"/>
                <w:sz w:val="24"/>
              </w:rPr>
              <w:t>小时内</w:t>
            </w:r>
            <w:r>
              <w:rPr>
                <w:rFonts w:hint="eastAsia" w:ascii="宋体" w:hAnsi="宋体" w:cs="宋体"/>
                <w:bCs/>
                <w:color w:val="auto"/>
                <w:sz w:val="24"/>
                <w:lang w:eastAsia="zh-CN"/>
              </w:rPr>
              <w:t>现场</w:t>
            </w:r>
            <w:r>
              <w:rPr>
                <w:rFonts w:hint="eastAsia" w:ascii="宋体" w:hAnsi="宋体" w:cs="宋体"/>
                <w:bCs/>
                <w:color w:val="auto"/>
                <w:sz w:val="24"/>
              </w:rPr>
              <w:t>响应</w:t>
            </w:r>
            <w:r>
              <w:rPr>
                <w:rFonts w:hint="eastAsia" w:ascii="宋体" w:hAnsi="宋体" w:cs="宋体"/>
                <w:bCs/>
                <w:color w:val="auto"/>
                <w:sz w:val="24"/>
                <w:lang w:val="en-US" w:eastAsia="zh-CN"/>
              </w:rPr>
              <w:t>的得4分，现场</w:t>
            </w:r>
            <w:r>
              <w:rPr>
                <w:rFonts w:hint="eastAsia" w:ascii="宋体" w:hAnsi="宋体" w:cs="宋体"/>
                <w:color w:val="auto"/>
                <w:sz w:val="24"/>
              </w:rPr>
              <w:t>响应时间在1-2小时内</w:t>
            </w:r>
            <w:r>
              <w:rPr>
                <w:rFonts w:hint="eastAsia" w:ascii="宋体" w:hAnsi="宋体" w:cs="宋体"/>
                <w:color w:val="auto"/>
                <w:sz w:val="24"/>
                <w:lang w:eastAsia="zh-CN"/>
              </w:rPr>
              <w:t>的</w:t>
            </w:r>
            <w:r>
              <w:rPr>
                <w:rFonts w:hint="eastAsia" w:ascii="宋体" w:hAnsi="宋体" w:cs="宋体"/>
                <w:color w:val="auto"/>
                <w:sz w:val="24"/>
              </w:rPr>
              <w:t>得</w:t>
            </w:r>
            <w:r>
              <w:rPr>
                <w:rFonts w:hint="eastAsia" w:ascii="宋体" w:hAnsi="宋体" w:cs="宋体"/>
                <w:color w:val="auto"/>
                <w:sz w:val="24"/>
                <w:lang w:val="en-US" w:eastAsia="zh-CN"/>
              </w:rPr>
              <w:t>2</w:t>
            </w:r>
            <w:r>
              <w:rPr>
                <w:rFonts w:hint="eastAsia" w:ascii="宋体" w:hAnsi="宋体" w:cs="宋体"/>
                <w:color w:val="auto"/>
                <w:sz w:val="24"/>
              </w:rPr>
              <w:t>分，</w:t>
            </w:r>
            <w:r>
              <w:rPr>
                <w:rFonts w:hint="eastAsia" w:ascii="宋体" w:hAnsi="宋体" w:cs="宋体"/>
                <w:color w:val="auto"/>
                <w:sz w:val="24"/>
                <w:lang w:eastAsia="zh-CN"/>
              </w:rPr>
              <w:t>现场</w:t>
            </w:r>
            <w:r>
              <w:rPr>
                <w:rFonts w:hint="eastAsia" w:ascii="宋体" w:hAnsi="宋体" w:cs="宋体"/>
                <w:color w:val="auto"/>
                <w:sz w:val="24"/>
              </w:rPr>
              <w:t>响应时间在2个小时以上</w:t>
            </w:r>
            <w:r>
              <w:rPr>
                <w:rFonts w:hint="eastAsia" w:ascii="宋体" w:hAnsi="宋体" w:cs="宋体"/>
                <w:color w:val="auto"/>
                <w:sz w:val="24"/>
                <w:lang w:val="en-US" w:eastAsia="zh-CN"/>
              </w:rPr>
              <w:t>4</w:t>
            </w:r>
            <w:r>
              <w:rPr>
                <w:rFonts w:hint="eastAsia" w:ascii="宋体" w:hAnsi="宋体" w:cs="宋体"/>
                <w:color w:val="auto"/>
                <w:sz w:val="24"/>
              </w:rPr>
              <w:t>小时以内</w:t>
            </w:r>
            <w:r>
              <w:rPr>
                <w:rFonts w:hint="eastAsia" w:ascii="宋体" w:hAnsi="宋体" w:cs="宋体"/>
                <w:color w:val="auto"/>
                <w:sz w:val="24"/>
                <w:lang w:eastAsia="zh-CN"/>
              </w:rPr>
              <w:t>的</w:t>
            </w:r>
            <w:r>
              <w:rPr>
                <w:rFonts w:hint="eastAsia" w:ascii="宋体" w:hAnsi="宋体" w:cs="宋体"/>
                <w:color w:val="auto"/>
                <w:sz w:val="24"/>
              </w:rPr>
              <w:t>得1分。其余不得分</w:t>
            </w:r>
            <w:r>
              <w:rPr>
                <w:rFonts w:hint="eastAsia" w:ascii="宋体" w:hAnsi="宋体" w:cs="宋体"/>
                <w:color w:val="auto"/>
                <w:sz w:val="24"/>
                <w:lang w:eastAsia="zh-CN"/>
              </w:rPr>
              <w:t>。</w:t>
            </w:r>
          </w:p>
        </w:tc>
        <w:tc>
          <w:tcPr>
            <w:tcW w:w="9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ind w:left="-140" w:leftChars="-50" w:right="-140" w:rightChars="-50"/>
              <w:jc w:val="center"/>
              <w:rPr>
                <w:rFonts w:ascii="宋体" w:hAnsi="宋体" w:cs="宋体"/>
                <w:color w:val="000000"/>
                <w:sz w:val="24"/>
              </w:rPr>
            </w:pPr>
            <w:r>
              <w:rPr>
                <w:rFonts w:hint="eastAsia" w:ascii="宋体" w:hAnsi="宋体" w:cs="宋体"/>
                <w:sz w:val="24"/>
              </w:rPr>
              <w:t>0-</w:t>
            </w: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default" w:ascii="宋体" w:hAnsi="宋体"/>
                <w:b/>
                <w:bCs/>
                <w:color w:val="000000"/>
                <w:sz w:val="24"/>
                <w:lang w:val="en-US" w:eastAsia="zh-CN"/>
              </w:rPr>
            </w:pPr>
            <w:r>
              <w:rPr>
                <w:rFonts w:hint="eastAsia" w:ascii="宋体" w:hAnsi="宋体"/>
                <w:b/>
                <w:bCs/>
                <w:color w:val="000000"/>
                <w:sz w:val="24"/>
                <w:lang w:val="en-US" w:eastAsia="zh-CN"/>
              </w:rPr>
              <w:t>10</w:t>
            </w:r>
          </w:p>
        </w:tc>
        <w:tc>
          <w:tcPr>
            <w:tcW w:w="125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ind w:left="-140" w:leftChars="-50" w:right="-140" w:rightChars="-50"/>
              <w:jc w:val="center"/>
              <w:rPr>
                <w:rFonts w:hint="eastAsia" w:ascii="宋体" w:hAnsi="宋体" w:cs="宋体"/>
                <w:b/>
                <w:bCs/>
                <w:color w:val="000000"/>
                <w:sz w:val="24"/>
              </w:rPr>
            </w:pPr>
            <w:r>
              <w:rPr>
                <w:rFonts w:hint="eastAsia" w:ascii="宋体" w:hAnsi="宋体" w:cs="宋体"/>
                <w:b/>
                <w:bCs/>
                <w:color w:val="000000"/>
                <w:sz w:val="24"/>
                <w:lang w:eastAsia="zh-CN"/>
              </w:rPr>
              <w:t>针对本项目的</w:t>
            </w:r>
            <w:r>
              <w:rPr>
                <w:rFonts w:hint="eastAsia" w:ascii="宋体" w:hAnsi="宋体" w:cs="宋体"/>
                <w:b/>
                <w:bCs/>
                <w:color w:val="000000"/>
                <w:sz w:val="24"/>
              </w:rPr>
              <w:t>合理化建议</w:t>
            </w:r>
          </w:p>
        </w:tc>
        <w:tc>
          <w:tcPr>
            <w:tcW w:w="7456" w:type="dxa"/>
            <w:tcBorders>
              <w:top w:val="single" w:color="auto" w:sz="4" w:space="0"/>
              <w:left w:val="single" w:color="auto" w:sz="4" w:space="0"/>
              <w:bottom w:val="single" w:color="auto" w:sz="4" w:space="0"/>
              <w:right w:val="single" w:color="auto" w:sz="4" w:space="0"/>
            </w:tcBorders>
            <w:noWrap/>
            <w:vAlign w:val="center"/>
          </w:tcPr>
          <w:p>
            <w:pPr>
              <w:spacing w:line="440" w:lineRule="atLeast"/>
              <w:jc w:val="left"/>
              <w:rPr>
                <w:rFonts w:hint="eastAsia" w:ascii="宋体" w:hAnsi="宋体" w:cs="宋体"/>
                <w:color w:val="000000"/>
                <w:sz w:val="24"/>
              </w:rPr>
            </w:pPr>
            <w:r>
              <w:rPr>
                <w:rFonts w:hint="eastAsia" w:ascii="宋体" w:hAnsi="宋体" w:cs="宋体"/>
                <w:color w:val="000000"/>
                <w:sz w:val="24"/>
              </w:rPr>
              <w:t>根据供应商针对本项目能提出合理化建议，且所提建议确实能对项目的实施产生有益作用的，每提出一条合理化建议的得</w:t>
            </w:r>
            <w:r>
              <w:rPr>
                <w:rFonts w:hint="eastAsia" w:ascii="宋体" w:hAnsi="宋体" w:cs="宋体"/>
                <w:color w:val="000000"/>
                <w:sz w:val="24"/>
                <w:lang w:val="en-US" w:eastAsia="zh-CN"/>
              </w:rPr>
              <w:t>1.5</w:t>
            </w:r>
            <w:r>
              <w:rPr>
                <w:rFonts w:hint="eastAsia" w:ascii="宋体" w:hAnsi="宋体" w:cs="宋体"/>
                <w:color w:val="000000"/>
                <w:sz w:val="24"/>
              </w:rPr>
              <w:t>分，最高得</w:t>
            </w:r>
            <w:r>
              <w:rPr>
                <w:rFonts w:hint="eastAsia" w:ascii="宋体" w:hAnsi="宋体" w:cs="宋体"/>
                <w:color w:val="000000"/>
                <w:sz w:val="24"/>
                <w:lang w:val="en-US" w:eastAsia="zh-CN"/>
              </w:rPr>
              <w:t>3</w:t>
            </w:r>
            <w:r>
              <w:rPr>
                <w:rFonts w:hint="eastAsia" w:ascii="宋体" w:hAnsi="宋体" w:cs="宋体"/>
                <w:color w:val="000000"/>
                <w:sz w:val="24"/>
              </w:rPr>
              <w:t>分。</w:t>
            </w:r>
          </w:p>
        </w:tc>
        <w:tc>
          <w:tcPr>
            <w:tcW w:w="9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ind w:left="-140" w:leftChars="-50" w:right="-140" w:rightChars="-50"/>
              <w:jc w:val="center"/>
              <w:rPr>
                <w:rFonts w:hint="default" w:ascii="宋体" w:hAnsi="宋体" w:eastAsia="宋体" w:cs="宋体"/>
                <w:sz w:val="24"/>
                <w:lang w:val="en-US" w:eastAsia="zh-CN"/>
              </w:rPr>
            </w:pPr>
            <w:r>
              <w:rPr>
                <w:rFonts w:hint="eastAsia" w:ascii="宋体" w:hAnsi="宋体" w:cs="宋体"/>
                <w:sz w:val="24"/>
                <w:lang w:val="en-US" w:eastAsia="zh-CN"/>
              </w:rPr>
              <w:t>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宋体" w:hAnsi="宋体" w:eastAsia="宋体"/>
                <w:b/>
                <w:bCs/>
                <w:color w:val="000000"/>
                <w:sz w:val="24"/>
                <w:lang w:val="en-US" w:eastAsia="zh-CN"/>
              </w:rPr>
            </w:pPr>
            <w:r>
              <w:rPr>
                <w:rFonts w:hint="eastAsia" w:ascii="宋体" w:hAnsi="宋体"/>
                <w:b/>
                <w:bCs/>
                <w:color w:val="000000"/>
                <w:sz w:val="24"/>
              </w:rPr>
              <w:t>1</w:t>
            </w:r>
            <w:r>
              <w:rPr>
                <w:rFonts w:hint="eastAsia" w:ascii="宋体" w:hAnsi="宋体"/>
                <w:b/>
                <w:bCs/>
                <w:color w:val="000000"/>
                <w:sz w:val="24"/>
                <w:lang w:val="en-US" w:eastAsia="zh-CN"/>
              </w:rPr>
              <w:t>1</w:t>
            </w:r>
          </w:p>
        </w:tc>
        <w:tc>
          <w:tcPr>
            <w:tcW w:w="1259" w:type="dxa"/>
            <w:tcBorders>
              <w:top w:val="single" w:color="auto" w:sz="4" w:space="0"/>
              <w:left w:val="single" w:color="auto" w:sz="4" w:space="0"/>
              <w:bottom w:val="single" w:color="auto" w:sz="4" w:space="0"/>
              <w:right w:val="single" w:color="auto" w:sz="4" w:space="0"/>
            </w:tcBorders>
            <w:noWrap/>
            <w:vAlign w:val="center"/>
          </w:tcPr>
          <w:p>
            <w:pPr>
              <w:spacing w:beforeLines="50" w:afterLines="50" w:line="280" w:lineRule="exact"/>
              <w:jc w:val="center"/>
              <w:rPr>
                <w:rFonts w:ascii="宋体" w:hAnsi="宋体" w:cs="宋体"/>
                <w:b/>
                <w:bCs/>
                <w:color w:val="000000"/>
                <w:sz w:val="24"/>
              </w:rPr>
            </w:pPr>
            <w:r>
              <w:rPr>
                <w:rFonts w:hint="eastAsia" w:ascii="宋体" w:hAnsi="宋体" w:cs="宋体"/>
                <w:b/>
                <w:bCs/>
                <w:sz w:val="24"/>
              </w:rPr>
              <w:t>企业业绩</w:t>
            </w:r>
          </w:p>
        </w:tc>
        <w:tc>
          <w:tcPr>
            <w:tcW w:w="7456" w:type="dxa"/>
            <w:tcBorders>
              <w:top w:val="single" w:color="auto" w:sz="4" w:space="0"/>
              <w:left w:val="single" w:color="auto" w:sz="4" w:space="0"/>
              <w:bottom w:val="single" w:color="auto" w:sz="4" w:space="0"/>
              <w:right w:val="single" w:color="auto" w:sz="4" w:space="0"/>
            </w:tcBorders>
            <w:noWrap/>
            <w:vAlign w:val="center"/>
          </w:tcPr>
          <w:p>
            <w:pPr>
              <w:pStyle w:val="172"/>
              <w:rPr>
                <w:rFonts w:ascii="宋体" w:hAnsi="宋体" w:eastAsia="宋体" w:cs="宋体"/>
                <w:bCs/>
              </w:rPr>
            </w:pPr>
            <w:r>
              <w:rPr>
                <w:rFonts w:hint="eastAsia" w:ascii="宋体" w:hAnsi="宋体" w:eastAsia="宋体" w:cs="宋体"/>
                <w:bCs/>
              </w:rPr>
              <w:t>投标供应商提供自2020年1月1日至今担过的类似项目业绩，每提供1个得</w:t>
            </w:r>
            <w:r>
              <w:rPr>
                <w:rFonts w:hint="eastAsia" w:ascii="宋体" w:hAnsi="宋体" w:eastAsia="宋体" w:cs="宋体"/>
                <w:bCs/>
                <w:lang w:val="en-US" w:eastAsia="zh-CN"/>
              </w:rPr>
              <w:t>1</w:t>
            </w:r>
            <w:r>
              <w:rPr>
                <w:rFonts w:hint="eastAsia" w:ascii="宋体" w:hAnsi="宋体" w:eastAsia="宋体" w:cs="宋体"/>
                <w:bCs/>
              </w:rPr>
              <w:t>分，最高得</w:t>
            </w:r>
            <w:r>
              <w:rPr>
                <w:rFonts w:hint="eastAsia" w:ascii="宋体" w:hAnsi="宋体" w:eastAsia="宋体" w:cs="宋体"/>
                <w:bCs/>
                <w:lang w:val="en-US" w:eastAsia="zh-CN"/>
              </w:rPr>
              <w:t>2</w:t>
            </w:r>
            <w:r>
              <w:rPr>
                <w:rFonts w:hint="eastAsia" w:ascii="宋体" w:hAnsi="宋体" w:eastAsia="宋体" w:cs="宋体"/>
                <w:bCs/>
              </w:rPr>
              <w:t>分；</w:t>
            </w:r>
          </w:p>
          <w:p>
            <w:pPr>
              <w:pStyle w:val="172"/>
              <w:rPr>
                <w:rFonts w:ascii="宋体" w:hAnsi="宋体" w:eastAsia="宋体" w:cs="宋体"/>
                <w:color w:val="000000"/>
              </w:rPr>
            </w:pPr>
            <w:r>
              <w:rPr>
                <w:rFonts w:hint="eastAsia" w:ascii="宋体" w:hAnsi="宋体" w:eastAsia="宋体" w:cs="宋体"/>
                <w:b/>
              </w:rPr>
              <w:t>投标文件中须提供合同或中标通知书复印件并加盖公章</w:t>
            </w:r>
            <w:r>
              <w:rPr>
                <w:rFonts w:hint="eastAsia" w:ascii="宋体" w:hAnsi="宋体" w:eastAsia="宋体" w:cs="宋体"/>
                <w:bCs/>
              </w:rPr>
              <w:t>。</w:t>
            </w:r>
          </w:p>
        </w:tc>
        <w:tc>
          <w:tcPr>
            <w:tcW w:w="919"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80" w:lineRule="exact"/>
              <w:ind w:left="-140" w:leftChars="-50" w:right="-140" w:rightChars="-50"/>
              <w:jc w:val="center"/>
              <w:rPr>
                <w:rFonts w:ascii="宋体" w:hAnsi="宋体" w:cs="宋体"/>
                <w:sz w:val="24"/>
              </w:rPr>
            </w:pPr>
            <w:r>
              <w:rPr>
                <w:rFonts w:hint="eastAsia" w:ascii="宋体" w:hAnsi="宋体" w:cs="宋体"/>
                <w:bCs/>
                <w:sz w:val="24"/>
              </w:rPr>
              <w:t>0-</w:t>
            </w:r>
            <w:r>
              <w:rPr>
                <w:rFonts w:hint="eastAsia" w:ascii="宋体" w:hAnsi="宋体" w:cs="宋体"/>
                <w:bCs/>
                <w:sz w:val="24"/>
                <w:lang w:val="en-US" w:eastAsia="zh-CN"/>
              </w:rPr>
              <w:t>2</w:t>
            </w:r>
            <w:r>
              <w:rPr>
                <w:rFonts w:hint="eastAsia" w:ascii="宋体" w:hAnsi="宋体" w:cs="宋体"/>
                <w:bCs/>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7" w:hRule="atLeast"/>
          <w:jc w:val="center"/>
        </w:trPr>
        <w:tc>
          <w:tcPr>
            <w:tcW w:w="59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宋体" w:hAnsi="宋体" w:eastAsia="宋体"/>
                <w:b/>
                <w:bCs/>
                <w:color w:val="000000"/>
                <w:sz w:val="24"/>
                <w:lang w:val="en-US" w:eastAsia="zh-CN"/>
              </w:rPr>
            </w:pPr>
            <w:r>
              <w:rPr>
                <w:rFonts w:hint="eastAsia" w:ascii="宋体" w:hAnsi="宋体"/>
                <w:b/>
                <w:bCs/>
                <w:color w:val="000000"/>
                <w:sz w:val="24"/>
              </w:rPr>
              <w:t>1</w:t>
            </w:r>
            <w:r>
              <w:rPr>
                <w:rFonts w:hint="eastAsia" w:ascii="宋体" w:hAnsi="宋体"/>
                <w:b/>
                <w:bCs/>
                <w:color w:val="000000"/>
                <w:sz w:val="24"/>
                <w:lang w:val="en-US" w:eastAsia="zh-CN"/>
              </w:rPr>
              <w:t>2</w:t>
            </w:r>
          </w:p>
        </w:tc>
        <w:tc>
          <w:tcPr>
            <w:tcW w:w="1259" w:type="dxa"/>
            <w:tcBorders>
              <w:top w:val="single" w:color="auto" w:sz="4" w:space="0"/>
              <w:left w:val="single" w:color="auto" w:sz="4" w:space="0"/>
              <w:bottom w:val="single" w:color="auto" w:sz="4" w:space="0"/>
              <w:right w:val="single" w:color="auto" w:sz="4" w:space="0"/>
            </w:tcBorders>
            <w:noWrap/>
            <w:vAlign w:val="center"/>
          </w:tcPr>
          <w:p>
            <w:pPr>
              <w:tabs>
                <w:tab w:val="left" w:pos="0"/>
              </w:tabs>
              <w:autoSpaceDE w:val="0"/>
              <w:autoSpaceDN w:val="0"/>
              <w:adjustRightInd w:val="0"/>
              <w:jc w:val="center"/>
              <w:rPr>
                <w:rFonts w:ascii="宋体" w:hAnsi="宋体" w:cs="宋体"/>
                <w:b/>
                <w:bCs/>
                <w:sz w:val="24"/>
              </w:rPr>
            </w:pPr>
            <w:r>
              <w:rPr>
                <w:rFonts w:hint="eastAsia" w:ascii="宋体" w:hAnsi="宋体" w:cs="宋体"/>
                <w:b/>
                <w:bCs/>
                <w:sz w:val="24"/>
              </w:rPr>
              <w:t>企业</w:t>
            </w:r>
            <w:r>
              <w:rPr>
                <w:rFonts w:hint="eastAsia" w:ascii="宋体" w:hAnsi="宋体" w:cs="宋体"/>
                <w:b/>
                <w:bCs/>
                <w:sz w:val="24"/>
                <w:lang w:eastAsia="zh-CN"/>
              </w:rPr>
              <w:t>综合实力</w:t>
            </w:r>
          </w:p>
        </w:tc>
        <w:tc>
          <w:tcPr>
            <w:tcW w:w="7456" w:type="dxa"/>
            <w:tcBorders>
              <w:top w:val="single" w:color="auto" w:sz="4" w:space="0"/>
              <w:left w:val="single" w:color="auto" w:sz="4" w:space="0"/>
              <w:bottom w:val="single" w:color="auto" w:sz="4" w:space="0"/>
              <w:right w:val="single" w:color="auto" w:sz="4" w:space="0"/>
            </w:tcBorders>
            <w:noWrap/>
            <w:vAlign w:val="center"/>
          </w:tcPr>
          <w:p>
            <w:pPr>
              <w:numPr>
                <w:ilvl w:val="0"/>
                <w:numId w:val="0"/>
              </w:numPr>
              <w:rPr>
                <w:rFonts w:hint="eastAsia" w:ascii="宋体" w:hAnsi="宋体" w:cs="宋体"/>
                <w:b w:val="0"/>
                <w:bCs/>
                <w:sz w:val="24"/>
                <w:lang w:val="en-US" w:eastAsia="zh-CN"/>
              </w:rPr>
            </w:pPr>
            <w:r>
              <w:rPr>
                <w:rFonts w:hint="eastAsia" w:ascii="宋体" w:hAnsi="宋体" w:cs="宋体"/>
                <w:b w:val="0"/>
                <w:bCs/>
                <w:sz w:val="24"/>
                <w:lang w:val="en-US" w:eastAsia="zh-CN"/>
              </w:rPr>
              <w:t>1、</w:t>
            </w:r>
            <w:r>
              <w:rPr>
                <w:rFonts w:hint="eastAsia" w:ascii="宋体" w:hAnsi="宋体" w:cs="宋体"/>
                <w:b w:val="0"/>
                <w:bCs/>
                <w:sz w:val="24"/>
              </w:rPr>
              <w:t>投标人具有有效的质量管理体系认证证书、环境管理体系认证证书、职业健康安全管理体系认证证书、</w:t>
            </w:r>
            <w:r>
              <w:rPr>
                <w:rFonts w:hint="eastAsia" w:ascii="宋体" w:hAnsi="宋体" w:cs="宋体"/>
                <w:b w:val="0"/>
                <w:bCs/>
                <w:sz w:val="24"/>
                <w:lang w:eastAsia="zh-CN"/>
              </w:rPr>
              <w:t>公共安全业务连续性管理体系，</w:t>
            </w:r>
            <w:r>
              <w:rPr>
                <w:rFonts w:hint="eastAsia" w:ascii="宋体" w:hAnsi="宋体" w:cs="宋体"/>
                <w:b w:val="0"/>
                <w:bCs/>
                <w:sz w:val="24"/>
              </w:rPr>
              <w:t>每个证书得</w:t>
            </w:r>
            <w:r>
              <w:rPr>
                <w:rFonts w:hint="eastAsia" w:ascii="宋体" w:hAnsi="宋体" w:cs="宋体"/>
                <w:b w:val="0"/>
                <w:bCs/>
                <w:sz w:val="24"/>
                <w:lang w:val="en-US" w:eastAsia="zh-CN"/>
              </w:rPr>
              <w:t>1</w:t>
            </w:r>
            <w:r>
              <w:rPr>
                <w:rFonts w:hint="eastAsia" w:ascii="宋体" w:hAnsi="宋体" w:cs="宋体"/>
                <w:b w:val="0"/>
                <w:bCs/>
                <w:sz w:val="24"/>
              </w:rPr>
              <w:t>分</w:t>
            </w:r>
            <w:r>
              <w:rPr>
                <w:rFonts w:hint="eastAsia" w:ascii="宋体" w:hAnsi="宋体" w:cs="宋体"/>
                <w:b w:val="0"/>
                <w:bCs/>
                <w:sz w:val="24"/>
                <w:lang w:eastAsia="zh-CN"/>
              </w:rPr>
              <w:t>，最高得</w:t>
            </w:r>
            <w:r>
              <w:rPr>
                <w:rFonts w:hint="eastAsia" w:ascii="宋体" w:hAnsi="宋体" w:cs="宋体"/>
                <w:b w:val="0"/>
                <w:bCs/>
                <w:sz w:val="24"/>
                <w:lang w:val="en-US" w:eastAsia="zh-CN"/>
              </w:rPr>
              <w:t>4分</w:t>
            </w:r>
          </w:p>
          <w:p>
            <w:pPr>
              <w:numPr>
                <w:ilvl w:val="0"/>
                <w:numId w:val="0"/>
              </w:numPr>
              <w:rPr>
                <w:rFonts w:ascii="宋体" w:hAnsi="宋体" w:cs="宋体"/>
                <w:b/>
                <w:sz w:val="24"/>
              </w:rPr>
            </w:pPr>
            <w:r>
              <w:rPr>
                <w:rFonts w:hint="eastAsia" w:ascii="宋体" w:hAnsi="宋体" w:cs="宋体"/>
                <w:b w:val="0"/>
                <w:bCs/>
                <w:sz w:val="24"/>
                <w:lang w:val="en-US" w:eastAsia="zh-CN"/>
              </w:rPr>
              <w:t>2、</w:t>
            </w:r>
            <w:r>
              <w:rPr>
                <w:rFonts w:hint="eastAsia" w:ascii="宋体" w:hAnsi="宋体" w:cs="宋体"/>
                <w:b w:val="0"/>
                <w:bCs/>
                <w:sz w:val="24"/>
              </w:rPr>
              <w:t>投标人具有有效的武装守护押运登记证书</w:t>
            </w:r>
            <w:r>
              <w:rPr>
                <w:rFonts w:hint="eastAsia" w:ascii="宋体" w:hAnsi="宋体" w:cs="宋体"/>
                <w:b w:val="0"/>
                <w:bCs/>
                <w:sz w:val="24"/>
                <w:lang w:eastAsia="zh-CN"/>
              </w:rPr>
              <w:t>的得</w:t>
            </w:r>
            <w:r>
              <w:rPr>
                <w:rFonts w:hint="eastAsia" w:ascii="宋体" w:hAnsi="宋体" w:cs="宋体"/>
                <w:b w:val="0"/>
                <w:bCs/>
                <w:sz w:val="24"/>
                <w:lang w:val="en-US" w:eastAsia="zh-CN"/>
              </w:rPr>
              <w:t>2</w:t>
            </w:r>
            <w:r>
              <w:rPr>
                <w:rFonts w:hint="eastAsia" w:ascii="宋体" w:hAnsi="宋体" w:cs="宋体"/>
                <w:b w:val="0"/>
                <w:bCs/>
                <w:sz w:val="24"/>
              </w:rPr>
              <w:t>分。</w:t>
            </w:r>
          </w:p>
        </w:tc>
        <w:tc>
          <w:tcPr>
            <w:tcW w:w="919" w:type="dxa"/>
            <w:tcBorders>
              <w:top w:val="single" w:color="auto" w:sz="4" w:space="0"/>
              <w:left w:val="single" w:color="auto" w:sz="4" w:space="0"/>
              <w:bottom w:val="single" w:color="auto" w:sz="4" w:space="0"/>
              <w:right w:val="single" w:color="auto" w:sz="4" w:space="0"/>
            </w:tcBorders>
            <w:noWrap/>
            <w:vAlign w:val="center"/>
          </w:tcPr>
          <w:p>
            <w:pPr>
              <w:spacing w:line="269" w:lineRule="auto"/>
              <w:jc w:val="center"/>
              <w:rPr>
                <w:rFonts w:ascii="宋体" w:hAnsi="宋体" w:cs="宋体"/>
                <w:bCs/>
                <w:sz w:val="24"/>
              </w:rPr>
            </w:pPr>
            <w:r>
              <w:rPr>
                <w:rFonts w:hint="eastAsia" w:ascii="宋体" w:hAnsi="宋体" w:cs="宋体"/>
                <w:bCs/>
                <w:sz w:val="24"/>
              </w:rPr>
              <w:t>0-</w:t>
            </w:r>
            <w:r>
              <w:rPr>
                <w:rFonts w:hint="eastAsia" w:ascii="宋体" w:hAnsi="宋体" w:cs="宋体"/>
                <w:bCs/>
                <w:sz w:val="24"/>
                <w:lang w:val="en-US" w:eastAsia="zh-CN"/>
              </w:rPr>
              <w:t>6</w:t>
            </w:r>
            <w:r>
              <w:rPr>
                <w:rFonts w:hint="eastAsia" w:ascii="宋体" w:hAnsi="宋体" w:cs="宋体"/>
                <w:bCs/>
                <w:sz w:val="24"/>
              </w:rPr>
              <w:t>分</w:t>
            </w:r>
          </w:p>
        </w:tc>
      </w:tr>
    </w:tbl>
    <w:p>
      <w:pPr>
        <w:spacing w:line="360" w:lineRule="auto"/>
        <w:jc w:val="center"/>
        <w:rPr>
          <w:rFonts w:ascii="宋体" w:hAnsi="宋体" w:cs="仿宋"/>
          <w:b/>
          <w:sz w:val="36"/>
          <w:szCs w:val="36"/>
        </w:rPr>
      </w:pPr>
    </w:p>
    <w:p>
      <w:r>
        <w:rPr>
          <w:rFonts w:hint="eastAsia"/>
        </w:rPr>
        <w:br w:type="page"/>
      </w:r>
    </w:p>
    <w:p>
      <w:pPr>
        <w:pStyle w:val="61"/>
        <w:ind w:firstLine="560"/>
      </w:pPr>
    </w:p>
    <w:p>
      <w:pPr>
        <w:numPr>
          <w:ilvl w:val="0"/>
          <w:numId w:val="10"/>
        </w:numPr>
        <w:spacing w:line="360" w:lineRule="auto"/>
        <w:ind w:firstLine="602" w:firstLineChars="200"/>
        <w:jc w:val="center"/>
        <w:rPr>
          <w:rFonts w:hint="eastAsia" w:ascii="宋体" w:hAnsi="宋体" w:cs="仿宋"/>
          <w:b/>
          <w:sz w:val="30"/>
          <w:szCs w:val="30"/>
        </w:rPr>
      </w:pPr>
      <w:r>
        <w:rPr>
          <w:rFonts w:hint="eastAsia" w:ascii="宋体" w:hAnsi="宋体" w:cs="仿宋"/>
          <w:b/>
          <w:sz w:val="30"/>
          <w:szCs w:val="30"/>
        </w:rPr>
        <w:t>合同主要条款</w:t>
      </w:r>
      <w:bookmarkEnd w:id="28"/>
    </w:p>
    <w:p>
      <w:pPr>
        <w:numPr>
          <w:ilvl w:val="0"/>
          <w:numId w:val="0"/>
        </w:numPr>
        <w:spacing w:line="360" w:lineRule="auto"/>
        <w:jc w:val="center"/>
        <w:rPr>
          <w:rFonts w:hint="eastAsia" w:ascii="宋体" w:hAnsi="宋体" w:cs="宋体"/>
          <w:color w:val="000000"/>
          <w:sz w:val="24"/>
        </w:rPr>
      </w:pPr>
      <w:r>
        <w:rPr>
          <w:rFonts w:hint="eastAsia" w:ascii="宋体" w:hAnsi="宋体" w:cs="宋体"/>
          <w:color w:val="000000"/>
          <w:sz w:val="24"/>
        </w:rPr>
        <w:t>（</w:t>
      </w:r>
      <w:r>
        <w:rPr>
          <w:rFonts w:hint="eastAsia" w:ascii="宋体" w:hAnsi="宋体" w:cs="宋体"/>
          <w:b/>
          <w:bCs/>
          <w:color w:val="000000"/>
          <w:sz w:val="24"/>
        </w:rPr>
        <w:t>仅供参考，以正式合同为准。）</w:t>
      </w:r>
    </w:p>
    <w:p>
      <w:pPr>
        <w:jc w:val="center"/>
        <w:rPr>
          <w:rFonts w:ascii="宋体" w:hAnsi="宋体" w:cs="仿宋"/>
          <w:b/>
          <w:sz w:val="30"/>
          <w:szCs w:val="30"/>
        </w:rPr>
      </w:pPr>
    </w:p>
    <w:p>
      <w:pPr>
        <w:spacing w:line="360" w:lineRule="auto"/>
        <w:rPr>
          <w:rFonts w:ascii="宋体" w:hAnsi="宋体" w:cs="宋体"/>
          <w:sz w:val="24"/>
        </w:rPr>
      </w:pPr>
      <w:r>
        <w:rPr>
          <w:rFonts w:hint="eastAsia" w:ascii="宋体" w:hAnsi="宋体" w:cs="宋体"/>
          <w:sz w:val="24"/>
        </w:rPr>
        <w:t>财政审批编号:                    招标文件编号: XXCG(202</w:t>
      </w:r>
      <w:r>
        <w:rPr>
          <w:rFonts w:hint="eastAsia" w:ascii="宋体" w:hAnsi="宋体" w:cs="宋体"/>
          <w:sz w:val="24"/>
          <w:lang w:val="en-US" w:eastAsia="zh-CN"/>
        </w:rPr>
        <w:t>4</w:t>
      </w:r>
      <w:r>
        <w:rPr>
          <w:rFonts w:hint="eastAsia" w:ascii="宋体" w:hAnsi="宋体" w:cs="宋体"/>
          <w:sz w:val="24"/>
        </w:rPr>
        <w:t xml:space="preserve">)- </w:t>
      </w:r>
    </w:p>
    <w:p>
      <w:pPr>
        <w:spacing w:line="360" w:lineRule="auto"/>
        <w:rPr>
          <w:b/>
          <w:bCs/>
          <w:sz w:val="24"/>
        </w:rPr>
      </w:pPr>
      <w:bookmarkStart w:id="29" w:name="_Toc11931"/>
      <w:r>
        <w:rPr>
          <w:b/>
          <w:bCs/>
          <w:sz w:val="24"/>
        </w:rPr>
        <w:t>1.</w:t>
      </w:r>
      <w:r>
        <w:rPr>
          <w:rFonts w:hint="eastAsia"/>
          <w:b/>
          <w:bCs/>
          <w:sz w:val="24"/>
        </w:rPr>
        <w:t>定义</w:t>
      </w:r>
    </w:p>
    <w:p>
      <w:pPr>
        <w:spacing w:line="460" w:lineRule="exact"/>
        <w:ind w:firstLine="480" w:firstLineChars="200"/>
        <w:rPr>
          <w:sz w:val="24"/>
        </w:rPr>
      </w:pPr>
      <w:r>
        <w:rPr>
          <w:rFonts w:hint="eastAsia"/>
          <w:sz w:val="24"/>
        </w:rPr>
        <w:t>本合同中的下列术语应解释为：</w:t>
      </w:r>
    </w:p>
    <w:p>
      <w:pPr>
        <w:spacing w:line="460" w:lineRule="exact"/>
        <w:ind w:firstLine="480" w:firstLineChars="200"/>
        <w:rPr>
          <w:sz w:val="24"/>
        </w:rPr>
      </w:pPr>
      <w:r>
        <w:rPr>
          <w:sz w:val="24"/>
        </w:rPr>
        <w:t>1.1</w:t>
      </w:r>
      <w:r>
        <w:rPr>
          <w:rFonts w:hint="eastAsia"/>
          <w:sz w:val="24"/>
        </w:rPr>
        <w:t>“合同”系指供需双方签署的、合同格式中载明的供需双方所达成的协议，包括所有的附件、附录和构成合同的所有文件；</w:t>
      </w:r>
    </w:p>
    <w:p>
      <w:pPr>
        <w:spacing w:line="460" w:lineRule="exact"/>
        <w:ind w:firstLine="480" w:firstLineChars="200"/>
        <w:rPr>
          <w:sz w:val="24"/>
        </w:rPr>
      </w:pPr>
      <w:r>
        <w:rPr>
          <w:sz w:val="24"/>
        </w:rPr>
        <w:t>1.2</w:t>
      </w:r>
      <w:r>
        <w:rPr>
          <w:rFonts w:hint="eastAsia"/>
          <w:sz w:val="24"/>
        </w:rPr>
        <w:t>“合同价”系指根据合同规定，采购人在供应商完全履行合同义务后应付给的价格；</w:t>
      </w:r>
    </w:p>
    <w:p>
      <w:pPr>
        <w:spacing w:line="460" w:lineRule="exact"/>
        <w:ind w:firstLine="480" w:firstLineChars="200"/>
        <w:rPr>
          <w:sz w:val="24"/>
        </w:rPr>
      </w:pPr>
      <w:r>
        <w:rPr>
          <w:sz w:val="24"/>
        </w:rPr>
        <w:t>1.3</w:t>
      </w:r>
      <w:r>
        <w:rPr>
          <w:rFonts w:hint="eastAsia"/>
          <w:sz w:val="24"/>
        </w:rPr>
        <w:t>“货物”系指供应商根据合同规定向采购人提供的一切货物、质量保证书和其他技术资料及技术参数；</w:t>
      </w:r>
    </w:p>
    <w:p>
      <w:pPr>
        <w:spacing w:line="460" w:lineRule="exact"/>
        <w:ind w:firstLine="480" w:firstLineChars="200"/>
        <w:rPr>
          <w:sz w:val="24"/>
        </w:rPr>
      </w:pPr>
      <w:r>
        <w:rPr>
          <w:sz w:val="24"/>
        </w:rPr>
        <w:t>1.4</w:t>
      </w:r>
      <w:r>
        <w:rPr>
          <w:rFonts w:hint="eastAsia"/>
          <w:sz w:val="24"/>
        </w:rPr>
        <w:t>“服务”系指根据合同规定供应商承担与供货有关的辅助服务，如运输、装卸、安装、保险以及其他的服务，例如安装、调试提供技术援助、培训和其他类似的义务；</w:t>
      </w:r>
    </w:p>
    <w:p>
      <w:pPr>
        <w:spacing w:line="460" w:lineRule="exact"/>
        <w:ind w:firstLine="480" w:firstLineChars="200"/>
        <w:rPr>
          <w:sz w:val="24"/>
        </w:rPr>
      </w:pPr>
      <w:r>
        <w:rPr>
          <w:sz w:val="24"/>
        </w:rPr>
        <w:t>1.5</w:t>
      </w:r>
      <w:r>
        <w:rPr>
          <w:rFonts w:hint="eastAsia"/>
          <w:sz w:val="24"/>
        </w:rPr>
        <w:t>“采购人”系指具体使用货物和接受服务的使用单位；</w:t>
      </w:r>
    </w:p>
    <w:p>
      <w:pPr>
        <w:spacing w:line="460" w:lineRule="exact"/>
        <w:ind w:firstLine="480" w:firstLineChars="200"/>
        <w:rPr>
          <w:sz w:val="24"/>
        </w:rPr>
      </w:pPr>
      <w:r>
        <w:rPr>
          <w:sz w:val="24"/>
        </w:rPr>
        <w:t>1.6</w:t>
      </w:r>
      <w:r>
        <w:rPr>
          <w:rFonts w:hint="eastAsia"/>
          <w:sz w:val="24"/>
        </w:rPr>
        <w:t>“供应商”系指根据合同规定提供采购项目货物和服务的具有法人资格的公司、企业或实体；</w:t>
      </w:r>
    </w:p>
    <w:p>
      <w:pPr>
        <w:spacing w:line="460" w:lineRule="exact"/>
        <w:ind w:firstLine="480" w:firstLineChars="200"/>
        <w:rPr>
          <w:sz w:val="24"/>
        </w:rPr>
      </w:pPr>
      <w:r>
        <w:rPr>
          <w:sz w:val="24"/>
        </w:rPr>
        <w:t>1.7</w:t>
      </w:r>
      <w:r>
        <w:rPr>
          <w:rFonts w:hint="eastAsia"/>
          <w:sz w:val="24"/>
        </w:rPr>
        <w:t>“财政审批编号”系指财政局审批编号。</w:t>
      </w:r>
    </w:p>
    <w:p>
      <w:pPr>
        <w:spacing w:line="460" w:lineRule="exact"/>
        <w:rPr>
          <w:b/>
          <w:bCs/>
          <w:sz w:val="24"/>
        </w:rPr>
      </w:pPr>
      <w:r>
        <w:rPr>
          <w:b/>
          <w:bCs/>
          <w:sz w:val="24"/>
        </w:rPr>
        <w:t>2.</w:t>
      </w:r>
      <w:r>
        <w:rPr>
          <w:rFonts w:hint="eastAsia"/>
          <w:b/>
          <w:bCs/>
          <w:sz w:val="24"/>
        </w:rPr>
        <w:t>合同项目与内容</w:t>
      </w:r>
    </w:p>
    <w:p>
      <w:pPr>
        <w:spacing w:line="460" w:lineRule="exact"/>
        <w:rPr>
          <w:rFonts w:hint="eastAsia" w:ascii="宋体" w:hAnsi="宋体" w:cs="仿宋"/>
          <w:sz w:val="24"/>
        </w:rPr>
      </w:pPr>
      <w:r>
        <w:rPr>
          <w:rFonts w:hint="eastAsia" w:ascii="宋体" w:hAnsi="宋体" w:cs="仿宋"/>
          <w:sz w:val="24"/>
        </w:rPr>
        <w:t>中共湖州市吴兴区委政法委员会刑事诉讼涉案财物管理项目（2024-2025年度）（重新招标）</w:t>
      </w:r>
    </w:p>
    <w:p>
      <w:pPr>
        <w:spacing w:line="460" w:lineRule="exact"/>
        <w:rPr>
          <w:b/>
          <w:bCs/>
          <w:sz w:val="24"/>
        </w:rPr>
      </w:pPr>
      <w:r>
        <w:rPr>
          <w:b/>
          <w:bCs/>
          <w:sz w:val="24"/>
        </w:rPr>
        <w:t>3.</w:t>
      </w:r>
      <w:r>
        <w:rPr>
          <w:rFonts w:hint="eastAsia"/>
          <w:b/>
          <w:bCs/>
          <w:sz w:val="24"/>
        </w:rPr>
        <w:t>服务时间与服务地点</w:t>
      </w:r>
    </w:p>
    <w:p>
      <w:pPr>
        <w:spacing w:line="460" w:lineRule="exact"/>
        <w:ind w:firstLine="480" w:firstLineChars="200"/>
        <w:rPr>
          <w:sz w:val="24"/>
        </w:rPr>
      </w:pPr>
      <w:r>
        <w:rPr>
          <w:rFonts w:hint="eastAsia"/>
          <w:sz w:val="24"/>
        </w:rPr>
        <w:t>服务时间：详见招标文件要求；</w:t>
      </w:r>
    </w:p>
    <w:p>
      <w:pPr>
        <w:spacing w:line="460" w:lineRule="exact"/>
        <w:ind w:firstLine="480" w:firstLineChars="200"/>
        <w:rPr>
          <w:sz w:val="24"/>
        </w:rPr>
      </w:pPr>
      <w:r>
        <w:rPr>
          <w:rFonts w:hint="eastAsia"/>
          <w:sz w:val="24"/>
        </w:rPr>
        <w:t>服务地点：由采购单位指定。</w:t>
      </w:r>
    </w:p>
    <w:p>
      <w:pPr>
        <w:spacing w:line="460" w:lineRule="exact"/>
        <w:rPr>
          <w:b/>
          <w:bCs/>
          <w:sz w:val="24"/>
        </w:rPr>
      </w:pPr>
      <w:r>
        <w:rPr>
          <w:b/>
          <w:bCs/>
          <w:sz w:val="24"/>
        </w:rPr>
        <w:t>4.</w:t>
      </w:r>
      <w:r>
        <w:rPr>
          <w:rFonts w:hint="eastAsia"/>
          <w:b/>
          <w:bCs/>
          <w:sz w:val="24"/>
        </w:rPr>
        <w:t>签署合同的要求</w:t>
      </w:r>
    </w:p>
    <w:p>
      <w:pPr>
        <w:spacing w:line="460" w:lineRule="exact"/>
        <w:ind w:firstLine="480" w:firstLineChars="200"/>
        <w:rPr>
          <w:sz w:val="24"/>
        </w:rPr>
      </w:pPr>
      <w:r>
        <w:rPr>
          <w:sz w:val="24"/>
        </w:rPr>
        <w:t>4.1</w:t>
      </w:r>
      <w:r>
        <w:rPr>
          <w:rFonts w:hint="eastAsia"/>
          <w:sz w:val="24"/>
        </w:rPr>
        <w:t>、供应商必须按照响应文件和询标过程中承诺的条款以及成交通知书中规定的时间、地点与采购人签订合同；</w:t>
      </w:r>
    </w:p>
    <w:p>
      <w:pPr>
        <w:spacing w:line="460" w:lineRule="exact"/>
        <w:ind w:firstLine="480" w:firstLineChars="200"/>
        <w:rPr>
          <w:sz w:val="24"/>
        </w:rPr>
      </w:pPr>
      <w:r>
        <w:rPr>
          <w:sz w:val="24"/>
        </w:rPr>
        <w:t>4.2</w:t>
      </w:r>
      <w:r>
        <w:rPr>
          <w:rFonts w:hint="eastAsia"/>
          <w:sz w:val="24"/>
        </w:rPr>
        <w:t>、所签订的合同内容不得对招标文件和供应商的投标文件作实质性修改；</w:t>
      </w:r>
    </w:p>
    <w:p>
      <w:pPr>
        <w:spacing w:line="460" w:lineRule="exact"/>
        <w:ind w:firstLine="480" w:firstLineChars="200"/>
        <w:rPr>
          <w:sz w:val="24"/>
        </w:rPr>
      </w:pPr>
      <w:r>
        <w:rPr>
          <w:sz w:val="24"/>
        </w:rPr>
        <w:t>4.3</w:t>
      </w:r>
      <w:r>
        <w:rPr>
          <w:rFonts w:hint="eastAsia"/>
          <w:sz w:val="24"/>
        </w:rPr>
        <w:t>、采购人不得向供应商提出任何不合理的要求，作为签订合同的条件，不得与供应商私下订立背离合同实质性内容的协议；</w:t>
      </w:r>
    </w:p>
    <w:p>
      <w:pPr>
        <w:spacing w:line="460" w:lineRule="exact"/>
        <w:rPr>
          <w:b/>
          <w:bCs/>
          <w:sz w:val="24"/>
        </w:rPr>
      </w:pPr>
      <w:r>
        <w:rPr>
          <w:b/>
          <w:bCs/>
          <w:sz w:val="24"/>
        </w:rPr>
        <w:t>5.</w:t>
      </w:r>
      <w:r>
        <w:rPr>
          <w:rFonts w:hint="eastAsia"/>
          <w:b/>
          <w:bCs/>
          <w:sz w:val="24"/>
        </w:rPr>
        <w:t>技术规范</w:t>
      </w:r>
    </w:p>
    <w:p>
      <w:pPr>
        <w:spacing w:line="460" w:lineRule="exact"/>
        <w:ind w:firstLine="480" w:firstLineChars="200"/>
        <w:rPr>
          <w:sz w:val="24"/>
        </w:rPr>
      </w:pPr>
      <w:r>
        <w:rPr>
          <w:rFonts w:hint="eastAsia"/>
          <w:sz w:val="24"/>
        </w:rPr>
        <w:t>本合同执行国家及本省、市现行项目实施及验收规范及有关条例、实施办法等。</w:t>
      </w:r>
    </w:p>
    <w:p>
      <w:pPr>
        <w:spacing w:line="460" w:lineRule="exact"/>
        <w:ind w:firstLine="480" w:firstLineChars="200"/>
        <w:rPr>
          <w:sz w:val="24"/>
        </w:rPr>
      </w:pPr>
      <w:r>
        <w:rPr>
          <w:rFonts w:hint="eastAsia"/>
          <w:sz w:val="24"/>
        </w:rPr>
        <w:t>提供和交付的服务技术规范应与招标文件规定的技术规范相一致。</w:t>
      </w:r>
    </w:p>
    <w:p>
      <w:pPr>
        <w:spacing w:line="460" w:lineRule="exact"/>
        <w:rPr>
          <w:b/>
          <w:bCs/>
          <w:sz w:val="24"/>
        </w:rPr>
      </w:pPr>
      <w:r>
        <w:rPr>
          <w:b/>
          <w:bCs/>
          <w:sz w:val="24"/>
        </w:rPr>
        <w:t>6.</w:t>
      </w:r>
      <w:r>
        <w:rPr>
          <w:rFonts w:hint="eastAsia"/>
          <w:b/>
          <w:bCs/>
          <w:sz w:val="24"/>
        </w:rPr>
        <w:t>知识产权</w:t>
      </w:r>
    </w:p>
    <w:p>
      <w:pPr>
        <w:spacing w:line="460" w:lineRule="exact"/>
        <w:ind w:firstLine="480" w:firstLineChars="200"/>
        <w:rPr>
          <w:sz w:val="24"/>
        </w:rPr>
      </w:pPr>
      <w:r>
        <w:rPr>
          <w:rFonts w:hint="eastAsia"/>
          <w:sz w:val="24"/>
        </w:rPr>
        <w:t>供应商保证所提供的服务及货物均不存在知识产权纠纷。供应商应保证采购人在使用时不受第三方提出侵犯其专利权、商标权等知识产权的诉讼。</w:t>
      </w:r>
    </w:p>
    <w:p>
      <w:pPr>
        <w:spacing w:line="460" w:lineRule="exact"/>
        <w:rPr>
          <w:rFonts w:ascii="宋体" w:hAnsi="宋体" w:cs="宋体"/>
          <w:kern w:val="0"/>
          <w:sz w:val="24"/>
        </w:rPr>
      </w:pPr>
      <w:r>
        <w:rPr>
          <w:b/>
          <w:bCs/>
          <w:sz w:val="24"/>
        </w:rPr>
        <w:t>7.</w:t>
      </w:r>
      <w:r>
        <w:rPr>
          <w:rFonts w:hint="eastAsia"/>
          <w:b/>
          <w:bCs/>
          <w:sz w:val="24"/>
        </w:rPr>
        <w:t>付款方式：</w:t>
      </w:r>
    </w:p>
    <w:p>
      <w:pPr>
        <w:spacing w:line="360" w:lineRule="auto"/>
        <w:ind w:firstLine="472" w:firstLineChars="197"/>
        <w:rPr>
          <w:rFonts w:hint="eastAsia" w:ascii="宋体" w:hAnsi="宋体" w:cs="宋体"/>
          <w:sz w:val="24"/>
        </w:rPr>
      </w:pPr>
      <w:r>
        <w:rPr>
          <w:rFonts w:hint="eastAsia" w:ascii="宋体" w:hAnsi="宋体" w:cs="宋体"/>
          <w:sz w:val="24"/>
          <w:szCs w:val="24"/>
          <w:highlight w:val="none"/>
        </w:rPr>
        <w:t>合同签订且具备实施条件后</w:t>
      </w:r>
      <w:r>
        <w:rPr>
          <w:rFonts w:hint="eastAsia" w:ascii="宋体" w:hAnsi="宋体" w:cs="宋体"/>
          <w:sz w:val="24"/>
          <w:szCs w:val="24"/>
          <w:highlight w:val="none"/>
          <w:lang w:val="en-US" w:eastAsia="zh-CN"/>
        </w:rPr>
        <w:t>7个工作日</w:t>
      </w:r>
      <w:r>
        <w:rPr>
          <w:rFonts w:hint="eastAsia" w:ascii="宋体" w:hAnsi="宋体" w:cs="宋体"/>
          <w:sz w:val="24"/>
          <w:szCs w:val="24"/>
          <w:highlight w:val="none"/>
        </w:rPr>
        <w:t>内，支付合同价款的40%作为预付款</w:t>
      </w:r>
      <w:r>
        <w:rPr>
          <w:rFonts w:hint="eastAsia" w:ascii="宋体" w:hAnsi="宋体" w:cs="宋体"/>
          <w:sz w:val="24"/>
          <w:lang w:val="en-US" w:eastAsia="zh-CN"/>
        </w:rPr>
        <w:t>，剩余款项每年支付一次。</w:t>
      </w:r>
    </w:p>
    <w:p>
      <w:pPr>
        <w:spacing w:line="360" w:lineRule="auto"/>
        <w:ind w:firstLine="472" w:firstLineChars="197"/>
        <w:rPr>
          <w:rFonts w:hint="eastAsia" w:ascii="宋体" w:hAnsi="宋体" w:cs="宋体"/>
          <w:sz w:val="24"/>
        </w:rPr>
      </w:pPr>
      <w:r>
        <w:rPr>
          <w:rFonts w:hint="eastAsia" w:ascii="宋体" w:hAnsi="宋体" w:cs="宋体"/>
          <w:sz w:val="24"/>
        </w:rPr>
        <w:t>在签订合同时，供应商明确表示无需预付款或者主动要求降低预付款比例的，采购合同可不适用前述规定。</w:t>
      </w:r>
    </w:p>
    <w:p>
      <w:pPr>
        <w:spacing w:line="500" w:lineRule="exact"/>
        <w:ind w:firstLine="240" w:firstLineChars="100"/>
        <w:rPr>
          <w:rFonts w:ascii="宋体" w:hAnsi="宋体" w:cs="宋体"/>
          <w:sz w:val="24"/>
        </w:rPr>
      </w:pPr>
      <w:r>
        <w:rPr>
          <w:rFonts w:hint="eastAsia" w:ascii="宋体" w:hAnsi="宋体" w:cs="宋体"/>
          <w:kern w:val="0"/>
          <w:sz w:val="24"/>
        </w:rPr>
        <w:t>采购人在向供应商支付预付款之前，有权要求供应商向采购人提供与预付款金额相对应的担保措施，担保措施可以是银行、保险公司等金融机构出具的预付款保函或其他担保措施</w:t>
      </w:r>
    </w:p>
    <w:p>
      <w:pPr>
        <w:spacing w:line="460" w:lineRule="exact"/>
        <w:rPr>
          <w:b/>
          <w:bCs/>
          <w:sz w:val="24"/>
        </w:rPr>
      </w:pPr>
      <w:r>
        <w:rPr>
          <w:b/>
          <w:bCs/>
          <w:sz w:val="24"/>
        </w:rPr>
        <w:t>8.</w:t>
      </w:r>
      <w:r>
        <w:rPr>
          <w:rFonts w:hint="eastAsia"/>
          <w:b/>
          <w:bCs/>
          <w:sz w:val="24"/>
        </w:rPr>
        <w:t>支付：支付应使用人民币；</w:t>
      </w:r>
    </w:p>
    <w:p>
      <w:pPr>
        <w:spacing w:line="460" w:lineRule="exact"/>
        <w:rPr>
          <w:b/>
          <w:bCs/>
          <w:sz w:val="24"/>
        </w:rPr>
      </w:pPr>
      <w:r>
        <w:rPr>
          <w:b/>
          <w:bCs/>
          <w:sz w:val="24"/>
        </w:rPr>
        <w:t>9.</w:t>
      </w:r>
      <w:r>
        <w:rPr>
          <w:rFonts w:hint="eastAsia"/>
          <w:b/>
          <w:bCs/>
          <w:sz w:val="24"/>
        </w:rPr>
        <w:t>技术服务</w:t>
      </w:r>
    </w:p>
    <w:p>
      <w:pPr>
        <w:spacing w:line="460" w:lineRule="exact"/>
        <w:ind w:firstLine="480" w:firstLineChars="200"/>
        <w:rPr>
          <w:sz w:val="24"/>
        </w:rPr>
      </w:pPr>
      <w:r>
        <w:rPr>
          <w:rFonts w:hint="eastAsia"/>
          <w:sz w:val="24"/>
        </w:rPr>
        <w:t>供应商应负责安排采购人相关人员进行操作、维修的培训。具体时间及培训内容在投标时由供应商提出建议；</w:t>
      </w:r>
    </w:p>
    <w:p>
      <w:pPr>
        <w:spacing w:line="460" w:lineRule="exact"/>
        <w:rPr>
          <w:b/>
          <w:bCs/>
          <w:sz w:val="24"/>
        </w:rPr>
      </w:pPr>
      <w:r>
        <w:rPr>
          <w:b/>
          <w:bCs/>
          <w:sz w:val="24"/>
        </w:rPr>
        <w:t>10.</w:t>
      </w:r>
      <w:r>
        <w:rPr>
          <w:rFonts w:hint="eastAsia"/>
          <w:b/>
          <w:bCs/>
          <w:sz w:val="24"/>
        </w:rPr>
        <w:t>售后服务及承诺</w:t>
      </w:r>
    </w:p>
    <w:p>
      <w:pPr>
        <w:spacing w:line="460" w:lineRule="exact"/>
        <w:ind w:firstLine="480" w:firstLineChars="200"/>
        <w:rPr>
          <w:sz w:val="24"/>
        </w:rPr>
      </w:pPr>
      <w:r>
        <w:rPr>
          <w:sz w:val="24"/>
        </w:rPr>
        <w:t>10.1</w:t>
      </w:r>
      <w:r>
        <w:rPr>
          <w:rFonts w:hint="eastAsia"/>
          <w:sz w:val="24"/>
        </w:rPr>
        <w:t>供应商应明确承诺售后服务各项内容和措施，提供详细的服务地点、联系人、电话等有关资料；</w:t>
      </w:r>
    </w:p>
    <w:p>
      <w:pPr>
        <w:spacing w:line="460" w:lineRule="exact"/>
        <w:ind w:firstLine="480" w:firstLineChars="200"/>
        <w:rPr>
          <w:sz w:val="24"/>
        </w:rPr>
      </w:pPr>
      <w:r>
        <w:rPr>
          <w:sz w:val="24"/>
        </w:rPr>
        <w:t>10.2</w:t>
      </w:r>
      <w:r>
        <w:rPr>
          <w:rFonts w:hint="eastAsia"/>
          <w:sz w:val="24"/>
        </w:rPr>
        <w:t>服务期：详见招标文件要求。在服务期内，因服务质量所发生的一切费用均由供应商承担；</w:t>
      </w:r>
    </w:p>
    <w:p>
      <w:pPr>
        <w:spacing w:line="460" w:lineRule="exact"/>
        <w:rPr>
          <w:b/>
          <w:bCs/>
          <w:sz w:val="24"/>
        </w:rPr>
      </w:pPr>
      <w:r>
        <w:rPr>
          <w:b/>
          <w:bCs/>
          <w:sz w:val="24"/>
        </w:rPr>
        <w:t>11.</w:t>
      </w:r>
      <w:r>
        <w:rPr>
          <w:rFonts w:hint="eastAsia"/>
          <w:b/>
          <w:bCs/>
          <w:sz w:val="24"/>
        </w:rPr>
        <w:t>履约保证及后续服务</w:t>
      </w:r>
    </w:p>
    <w:p>
      <w:pPr>
        <w:spacing w:line="460" w:lineRule="exact"/>
        <w:ind w:firstLine="480" w:firstLineChars="200"/>
        <w:rPr>
          <w:sz w:val="24"/>
        </w:rPr>
      </w:pPr>
      <w:r>
        <w:rPr>
          <w:sz w:val="24"/>
        </w:rPr>
        <w:t xml:space="preserve">11.1 </w:t>
      </w:r>
      <w:r>
        <w:rPr>
          <w:rFonts w:hint="eastAsia"/>
          <w:sz w:val="24"/>
        </w:rPr>
        <w:t>履约保证金：无。</w:t>
      </w:r>
    </w:p>
    <w:p>
      <w:pPr>
        <w:spacing w:line="460" w:lineRule="exact"/>
        <w:ind w:firstLine="480" w:firstLineChars="200"/>
        <w:rPr>
          <w:sz w:val="24"/>
        </w:rPr>
      </w:pPr>
      <w:r>
        <w:rPr>
          <w:sz w:val="24"/>
        </w:rPr>
        <w:t xml:space="preserve">11.2 </w:t>
      </w:r>
      <w:r>
        <w:rPr>
          <w:rFonts w:hint="eastAsia"/>
          <w:sz w:val="24"/>
        </w:rPr>
        <w:t>供应商应按招标文件规定的服务标准向采购人提供服务。</w:t>
      </w:r>
    </w:p>
    <w:p>
      <w:pPr>
        <w:spacing w:line="460" w:lineRule="exact"/>
        <w:ind w:firstLine="480" w:firstLineChars="200"/>
        <w:rPr>
          <w:sz w:val="24"/>
        </w:rPr>
      </w:pPr>
      <w:r>
        <w:rPr>
          <w:sz w:val="24"/>
        </w:rPr>
        <w:t xml:space="preserve">11.3 </w:t>
      </w:r>
      <w:r>
        <w:rPr>
          <w:rFonts w:hint="eastAsia"/>
          <w:sz w:val="24"/>
        </w:rPr>
        <w:t>如采购人检查发现供应商提供的服务不符合标准要求，供应商应立即进行整改，直到符合要求为止。采购人可根据考核标准中扣除供应商因检查不合格而应该扣罚的款项（扣罚款项在签订合同时明确）。</w:t>
      </w:r>
    </w:p>
    <w:p>
      <w:pPr>
        <w:spacing w:line="460" w:lineRule="exact"/>
        <w:ind w:firstLine="480" w:firstLineChars="200"/>
        <w:rPr>
          <w:sz w:val="24"/>
        </w:rPr>
      </w:pPr>
      <w:r>
        <w:rPr>
          <w:sz w:val="24"/>
        </w:rPr>
        <w:t xml:space="preserve">11.4 </w:t>
      </w:r>
      <w:r>
        <w:rPr>
          <w:rFonts w:hint="eastAsia"/>
          <w:sz w:val="24"/>
        </w:rPr>
        <w:t>供应商提供的服务人员不符合本合同约定的数额，供应商应当自接到采购人通知之日起</w:t>
      </w:r>
      <w:r>
        <w:rPr>
          <w:sz w:val="24"/>
        </w:rPr>
        <w:t>2</w:t>
      </w:r>
      <w:r>
        <w:rPr>
          <w:rFonts w:hint="eastAsia"/>
          <w:sz w:val="24"/>
        </w:rPr>
        <w:t>日内予以补足。</w:t>
      </w:r>
    </w:p>
    <w:p>
      <w:pPr>
        <w:spacing w:line="460" w:lineRule="exact"/>
        <w:ind w:firstLine="480" w:firstLineChars="200"/>
        <w:rPr>
          <w:sz w:val="24"/>
        </w:rPr>
      </w:pPr>
      <w:r>
        <w:rPr>
          <w:sz w:val="24"/>
        </w:rPr>
        <w:t xml:space="preserve">11.5 </w:t>
      </w:r>
      <w:r>
        <w:rPr>
          <w:rFonts w:hint="eastAsia"/>
          <w:sz w:val="24"/>
        </w:rPr>
        <w:t>由于供应商服务人员原因在服务工作中给采购人的设施、材料造成损失，供应商应负责赔偿。</w:t>
      </w:r>
    </w:p>
    <w:p>
      <w:pPr>
        <w:spacing w:line="460" w:lineRule="exact"/>
        <w:ind w:firstLine="480" w:firstLineChars="200"/>
        <w:rPr>
          <w:sz w:val="24"/>
        </w:rPr>
      </w:pPr>
      <w:r>
        <w:rPr>
          <w:sz w:val="24"/>
        </w:rPr>
        <w:t xml:space="preserve">11.6 </w:t>
      </w:r>
      <w:r>
        <w:rPr>
          <w:rFonts w:hint="eastAsia"/>
          <w:sz w:val="24"/>
        </w:rPr>
        <w:t>在使用过程中发生问题，供应商在接到采购人通知后在小时内到达采购人现场。</w:t>
      </w:r>
    </w:p>
    <w:p>
      <w:pPr>
        <w:spacing w:line="460" w:lineRule="exact"/>
        <w:ind w:firstLine="480" w:firstLineChars="200"/>
        <w:rPr>
          <w:sz w:val="24"/>
        </w:rPr>
      </w:pPr>
      <w:r>
        <w:rPr>
          <w:sz w:val="24"/>
        </w:rPr>
        <w:t xml:space="preserve">11.7 </w:t>
      </w:r>
      <w:r>
        <w:rPr>
          <w:rFonts w:hint="eastAsia"/>
          <w:sz w:val="24"/>
        </w:rPr>
        <w:t>在服务质量保证期内，供应商应对出现的服务质量及安全问题负责处理解决并承担一切费用。</w:t>
      </w:r>
    </w:p>
    <w:p>
      <w:pPr>
        <w:spacing w:line="460" w:lineRule="exact"/>
        <w:rPr>
          <w:b/>
          <w:bCs/>
          <w:sz w:val="24"/>
        </w:rPr>
      </w:pPr>
      <w:r>
        <w:rPr>
          <w:b/>
          <w:bCs/>
          <w:sz w:val="24"/>
        </w:rPr>
        <w:t>12.</w:t>
      </w:r>
      <w:r>
        <w:rPr>
          <w:rFonts w:hint="eastAsia"/>
          <w:b/>
          <w:bCs/>
          <w:sz w:val="24"/>
        </w:rPr>
        <w:t>违约责任</w:t>
      </w:r>
    </w:p>
    <w:p>
      <w:pPr>
        <w:spacing w:line="460" w:lineRule="exact"/>
        <w:ind w:firstLine="480" w:firstLineChars="200"/>
        <w:rPr>
          <w:sz w:val="24"/>
        </w:rPr>
      </w:pPr>
      <w:r>
        <w:rPr>
          <w:sz w:val="24"/>
        </w:rPr>
        <w:t xml:space="preserve">12.1 </w:t>
      </w:r>
      <w:r>
        <w:rPr>
          <w:rFonts w:hint="eastAsia"/>
          <w:sz w:val="24"/>
        </w:rPr>
        <w:t>采购人无正当理由拒收接受服务的，采购人向供应商偿付合同款项百分之五作为违约金。</w:t>
      </w:r>
    </w:p>
    <w:p>
      <w:pPr>
        <w:spacing w:line="460" w:lineRule="exact"/>
        <w:ind w:firstLine="480" w:firstLineChars="200"/>
        <w:rPr>
          <w:sz w:val="24"/>
        </w:rPr>
      </w:pPr>
      <w:r>
        <w:rPr>
          <w:sz w:val="24"/>
        </w:rPr>
        <w:t xml:space="preserve">12.2 </w:t>
      </w:r>
      <w:r>
        <w:rPr>
          <w:rFonts w:hint="eastAsia"/>
          <w:sz w:val="24"/>
        </w:rPr>
        <w:t>采购人无故逾期验收和办理款项支付手续的</w:t>
      </w:r>
      <w:r>
        <w:rPr>
          <w:sz w:val="24"/>
        </w:rPr>
        <w:t>,</w:t>
      </w:r>
      <w:r>
        <w:rPr>
          <w:rFonts w:hint="eastAsia"/>
          <w:sz w:val="24"/>
        </w:rPr>
        <w:t>采购人应按逾期付款总额每日万分之五向供应商支付违约金。</w:t>
      </w:r>
    </w:p>
    <w:p>
      <w:pPr>
        <w:spacing w:line="460" w:lineRule="exact"/>
        <w:ind w:firstLine="480" w:firstLineChars="200"/>
        <w:rPr>
          <w:sz w:val="24"/>
        </w:rPr>
      </w:pPr>
      <w:r>
        <w:rPr>
          <w:sz w:val="24"/>
        </w:rPr>
        <w:t xml:space="preserve">12.3 </w:t>
      </w:r>
      <w:r>
        <w:rPr>
          <w:rFonts w:hint="eastAsia"/>
          <w:sz w:val="24"/>
        </w:rPr>
        <w:t>供应商不按约定提供服务的，每日向采购人支付千分之六违约金。逾期提供服务超过约定日期</w:t>
      </w:r>
      <w:r>
        <w:rPr>
          <w:sz w:val="24"/>
        </w:rPr>
        <w:t>10</w:t>
      </w:r>
      <w:r>
        <w:rPr>
          <w:rFonts w:hint="eastAsia"/>
          <w:sz w:val="24"/>
        </w:rPr>
        <w:t>个工作日的，采购人可解除本合同。供应商因逾期提供服务或因其他违约行为导致采购人解除合同的，供应商应向采购人支付合同总值</w:t>
      </w:r>
      <w:r>
        <w:rPr>
          <w:sz w:val="24"/>
        </w:rPr>
        <w:t>5%</w:t>
      </w:r>
      <w:r>
        <w:rPr>
          <w:rFonts w:hint="eastAsia"/>
          <w:sz w:val="24"/>
        </w:rPr>
        <w:t>的违约金，如造成采购人损失超过违约金的，超出部分由供应商继续承担赔偿责任。</w:t>
      </w:r>
    </w:p>
    <w:p>
      <w:pPr>
        <w:spacing w:line="460" w:lineRule="exact"/>
        <w:ind w:firstLine="480" w:firstLineChars="200"/>
        <w:rPr>
          <w:sz w:val="24"/>
        </w:rPr>
      </w:pPr>
      <w:r>
        <w:rPr>
          <w:sz w:val="24"/>
        </w:rPr>
        <w:t>12.4</w:t>
      </w:r>
      <w:r>
        <w:rPr>
          <w:rFonts w:hint="eastAsia"/>
          <w:sz w:val="24"/>
        </w:rPr>
        <w:t>如供应商提供的服务或与服务相关的物品存在知识产权纠纷而导致本合同无法继续履行，在采购人发函要求解决相关知识产权问题后</w:t>
      </w:r>
      <w:r>
        <w:rPr>
          <w:sz w:val="24"/>
        </w:rPr>
        <w:t>___</w:t>
      </w:r>
      <w:r>
        <w:rPr>
          <w:rFonts w:hint="eastAsia"/>
          <w:sz w:val="24"/>
        </w:rPr>
        <w:t>日内仍未解决的，则采购人有权单方终止本合同的履行，并要求供应商承担相应赔偿责任。</w:t>
      </w:r>
    </w:p>
    <w:p>
      <w:pPr>
        <w:spacing w:line="460" w:lineRule="exact"/>
        <w:rPr>
          <w:b/>
          <w:bCs/>
          <w:sz w:val="24"/>
        </w:rPr>
      </w:pPr>
      <w:r>
        <w:rPr>
          <w:b/>
          <w:bCs/>
          <w:sz w:val="24"/>
        </w:rPr>
        <w:t>13.</w:t>
      </w:r>
      <w:r>
        <w:rPr>
          <w:rFonts w:hint="eastAsia"/>
          <w:b/>
          <w:bCs/>
          <w:sz w:val="24"/>
        </w:rPr>
        <w:t>不可抗力事件处理</w:t>
      </w:r>
    </w:p>
    <w:p>
      <w:pPr>
        <w:spacing w:line="460" w:lineRule="exact"/>
        <w:ind w:firstLine="480" w:firstLineChars="200"/>
        <w:rPr>
          <w:sz w:val="24"/>
        </w:rPr>
      </w:pPr>
      <w:r>
        <w:rPr>
          <w:sz w:val="24"/>
        </w:rPr>
        <w:t xml:space="preserve">13.1 </w:t>
      </w:r>
      <w:r>
        <w:rPr>
          <w:rFonts w:hint="eastAsia"/>
          <w:sz w:val="24"/>
        </w:rPr>
        <w:t>在合同有效期内，任何一方因不可抗力事件导致不能履行合同，则合同履行期可延长，其延长期与不可抗力影响期相同。</w:t>
      </w:r>
    </w:p>
    <w:p>
      <w:pPr>
        <w:spacing w:line="460" w:lineRule="exact"/>
        <w:ind w:firstLine="480" w:firstLineChars="200"/>
        <w:rPr>
          <w:sz w:val="24"/>
        </w:rPr>
      </w:pPr>
      <w:r>
        <w:rPr>
          <w:sz w:val="24"/>
        </w:rPr>
        <w:t xml:space="preserve">13.2 </w:t>
      </w:r>
      <w:r>
        <w:rPr>
          <w:rFonts w:hint="eastAsia"/>
          <w:sz w:val="24"/>
        </w:rPr>
        <w:t>不可抗力事件发生后，应立即通知对方，并寄送有关权威机构出具的证明。</w:t>
      </w:r>
    </w:p>
    <w:p>
      <w:pPr>
        <w:spacing w:line="460" w:lineRule="exact"/>
        <w:ind w:firstLine="480" w:firstLineChars="200"/>
        <w:rPr>
          <w:sz w:val="24"/>
        </w:rPr>
      </w:pPr>
      <w:r>
        <w:rPr>
          <w:sz w:val="24"/>
        </w:rPr>
        <w:t xml:space="preserve">13.3 </w:t>
      </w:r>
      <w:r>
        <w:rPr>
          <w:rFonts w:hint="eastAsia"/>
          <w:sz w:val="24"/>
        </w:rPr>
        <w:t>不可抗力事件延续</w:t>
      </w:r>
      <w:r>
        <w:rPr>
          <w:sz w:val="24"/>
        </w:rPr>
        <w:t>120</w:t>
      </w:r>
      <w:r>
        <w:rPr>
          <w:rFonts w:hint="eastAsia"/>
          <w:sz w:val="24"/>
        </w:rPr>
        <w:t>天以上，双方应通过友好协商，确定是否继续履行合同。</w:t>
      </w:r>
    </w:p>
    <w:p>
      <w:pPr>
        <w:spacing w:line="460" w:lineRule="exact"/>
        <w:rPr>
          <w:b/>
          <w:bCs/>
          <w:sz w:val="24"/>
        </w:rPr>
      </w:pPr>
      <w:r>
        <w:rPr>
          <w:b/>
          <w:bCs/>
          <w:sz w:val="24"/>
        </w:rPr>
        <w:t xml:space="preserve">14. </w:t>
      </w:r>
      <w:r>
        <w:rPr>
          <w:rFonts w:hint="eastAsia"/>
          <w:b/>
          <w:bCs/>
          <w:sz w:val="24"/>
        </w:rPr>
        <w:t>争议解决</w:t>
      </w:r>
    </w:p>
    <w:p>
      <w:pPr>
        <w:spacing w:line="460" w:lineRule="exact"/>
        <w:ind w:firstLine="480" w:firstLineChars="200"/>
        <w:rPr>
          <w:sz w:val="24"/>
        </w:rPr>
      </w:pPr>
      <w:r>
        <w:rPr>
          <w:sz w:val="24"/>
        </w:rPr>
        <w:t>14.1</w:t>
      </w:r>
      <w:r>
        <w:rPr>
          <w:rFonts w:hint="eastAsia"/>
          <w:sz w:val="24"/>
        </w:rPr>
        <w:t>在执行本合同中所发生的或与本合同有关的一切争端，合同双方应通过友好协商解决，经过协商仍不能解决，双方选择通过下列第____种方式解决：</w:t>
      </w:r>
    </w:p>
    <w:p>
      <w:pPr>
        <w:spacing w:line="460" w:lineRule="exact"/>
        <w:ind w:firstLine="480" w:firstLineChars="200"/>
        <w:rPr>
          <w:sz w:val="24"/>
        </w:rPr>
      </w:pPr>
      <w:r>
        <w:rPr>
          <w:rFonts w:hint="eastAsia"/>
          <w:sz w:val="24"/>
        </w:rPr>
        <w:t>（</w:t>
      </w:r>
      <w:r>
        <w:rPr>
          <w:sz w:val="24"/>
        </w:rPr>
        <w:t>1</w:t>
      </w:r>
      <w:r>
        <w:rPr>
          <w:rFonts w:hint="eastAsia"/>
          <w:sz w:val="24"/>
        </w:rPr>
        <w:t>）将争端提交湖州仲裁委员会仲裁</w:t>
      </w:r>
    </w:p>
    <w:p>
      <w:pPr>
        <w:spacing w:line="460" w:lineRule="exact"/>
        <w:ind w:firstLine="480" w:firstLineChars="200"/>
        <w:rPr>
          <w:sz w:val="24"/>
        </w:rPr>
      </w:pPr>
      <w:r>
        <w:rPr>
          <w:rFonts w:hint="eastAsia"/>
          <w:sz w:val="24"/>
        </w:rPr>
        <w:t>（</w:t>
      </w:r>
      <w:r>
        <w:rPr>
          <w:sz w:val="24"/>
        </w:rPr>
        <w:t>2</w:t>
      </w:r>
      <w:r>
        <w:rPr>
          <w:rFonts w:hint="eastAsia"/>
          <w:sz w:val="24"/>
        </w:rPr>
        <w:t>）直接向采购人所在地有管辖权的人民法院起诉。</w:t>
      </w:r>
    </w:p>
    <w:p>
      <w:pPr>
        <w:spacing w:line="460" w:lineRule="exact"/>
        <w:ind w:firstLine="480" w:firstLineChars="200"/>
        <w:rPr>
          <w:sz w:val="24"/>
        </w:rPr>
      </w:pPr>
      <w:r>
        <w:rPr>
          <w:sz w:val="24"/>
        </w:rPr>
        <w:t>14.2</w:t>
      </w:r>
      <w:r>
        <w:rPr>
          <w:rFonts w:hint="eastAsia"/>
          <w:sz w:val="24"/>
        </w:rPr>
        <w:t>仲裁费用或诉讼费用应由败诉方负担。</w:t>
      </w:r>
    </w:p>
    <w:p>
      <w:pPr>
        <w:spacing w:line="460" w:lineRule="exact"/>
        <w:ind w:firstLine="480" w:firstLineChars="200"/>
        <w:rPr>
          <w:sz w:val="24"/>
        </w:rPr>
      </w:pPr>
      <w:r>
        <w:rPr>
          <w:sz w:val="24"/>
        </w:rPr>
        <w:t>14.3</w:t>
      </w:r>
      <w:r>
        <w:rPr>
          <w:rFonts w:hint="eastAsia"/>
          <w:sz w:val="24"/>
        </w:rPr>
        <w:t>在仲裁或诉讼期间，除进行仲裁或诉讼的部分外，本合同其它部分应继续执行。</w:t>
      </w:r>
    </w:p>
    <w:p>
      <w:pPr>
        <w:spacing w:line="460" w:lineRule="exact"/>
        <w:rPr>
          <w:b/>
          <w:bCs/>
          <w:sz w:val="24"/>
        </w:rPr>
      </w:pPr>
      <w:r>
        <w:rPr>
          <w:b/>
          <w:bCs/>
          <w:sz w:val="24"/>
        </w:rPr>
        <w:t>15.</w:t>
      </w:r>
      <w:r>
        <w:rPr>
          <w:rFonts w:hint="eastAsia"/>
          <w:b/>
          <w:bCs/>
          <w:sz w:val="24"/>
        </w:rPr>
        <w:t>转让或分包</w:t>
      </w:r>
    </w:p>
    <w:p>
      <w:pPr>
        <w:spacing w:line="460" w:lineRule="exact"/>
        <w:ind w:firstLine="480" w:firstLineChars="200"/>
        <w:rPr>
          <w:sz w:val="24"/>
        </w:rPr>
      </w:pPr>
      <w:r>
        <w:rPr>
          <w:sz w:val="24"/>
        </w:rPr>
        <w:t>15.1</w:t>
      </w:r>
      <w:r>
        <w:rPr>
          <w:rFonts w:hint="eastAsia"/>
          <w:sz w:val="24"/>
        </w:rPr>
        <w:t>本合同范围的服务，应由供应商提供，不得转让他人供应；</w:t>
      </w:r>
    </w:p>
    <w:p>
      <w:pPr>
        <w:spacing w:line="460" w:lineRule="exact"/>
        <w:ind w:firstLine="480" w:firstLineChars="200"/>
        <w:rPr>
          <w:sz w:val="24"/>
        </w:rPr>
      </w:pPr>
      <w:r>
        <w:rPr>
          <w:sz w:val="24"/>
        </w:rPr>
        <w:t>15.2</w:t>
      </w:r>
      <w:r>
        <w:rPr>
          <w:rFonts w:hint="eastAsia"/>
          <w:sz w:val="24"/>
        </w:rPr>
        <w:t>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spacing w:line="460" w:lineRule="exact"/>
        <w:ind w:firstLine="480" w:firstLineChars="200"/>
        <w:rPr>
          <w:sz w:val="24"/>
        </w:rPr>
      </w:pPr>
      <w:r>
        <w:rPr>
          <w:sz w:val="24"/>
        </w:rPr>
        <w:t>15.3</w:t>
      </w:r>
      <w:r>
        <w:rPr>
          <w:rFonts w:hint="eastAsia"/>
          <w:sz w:val="24"/>
        </w:rPr>
        <w:t>本合同全部或部分的分包不能减轻供应商承担的责任，供应商仍须将分包人的任何行动、错误或疏忽当作是自己完成的并负全责；</w:t>
      </w:r>
    </w:p>
    <w:p>
      <w:pPr>
        <w:spacing w:line="460" w:lineRule="exact"/>
        <w:ind w:firstLine="480" w:firstLineChars="200"/>
        <w:rPr>
          <w:sz w:val="24"/>
        </w:rPr>
      </w:pPr>
      <w:r>
        <w:rPr>
          <w:sz w:val="24"/>
        </w:rPr>
        <w:t>15.4</w:t>
      </w:r>
      <w:r>
        <w:rPr>
          <w:rFonts w:hint="eastAsia"/>
          <w:sz w:val="24"/>
        </w:rPr>
        <w:t>在任何分包合同中，须注明分包人按分包合同的范围履行，在供应商按本合同的履行终止时（不论任何原因），亦同时一并终止；</w:t>
      </w:r>
    </w:p>
    <w:p>
      <w:pPr>
        <w:spacing w:line="460" w:lineRule="exact"/>
        <w:ind w:firstLine="480" w:firstLineChars="200"/>
        <w:rPr>
          <w:sz w:val="24"/>
        </w:rPr>
      </w:pPr>
      <w:r>
        <w:rPr>
          <w:sz w:val="24"/>
        </w:rPr>
        <w:t>15.5</w:t>
      </w:r>
      <w:r>
        <w:rPr>
          <w:rFonts w:hint="eastAsia"/>
          <w:sz w:val="24"/>
        </w:rPr>
        <w:t>如有转让和未经采购人同意的分包行为，采购人有权给予终止合同。</w:t>
      </w:r>
    </w:p>
    <w:p>
      <w:pPr>
        <w:spacing w:line="460" w:lineRule="exact"/>
        <w:rPr>
          <w:b/>
          <w:bCs/>
          <w:sz w:val="24"/>
        </w:rPr>
      </w:pPr>
      <w:r>
        <w:rPr>
          <w:b/>
          <w:bCs/>
          <w:sz w:val="24"/>
        </w:rPr>
        <w:t>16.</w:t>
      </w:r>
      <w:r>
        <w:rPr>
          <w:rFonts w:hint="eastAsia"/>
          <w:b/>
          <w:bCs/>
          <w:sz w:val="24"/>
        </w:rPr>
        <w:t>适用法律</w:t>
      </w:r>
    </w:p>
    <w:p>
      <w:pPr>
        <w:spacing w:line="460" w:lineRule="exact"/>
        <w:ind w:firstLine="480" w:firstLineChars="200"/>
        <w:rPr>
          <w:sz w:val="24"/>
        </w:rPr>
      </w:pPr>
      <w:r>
        <w:rPr>
          <w:rFonts w:hint="eastAsia"/>
          <w:sz w:val="24"/>
        </w:rPr>
        <w:t>合同适用法律有《中华人民共和国政府采购法》、《中华人民共和国民法典》和浙江省有关条例等。</w:t>
      </w:r>
    </w:p>
    <w:p>
      <w:pPr>
        <w:spacing w:line="460" w:lineRule="exact"/>
        <w:rPr>
          <w:b/>
          <w:bCs/>
          <w:sz w:val="24"/>
        </w:rPr>
      </w:pPr>
      <w:r>
        <w:rPr>
          <w:b/>
          <w:bCs/>
          <w:sz w:val="24"/>
        </w:rPr>
        <w:t>17.</w:t>
      </w:r>
      <w:r>
        <w:rPr>
          <w:rFonts w:hint="eastAsia"/>
          <w:b/>
          <w:bCs/>
          <w:sz w:val="24"/>
        </w:rPr>
        <w:t>合同生效及其他</w:t>
      </w:r>
    </w:p>
    <w:p>
      <w:pPr>
        <w:spacing w:line="460" w:lineRule="exact"/>
        <w:ind w:firstLine="480" w:firstLineChars="200"/>
        <w:rPr>
          <w:sz w:val="24"/>
        </w:rPr>
      </w:pPr>
      <w:r>
        <w:rPr>
          <w:sz w:val="24"/>
        </w:rPr>
        <w:t>17.1</w:t>
      </w:r>
      <w:r>
        <w:rPr>
          <w:rFonts w:hint="eastAsia"/>
          <w:sz w:val="24"/>
        </w:rPr>
        <w:t>本合同经双方法人及法定代表人签字盖章生效；</w:t>
      </w:r>
    </w:p>
    <w:p>
      <w:pPr>
        <w:spacing w:line="460" w:lineRule="exact"/>
        <w:ind w:firstLine="480" w:firstLineChars="200"/>
        <w:rPr>
          <w:sz w:val="24"/>
        </w:rPr>
      </w:pPr>
      <w:r>
        <w:rPr>
          <w:sz w:val="24"/>
        </w:rPr>
        <w:t>17.2</w:t>
      </w:r>
      <w:r>
        <w:rPr>
          <w:rFonts w:hint="eastAsia"/>
          <w:sz w:val="24"/>
        </w:rPr>
        <w:t>本合同一式肆份，供应商、采购人各执二份。</w:t>
      </w:r>
    </w:p>
    <w:p>
      <w:pPr>
        <w:pStyle w:val="130"/>
        <w:tabs>
          <w:tab w:val="left" w:pos="822"/>
        </w:tabs>
        <w:ind w:firstLine="0" w:firstLineChars="0"/>
        <w:rPr>
          <w:rFonts w:ascii="Tahoma" w:hAnsi="Tahoma" w:cs="Tahoma"/>
          <w:sz w:val="24"/>
        </w:rPr>
      </w:pPr>
    </w:p>
    <w:p>
      <w:pPr>
        <w:spacing w:line="480" w:lineRule="auto"/>
        <w:ind w:firstLine="240" w:firstLineChars="100"/>
        <w:rPr>
          <w:sz w:val="24"/>
        </w:rPr>
      </w:pPr>
      <w:r>
        <w:rPr>
          <w:rFonts w:hint="eastAsia"/>
          <w:sz w:val="24"/>
        </w:rPr>
        <w:t>甲方：                                        乙方：</w:t>
      </w:r>
    </w:p>
    <w:p>
      <w:pPr>
        <w:spacing w:line="480" w:lineRule="auto"/>
        <w:ind w:firstLine="240" w:firstLineChars="100"/>
        <w:textAlignment w:val="bottom"/>
        <w:rPr>
          <w:sz w:val="24"/>
        </w:rPr>
      </w:pPr>
      <w:r>
        <w:rPr>
          <w:rFonts w:hint="eastAsia"/>
          <w:sz w:val="24"/>
        </w:rPr>
        <w:t>法定代表人或                                  法定代表人或</w:t>
      </w:r>
    </w:p>
    <w:p>
      <w:pPr>
        <w:spacing w:line="480" w:lineRule="auto"/>
        <w:ind w:firstLine="240" w:firstLineChars="100"/>
        <w:textAlignment w:val="bottom"/>
        <w:rPr>
          <w:sz w:val="24"/>
        </w:rPr>
      </w:pPr>
      <w:r>
        <w:rPr>
          <w:rFonts w:hint="eastAsia"/>
          <w:sz w:val="24"/>
        </w:rPr>
        <w:t>受委托人（签字）：                            受委托人（签字）：</w:t>
      </w:r>
    </w:p>
    <w:p>
      <w:pPr>
        <w:spacing w:line="480" w:lineRule="auto"/>
        <w:ind w:firstLine="240" w:firstLineChars="100"/>
        <w:textAlignment w:val="bottom"/>
        <w:rPr>
          <w:sz w:val="24"/>
        </w:rPr>
      </w:pPr>
      <w:r>
        <w:rPr>
          <w:rFonts w:hint="eastAsia"/>
          <w:sz w:val="24"/>
        </w:rPr>
        <w:t>地址：                                        地址：</w:t>
      </w:r>
    </w:p>
    <w:p>
      <w:pPr>
        <w:spacing w:line="480" w:lineRule="auto"/>
        <w:ind w:firstLine="240" w:firstLineChars="100"/>
        <w:textAlignment w:val="bottom"/>
        <w:rPr>
          <w:sz w:val="24"/>
        </w:rPr>
      </w:pPr>
      <w:r>
        <w:rPr>
          <w:rFonts w:hint="eastAsia"/>
          <w:sz w:val="24"/>
        </w:rPr>
        <w:t>邮编：                                        邮编：</w:t>
      </w:r>
    </w:p>
    <w:p>
      <w:pPr>
        <w:spacing w:line="480" w:lineRule="auto"/>
        <w:ind w:firstLine="240" w:firstLineChars="100"/>
        <w:textAlignment w:val="bottom"/>
        <w:rPr>
          <w:sz w:val="24"/>
        </w:rPr>
      </w:pPr>
      <w:r>
        <w:rPr>
          <w:rFonts w:hint="eastAsia"/>
          <w:sz w:val="24"/>
        </w:rPr>
        <w:t>电话：                                        电话：</w:t>
      </w:r>
    </w:p>
    <w:p>
      <w:pPr>
        <w:spacing w:line="480" w:lineRule="auto"/>
        <w:ind w:firstLine="240" w:firstLineChars="100"/>
        <w:textAlignment w:val="bottom"/>
        <w:rPr>
          <w:sz w:val="24"/>
        </w:rPr>
      </w:pPr>
      <w:r>
        <w:rPr>
          <w:rFonts w:hint="eastAsia"/>
          <w:sz w:val="24"/>
        </w:rPr>
        <w:t>传真：                                        传真：</w:t>
      </w:r>
    </w:p>
    <w:p>
      <w:pPr>
        <w:spacing w:line="480" w:lineRule="auto"/>
        <w:ind w:firstLine="240" w:firstLineChars="100"/>
        <w:textAlignment w:val="bottom"/>
        <w:rPr>
          <w:sz w:val="24"/>
        </w:rPr>
      </w:pPr>
      <w:r>
        <w:rPr>
          <w:rFonts w:hint="eastAsia"/>
          <w:sz w:val="24"/>
        </w:rPr>
        <w:t>开户银行：                                    开户银行：</w:t>
      </w:r>
    </w:p>
    <w:p>
      <w:pPr>
        <w:spacing w:line="480" w:lineRule="auto"/>
        <w:ind w:firstLine="240" w:firstLineChars="100"/>
        <w:textAlignment w:val="bottom"/>
        <w:rPr>
          <w:sz w:val="24"/>
        </w:rPr>
      </w:pPr>
      <w:r>
        <w:rPr>
          <w:rFonts w:hint="eastAsia"/>
          <w:sz w:val="24"/>
        </w:rPr>
        <w:t>账号：                                        账号：</w:t>
      </w:r>
    </w:p>
    <w:p>
      <w:pPr>
        <w:rPr>
          <w:color w:val="000000"/>
          <w:sz w:val="24"/>
        </w:rPr>
      </w:pPr>
      <w:r>
        <w:rPr>
          <w:rFonts w:hint="eastAsia"/>
          <w:color w:val="000000"/>
          <w:sz w:val="24"/>
        </w:rPr>
        <w:br w:type="page"/>
      </w:r>
    </w:p>
    <w:p/>
    <w:p>
      <w:pPr>
        <w:spacing w:line="500" w:lineRule="exact"/>
        <w:jc w:val="center"/>
        <w:outlineLvl w:val="0"/>
        <w:rPr>
          <w:rFonts w:ascii="宋体" w:hAnsi="宋体" w:cs="仿宋"/>
          <w:b/>
          <w:sz w:val="30"/>
          <w:szCs w:val="30"/>
        </w:rPr>
      </w:pPr>
      <w:r>
        <w:rPr>
          <w:rFonts w:hint="eastAsia" w:ascii="宋体" w:hAnsi="宋体" w:cs="仿宋"/>
          <w:b/>
          <w:sz w:val="30"/>
          <w:szCs w:val="30"/>
        </w:rPr>
        <w:t>第六章投标文件格式</w:t>
      </w:r>
      <w:bookmarkEnd w:id="29"/>
    </w:p>
    <w:p>
      <w:pPr>
        <w:snapToGrid w:val="0"/>
        <w:spacing w:beforeLines="50" w:after="50"/>
        <w:rPr>
          <w:rFonts w:ascii="宋体" w:hAnsi="宋体" w:cs="宋体"/>
          <w:b/>
          <w:sz w:val="24"/>
        </w:rPr>
      </w:pPr>
    </w:p>
    <w:p>
      <w:pPr>
        <w:snapToGrid w:val="0"/>
        <w:spacing w:beforeLines="50" w:after="50"/>
        <w:rPr>
          <w:rFonts w:ascii="宋体" w:hAnsi="宋体" w:cs="宋体"/>
          <w:b/>
          <w:sz w:val="24"/>
          <w:szCs w:val="20"/>
        </w:rPr>
      </w:pPr>
      <w:r>
        <w:rPr>
          <w:rFonts w:hint="eastAsia" w:ascii="宋体" w:hAnsi="宋体" w:cs="宋体"/>
          <w:b/>
          <w:sz w:val="24"/>
        </w:rPr>
        <w:t>1、资格文件（或</w:t>
      </w:r>
      <w:r>
        <w:rPr>
          <w:rFonts w:hint="eastAsia" w:ascii="宋体" w:hAnsi="宋体" w:cs="宋体"/>
          <w:b/>
          <w:bCs/>
          <w:sz w:val="24"/>
        </w:rPr>
        <w:t>商务技术文件）格式</w:t>
      </w:r>
    </w:p>
    <w:p>
      <w:pPr>
        <w:snapToGrid w:val="0"/>
        <w:spacing w:beforeLines="50" w:after="50"/>
        <w:jc w:val="right"/>
        <w:rPr>
          <w:rFonts w:ascii="宋体" w:hAnsi="宋体" w:cs="宋体"/>
          <w:b/>
          <w:bCs/>
          <w:sz w:val="32"/>
          <w:szCs w:val="20"/>
        </w:rPr>
      </w:pPr>
      <w:r>
        <w:rPr>
          <w:rFonts w:hint="eastAsia" w:ascii="宋体" w:hAnsi="宋体" w:cs="宋体"/>
          <w:b/>
          <w:bCs/>
        </w:rPr>
        <w:t>正本/或副本</w:t>
      </w:r>
    </w:p>
    <w:p>
      <w:pPr>
        <w:snapToGrid w:val="0"/>
        <w:spacing w:beforeLines="50" w:after="50"/>
        <w:rPr>
          <w:rFonts w:ascii="宋体" w:hAnsi="宋体" w:cs="宋体"/>
          <w:sz w:val="24"/>
          <w:szCs w:val="20"/>
        </w:rPr>
      </w:pPr>
    </w:p>
    <w:p>
      <w:pPr>
        <w:snapToGrid w:val="0"/>
        <w:spacing w:beforeLines="50" w:after="50"/>
        <w:jc w:val="center"/>
        <w:rPr>
          <w:rFonts w:ascii="宋体" w:hAnsi="宋体" w:cs="宋体"/>
          <w:bCs/>
          <w:sz w:val="24"/>
          <w:szCs w:val="20"/>
        </w:rPr>
      </w:pPr>
    </w:p>
    <w:p>
      <w:pPr>
        <w:snapToGrid w:val="0"/>
        <w:spacing w:beforeLines="50" w:after="50"/>
        <w:jc w:val="center"/>
        <w:rPr>
          <w:rFonts w:ascii="宋体" w:hAnsi="宋体" w:cs="宋体"/>
          <w:bCs/>
          <w:sz w:val="24"/>
          <w:szCs w:val="20"/>
        </w:rPr>
      </w:pPr>
      <w:r>
        <w:rPr>
          <w:rFonts w:hint="eastAsia" w:ascii="宋体" w:hAnsi="宋体" w:cs="宋体"/>
          <w:bCs/>
          <w:sz w:val="24"/>
        </w:rPr>
        <w:t>资格文件（或商务技术文件）</w:t>
      </w:r>
    </w:p>
    <w:p>
      <w:pPr>
        <w:snapToGrid w:val="0"/>
        <w:spacing w:beforeLines="50" w:after="50"/>
        <w:rPr>
          <w:rFonts w:ascii="宋体" w:hAnsi="宋体" w:cs="宋体"/>
          <w:bCs/>
          <w:sz w:val="24"/>
          <w:szCs w:val="20"/>
        </w:rPr>
      </w:pPr>
    </w:p>
    <w:p>
      <w:pPr>
        <w:snapToGrid w:val="0"/>
        <w:spacing w:beforeLines="50" w:after="50"/>
        <w:ind w:firstLine="1068" w:firstLineChars="445"/>
        <w:rPr>
          <w:rFonts w:ascii="宋体" w:hAnsi="宋体" w:cs="宋体"/>
          <w:bCs/>
          <w:sz w:val="24"/>
        </w:rPr>
      </w:pPr>
      <w:r>
        <w:rPr>
          <w:rFonts w:hint="eastAsia" w:ascii="宋体" w:hAnsi="宋体" w:cs="宋体"/>
          <w:bCs/>
          <w:sz w:val="24"/>
        </w:rPr>
        <w:t>项目名称：</w:t>
      </w:r>
    </w:p>
    <w:p>
      <w:pPr>
        <w:snapToGrid w:val="0"/>
        <w:spacing w:beforeLines="50" w:after="50"/>
        <w:ind w:firstLine="1068" w:firstLineChars="445"/>
        <w:rPr>
          <w:rFonts w:ascii="宋体" w:hAnsi="宋体" w:cs="宋体"/>
          <w:bCs/>
          <w:sz w:val="24"/>
        </w:rPr>
      </w:pPr>
      <w:r>
        <w:rPr>
          <w:rFonts w:hint="eastAsia" w:ascii="宋体" w:hAnsi="宋体" w:cs="宋体"/>
          <w:bCs/>
          <w:sz w:val="24"/>
        </w:rPr>
        <w:t>项目编号：</w:t>
      </w:r>
    </w:p>
    <w:p>
      <w:pPr>
        <w:snapToGrid w:val="0"/>
        <w:spacing w:beforeLines="50" w:after="50"/>
        <w:ind w:firstLine="1068" w:firstLineChars="445"/>
        <w:rPr>
          <w:rFonts w:ascii="宋体" w:hAnsi="宋体" w:cs="宋体"/>
          <w:bCs/>
          <w:sz w:val="24"/>
        </w:rPr>
      </w:pPr>
      <w:r>
        <w:rPr>
          <w:rFonts w:hint="eastAsia" w:ascii="宋体" w:hAnsi="宋体" w:cs="宋体"/>
          <w:bCs/>
          <w:sz w:val="24"/>
        </w:rPr>
        <w:t>投标人名称：</w:t>
      </w:r>
    </w:p>
    <w:p>
      <w:pPr>
        <w:snapToGrid w:val="0"/>
        <w:spacing w:beforeLines="50" w:after="50"/>
        <w:ind w:firstLine="1068" w:firstLineChars="445"/>
        <w:rPr>
          <w:rFonts w:ascii="宋体" w:hAnsi="宋体" w:cs="宋体"/>
          <w:bCs/>
          <w:sz w:val="24"/>
        </w:rPr>
      </w:pPr>
      <w:r>
        <w:rPr>
          <w:rFonts w:hint="eastAsia" w:ascii="宋体" w:hAnsi="宋体" w:cs="宋体"/>
          <w:bCs/>
          <w:sz w:val="24"/>
        </w:rPr>
        <w:t>投标人地址：</w:t>
      </w:r>
    </w:p>
    <w:p>
      <w:pPr>
        <w:snapToGrid w:val="0"/>
        <w:spacing w:beforeLines="50" w:after="50"/>
        <w:ind w:firstLine="1068" w:firstLineChars="445"/>
        <w:rPr>
          <w:rFonts w:ascii="宋体" w:hAnsi="宋体" w:cs="宋体"/>
          <w:bCs/>
          <w:sz w:val="24"/>
        </w:rPr>
      </w:pPr>
      <w:r>
        <w:rPr>
          <w:rFonts w:hint="eastAsia" w:ascii="宋体" w:hAnsi="宋体" w:cs="宋体"/>
          <w:bCs/>
          <w:sz w:val="24"/>
        </w:rPr>
        <w:t>在   年  月  日  时  分之前不得启封</w:t>
      </w:r>
    </w:p>
    <w:p>
      <w:pPr>
        <w:pStyle w:val="5"/>
        <w:snapToGrid w:val="0"/>
        <w:spacing w:before="50" w:after="50"/>
        <w:ind w:firstLine="960" w:firstLineChars="400"/>
        <w:rPr>
          <w:rFonts w:ascii="宋体" w:hAnsi="宋体" w:cs="宋体"/>
          <w:bCs/>
          <w:sz w:val="24"/>
        </w:rPr>
      </w:pPr>
    </w:p>
    <w:p>
      <w:pPr>
        <w:snapToGrid w:val="0"/>
        <w:spacing w:beforeLines="50" w:after="50"/>
        <w:ind w:firstLine="4080" w:firstLineChars="1700"/>
        <w:rPr>
          <w:rFonts w:ascii="宋体" w:hAnsi="宋体" w:cs="宋体"/>
          <w:sz w:val="24"/>
          <w:szCs w:val="20"/>
        </w:rPr>
      </w:pPr>
    </w:p>
    <w:p>
      <w:pPr>
        <w:snapToGrid w:val="0"/>
        <w:spacing w:beforeLines="50" w:after="50"/>
        <w:ind w:firstLine="645"/>
        <w:jc w:val="right"/>
        <w:rPr>
          <w:rFonts w:ascii="宋体" w:hAnsi="宋体" w:cs="宋体"/>
          <w:sz w:val="24"/>
          <w:szCs w:val="20"/>
        </w:rPr>
      </w:pPr>
      <w:r>
        <w:rPr>
          <w:rFonts w:hint="eastAsia" w:ascii="宋体" w:hAnsi="宋体" w:cs="宋体"/>
          <w:sz w:val="24"/>
        </w:rPr>
        <w:t>年  月  日</w:t>
      </w:r>
    </w:p>
    <w:p>
      <w:pPr>
        <w:snapToGrid w:val="0"/>
        <w:spacing w:beforeLines="50" w:after="50"/>
        <w:rPr>
          <w:rFonts w:ascii="宋体" w:hAnsi="宋体" w:cs="宋体"/>
          <w:sz w:val="24"/>
          <w:szCs w:val="20"/>
        </w:rPr>
      </w:pPr>
    </w:p>
    <w:p>
      <w:pPr>
        <w:pStyle w:val="63"/>
      </w:pPr>
    </w:p>
    <w:p>
      <w:pPr>
        <w:pStyle w:val="63"/>
      </w:pPr>
    </w:p>
    <w:p>
      <w:pPr>
        <w:pStyle w:val="63"/>
      </w:pPr>
    </w:p>
    <w:p>
      <w:pPr>
        <w:pStyle w:val="63"/>
      </w:pPr>
    </w:p>
    <w:p>
      <w:pPr>
        <w:pStyle w:val="63"/>
      </w:pPr>
    </w:p>
    <w:p>
      <w:pPr>
        <w:pStyle w:val="63"/>
      </w:pPr>
    </w:p>
    <w:p>
      <w:pPr>
        <w:pStyle w:val="63"/>
      </w:pPr>
    </w:p>
    <w:p>
      <w:pPr>
        <w:pStyle w:val="63"/>
      </w:pPr>
    </w:p>
    <w:p>
      <w:pPr>
        <w:pStyle w:val="63"/>
      </w:pPr>
    </w:p>
    <w:p>
      <w:pPr>
        <w:pStyle w:val="63"/>
      </w:pPr>
    </w:p>
    <w:p>
      <w:pPr>
        <w:pStyle w:val="63"/>
      </w:pPr>
    </w:p>
    <w:p>
      <w:pPr>
        <w:pStyle w:val="63"/>
      </w:pPr>
    </w:p>
    <w:p>
      <w:pPr>
        <w:pStyle w:val="63"/>
      </w:pPr>
    </w:p>
    <w:p>
      <w:pPr>
        <w:pStyle w:val="63"/>
      </w:pPr>
    </w:p>
    <w:p>
      <w:pPr>
        <w:pStyle w:val="63"/>
      </w:pPr>
    </w:p>
    <w:p>
      <w:pPr>
        <w:pStyle w:val="63"/>
      </w:pPr>
    </w:p>
    <w:p>
      <w:pPr>
        <w:pStyle w:val="63"/>
      </w:pPr>
    </w:p>
    <w:p>
      <w:pPr>
        <w:pStyle w:val="63"/>
      </w:pPr>
    </w:p>
    <w:p>
      <w:pPr>
        <w:pStyle w:val="63"/>
      </w:pPr>
    </w:p>
    <w:p>
      <w:pPr>
        <w:pStyle w:val="63"/>
      </w:pPr>
    </w:p>
    <w:p>
      <w:pPr>
        <w:pStyle w:val="63"/>
      </w:pPr>
    </w:p>
    <w:p>
      <w:pPr>
        <w:pStyle w:val="63"/>
      </w:pPr>
    </w:p>
    <w:p>
      <w:pPr>
        <w:pStyle w:val="63"/>
      </w:pPr>
    </w:p>
    <w:p>
      <w:pPr>
        <w:pStyle w:val="63"/>
      </w:pPr>
    </w:p>
    <w:p>
      <w:pPr>
        <w:pStyle w:val="63"/>
      </w:pPr>
    </w:p>
    <w:p>
      <w:pPr>
        <w:snapToGrid w:val="0"/>
        <w:spacing w:beforeLines="50" w:after="50"/>
        <w:rPr>
          <w:rFonts w:ascii="宋体" w:hAnsi="宋体"/>
          <w:b/>
          <w:sz w:val="24"/>
        </w:rPr>
      </w:pPr>
    </w:p>
    <w:p>
      <w:pPr>
        <w:snapToGrid w:val="0"/>
        <w:spacing w:beforeLines="50" w:after="50"/>
        <w:rPr>
          <w:rFonts w:ascii="宋体" w:hAnsi="宋体"/>
          <w:b/>
          <w:sz w:val="24"/>
        </w:rPr>
      </w:pPr>
      <w:r>
        <w:rPr>
          <w:rFonts w:hint="eastAsia" w:ascii="宋体" w:hAnsi="宋体"/>
          <w:b/>
          <w:sz w:val="24"/>
        </w:rPr>
        <w:t>资格文件目录</w:t>
      </w:r>
    </w:p>
    <w:p>
      <w:pPr>
        <w:pStyle w:val="63"/>
        <w:spacing w:line="360" w:lineRule="auto"/>
        <w:rPr>
          <w:rFonts w:ascii="宋体" w:hAnsi="Courier New" w:cs="Courier New"/>
          <w:kern w:val="2"/>
          <w:sz w:val="24"/>
          <w:szCs w:val="21"/>
        </w:rPr>
      </w:pPr>
      <w:r>
        <w:rPr>
          <w:rFonts w:hint="eastAsia" w:ascii="宋体" w:hAnsi="宋体" w:eastAsia="宋体" w:cs="宋体"/>
          <w:kern w:val="2"/>
          <w:sz w:val="24"/>
          <w:szCs w:val="21"/>
        </w:rPr>
        <w:t xml:space="preserve"> </w:t>
      </w:r>
      <w:r>
        <w:rPr>
          <w:rFonts w:hint="eastAsia" w:ascii="宋体" w:hAnsi="宋体" w:eastAsia="宋体" w:cs="宋体"/>
          <w:kern w:val="2"/>
          <w:sz w:val="24"/>
          <w:szCs w:val="21"/>
          <w:lang w:val="en-US" w:eastAsia="zh-CN"/>
        </w:rPr>
        <w:t xml:space="preserve">   </w:t>
      </w:r>
      <w:r>
        <w:rPr>
          <w:rFonts w:hint="eastAsia" w:ascii="宋体" w:hAnsi="宋体" w:eastAsia="宋体" w:cs="宋体"/>
          <w:kern w:val="2"/>
          <w:sz w:val="24"/>
          <w:szCs w:val="21"/>
        </w:rPr>
        <w:t>（1）投标单位情况表；</w:t>
      </w:r>
    </w:p>
    <w:p>
      <w:pPr>
        <w:pStyle w:val="26"/>
        <w:spacing w:line="360" w:lineRule="auto"/>
        <w:ind w:firstLine="480" w:firstLineChars="200"/>
        <w:rPr>
          <w:sz w:val="24"/>
        </w:rPr>
      </w:pPr>
      <w:r>
        <w:rPr>
          <w:rFonts w:hint="eastAsia"/>
          <w:sz w:val="24"/>
        </w:rPr>
        <w:t>（2）有效的营业执照、税务登记证、组织机构代码证或“三证合一”的营业执照或“五证合一”的营业执照；</w:t>
      </w:r>
    </w:p>
    <w:p>
      <w:pPr>
        <w:snapToGrid w:val="0"/>
        <w:spacing w:line="360" w:lineRule="auto"/>
        <w:ind w:firstLine="480" w:firstLineChars="200"/>
        <w:rPr>
          <w:rFonts w:ascii="宋体" w:hAnsi="宋体" w:cs="宋体"/>
          <w:sz w:val="24"/>
        </w:rPr>
      </w:pPr>
      <w:r>
        <w:rPr>
          <w:rFonts w:hint="eastAsia" w:ascii="宋体" w:hAnsi="宋体" w:cs="宋体"/>
          <w:sz w:val="24"/>
        </w:rPr>
        <w:t>（3）法定代表人或其授权代理人的授权证书及身份证明；</w:t>
      </w:r>
    </w:p>
    <w:p>
      <w:pPr>
        <w:snapToGrid w:val="0"/>
        <w:spacing w:line="360" w:lineRule="auto"/>
        <w:ind w:firstLine="480" w:firstLineChars="200"/>
        <w:rPr>
          <w:rFonts w:ascii="宋体" w:hAnsi="宋体" w:cs="宋体"/>
          <w:kern w:val="0"/>
          <w:sz w:val="24"/>
        </w:rPr>
      </w:pPr>
      <w:r>
        <w:rPr>
          <w:rFonts w:hint="eastAsia" w:ascii="宋体" w:hAnsi="宋体" w:cs="宋体"/>
          <w:sz w:val="24"/>
        </w:rPr>
        <w:t>（4</w:t>
      </w:r>
      <w:r>
        <w:rPr>
          <w:rFonts w:hint="eastAsia" w:hAnsi="宋体" w:cs="Arial"/>
          <w:sz w:val="24"/>
        </w:rPr>
        <w:t>）</w:t>
      </w:r>
      <w:r>
        <w:rPr>
          <w:rFonts w:hint="eastAsia" w:ascii="宋体" w:hAnsi="宋体" w:cs="宋体"/>
          <w:sz w:val="24"/>
        </w:rPr>
        <w:t>授权代理人提供近三个月中任意一个月的社保证明；</w:t>
      </w:r>
    </w:p>
    <w:p>
      <w:pPr>
        <w:pStyle w:val="26"/>
        <w:spacing w:line="360" w:lineRule="auto"/>
        <w:ind w:firstLine="480" w:firstLineChars="200"/>
        <w:rPr>
          <w:rFonts w:hAnsi="宋体"/>
          <w:sz w:val="24"/>
        </w:rPr>
      </w:pPr>
      <w:r>
        <w:rPr>
          <w:rFonts w:hint="eastAsia" w:hAnsi="宋体"/>
          <w:sz w:val="24"/>
        </w:rPr>
        <w:t>（5</w:t>
      </w:r>
      <w:r>
        <w:rPr>
          <w:rFonts w:hAnsi="宋体"/>
          <w:sz w:val="24"/>
        </w:rPr>
        <w:t>）</w:t>
      </w:r>
      <w:r>
        <w:rPr>
          <w:rFonts w:hint="eastAsia" w:hAnsi="宋体"/>
          <w:sz w:val="24"/>
        </w:rPr>
        <w:t>供应商的依法缴纳税收和社会保障资金的承诺函；</w:t>
      </w:r>
    </w:p>
    <w:p>
      <w:pPr>
        <w:pStyle w:val="26"/>
        <w:spacing w:line="360" w:lineRule="auto"/>
        <w:ind w:firstLine="480" w:firstLineChars="200"/>
        <w:rPr>
          <w:sz w:val="24"/>
        </w:rPr>
      </w:pPr>
      <w:r>
        <w:rPr>
          <w:rFonts w:hint="eastAsia" w:hAnsi="宋体"/>
          <w:sz w:val="24"/>
        </w:rPr>
        <w:t>（6）</w:t>
      </w:r>
      <w:r>
        <w:rPr>
          <w:rFonts w:hint="eastAsia"/>
          <w:sz w:val="24"/>
        </w:rPr>
        <w:t>提供自招标公告发布之日起至投标截止日前任意时间的“信用中国”网站（www.creditchina.gov.cn）、中国政府采购网（www.ccgp.gov.cn）供应商信用查询网页截图。（以开标当日采购人或由采购人委托的评标委员会核实的查询结果为准）；</w:t>
      </w:r>
    </w:p>
    <w:p>
      <w:pPr>
        <w:pStyle w:val="26"/>
        <w:spacing w:line="360" w:lineRule="auto"/>
        <w:ind w:firstLine="480" w:firstLineChars="200"/>
        <w:rPr>
          <w:rFonts w:hint="eastAsia" w:hAnsi="宋体"/>
          <w:sz w:val="24"/>
        </w:rPr>
      </w:pPr>
      <w:r>
        <w:rPr>
          <w:rFonts w:hint="eastAsia"/>
          <w:sz w:val="24"/>
        </w:rPr>
        <w:t>（7）</w:t>
      </w:r>
      <w:r>
        <w:rPr>
          <w:rFonts w:hint="eastAsia" w:hAnsi="宋体"/>
          <w:sz w:val="24"/>
        </w:rPr>
        <w:t>信用承诺书；</w:t>
      </w:r>
    </w:p>
    <w:p>
      <w:pPr>
        <w:pStyle w:val="26"/>
        <w:spacing w:line="360" w:lineRule="auto"/>
        <w:ind w:firstLine="480" w:firstLineChars="200"/>
        <w:rPr>
          <w:rFonts w:hint="eastAsia" w:hAnsi="宋体" w:eastAsia="宋体"/>
          <w:sz w:val="24"/>
          <w:lang w:eastAsia="zh-CN"/>
        </w:rPr>
      </w:pPr>
      <w:r>
        <w:rPr>
          <w:rFonts w:hint="eastAsia" w:hAnsi="宋体"/>
          <w:sz w:val="24"/>
          <w:lang w:eastAsia="zh-CN"/>
        </w:rPr>
        <w:t>（</w:t>
      </w:r>
      <w:r>
        <w:rPr>
          <w:rFonts w:hint="eastAsia" w:hAnsi="宋体"/>
          <w:sz w:val="24"/>
          <w:lang w:val="en-US" w:eastAsia="zh-CN"/>
        </w:rPr>
        <w:t>8</w:t>
      </w:r>
      <w:r>
        <w:rPr>
          <w:rFonts w:hint="eastAsia" w:hAnsi="宋体"/>
          <w:sz w:val="24"/>
          <w:lang w:eastAsia="zh-CN"/>
        </w:rPr>
        <w:t>）</w:t>
      </w:r>
      <w:r>
        <w:rPr>
          <w:rFonts w:hint="eastAsia" w:ascii="宋体" w:hAnsi="宋体" w:eastAsia="宋体" w:cs="宋体"/>
          <w:sz w:val="24"/>
        </w:rPr>
        <w:t>供应商</w:t>
      </w:r>
      <w:r>
        <w:rPr>
          <w:rFonts w:hint="eastAsia" w:ascii="宋体" w:hAnsi="宋体" w:eastAsia="宋体" w:cs="宋体"/>
          <w:sz w:val="24"/>
          <w:lang w:eastAsia="zh-CN"/>
        </w:rPr>
        <w:t>的</w:t>
      </w:r>
      <w:r>
        <w:rPr>
          <w:rFonts w:hint="eastAsia" w:ascii="宋体" w:hAnsi="宋体" w:eastAsia="宋体" w:cs="宋体"/>
          <w:sz w:val="24"/>
        </w:rPr>
        <w:t>《中小企业声明函》，或属残疾人福利性单位、监狱企业的证明</w:t>
      </w:r>
      <w:r>
        <w:rPr>
          <w:rFonts w:hint="eastAsia" w:ascii="宋体" w:hAnsi="宋体" w:eastAsia="宋体" w:cs="宋体"/>
          <w:sz w:val="24"/>
          <w:lang w:eastAsia="zh-CN"/>
        </w:rPr>
        <w:t>。</w:t>
      </w:r>
    </w:p>
    <w:p>
      <w:pPr>
        <w:pStyle w:val="26"/>
        <w:spacing w:line="360" w:lineRule="auto"/>
        <w:ind w:firstLine="480" w:firstLineChars="200"/>
        <w:rPr>
          <w:sz w:val="24"/>
        </w:rPr>
      </w:pPr>
    </w:p>
    <w:p>
      <w:pPr>
        <w:pStyle w:val="26"/>
        <w:spacing w:line="360" w:lineRule="auto"/>
        <w:ind w:firstLine="480" w:firstLineChars="200"/>
        <w:rPr>
          <w:sz w:val="24"/>
        </w:rPr>
      </w:pPr>
    </w:p>
    <w:p>
      <w:pPr>
        <w:snapToGrid w:val="0"/>
        <w:spacing w:beforeLines="50" w:after="50" w:line="276" w:lineRule="auto"/>
        <w:rPr>
          <w:rFonts w:ascii="宋体" w:hAnsi="宋体"/>
          <w:b/>
          <w:sz w:val="30"/>
        </w:rPr>
      </w:pPr>
    </w:p>
    <w:p>
      <w:pPr>
        <w:snapToGrid w:val="0"/>
        <w:spacing w:beforeLines="50" w:after="50" w:line="276" w:lineRule="auto"/>
        <w:rPr>
          <w:rFonts w:ascii="宋体" w:hAnsi="宋体"/>
          <w:b/>
          <w:sz w:val="30"/>
        </w:rPr>
      </w:pPr>
    </w:p>
    <w:p>
      <w:pPr>
        <w:pStyle w:val="19"/>
        <w:ind w:firstLine="240"/>
        <w:rPr>
          <w:sz w:val="24"/>
        </w:rPr>
      </w:pPr>
    </w:p>
    <w:p>
      <w:pPr>
        <w:snapToGrid w:val="0"/>
        <w:spacing w:beforeLines="50" w:after="50" w:line="276" w:lineRule="auto"/>
        <w:rPr>
          <w:rFonts w:ascii="宋体" w:hAnsi="宋体"/>
          <w:b/>
          <w:sz w:val="30"/>
        </w:rPr>
      </w:pPr>
    </w:p>
    <w:p>
      <w:pPr>
        <w:pStyle w:val="19"/>
        <w:ind w:firstLine="240"/>
        <w:rPr>
          <w:sz w:val="24"/>
        </w:rPr>
      </w:pPr>
    </w:p>
    <w:p>
      <w:pPr>
        <w:pStyle w:val="19"/>
        <w:ind w:firstLine="240"/>
        <w:rPr>
          <w:sz w:val="24"/>
        </w:rPr>
      </w:pPr>
    </w:p>
    <w:p>
      <w:pPr>
        <w:pStyle w:val="19"/>
        <w:ind w:firstLine="240"/>
        <w:rPr>
          <w:sz w:val="24"/>
        </w:rPr>
      </w:pPr>
    </w:p>
    <w:p>
      <w:pPr>
        <w:pStyle w:val="19"/>
        <w:ind w:firstLine="240"/>
        <w:rPr>
          <w:sz w:val="24"/>
        </w:rPr>
      </w:pPr>
    </w:p>
    <w:p>
      <w:pPr>
        <w:pStyle w:val="19"/>
        <w:ind w:firstLine="240"/>
        <w:rPr>
          <w:sz w:val="24"/>
        </w:rPr>
      </w:pPr>
    </w:p>
    <w:p>
      <w:pPr>
        <w:pStyle w:val="19"/>
        <w:ind w:firstLine="240"/>
        <w:rPr>
          <w:sz w:val="24"/>
        </w:rPr>
      </w:pPr>
    </w:p>
    <w:p>
      <w:pPr>
        <w:pStyle w:val="19"/>
        <w:ind w:firstLine="240"/>
        <w:rPr>
          <w:sz w:val="24"/>
        </w:rPr>
      </w:pPr>
    </w:p>
    <w:p>
      <w:pPr>
        <w:pStyle w:val="19"/>
        <w:ind w:firstLine="240"/>
        <w:rPr>
          <w:sz w:val="24"/>
        </w:rPr>
      </w:pPr>
    </w:p>
    <w:p>
      <w:pPr>
        <w:pStyle w:val="19"/>
        <w:ind w:firstLine="240"/>
        <w:rPr>
          <w:sz w:val="24"/>
        </w:rPr>
      </w:pPr>
    </w:p>
    <w:p>
      <w:pPr>
        <w:pStyle w:val="19"/>
        <w:ind w:firstLine="240"/>
        <w:rPr>
          <w:sz w:val="24"/>
        </w:rPr>
      </w:pPr>
    </w:p>
    <w:p>
      <w:pPr>
        <w:pStyle w:val="19"/>
        <w:ind w:firstLine="240"/>
        <w:rPr>
          <w:sz w:val="24"/>
        </w:rPr>
      </w:pPr>
    </w:p>
    <w:p/>
    <w:p>
      <w:pPr>
        <w:pStyle w:val="20"/>
      </w:pPr>
    </w:p>
    <w:p>
      <w:pPr>
        <w:pStyle w:val="19"/>
        <w:ind w:firstLine="240"/>
        <w:rPr>
          <w:sz w:val="24"/>
        </w:rPr>
      </w:pPr>
    </w:p>
    <w:p>
      <w:pPr>
        <w:numPr>
          <w:ilvl w:val="0"/>
          <w:numId w:val="11"/>
        </w:numPr>
        <w:spacing w:line="480" w:lineRule="exact"/>
        <w:ind w:firstLine="560"/>
        <w:jc w:val="center"/>
        <w:rPr>
          <w:rFonts w:ascii="微软雅黑" w:hAnsi="微软雅黑" w:cs="微软雅黑"/>
          <w:sz w:val="24"/>
        </w:rPr>
      </w:pPr>
      <w:r>
        <w:rPr>
          <w:rFonts w:hint="eastAsia" w:ascii="微软雅黑" w:hAnsi="微软雅黑" w:cs="微软雅黑"/>
          <w:b/>
          <w:bCs/>
          <w:sz w:val="24"/>
        </w:rPr>
        <w:t>投标单位情况表</w:t>
      </w:r>
    </w:p>
    <w:tbl>
      <w:tblPr>
        <w:tblStyle w:val="42"/>
        <w:tblW w:w="909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00"/>
        <w:gridCol w:w="1135"/>
        <w:gridCol w:w="918"/>
        <w:gridCol w:w="218"/>
        <w:gridCol w:w="1136"/>
        <w:gridCol w:w="174"/>
        <w:gridCol w:w="961"/>
        <w:gridCol w:w="943"/>
        <w:gridCol w:w="114"/>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098" w:type="dxa"/>
            <w:gridSpan w:val="11"/>
            <w:vAlign w:val="center"/>
          </w:tcPr>
          <w:p>
            <w:pPr>
              <w:spacing w:line="240" w:lineRule="exact"/>
              <w:jc w:val="center"/>
              <w:rPr>
                <w:rFonts w:ascii="宋体" w:hAnsi="宋体"/>
                <w:sz w:val="24"/>
              </w:rPr>
            </w:pPr>
            <w:r>
              <w:rPr>
                <w:rFonts w:hint="eastAsia"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pPr>
              <w:spacing w:line="240" w:lineRule="exact"/>
              <w:jc w:val="center"/>
              <w:rPr>
                <w:rFonts w:ascii="宋体" w:hAnsi="宋体"/>
                <w:sz w:val="24"/>
              </w:rPr>
            </w:pPr>
            <w:r>
              <w:rPr>
                <w:rFonts w:hint="eastAsia" w:ascii="宋体" w:hAnsi="宋体"/>
                <w:sz w:val="24"/>
              </w:rPr>
              <w:t>单位名称</w:t>
            </w:r>
          </w:p>
        </w:tc>
        <w:tc>
          <w:tcPr>
            <w:tcW w:w="7298" w:type="dxa"/>
            <w:gridSpan w:val="10"/>
            <w:vAlign w:val="center"/>
          </w:tcPr>
          <w:p>
            <w:pPr>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pPr>
              <w:spacing w:line="240" w:lineRule="exact"/>
              <w:jc w:val="center"/>
              <w:rPr>
                <w:rFonts w:ascii="宋体" w:hAnsi="宋体"/>
                <w:sz w:val="24"/>
              </w:rPr>
            </w:pPr>
            <w:r>
              <w:rPr>
                <w:rFonts w:hint="eastAsia" w:ascii="宋体" w:hAnsi="宋体"/>
                <w:sz w:val="24"/>
              </w:rPr>
              <w:t>地  址</w:t>
            </w:r>
          </w:p>
        </w:tc>
        <w:tc>
          <w:tcPr>
            <w:tcW w:w="4481" w:type="dxa"/>
            <w:gridSpan w:val="6"/>
            <w:vAlign w:val="center"/>
          </w:tcPr>
          <w:p>
            <w:pPr>
              <w:spacing w:line="240" w:lineRule="exact"/>
              <w:jc w:val="center"/>
              <w:rPr>
                <w:rFonts w:ascii="宋体" w:hAnsi="宋体"/>
                <w:sz w:val="24"/>
              </w:rPr>
            </w:pPr>
          </w:p>
        </w:tc>
        <w:tc>
          <w:tcPr>
            <w:tcW w:w="1904" w:type="dxa"/>
            <w:gridSpan w:val="2"/>
            <w:vAlign w:val="center"/>
          </w:tcPr>
          <w:p>
            <w:pPr>
              <w:spacing w:line="240" w:lineRule="exact"/>
              <w:jc w:val="center"/>
              <w:rPr>
                <w:rFonts w:ascii="宋体" w:hAnsi="宋体"/>
                <w:sz w:val="24"/>
              </w:rPr>
            </w:pPr>
            <w:r>
              <w:rPr>
                <w:rFonts w:hint="eastAsia" w:ascii="宋体" w:hAnsi="宋体"/>
                <w:sz w:val="24"/>
              </w:rPr>
              <w:t>法定代表人</w:t>
            </w:r>
          </w:p>
        </w:tc>
        <w:tc>
          <w:tcPr>
            <w:tcW w:w="913" w:type="dxa"/>
            <w:gridSpan w:val="2"/>
            <w:vAlign w:val="center"/>
          </w:tcPr>
          <w:p>
            <w:pPr>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pPr>
              <w:spacing w:line="240" w:lineRule="exact"/>
              <w:jc w:val="center"/>
              <w:rPr>
                <w:rFonts w:ascii="宋体" w:hAnsi="宋体"/>
                <w:sz w:val="24"/>
              </w:rPr>
            </w:pPr>
            <w:r>
              <w:rPr>
                <w:rFonts w:hint="eastAsia" w:ascii="宋体" w:hAnsi="宋体"/>
                <w:sz w:val="24"/>
              </w:rPr>
              <w:t>成立时间</w:t>
            </w:r>
          </w:p>
        </w:tc>
        <w:tc>
          <w:tcPr>
            <w:tcW w:w="4481" w:type="dxa"/>
            <w:gridSpan w:val="6"/>
            <w:vAlign w:val="center"/>
          </w:tcPr>
          <w:p>
            <w:pPr>
              <w:spacing w:line="240" w:lineRule="exact"/>
              <w:jc w:val="center"/>
              <w:rPr>
                <w:rFonts w:ascii="宋体" w:hAnsi="宋体"/>
                <w:sz w:val="24"/>
              </w:rPr>
            </w:pPr>
          </w:p>
        </w:tc>
        <w:tc>
          <w:tcPr>
            <w:tcW w:w="1904" w:type="dxa"/>
            <w:gridSpan w:val="2"/>
            <w:vAlign w:val="center"/>
          </w:tcPr>
          <w:p>
            <w:pPr>
              <w:spacing w:line="240" w:lineRule="exact"/>
              <w:jc w:val="center"/>
              <w:rPr>
                <w:rFonts w:ascii="宋体" w:hAnsi="宋体"/>
                <w:sz w:val="24"/>
              </w:rPr>
            </w:pPr>
            <w:r>
              <w:rPr>
                <w:rFonts w:hint="eastAsia" w:ascii="宋体" w:hAnsi="宋体"/>
                <w:sz w:val="24"/>
              </w:rPr>
              <w:t>注册资本</w:t>
            </w:r>
          </w:p>
        </w:tc>
        <w:tc>
          <w:tcPr>
            <w:tcW w:w="913" w:type="dxa"/>
            <w:gridSpan w:val="2"/>
            <w:vAlign w:val="center"/>
          </w:tcPr>
          <w:p>
            <w:pPr>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pPr>
              <w:spacing w:line="240" w:lineRule="exact"/>
              <w:jc w:val="center"/>
              <w:rPr>
                <w:rFonts w:ascii="宋体" w:hAnsi="宋体"/>
                <w:sz w:val="24"/>
              </w:rPr>
            </w:pPr>
            <w:r>
              <w:rPr>
                <w:rFonts w:hint="eastAsia" w:ascii="宋体" w:hAnsi="宋体"/>
                <w:sz w:val="24"/>
              </w:rPr>
              <w:t>开户银行</w:t>
            </w:r>
          </w:p>
        </w:tc>
        <w:tc>
          <w:tcPr>
            <w:tcW w:w="2953" w:type="dxa"/>
            <w:gridSpan w:val="3"/>
            <w:vAlign w:val="center"/>
          </w:tcPr>
          <w:p>
            <w:pPr>
              <w:spacing w:line="240" w:lineRule="exact"/>
              <w:jc w:val="center"/>
              <w:rPr>
                <w:rFonts w:ascii="宋体" w:hAnsi="宋体"/>
                <w:sz w:val="24"/>
              </w:rPr>
            </w:pPr>
          </w:p>
        </w:tc>
        <w:tc>
          <w:tcPr>
            <w:tcW w:w="1528" w:type="dxa"/>
            <w:gridSpan w:val="3"/>
            <w:vAlign w:val="center"/>
          </w:tcPr>
          <w:p>
            <w:pPr>
              <w:spacing w:line="240" w:lineRule="exact"/>
              <w:jc w:val="center"/>
              <w:rPr>
                <w:rFonts w:ascii="宋体" w:hAnsi="宋体"/>
                <w:sz w:val="24"/>
              </w:rPr>
            </w:pPr>
            <w:r>
              <w:rPr>
                <w:rFonts w:hint="eastAsia" w:ascii="宋体" w:hAnsi="宋体"/>
                <w:sz w:val="24"/>
              </w:rPr>
              <w:t>帐  号</w:t>
            </w:r>
          </w:p>
        </w:tc>
        <w:tc>
          <w:tcPr>
            <w:tcW w:w="2817" w:type="dxa"/>
            <w:gridSpan w:val="4"/>
            <w:vAlign w:val="center"/>
          </w:tcPr>
          <w:p>
            <w:pPr>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pPr>
              <w:spacing w:line="240" w:lineRule="exact"/>
              <w:jc w:val="center"/>
              <w:rPr>
                <w:rFonts w:ascii="宋体" w:hAnsi="宋体"/>
                <w:sz w:val="24"/>
              </w:rPr>
            </w:pPr>
            <w:r>
              <w:rPr>
                <w:rFonts w:hint="eastAsia" w:ascii="宋体" w:hAnsi="宋体"/>
                <w:sz w:val="24"/>
              </w:rPr>
              <w:t>联系电话</w:t>
            </w:r>
          </w:p>
        </w:tc>
        <w:tc>
          <w:tcPr>
            <w:tcW w:w="7298" w:type="dxa"/>
            <w:gridSpan w:val="10"/>
            <w:vAlign w:val="center"/>
          </w:tcPr>
          <w:p>
            <w:pPr>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pPr>
              <w:spacing w:line="240" w:lineRule="exact"/>
              <w:jc w:val="center"/>
              <w:rPr>
                <w:rFonts w:ascii="宋体" w:hAnsi="宋体"/>
                <w:sz w:val="24"/>
              </w:rPr>
            </w:pPr>
            <w:r>
              <w:rPr>
                <w:rFonts w:hint="eastAsia" w:ascii="宋体" w:hAnsi="宋体"/>
                <w:sz w:val="24"/>
              </w:rPr>
              <w:t>企业总人数</w:t>
            </w:r>
          </w:p>
        </w:tc>
        <w:tc>
          <w:tcPr>
            <w:tcW w:w="900" w:type="dxa"/>
            <w:vAlign w:val="center"/>
          </w:tcPr>
          <w:p>
            <w:pPr>
              <w:spacing w:line="240" w:lineRule="exact"/>
              <w:jc w:val="center"/>
              <w:rPr>
                <w:rFonts w:ascii="宋体" w:hAnsi="宋体"/>
                <w:sz w:val="24"/>
              </w:rPr>
            </w:pPr>
          </w:p>
        </w:tc>
        <w:tc>
          <w:tcPr>
            <w:tcW w:w="1135" w:type="dxa"/>
            <w:vAlign w:val="center"/>
          </w:tcPr>
          <w:p>
            <w:pPr>
              <w:spacing w:line="240" w:lineRule="exact"/>
              <w:jc w:val="center"/>
              <w:rPr>
                <w:rFonts w:ascii="宋体" w:hAnsi="宋体"/>
                <w:sz w:val="24"/>
              </w:rPr>
            </w:pPr>
            <w:r>
              <w:rPr>
                <w:rFonts w:hint="eastAsia" w:ascii="宋体" w:hAnsi="宋体"/>
                <w:sz w:val="24"/>
              </w:rPr>
              <w:t>管理</w:t>
            </w:r>
          </w:p>
          <w:p>
            <w:pPr>
              <w:spacing w:line="240" w:lineRule="exact"/>
              <w:jc w:val="center"/>
              <w:rPr>
                <w:rFonts w:ascii="宋体" w:hAnsi="宋体"/>
                <w:sz w:val="24"/>
              </w:rPr>
            </w:pPr>
            <w:r>
              <w:rPr>
                <w:rFonts w:hint="eastAsia" w:ascii="宋体" w:hAnsi="宋体"/>
                <w:sz w:val="24"/>
              </w:rPr>
              <w:t>人员</w:t>
            </w:r>
          </w:p>
        </w:tc>
        <w:tc>
          <w:tcPr>
            <w:tcW w:w="1136" w:type="dxa"/>
            <w:gridSpan w:val="2"/>
            <w:vAlign w:val="center"/>
          </w:tcPr>
          <w:p>
            <w:pPr>
              <w:spacing w:line="240" w:lineRule="exact"/>
              <w:jc w:val="center"/>
              <w:rPr>
                <w:rFonts w:ascii="宋体" w:hAnsi="宋体"/>
                <w:sz w:val="24"/>
              </w:rPr>
            </w:pPr>
          </w:p>
        </w:tc>
        <w:tc>
          <w:tcPr>
            <w:tcW w:w="1136" w:type="dxa"/>
            <w:vAlign w:val="center"/>
          </w:tcPr>
          <w:p>
            <w:pPr>
              <w:spacing w:line="240" w:lineRule="exact"/>
              <w:jc w:val="center"/>
              <w:rPr>
                <w:rFonts w:ascii="宋体" w:hAnsi="宋体"/>
                <w:sz w:val="24"/>
              </w:rPr>
            </w:pPr>
            <w:r>
              <w:rPr>
                <w:rFonts w:hint="eastAsia" w:ascii="宋体" w:hAnsi="宋体"/>
                <w:sz w:val="24"/>
              </w:rPr>
              <w:t>技术</w:t>
            </w:r>
          </w:p>
          <w:p>
            <w:pPr>
              <w:spacing w:line="240" w:lineRule="exact"/>
              <w:jc w:val="center"/>
              <w:rPr>
                <w:rFonts w:ascii="宋体" w:hAnsi="宋体"/>
                <w:sz w:val="24"/>
              </w:rPr>
            </w:pPr>
            <w:r>
              <w:rPr>
                <w:rFonts w:hint="eastAsia" w:ascii="宋体" w:hAnsi="宋体"/>
                <w:sz w:val="24"/>
              </w:rPr>
              <w:t>人员</w:t>
            </w:r>
          </w:p>
        </w:tc>
        <w:tc>
          <w:tcPr>
            <w:tcW w:w="1135" w:type="dxa"/>
            <w:gridSpan w:val="2"/>
            <w:vAlign w:val="center"/>
          </w:tcPr>
          <w:p>
            <w:pPr>
              <w:spacing w:line="240" w:lineRule="exact"/>
              <w:jc w:val="center"/>
              <w:rPr>
                <w:rFonts w:ascii="宋体" w:hAnsi="宋体"/>
                <w:sz w:val="24"/>
              </w:rPr>
            </w:pPr>
          </w:p>
        </w:tc>
        <w:tc>
          <w:tcPr>
            <w:tcW w:w="1057" w:type="dxa"/>
            <w:gridSpan w:val="2"/>
            <w:vAlign w:val="center"/>
          </w:tcPr>
          <w:p>
            <w:pPr>
              <w:spacing w:line="240" w:lineRule="exact"/>
              <w:jc w:val="center"/>
              <w:rPr>
                <w:rFonts w:ascii="宋体" w:hAnsi="宋体"/>
                <w:sz w:val="24"/>
              </w:rPr>
            </w:pPr>
            <w:r>
              <w:rPr>
                <w:rFonts w:hint="eastAsia" w:ascii="宋体" w:hAnsi="宋体"/>
                <w:sz w:val="24"/>
              </w:rPr>
              <w:t>职工</w:t>
            </w:r>
          </w:p>
          <w:p>
            <w:pPr>
              <w:spacing w:line="240" w:lineRule="exact"/>
              <w:jc w:val="center"/>
              <w:rPr>
                <w:rFonts w:ascii="宋体" w:hAnsi="宋体"/>
                <w:sz w:val="24"/>
              </w:rPr>
            </w:pPr>
            <w:r>
              <w:rPr>
                <w:rFonts w:hint="eastAsia" w:ascii="宋体" w:hAnsi="宋体"/>
                <w:sz w:val="24"/>
              </w:rPr>
              <w:t>人员</w:t>
            </w:r>
          </w:p>
        </w:tc>
        <w:tc>
          <w:tcPr>
            <w:tcW w:w="799" w:type="dxa"/>
            <w:vAlign w:val="center"/>
          </w:tcPr>
          <w:p>
            <w:pPr>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pPr>
              <w:spacing w:line="240" w:lineRule="exact"/>
              <w:jc w:val="center"/>
              <w:rPr>
                <w:rFonts w:ascii="宋体" w:hAnsi="宋体"/>
                <w:sz w:val="24"/>
              </w:rPr>
            </w:pPr>
            <w:r>
              <w:rPr>
                <w:rFonts w:hint="eastAsia" w:ascii="宋体" w:hAnsi="宋体"/>
                <w:sz w:val="24"/>
              </w:rPr>
              <w:t>经营范围</w:t>
            </w:r>
          </w:p>
        </w:tc>
        <w:tc>
          <w:tcPr>
            <w:tcW w:w="7298" w:type="dxa"/>
            <w:gridSpan w:val="10"/>
            <w:vAlign w:val="center"/>
          </w:tcPr>
          <w:p>
            <w:pPr>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800" w:type="dxa"/>
            <w:tcBorders>
              <w:bottom w:val="single" w:color="auto" w:sz="4" w:space="0"/>
            </w:tcBorders>
            <w:vAlign w:val="center"/>
          </w:tcPr>
          <w:p>
            <w:pPr>
              <w:spacing w:line="240" w:lineRule="exact"/>
              <w:jc w:val="center"/>
              <w:rPr>
                <w:rFonts w:ascii="宋体" w:hAnsi="宋体"/>
                <w:sz w:val="24"/>
              </w:rPr>
            </w:pPr>
            <w:r>
              <w:rPr>
                <w:rFonts w:hint="eastAsia" w:ascii="宋体" w:hAnsi="宋体"/>
                <w:sz w:val="24"/>
              </w:rPr>
              <w:t>企业现有的资质证书</w:t>
            </w:r>
          </w:p>
        </w:tc>
        <w:tc>
          <w:tcPr>
            <w:tcW w:w="7298" w:type="dxa"/>
            <w:gridSpan w:val="10"/>
            <w:tcBorders>
              <w:bottom w:val="single" w:color="auto" w:sz="4" w:space="0"/>
            </w:tcBorders>
            <w:vAlign w:val="center"/>
          </w:tcPr>
          <w:p>
            <w:pPr>
              <w:spacing w:line="240" w:lineRule="exact"/>
              <w:jc w:val="center"/>
              <w:rPr>
                <w:rFonts w:ascii="宋体" w:hAnsi="宋体"/>
                <w:sz w:val="24"/>
              </w:rPr>
            </w:pPr>
          </w:p>
        </w:tc>
      </w:tr>
    </w:tbl>
    <w:p>
      <w:pPr>
        <w:spacing w:line="480" w:lineRule="exact"/>
        <w:ind w:firstLine="480"/>
        <w:rPr>
          <w:rFonts w:ascii="宋体" w:hAnsi="宋体"/>
          <w:sz w:val="24"/>
        </w:rPr>
      </w:pPr>
      <w:r>
        <w:rPr>
          <w:rFonts w:hint="eastAsia" w:ascii="宋体" w:hAnsi="宋体"/>
          <w:sz w:val="24"/>
        </w:rPr>
        <w:t>注：表格不能满足时可自行增加。</w:t>
      </w:r>
    </w:p>
    <w:p>
      <w:pPr>
        <w:snapToGrid w:val="0"/>
        <w:spacing w:beforeLines="50"/>
        <w:ind w:firstLine="640"/>
        <w:rPr>
          <w:rFonts w:ascii="宋体" w:hAnsi="宋体"/>
          <w:b/>
          <w:bCs/>
          <w:sz w:val="24"/>
        </w:rPr>
      </w:pPr>
    </w:p>
    <w:p>
      <w:pPr>
        <w:snapToGrid w:val="0"/>
        <w:spacing w:beforeLines="50"/>
        <w:ind w:firstLine="640"/>
        <w:rPr>
          <w:rFonts w:ascii="宋体" w:hAnsi="宋体"/>
          <w:b/>
          <w:bCs/>
          <w:sz w:val="24"/>
        </w:rPr>
      </w:pPr>
    </w:p>
    <w:p>
      <w:pPr>
        <w:snapToGrid w:val="0"/>
        <w:spacing w:beforeLines="50"/>
        <w:ind w:firstLine="480"/>
        <w:rPr>
          <w:rFonts w:ascii="宋体" w:hAnsi="宋体"/>
          <w:sz w:val="24"/>
          <w:u w:val="single"/>
        </w:rPr>
      </w:pPr>
      <w:r>
        <w:rPr>
          <w:rFonts w:hint="eastAsia" w:ascii="微软雅黑" w:hAnsi="微软雅黑"/>
          <w:sz w:val="24"/>
        </w:rPr>
        <w:t>法定代表人或其授权代理人签名或盖章</w:t>
      </w:r>
      <w:r>
        <w:rPr>
          <w:rFonts w:hint="eastAsia" w:ascii="宋体" w:hAnsi="宋体"/>
          <w:sz w:val="24"/>
        </w:rPr>
        <w:t>：</w:t>
      </w:r>
    </w:p>
    <w:p>
      <w:pPr>
        <w:snapToGrid w:val="0"/>
        <w:spacing w:beforeLines="50" w:after="50"/>
        <w:ind w:firstLine="480"/>
        <w:rPr>
          <w:rFonts w:ascii="宋体" w:hAnsi="宋体"/>
          <w:sz w:val="24"/>
        </w:rPr>
      </w:pPr>
      <w:r>
        <w:rPr>
          <w:rFonts w:hint="eastAsia" w:ascii="宋体" w:hAnsi="宋体"/>
          <w:sz w:val="24"/>
        </w:rPr>
        <w:t>供应商公章：</w:t>
      </w:r>
    </w:p>
    <w:p>
      <w:pPr>
        <w:snapToGrid w:val="0"/>
        <w:spacing w:beforeLines="50" w:after="50"/>
        <w:ind w:firstLine="6240" w:firstLineChars="2600"/>
        <w:rPr>
          <w:rFonts w:ascii="宋体" w:hAnsi="宋体"/>
          <w:sz w:val="24"/>
        </w:rPr>
      </w:pPr>
    </w:p>
    <w:p>
      <w:pPr>
        <w:snapToGrid w:val="0"/>
        <w:spacing w:before="50" w:afterLines="50"/>
        <w:ind w:firstLine="480"/>
        <w:jc w:val="right"/>
        <w:rPr>
          <w:rFonts w:ascii="宋体" w:hAnsi="宋体" w:cs="宋体"/>
          <w:sz w:val="24"/>
        </w:rPr>
      </w:pPr>
      <w:r>
        <w:rPr>
          <w:rFonts w:ascii="宋体" w:hAnsi="宋体"/>
          <w:sz w:val="24"/>
        </w:rPr>
        <w:t>年    月    日</w:t>
      </w:r>
    </w:p>
    <w:p>
      <w:pPr>
        <w:snapToGrid w:val="0"/>
        <w:spacing w:before="50" w:afterLines="50"/>
        <w:jc w:val="left"/>
        <w:rPr>
          <w:rFonts w:ascii="宋体" w:hAnsi="宋体" w:cs="宋体"/>
          <w:b/>
          <w:sz w:val="24"/>
        </w:rPr>
      </w:pPr>
    </w:p>
    <w:p>
      <w:pPr>
        <w:snapToGrid w:val="0"/>
        <w:spacing w:before="50" w:afterLines="50"/>
        <w:jc w:val="left"/>
        <w:rPr>
          <w:rFonts w:ascii="宋体" w:hAnsi="宋体" w:cs="宋体"/>
          <w:b/>
          <w:sz w:val="24"/>
        </w:rPr>
      </w:pPr>
    </w:p>
    <w:p>
      <w:pPr>
        <w:pStyle w:val="20"/>
        <w:rPr>
          <w:rFonts w:hAnsi="宋体" w:cs="宋体"/>
          <w:b/>
          <w:sz w:val="24"/>
          <w:szCs w:val="24"/>
        </w:rPr>
      </w:pPr>
    </w:p>
    <w:p>
      <w:pPr>
        <w:pStyle w:val="20"/>
        <w:rPr>
          <w:rFonts w:hAnsi="宋体" w:cs="宋体"/>
          <w:b/>
          <w:sz w:val="24"/>
          <w:szCs w:val="24"/>
        </w:rPr>
      </w:pPr>
    </w:p>
    <w:p>
      <w:pPr>
        <w:pStyle w:val="5"/>
        <w:ind w:firstLine="0"/>
        <w:rPr>
          <w:rFonts w:ascii="宋体" w:hAnsi="宋体"/>
          <w:b/>
          <w:sz w:val="24"/>
        </w:rPr>
      </w:pPr>
    </w:p>
    <w:p>
      <w:pPr>
        <w:snapToGrid w:val="0"/>
        <w:spacing w:line="360" w:lineRule="auto"/>
        <w:jc w:val="center"/>
        <w:rPr>
          <w:rFonts w:ascii="宋体" w:hAnsi="宋体"/>
          <w:b/>
          <w:sz w:val="24"/>
        </w:rPr>
      </w:pPr>
    </w:p>
    <w:p>
      <w:pPr>
        <w:snapToGrid w:val="0"/>
        <w:spacing w:line="360" w:lineRule="auto"/>
        <w:ind w:firstLine="482" w:firstLineChars="200"/>
        <w:jc w:val="center"/>
        <w:rPr>
          <w:rFonts w:hint="eastAsia" w:eastAsia="宋体"/>
          <w:b/>
          <w:sz w:val="24"/>
          <w:lang w:eastAsia="zh-CN"/>
        </w:rPr>
      </w:pPr>
      <w:r>
        <w:rPr>
          <w:rFonts w:hint="eastAsia" w:ascii="宋体" w:hAnsi="宋体"/>
          <w:b/>
          <w:sz w:val="24"/>
        </w:rPr>
        <w:t>二、有效的营业执照、税务登记证、组织机构代码证或“三证合一”的营业执照或“五证合一”的营业执照</w:t>
      </w:r>
      <w:r>
        <w:rPr>
          <w:rFonts w:hint="eastAsia" w:ascii="宋体" w:hAnsi="宋体"/>
          <w:b/>
          <w:sz w:val="24"/>
          <w:lang w:eastAsia="zh-CN"/>
        </w:rPr>
        <w:t>；</w:t>
      </w:r>
    </w:p>
    <w:p>
      <w:pPr>
        <w:snapToGrid w:val="0"/>
        <w:spacing w:line="360" w:lineRule="auto"/>
        <w:rPr>
          <w:sz w:val="24"/>
        </w:rPr>
      </w:pPr>
    </w:p>
    <w:p>
      <w:pPr>
        <w:pStyle w:val="19"/>
        <w:ind w:left="560" w:firstLine="0" w:firstLineChars="0"/>
      </w:pPr>
    </w:p>
    <w:p>
      <w:pPr>
        <w:snapToGrid w:val="0"/>
        <w:spacing w:line="360" w:lineRule="auto"/>
        <w:ind w:firstLine="964" w:firstLineChars="400"/>
        <w:rPr>
          <w:rFonts w:ascii="宋体" w:hAnsi="宋体" w:cs="Arial"/>
          <w:b/>
          <w:sz w:val="24"/>
        </w:rPr>
      </w:pPr>
      <w:r>
        <w:rPr>
          <w:rFonts w:hint="eastAsia" w:ascii="宋体" w:hAnsi="宋体"/>
          <w:b/>
          <w:sz w:val="24"/>
        </w:rPr>
        <w:t>三、</w:t>
      </w:r>
      <w:r>
        <w:rPr>
          <w:rFonts w:hint="eastAsia" w:ascii="宋体" w:hAnsi="宋体" w:cs="宋体"/>
          <w:b/>
          <w:sz w:val="24"/>
        </w:rPr>
        <w:t>法定代表人或其授权代理人的授权证书及身份证明</w:t>
      </w:r>
    </w:p>
    <w:p>
      <w:pPr>
        <w:snapToGrid w:val="0"/>
        <w:spacing w:line="360" w:lineRule="auto"/>
        <w:ind w:firstLine="482" w:firstLineChars="200"/>
        <w:jc w:val="center"/>
        <w:rPr>
          <w:rFonts w:ascii="宋体" w:hAnsi="宋体" w:cs="Arial"/>
          <w:b/>
          <w:sz w:val="24"/>
        </w:rPr>
      </w:pPr>
    </w:p>
    <w:p>
      <w:pPr>
        <w:snapToGrid w:val="0"/>
        <w:spacing w:line="360" w:lineRule="auto"/>
        <w:ind w:firstLine="482" w:firstLineChars="200"/>
        <w:jc w:val="center"/>
        <w:rPr>
          <w:rFonts w:ascii="宋体" w:hAnsi="宋体"/>
          <w:b/>
          <w:sz w:val="24"/>
        </w:rPr>
      </w:pPr>
      <w:r>
        <w:rPr>
          <w:rFonts w:hint="eastAsia" w:ascii="宋体" w:hAnsi="宋体"/>
          <w:b/>
          <w:sz w:val="24"/>
        </w:rPr>
        <w:t>法定代表人有效身份证明书</w:t>
      </w:r>
    </w:p>
    <w:p>
      <w:pPr>
        <w:pStyle w:val="5"/>
        <w:spacing w:line="400" w:lineRule="exact"/>
        <w:ind w:firstLine="511" w:firstLineChars="156"/>
        <w:jc w:val="center"/>
        <w:rPr>
          <w:rFonts w:hAnsi="宋体"/>
          <w:bCs/>
          <w:spacing w:val="24"/>
          <w:sz w:val="28"/>
          <w:szCs w:val="28"/>
        </w:rPr>
      </w:pPr>
    </w:p>
    <w:p>
      <w:pPr>
        <w:pStyle w:val="5"/>
        <w:spacing w:line="400" w:lineRule="exact"/>
        <w:ind w:firstLine="449" w:firstLineChars="156"/>
        <w:jc w:val="center"/>
        <w:rPr>
          <w:rFonts w:hAnsi="宋体"/>
          <w:bCs/>
          <w:spacing w:val="24"/>
          <w:sz w:val="24"/>
          <w:szCs w:val="24"/>
        </w:rPr>
      </w:pPr>
    </w:p>
    <w:p>
      <w:pPr>
        <w:pStyle w:val="5"/>
        <w:spacing w:line="360" w:lineRule="auto"/>
        <w:ind w:firstLine="480" w:firstLineChars="200"/>
        <w:rPr>
          <w:rFonts w:hAnsi="宋体"/>
          <w:sz w:val="24"/>
          <w:szCs w:val="24"/>
        </w:rPr>
      </w:pPr>
      <w:r>
        <w:rPr>
          <w:rFonts w:hAnsi="宋体"/>
          <w:sz w:val="24"/>
          <w:szCs w:val="24"/>
        </w:rPr>
        <w:t>（姓名）是（单位全称）的法定代表人，身份证号码为。</w:t>
      </w:r>
    </w:p>
    <w:p>
      <w:pPr>
        <w:pStyle w:val="5"/>
        <w:spacing w:line="400" w:lineRule="exact"/>
        <w:ind w:firstLine="374" w:firstLineChars="156"/>
        <w:rPr>
          <w:rFonts w:hAnsi="宋体"/>
          <w:sz w:val="24"/>
          <w:szCs w:val="24"/>
        </w:rPr>
      </w:pPr>
    </w:p>
    <w:p>
      <w:pPr>
        <w:pStyle w:val="5"/>
        <w:spacing w:line="400" w:lineRule="exact"/>
        <w:ind w:firstLine="374" w:firstLineChars="156"/>
        <w:rPr>
          <w:rFonts w:hAnsi="宋体"/>
          <w:sz w:val="24"/>
          <w:szCs w:val="24"/>
        </w:rPr>
      </w:pPr>
    </w:p>
    <w:p>
      <w:pPr>
        <w:pStyle w:val="5"/>
        <w:spacing w:line="400" w:lineRule="exact"/>
        <w:ind w:firstLine="374" w:firstLineChars="156"/>
        <w:rPr>
          <w:rFonts w:hAnsi="宋体"/>
          <w:sz w:val="24"/>
          <w:szCs w:val="24"/>
        </w:rPr>
      </w:pPr>
      <w:r>
        <w:rPr>
          <w:rFonts w:hAnsi="宋体"/>
          <w:sz w:val="24"/>
          <w:szCs w:val="24"/>
        </w:rPr>
        <w:t xml:space="preserve">    特此证明</w:t>
      </w:r>
    </w:p>
    <w:p>
      <w:pPr>
        <w:pStyle w:val="5"/>
        <w:spacing w:line="400" w:lineRule="exact"/>
        <w:ind w:firstLine="374" w:firstLineChars="156"/>
        <w:rPr>
          <w:rFonts w:hAnsi="宋体"/>
          <w:sz w:val="24"/>
          <w:szCs w:val="24"/>
        </w:rPr>
      </w:pPr>
    </w:p>
    <w:p>
      <w:pPr>
        <w:pStyle w:val="5"/>
        <w:spacing w:line="400" w:lineRule="exact"/>
        <w:ind w:firstLine="374" w:firstLineChars="156"/>
        <w:rPr>
          <w:rFonts w:hAnsi="宋体"/>
          <w:sz w:val="24"/>
          <w:szCs w:val="24"/>
        </w:rPr>
      </w:pPr>
    </w:p>
    <w:p>
      <w:pPr>
        <w:pStyle w:val="5"/>
        <w:spacing w:line="400" w:lineRule="exact"/>
        <w:ind w:firstLine="374" w:firstLineChars="156"/>
        <w:rPr>
          <w:rFonts w:hAnsi="宋体"/>
          <w:sz w:val="24"/>
          <w:szCs w:val="24"/>
        </w:rPr>
      </w:pPr>
    </w:p>
    <w:p>
      <w:pPr>
        <w:pStyle w:val="5"/>
        <w:spacing w:line="400" w:lineRule="exact"/>
        <w:ind w:firstLine="374" w:firstLineChars="156"/>
        <w:rPr>
          <w:rFonts w:hAnsi="宋体"/>
          <w:sz w:val="24"/>
          <w:szCs w:val="24"/>
        </w:rPr>
      </w:pPr>
    </w:p>
    <w:p>
      <w:pPr>
        <w:pStyle w:val="5"/>
        <w:spacing w:line="400" w:lineRule="exact"/>
        <w:ind w:firstLine="374" w:firstLineChars="156"/>
        <w:rPr>
          <w:rFonts w:hAnsi="宋体"/>
          <w:sz w:val="24"/>
          <w:szCs w:val="24"/>
        </w:rPr>
      </w:pPr>
      <w:r>
        <w:rPr>
          <w:rFonts w:hAnsi="宋体"/>
          <w:sz w:val="24"/>
          <w:szCs w:val="24"/>
        </w:rPr>
        <w:t xml:space="preserve">                      投标供应商：（盖章）</w:t>
      </w:r>
    </w:p>
    <w:p>
      <w:pPr>
        <w:pStyle w:val="5"/>
        <w:spacing w:line="400" w:lineRule="exact"/>
        <w:ind w:firstLine="374" w:firstLineChars="156"/>
        <w:rPr>
          <w:rFonts w:hAnsi="宋体"/>
          <w:sz w:val="24"/>
          <w:szCs w:val="24"/>
        </w:rPr>
      </w:pPr>
    </w:p>
    <w:p>
      <w:pPr>
        <w:pStyle w:val="5"/>
        <w:spacing w:line="400" w:lineRule="exact"/>
        <w:ind w:firstLine="3012" w:firstLineChars="1255"/>
        <w:rPr>
          <w:rFonts w:hAnsi="宋体"/>
          <w:sz w:val="24"/>
          <w:szCs w:val="24"/>
        </w:rPr>
      </w:pPr>
      <w:r>
        <w:rPr>
          <w:rFonts w:hAnsi="宋体"/>
          <w:sz w:val="24"/>
          <w:szCs w:val="24"/>
        </w:rPr>
        <w:t>法定代表人或其授权代理人（盖章）</w:t>
      </w:r>
    </w:p>
    <w:p>
      <w:pPr>
        <w:pStyle w:val="5"/>
        <w:spacing w:line="400" w:lineRule="exact"/>
        <w:ind w:firstLine="374" w:firstLineChars="156"/>
        <w:jc w:val="center"/>
        <w:rPr>
          <w:rFonts w:hAnsi="宋体"/>
          <w:sz w:val="24"/>
          <w:szCs w:val="24"/>
        </w:rPr>
      </w:pPr>
    </w:p>
    <w:p>
      <w:pPr>
        <w:pStyle w:val="5"/>
        <w:spacing w:line="400" w:lineRule="exact"/>
        <w:ind w:firstLine="374" w:firstLineChars="156"/>
        <w:rPr>
          <w:rFonts w:hAnsi="宋体"/>
          <w:sz w:val="24"/>
          <w:szCs w:val="24"/>
        </w:rPr>
      </w:pPr>
      <w:r>
        <w:rPr>
          <w:rFonts w:hAnsi="宋体"/>
          <w:sz w:val="24"/>
          <w:szCs w:val="24"/>
        </w:rPr>
        <w:t xml:space="preserve">        日期：    年   月   日</w:t>
      </w:r>
    </w:p>
    <w:p>
      <w:pPr>
        <w:pStyle w:val="5"/>
        <w:spacing w:line="400" w:lineRule="exact"/>
        <w:ind w:firstLine="374" w:firstLineChars="156"/>
        <w:jc w:val="center"/>
        <w:rPr>
          <w:rFonts w:hAnsi="宋体"/>
          <w:sz w:val="24"/>
          <w:szCs w:val="24"/>
        </w:rPr>
      </w:pPr>
    </w:p>
    <w:p>
      <w:pPr>
        <w:pStyle w:val="5"/>
        <w:spacing w:line="400" w:lineRule="exact"/>
        <w:ind w:firstLine="0"/>
        <w:rPr>
          <w:rFonts w:hAnsi="宋体"/>
          <w:sz w:val="24"/>
          <w:szCs w:val="24"/>
        </w:rPr>
      </w:pPr>
    </w:p>
    <w:p>
      <w:pPr>
        <w:pStyle w:val="5"/>
        <w:spacing w:line="400" w:lineRule="exact"/>
        <w:ind w:firstLine="374" w:firstLineChars="156"/>
        <w:rPr>
          <w:rFonts w:hAnsi="宋体"/>
          <w:sz w:val="24"/>
          <w:szCs w:val="24"/>
        </w:rPr>
      </w:pPr>
      <w:r>
        <w:rPr>
          <w:rFonts w:hAnsi="宋体"/>
          <w:sz w:val="24"/>
          <w:szCs w:val="24"/>
        </w:rPr>
        <w:t>—————————————————————————————————</w:t>
      </w:r>
    </w:p>
    <w:p>
      <w:pPr>
        <w:pStyle w:val="5"/>
        <w:spacing w:line="400" w:lineRule="exact"/>
        <w:ind w:firstLine="0"/>
        <w:rPr>
          <w:rFonts w:hAnsi="宋体"/>
          <w:sz w:val="24"/>
          <w:szCs w:val="24"/>
        </w:rPr>
      </w:pPr>
    </w:p>
    <w:p>
      <w:pPr>
        <w:pStyle w:val="5"/>
        <w:spacing w:line="400" w:lineRule="exact"/>
        <w:ind w:firstLine="374" w:firstLineChars="156"/>
        <w:jc w:val="center"/>
        <w:rPr>
          <w:rFonts w:hAnsi="宋体"/>
          <w:sz w:val="24"/>
          <w:szCs w:val="24"/>
        </w:rPr>
      </w:pPr>
      <w:r>
        <w:rPr>
          <w:rFonts w:hAnsi="宋体"/>
          <w:sz w:val="24"/>
          <w:szCs w:val="24"/>
        </w:rPr>
        <w:t>有效身份证明</w:t>
      </w:r>
    </w:p>
    <w:p>
      <w:pPr>
        <w:widowControl/>
        <w:tabs>
          <w:tab w:val="left" w:pos="801"/>
        </w:tabs>
        <w:spacing w:line="460" w:lineRule="exact"/>
        <w:rPr>
          <w:b/>
          <w:sz w:val="24"/>
        </w:rPr>
      </w:pPr>
    </w:p>
    <w:p>
      <w:pPr>
        <w:pStyle w:val="5"/>
        <w:ind w:firstLine="0"/>
        <w:rPr>
          <w:b/>
          <w:sz w:val="24"/>
        </w:rPr>
      </w:pPr>
    </w:p>
    <w:p>
      <w:pPr>
        <w:pStyle w:val="5"/>
        <w:rPr>
          <w:b/>
          <w:sz w:val="24"/>
        </w:rPr>
      </w:pPr>
    </w:p>
    <w:p>
      <w:pPr>
        <w:pStyle w:val="5"/>
        <w:ind w:firstLine="0"/>
        <w:rPr>
          <w:b/>
          <w:sz w:val="24"/>
        </w:rPr>
      </w:pPr>
    </w:p>
    <w:p>
      <w:pPr>
        <w:widowControl/>
        <w:tabs>
          <w:tab w:val="left" w:pos="801"/>
        </w:tabs>
        <w:spacing w:line="460" w:lineRule="exact"/>
        <w:ind w:firstLine="482" w:firstLineChars="200"/>
        <w:jc w:val="center"/>
        <w:rPr>
          <w:b/>
          <w:sz w:val="24"/>
        </w:rPr>
      </w:pPr>
    </w:p>
    <w:p>
      <w:pPr>
        <w:pStyle w:val="20"/>
        <w:rPr>
          <w:b/>
          <w:sz w:val="24"/>
        </w:rPr>
      </w:pPr>
    </w:p>
    <w:p>
      <w:pPr>
        <w:pStyle w:val="20"/>
        <w:rPr>
          <w:b/>
          <w:sz w:val="24"/>
        </w:rPr>
      </w:pPr>
    </w:p>
    <w:p>
      <w:pPr>
        <w:widowControl/>
        <w:tabs>
          <w:tab w:val="left" w:pos="801"/>
        </w:tabs>
        <w:spacing w:line="460" w:lineRule="exact"/>
        <w:ind w:firstLine="482" w:firstLineChars="200"/>
        <w:jc w:val="center"/>
        <w:rPr>
          <w:rFonts w:ascii="宋体" w:hAnsi="宋体" w:cs="Arial"/>
          <w:b/>
          <w:color w:val="000000"/>
          <w:sz w:val="24"/>
        </w:rPr>
      </w:pPr>
      <w:r>
        <w:rPr>
          <w:rFonts w:hint="eastAsia"/>
          <w:b/>
          <w:sz w:val="24"/>
        </w:rPr>
        <w:t>法定代表人授权书及授权人身份证</w:t>
      </w:r>
    </w:p>
    <w:p>
      <w:pPr>
        <w:snapToGrid w:val="0"/>
        <w:spacing w:beforeLines="50" w:after="50"/>
        <w:rPr>
          <w:rFonts w:ascii="宋体" w:hAnsi="宋体"/>
          <w:bCs/>
          <w:sz w:val="24"/>
        </w:rPr>
      </w:pPr>
    </w:p>
    <w:p>
      <w:pPr>
        <w:snapToGrid w:val="0"/>
        <w:spacing w:beforeLines="50" w:after="50" w:line="360" w:lineRule="auto"/>
        <w:rPr>
          <w:rFonts w:ascii="宋体" w:hAnsi="宋体"/>
          <w:b/>
          <w:bCs/>
          <w:sz w:val="24"/>
          <w:szCs w:val="20"/>
        </w:rPr>
      </w:pPr>
      <w:r>
        <w:rPr>
          <w:rFonts w:hint="eastAsia" w:ascii="宋体" w:hAnsi="宋体"/>
          <w:bCs/>
          <w:sz w:val="24"/>
        </w:rPr>
        <w:t>致：</w:t>
      </w:r>
      <w:r>
        <w:rPr>
          <w:rFonts w:hint="eastAsia" w:ascii="宋体" w:hAnsi="宋体"/>
          <w:sz w:val="24"/>
        </w:rPr>
        <w:t>（采购人名称）：</w:t>
      </w:r>
    </w:p>
    <w:p>
      <w:pPr>
        <w:snapToGrid w:val="0"/>
        <w:spacing w:beforeLines="50" w:after="50" w:line="360" w:lineRule="auto"/>
        <w:ind w:firstLine="720" w:firstLineChars="300"/>
        <w:rPr>
          <w:rFonts w:ascii="宋体" w:hAnsi="宋体"/>
          <w:sz w:val="24"/>
          <w:szCs w:val="20"/>
        </w:rPr>
      </w:pPr>
      <w:r>
        <w:rPr>
          <w:rFonts w:hint="eastAsia" w:ascii="宋体" w:hAnsi="宋体"/>
          <w:sz w:val="24"/>
        </w:rPr>
        <w:t>我（姓名）系</w:t>
      </w:r>
      <w:r>
        <w:rPr>
          <w:rFonts w:hint="eastAsia" w:ascii="宋体" w:hAnsi="宋体"/>
          <w:bCs/>
          <w:sz w:val="24"/>
        </w:rPr>
        <w:t>：</w:t>
      </w:r>
      <w:r>
        <w:rPr>
          <w:rFonts w:hint="eastAsia" w:ascii="宋体" w:hAnsi="宋体"/>
          <w:sz w:val="24"/>
        </w:rPr>
        <w:t>（投标供应商名称）的法定代表人，现授权委托本单位在职职工（姓名）以我方的名义参加</w:t>
      </w:r>
      <w:r>
        <w:rPr>
          <w:rFonts w:hint="eastAsia" w:ascii="宋体" w:hAnsi="宋体" w:cs="仿宋"/>
          <w:sz w:val="24"/>
          <w:u w:val="single"/>
        </w:rPr>
        <w:t>中共湖州市吴兴区委政法委员会刑事诉讼涉案财物管理项目（2024-2025年度）（重新招标）</w:t>
      </w:r>
      <w:r>
        <w:rPr>
          <w:rFonts w:hint="eastAsia" w:ascii="宋体" w:hAnsi="宋体"/>
          <w:sz w:val="24"/>
        </w:rPr>
        <w:t>的投标活动，并代表我方全权办理针对上述项目的投标、开标、评标、签约等具体事务和签署相关文件。</w:t>
      </w:r>
    </w:p>
    <w:p>
      <w:pPr>
        <w:snapToGrid w:val="0"/>
        <w:spacing w:beforeLines="50" w:after="50" w:line="360" w:lineRule="auto"/>
        <w:rPr>
          <w:rFonts w:ascii="宋体" w:hAnsi="宋体"/>
          <w:sz w:val="24"/>
          <w:szCs w:val="20"/>
        </w:rPr>
      </w:pPr>
      <w:r>
        <w:rPr>
          <w:rFonts w:hint="eastAsia" w:ascii="宋体" w:hAnsi="宋体"/>
          <w:sz w:val="24"/>
        </w:rPr>
        <w:t>我方对被授权人的签名事项负全部责任。</w:t>
      </w:r>
    </w:p>
    <w:p>
      <w:pPr>
        <w:snapToGrid w:val="0"/>
        <w:spacing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Lines="50" w:after="50" w:line="360" w:lineRule="auto"/>
        <w:ind w:firstLine="480"/>
        <w:rPr>
          <w:rFonts w:ascii="宋体" w:hAnsi="宋体"/>
          <w:sz w:val="24"/>
          <w:szCs w:val="20"/>
        </w:rPr>
      </w:pPr>
      <w:r>
        <w:rPr>
          <w:rFonts w:hint="eastAsia" w:ascii="宋体" w:hAnsi="宋体"/>
          <w:sz w:val="24"/>
        </w:rPr>
        <w:t>被授权人无转委托权，特此委托。</w:t>
      </w:r>
    </w:p>
    <w:p>
      <w:pPr>
        <w:snapToGrid w:val="0"/>
        <w:spacing w:beforeLines="50" w:after="50" w:line="360" w:lineRule="auto"/>
        <w:rPr>
          <w:rFonts w:ascii="宋体" w:hAnsi="宋体"/>
          <w:sz w:val="24"/>
          <w:szCs w:val="20"/>
        </w:rPr>
      </w:pPr>
    </w:p>
    <w:p>
      <w:pPr>
        <w:snapToGrid w:val="0"/>
        <w:spacing w:beforeLines="50" w:after="50" w:line="360" w:lineRule="auto"/>
        <w:rPr>
          <w:rFonts w:ascii="宋体" w:hAnsi="宋体"/>
          <w:sz w:val="24"/>
          <w:szCs w:val="20"/>
          <w:u w:val="single"/>
        </w:rPr>
      </w:pPr>
      <w:r>
        <w:rPr>
          <w:rFonts w:hint="eastAsia" w:ascii="宋体" w:hAnsi="宋体"/>
          <w:sz w:val="24"/>
        </w:rPr>
        <w:t>被授权人签名：法定代表人盖章：</w:t>
      </w:r>
    </w:p>
    <w:p>
      <w:pPr>
        <w:snapToGrid w:val="0"/>
        <w:spacing w:beforeLines="50" w:after="50" w:line="360" w:lineRule="auto"/>
        <w:ind w:firstLine="960" w:firstLineChars="400"/>
        <w:rPr>
          <w:rFonts w:ascii="宋体" w:hAnsi="宋体"/>
          <w:sz w:val="24"/>
          <w:szCs w:val="20"/>
        </w:rPr>
      </w:pPr>
      <w:r>
        <w:rPr>
          <w:rFonts w:hint="eastAsia" w:ascii="宋体" w:hAnsi="宋体"/>
          <w:sz w:val="24"/>
        </w:rPr>
        <w:t>职务：职务：</w:t>
      </w:r>
    </w:p>
    <w:p>
      <w:pPr>
        <w:snapToGrid w:val="0"/>
        <w:spacing w:beforeLines="50" w:after="50" w:line="360" w:lineRule="auto"/>
        <w:rPr>
          <w:rFonts w:ascii="宋体" w:hAnsi="宋体"/>
          <w:sz w:val="24"/>
          <w:szCs w:val="20"/>
        </w:rPr>
      </w:pPr>
      <w:r>
        <w:rPr>
          <w:rFonts w:hint="eastAsia" w:ascii="宋体" w:hAnsi="宋体"/>
          <w:sz w:val="24"/>
        </w:rPr>
        <w:t>被授权人身份证号码：</w:t>
      </w:r>
    </w:p>
    <w:p>
      <w:pPr>
        <w:snapToGrid w:val="0"/>
        <w:spacing w:beforeLines="50" w:after="50" w:line="360" w:lineRule="auto"/>
        <w:rPr>
          <w:rFonts w:ascii="宋体" w:hAnsi="宋体"/>
          <w:sz w:val="24"/>
        </w:rPr>
      </w:pPr>
      <w:r>
        <w:rPr>
          <w:rFonts w:hint="eastAsia" w:ascii="宋体" w:hAnsi="宋体"/>
          <w:sz w:val="24"/>
        </w:rPr>
        <w:t>投标供应商公章：</w:t>
      </w:r>
    </w:p>
    <w:p>
      <w:pPr>
        <w:pStyle w:val="5"/>
        <w:spacing w:line="360" w:lineRule="auto"/>
        <w:ind w:firstLine="374" w:firstLineChars="156"/>
        <w:jc w:val="center"/>
        <w:rPr>
          <w:rFonts w:hAnsi="宋体"/>
          <w:sz w:val="24"/>
          <w:szCs w:val="24"/>
        </w:rPr>
      </w:pPr>
      <w:r>
        <w:rPr>
          <w:rFonts w:hAnsi="宋体"/>
          <w:sz w:val="24"/>
          <w:szCs w:val="24"/>
        </w:rPr>
        <w:t>————————————————————</w:t>
      </w:r>
    </w:p>
    <w:p>
      <w:pPr>
        <w:pStyle w:val="5"/>
        <w:spacing w:line="360" w:lineRule="auto"/>
        <w:ind w:firstLine="374" w:firstLineChars="156"/>
        <w:jc w:val="center"/>
        <w:rPr>
          <w:rFonts w:hAnsi="宋体"/>
          <w:sz w:val="24"/>
          <w:szCs w:val="24"/>
        </w:rPr>
      </w:pPr>
    </w:p>
    <w:p>
      <w:pPr>
        <w:pStyle w:val="5"/>
        <w:spacing w:line="360" w:lineRule="auto"/>
        <w:ind w:firstLine="374" w:firstLineChars="156"/>
        <w:jc w:val="center"/>
        <w:rPr>
          <w:rFonts w:hAnsi="宋体"/>
          <w:sz w:val="24"/>
          <w:szCs w:val="24"/>
        </w:rPr>
      </w:pPr>
      <w:r>
        <w:rPr>
          <w:rFonts w:hAnsi="宋体"/>
          <w:sz w:val="24"/>
          <w:szCs w:val="24"/>
        </w:rPr>
        <w:t>授权代理人有效身份证明</w:t>
      </w: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line="360" w:lineRule="auto"/>
        <w:ind w:firstLine="482" w:firstLineChars="200"/>
        <w:jc w:val="center"/>
        <w:rPr>
          <w:rFonts w:ascii="宋体" w:hAnsi="宋体"/>
          <w:b/>
          <w:sz w:val="24"/>
        </w:rPr>
      </w:pPr>
    </w:p>
    <w:p>
      <w:pPr>
        <w:snapToGrid w:val="0"/>
        <w:spacing w:line="360" w:lineRule="auto"/>
        <w:ind w:firstLine="482" w:firstLineChars="200"/>
        <w:jc w:val="center"/>
        <w:rPr>
          <w:rFonts w:ascii="宋体" w:hAnsi="宋体"/>
          <w:b/>
          <w:sz w:val="24"/>
        </w:rPr>
      </w:pPr>
    </w:p>
    <w:p>
      <w:pPr>
        <w:snapToGrid w:val="0"/>
        <w:spacing w:line="360" w:lineRule="auto"/>
        <w:ind w:firstLine="482" w:firstLineChars="200"/>
        <w:rPr>
          <w:rFonts w:ascii="宋体" w:hAnsi="宋体" w:cs="宋体"/>
          <w:b/>
          <w:sz w:val="24"/>
        </w:rPr>
      </w:pPr>
    </w:p>
    <w:p>
      <w:pPr>
        <w:pStyle w:val="5"/>
        <w:rPr>
          <w:rFonts w:ascii="宋体" w:hAnsi="宋体" w:cs="宋体"/>
          <w:b/>
          <w:sz w:val="24"/>
        </w:rPr>
      </w:pPr>
    </w:p>
    <w:p>
      <w:pPr>
        <w:pStyle w:val="5"/>
        <w:rPr>
          <w:rFonts w:ascii="宋体" w:hAnsi="宋体" w:cs="宋体"/>
          <w:b/>
          <w:sz w:val="24"/>
        </w:rPr>
      </w:pPr>
    </w:p>
    <w:p>
      <w:pPr>
        <w:pStyle w:val="5"/>
        <w:rPr>
          <w:rFonts w:ascii="宋体" w:hAnsi="宋体" w:cs="宋体"/>
          <w:b/>
          <w:sz w:val="24"/>
        </w:rPr>
      </w:pPr>
    </w:p>
    <w:p>
      <w:pPr>
        <w:pStyle w:val="5"/>
        <w:ind w:firstLine="0"/>
        <w:rPr>
          <w:rFonts w:ascii="宋体" w:hAnsi="宋体" w:cs="宋体"/>
          <w:b/>
          <w:sz w:val="24"/>
        </w:rPr>
      </w:pPr>
    </w:p>
    <w:p>
      <w:pPr>
        <w:pStyle w:val="5"/>
        <w:rPr>
          <w:rFonts w:ascii="宋体" w:hAnsi="宋体" w:cs="宋体"/>
          <w:b/>
          <w:sz w:val="24"/>
        </w:rPr>
      </w:pPr>
    </w:p>
    <w:p>
      <w:pPr>
        <w:snapToGrid w:val="0"/>
        <w:spacing w:line="360" w:lineRule="auto"/>
        <w:jc w:val="center"/>
        <w:rPr>
          <w:rFonts w:hAnsi="宋体" w:cs="Arial"/>
          <w:b/>
          <w:bCs/>
          <w:sz w:val="24"/>
        </w:rPr>
      </w:pPr>
    </w:p>
    <w:p>
      <w:pPr>
        <w:snapToGrid w:val="0"/>
        <w:spacing w:line="360" w:lineRule="auto"/>
        <w:jc w:val="center"/>
        <w:rPr>
          <w:rFonts w:hint="eastAsia" w:hAnsi="宋体" w:cs="Arial"/>
          <w:b/>
          <w:bCs/>
          <w:sz w:val="24"/>
        </w:rPr>
      </w:pPr>
    </w:p>
    <w:p>
      <w:pPr>
        <w:snapToGrid w:val="0"/>
        <w:spacing w:line="360" w:lineRule="auto"/>
        <w:jc w:val="center"/>
        <w:rPr>
          <w:rFonts w:hAnsi="宋体"/>
          <w:sz w:val="24"/>
        </w:rPr>
      </w:pPr>
      <w:r>
        <w:rPr>
          <w:rFonts w:hint="eastAsia" w:hAnsi="宋体" w:cs="Arial"/>
          <w:b/>
          <w:bCs/>
          <w:sz w:val="24"/>
        </w:rPr>
        <w:t>四、</w:t>
      </w:r>
      <w:r>
        <w:rPr>
          <w:rFonts w:hint="eastAsia" w:ascii="宋体" w:hAnsi="宋体" w:cs="宋体"/>
          <w:b/>
          <w:bCs/>
          <w:sz w:val="24"/>
        </w:rPr>
        <w:t>授权代理人提供近三个月中任意一个月的社保证明；</w:t>
      </w:r>
    </w:p>
    <w:p>
      <w:pPr>
        <w:pStyle w:val="26"/>
        <w:spacing w:line="360" w:lineRule="auto"/>
        <w:rPr>
          <w:rFonts w:hAnsi="宋体"/>
          <w:sz w:val="24"/>
        </w:rPr>
      </w:pPr>
    </w:p>
    <w:p>
      <w:pPr>
        <w:pStyle w:val="26"/>
        <w:spacing w:line="360" w:lineRule="auto"/>
        <w:jc w:val="center"/>
        <w:rPr>
          <w:rFonts w:hAnsi="宋体"/>
          <w:b/>
          <w:bCs/>
          <w:sz w:val="24"/>
        </w:rPr>
      </w:pPr>
      <w:r>
        <w:rPr>
          <w:rFonts w:hint="eastAsia" w:hAnsi="宋体"/>
          <w:b/>
          <w:bCs/>
          <w:sz w:val="24"/>
        </w:rPr>
        <w:t>五、供应商的依法缴纳税收和社会保障资金的承诺函</w:t>
      </w:r>
    </w:p>
    <w:p>
      <w:pPr>
        <w:snapToGrid w:val="0"/>
        <w:spacing w:line="360" w:lineRule="auto"/>
        <w:ind w:firstLine="480" w:firstLineChars="200"/>
        <w:rPr>
          <w:rFonts w:hAnsi="宋体"/>
          <w:sz w:val="24"/>
        </w:rPr>
      </w:pPr>
    </w:p>
    <w:p>
      <w:pPr>
        <w:pStyle w:val="170"/>
        <w:spacing w:before="120"/>
        <w:ind w:firstLine="0"/>
        <w:jc w:val="center"/>
        <w:rPr>
          <w:rFonts w:ascii="宋体" w:hAnsi="宋体" w:cs="宋体"/>
          <w:b/>
          <w:bCs/>
          <w:kern w:val="2"/>
          <w:sz w:val="21"/>
        </w:rPr>
      </w:pPr>
      <w:r>
        <w:rPr>
          <w:rFonts w:hint="eastAsia" w:ascii="宋体" w:hAnsi="宋体" w:cs="宋体"/>
          <w:b/>
          <w:bCs/>
          <w:kern w:val="2"/>
          <w:sz w:val="21"/>
        </w:rPr>
        <w:t>承诺函</w:t>
      </w:r>
    </w:p>
    <w:p>
      <w:pPr>
        <w:widowControl/>
        <w:spacing w:line="480" w:lineRule="auto"/>
        <w:jc w:val="left"/>
        <w:rPr>
          <w:rFonts w:ascii="宋体" w:hAnsi="宋体" w:cs="宋体"/>
          <w:kern w:val="0"/>
          <w:sz w:val="24"/>
          <w:u w:val="single"/>
        </w:rPr>
      </w:pPr>
    </w:p>
    <w:p>
      <w:pPr>
        <w:widowControl/>
        <w:spacing w:line="480" w:lineRule="auto"/>
        <w:jc w:val="left"/>
        <w:rPr>
          <w:rFonts w:ascii="宋体" w:hAnsi="宋体" w:cs="宋体"/>
          <w:sz w:val="24"/>
        </w:rPr>
      </w:pPr>
      <w:r>
        <w:rPr>
          <w:rFonts w:hint="eastAsia" w:ascii="宋体" w:hAnsi="宋体" w:cs="宋体"/>
          <w:kern w:val="0"/>
          <w:sz w:val="24"/>
          <w:u w:val="single"/>
        </w:rPr>
        <w:t>致            （采购人、采购代理机构）</w:t>
      </w:r>
      <w:r>
        <w:rPr>
          <w:rFonts w:hint="eastAsia" w:ascii="宋体" w:hAnsi="宋体" w:cs="宋体"/>
          <w:kern w:val="0"/>
          <w:sz w:val="24"/>
        </w:rPr>
        <w:t xml:space="preserve">： </w:t>
      </w:r>
    </w:p>
    <w:p>
      <w:pPr>
        <w:widowControl/>
        <w:spacing w:line="480" w:lineRule="auto"/>
        <w:ind w:firstLine="480" w:firstLineChars="200"/>
        <w:jc w:val="left"/>
        <w:rPr>
          <w:rFonts w:ascii="宋体" w:hAnsi="宋体" w:cs="宋体"/>
          <w:sz w:val="24"/>
        </w:rPr>
      </w:pPr>
      <w:r>
        <w:rPr>
          <w:rFonts w:hint="eastAsia" w:ascii="宋体" w:hAnsi="宋体" w:cs="宋体"/>
          <w:kern w:val="0"/>
          <w:sz w:val="24"/>
        </w:rPr>
        <w:t>我方</w:t>
      </w:r>
      <w:r>
        <w:rPr>
          <w:rFonts w:hint="eastAsia" w:ascii="宋体" w:hAnsi="宋体" w:cs="宋体"/>
          <w:kern w:val="0"/>
          <w:sz w:val="24"/>
          <w:u w:val="single"/>
        </w:rPr>
        <w:t xml:space="preserve">（供应商）     </w:t>
      </w:r>
      <w:r>
        <w:rPr>
          <w:rFonts w:hint="eastAsia" w:ascii="宋体" w:hAnsi="宋体" w:cs="宋体"/>
          <w:kern w:val="0"/>
          <w:sz w:val="24"/>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pacing w:line="480" w:lineRule="auto"/>
        <w:ind w:firstLine="480" w:firstLineChars="200"/>
        <w:jc w:val="left"/>
        <w:rPr>
          <w:rFonts w:ascii="宋体" w:hAnsi="宋体" w:cs="宋体"/>
          <w:sz w:val="24"/>
        </w:rPr>
      </w:pPr>
      <w:r>
        <w:rPr>
          <w:rFonts w:hint="eastAsia" w:ascii="宋体" w:hAnsi="宋体" w:cs="宋体"/>
          <w:kern w:val="0"/>
          <w:sz w:val="24"/>
        </w:rPr>
        <w:t>特此承诺！</w:t>
      </w:r>
    </w:p>
    <w:p>
      <w:pPr>
        <w:widowControl/>
        <w:spacing w:line="480" w:lineRule="auto"/>
        <w:jc w:val="left"/>
        <w:rPr>
          <w:rFonts w:ascii="宋体" w:hAnsi="宋体" w:cs="宋体"/>
          <w:kern w:val="0"/>
          <w:sz w:val="24"/>
        </w:rPr>
      </w:pPr>
    </w:p>
    <w:p>
      <w:pPr>
        <w:widowControl/>
        <w:spacing w:line="480" w:lineRule="auto"/>
        <w:jc w:val="left"/>
        <w:rPr>
          <w:rFonts w:ascii="宋体" w:hAnsi="宋体" w:cs="宋体"/>
          <w:sz w:val="24"/>
        </w:rPr>
      </w:pPr>
      <w:r>
        <w:rPr>
          <w:rFonts w:hint="eastAsia" w:ascii="宋体" w:hAnsi="宋体" w:cs="宋体"/>
          <w:kern w:val="0"/>
          <w:sz w:val="24"/>
        </w:rPr>
        <w:t>供应商全称（</w:t>
      </w:r>
      <w:r>
        <w:rPr>
          <w:rFonts w:hint="eastAsia" w:ascii="宋体" w:hAnsi="宋体" w:cs="宋体"/>
          <w:b/>
          <w:bCs/>
          <w:kern w:val="0"/>
          <w:sz w:val="24"/>
        </w:rPr>
        <w:t>盖单位公章</w:t>
      </w:r>
      <w:r>
        <w:rPr>
          <w:rFonts w:hint="eastAsia" w:ascii="宋体" w:hAnsi="宋体" w:cs="宋体"/>
          <w:kern w:val="0"/>
          <w:sz w:val="24"/>
        </w:rPr>
        <w:t xml:space="preserve">）： </w:t>
      </w:r>
    </w:p>
    <w:p>
      <w:pPr>
        <w:widowControl/>
        <w:spacing w:line="480" w:lineRule="auto"/>
        <w:jc w:val="left"/>
        <w:rPr>
          <w:rFonts w:ascii="宋体" w:hAnsi="宋体" w:cs="宋体"/>
          <w:sz w:val="24"/>
        </w:rPr>
      </w:pPr>
      <w:r>
        <w:rPr>
          <w:rFonts w:hint="eastAsia"/>
          <w:sz w:val="24"/>
        </w:rPr>
        <w:t>法定代表人签字或盖章</w:t>
      </w:r>
      <w:r>
        <w:rPr>
          <w:rFonts w:hint="eastAsia" w:ascii="宋体" w:hAnsi="宋体" w:cs="宋体"/>
          <w:kern w:val="0"/>
          <w:sz w:val="24"/>
        </w:rPr>
        <w:t xml:space="preserve">： </w:t>
      </w:r>
    </w:p>
    <w:p>
      <w:pPr>
        <w:widowControl/>
        <w:spacing w:line="480" w:lineRule="auto"/>
        <w:jc w:val="left"/>
        <w:rPr>
          <w:rFonts w:hAnsi="宋体"/>
          <w:sz w:val="24"/>
        </w:rPr>
      </w:pPr>
      <w:r>
        <w:rPr>
          <w:rFonts w:hint="eastAsia" w:ascii="宋体" w:hAnsi="宋体" w:cs="宋体"/>
          <w:kern w:val="0"/>
          <w:sz w:val="24"/>
        </w:rPr>
        <w:t xml:space="preserve">日期：     年  月  日 </w:t>
      </w:r>
    </w:p>
    <w:p>
      <w:pPr>
        <w:pStyle w:val="5"/>
        <w:rPr>
          <w:rFonts w:hAnsi="宋体"/>
          <w:sz w:val="24"/>
        </w:rPr>
      </w:pPr>
    </w:p>
    <w:p>
      <w:pPr>
        <w:pStyle w:val="5"/>
        <w:rPr>
          <w:rFonts w:hAnsi="宋体"/>
          <w:sz w:val="24"/>
        </w:rPr>
      </w:pPr>
    </w:p>
    <w:p>
      <w:pPr>
        <w:pStyle w:val="5"/>
        <w:rPr>
          <w:rFonts w:hAnsi="宋体"/>
          <w:sz w:val="24"/>
        </w:rPr>
      </w:pPr>
    </w:p>
    <w:p>
      <w:pPr>
        <w:pStyle w:val="5"/>
        <w:rPr>
          <w:rFonts w:hAnsi="宋体"/>
          <w:sz w:val="24"/>
        </w:rPr>
      </w:pPr>
    </w:p>
    <w:p>
      <w:pPr>
        <w:pStyle w:val="5"/>
        <w:rPr>
          <w:rFonts w:hAnsi="宋体"/>
          <w:sz w:val="24"/>
        </w:rPr>
      </w:pPr>
    </w:p>
    <w:p>
      <w:pPr>
        <w:snapToGrid w:val="0"/>
        <w:spacing w:line="360" w:lineRule="auto"/>
        <w:rPr>
          <w:rFonts w:ascii="宋体" w:hAnsi="宋体" w:cs="宋体"/>
          <w:b/>
          <w:bCs/>
          <w:kern w:val="0"/>
          <w:sz w:val="24"/>
        </w:rPr>
      </w:pPr>
      <w:r>
        <w:rPr>
          <w:rFonts w:hint="eastAsia" w:hAnsi="宋体"/>
          <w:b/>
          <w:bCs/>
          <w:sz w:val="24"/>
        </w:rPr>
        <w:t>六、</w:t>
      </w:r>
      <w:r>
        <w:rPr>
          <w:rFonts w:hint="eastAsia"/>
          <w:b/>
          <w:bCs/>
          <w:sz w:val="24"/>
        </w:rPr>
        <w:t>提供自招标公告发布之日起至投标截止日前任意时间的“信用中国”网站（www.creditchina.gov.cn）、中国政府采购网（www.ccgp.gov.cn）供应商信用查询网页截图。（以开标当日采购人或由采购人委托的评标委员会核实的查询结果为准）；</w:t>
      </w:r>
    </w:p>
    <w:p>
      <w:pPr>
        <w:snapToGrid w:val="0"/>
        <w:spacing w:line="360" w:lineRule="auto"/>
        <w:ind w:firstLine="482" w:firstLineChars="200"/>
        <w:jc w:val="center"/>
        <w:rPr>
          <w:rFonts w:ascii="宋体" w:hAnsi="宋体"/>
          <w:b/>
          <w:sz w:val="24"/>
        </w:rPr>
      </w:pPr>
    </w:p>
    <w:p>
      <w:pPr>
        <w:snapToGrid w:val="0"/>
        <w:spacing w:line="360" w:lineRule="auto"/>
        <w:ind w:firstLine="482" w:firstLineChars="200"/>
        <w:jc w:val="center"/>
        <w:rPr>
          <w:rFonts w:ascii="宋体" w:hAnsi="宋体"/>
          <w:b/>
          <w:sz w:val="24"/>
        </w:rPr>
      </w:pPr>
    </w:p>
    <w:p>
      <w:pPr>
        <w:widowControl/>
        <w:rPr>
          <w:rFonts w:ascii="宋体" w:hAnsi="宋体" w:cs="宋体"/>
          <w:b/>
          <w:bCs/>
          <w:kern w:val="0"/>
          <w:sz w:val="24"/>
        </w:rPr>
      </w:pPr>
    </w:p>
    <w:p>
      <w:pPr>
        <w:widowControl/>
        <w:jc w:val="center"/>
        <w:rPr>
          <w:rFonts w:ascii="宋体" w:hAnsi="宋体" w:cs="宋体"/>
          <w:b/>
          <w:bCs/>
          <w:kern w:val="0"/>
          <w:sz w:val="24"/>
        </w:rPr>
      </w:pPr>
    </w:p>
    <w:p>
      <w:pPr>
        <w:jc w:val="center"/>
        <w:rPr>
          <w:rFonts w:ascii="宋体" w:hAnsi="宋体" w:cs="宋体"/>
        </w:rPr>
      </w:pPr>
      <w:r>
        <w:rPr>
          <w:rFonts w:hint="eastAsia" w:ascii="宋体" w:hAnsi="宋体" w:cs="宋体"/>
          <w:b/>
          <w:bCs/>
          <w:kern w:val="0"/>
          <w:sz w:val="24"/>
        </w:rPr>
        <w:t>七、</w:t>
      </w:r>
      <w:r>
        <w:rPr>
          <w:rFonts w:hint="eastAsia" w:ascii="宋体" w:hAnsi="宋体" w:cs="宋体"/>
          <w:b/>
          <w:kern w:val="0"/>
          <w:sz w:val="24"/>
        </w:rPr>
        <w:t>信用承诺书</w:t>
      </w:r>
    </w:p>
    <w:p>
      <w:pPr>
        <w:tabs>
          <w:tab w:val="left" w:pos="1650"/>
        </w:tabs>
        <w:spacing w:line="360" w:lineRule="auto"/>
        <w:ind w:firstLine="1200" w:firstLineChars="500"/>
        <w:jc w:val="left"/>
        <w:rPr>
          <w:rFonts w:ascii="宋体" w:hAnsi="宋体" w:cs="宋体"/>
          <w:sz w:val="24"/>
        </w:rPr>
      </w:pPr>
      <w:r>
        <w:rPr>
          <w:rFonts w:hint="eastAsia" w:ascii="宋体" w:hAnsi="宋体" w:cs="宋体"/>
          <w:sz w:val="24"/>
        </w:rPr>
        <w:t>（投标单位）现参加（采购项目）政府采购活动，郑重承诺如下：</w:t>
      </w:r>
    </w:p>
    <w:p>
      <w:pPr>
        <w:tabs>
          <w:tab w:val="left" w:pos="1650"/>
        </w:tabs>
        <w:spacing w:line="560" w:lineRule="exact"/>
        <w:ind w:firstLine="480"/>
        <w:rPr>
          <w:rFonts w:ascii="宋体" w:hAnsi="宋体" w:cs="宋体"/>
          <w:sz w:val="24"/>
        </w:rPr>
      </w:pPr>
      <w:r>
        <w:rPr>
          <w:rFonts w:hint="eastAsia" w:ascii="宋体" w:hAnsi="宋体" w:cs="宋体"/>
          <w:sz w:val="24"/>
        </w:rPr>
        <w:t>对所提供的资料合法性、真实性、准确性和有效性负责；</w:t>
      </w:r>
    </w:p>
    <w:p>
      <w:pPr>
        <w:tabs>
          <w:tab w:val="left" w:pos="1650"/>
        </w:tabs>
        <w:spacing w:line="560" w:lineRule="exact"/>
        <w:ind w:firstLine="480"/>
        <w:rPr>
          <w:rFonts w:ascii="宋体" w:hAnsi="宋体" w:cs="宋体"/>
          <w:sz w:val="24"/>
        </w:rPr>
      </w:pPr>
      <w:r>
        <w:rPr>
          <w:rFonts w:hint="eastAsia" w:ascii="宋体" w:hAnsi="宋体" w:cs="宋体"/>
          <w:sz w:val="24"/>
        </w:rPr>
        <w:t>严格按照国家法律、法规和规章，依法开展相关经济活动，全面履行应尽的责任和义务；</w:t>
      </w:r>
    </w:p>
    <w:p>
      <w:pPr>
        <w:tabs>
          <w:tab w:val="left" w:pos="1650"/>
        </w:tabs>
        <w:spacing w:line="560" w:lineRule="exact"/>
        <w:ind w:firstLine="480"/>
        <w:rPr>
          <w:rFonts w:ascii="宋体" w:hAnsi="宋体" w:cs="宋体"/>
          <w:sz w:val="24"/>
        </w:rPr>
      </w:pPr>
      <w:r>
        <w:rPr>
          <w:rFonts w:hint="eastAsia" w:ascii="宋体" w:hAnsi="宋体" w:cs="宋体"/>
          <w:sz w:val="24"/>
        </w:rPr>
        <w:t>加强自我约束、自我规范、自我管理，不制假售假、不虚假宣传、不违约毁约、不恶意逃债、不偷税漏税，诚信依法经营；</w:t>
      </w:r>
    </w:p>
    <w:p>
      <w:pPr>
        <w:tabs>
          <w:tab w:val="left" w:pos="1650"/>
        </w:tabs>
        <w:spacing w:line="560" w:lineRule="exact"/>
        <w:ind w:firstLine="480"/>
        <w:rPr>
          <w:rFonts w:ascii="宋体" w:hAnsi="宋体" w:cs="宋体"/>
          <w:sz w:val="24"/>
        </w:rPr>
      </w:pPr>
      <w:r>
        <w:rPr>
          <w:rFonts w:hint="eastAsia" w:ascii="宋体" w:hAnsi="宋体" w:cs="宋体"/>
          <w:sz w:val="24"/>
        </w:rPr>
        <w:t>自愿接受行政主管部门的依法检查、违背承诺约定将自愿承担违约责任，并接受法律法规和相关部门规章制度的惩戒和约束；</w:t>
      </w:r>
    </w:p>
    <w:p>
      <w:pPr>
        <w:tabs>
          <w:tab w:val="left" w:pos="1650"/>
        </w:tabs>
        <w:spacing w:line="560" w:lineRule="exact"/>
        <w:ind w:firstLine="480"/>
        <w:rPr>
          <w:rFonts w:ascii="宋体" w:hAnsi="宋体" w:cs="宋体"/>
          <w:sz w:val="24"/>
        </w:rPr>
      </w:pPr>
      <w:r>
        <w:rPr>
          <w:rFonts w:hint="eastAsia" w:ascii="宋体" w:hAnsi="宋体" w:cs="宋体"/>
          <w:color w:val="333333"/>
          <w:kern w:val="0"/>
          <w:sz w:val="24"/>
        </w:rPr>
        <w:t>按照信用信息管理有关要求，本单位（个人）同意将以上承诺在信用湖州网站公示，若违背以上承诺，依据相关规定记入企业（个人）信用</w:t>
      </w:r>
      <w:r>
        <w:rPr>
          <w:rFonts w:hint="eastAsia" w:ascii="宋体" w:hAnsi="宋体" w:cs="宋体"/>
          <w:color w:val="000000"/>
          <w:kern w:val="0"/>
          <w:sz w:val="24"/>
        </w:rPr>
        <w:t>档案；性质严重的，承担相应法律后果和责任，并依法依规列入严重失信名单。</w:t>
      </w:r>
    </w:p>
    <w:p>
      <w:pPr>
        <w:tabs>
          <w:tab w:val="left" w:pos="1650"/>
        </w:tabs>
        <w:spacing w:line="560" w:lineRule="exact"/>
        <w:ind w:firstLine="480"/>
        <w:rPr>
          <w:rFonts w:ascii="宋体" w:hAnsi="宋体" w:cs="宋体"/>
          <w:sz w:val="24"/>
          <w:u w:val="single"/>
        </w:rPr>
      </w:pPr>
    </w:p>
    <w:p>
      <w:pPr>
        <w:tabs>
          <w:tab w:val="left" w:pos="1650"/>
        </w:tabs>
        <w:spacing w:line="560" w:lineRule="exact"/>
        <w:ind w:firstLine="480"/>
        <w:rPr>
          <w:rFonts w:ascii="宋体" w:hAnsi="宋体" w:cs="宋体"/>
          <w:sz w:val="24"/>
          <w:u w:val="single"/>
        </w:rPr>
      </w:pPr>
    </w:p>
    <w:p>
      <w:pPr>
        <w:pStyle w:val="132"/>
        <w:spacing w:before="0" w:beforeAutospacing="0" w:after="0" w:afterAutospacing="0" w:line="560" w:lineRule="exact"/>
        <w:ind w:firstLine="600" w:firstLineChars="250"/>
        <w:rPr>
          <w:color w:val="000000"/>
          <w:spacing w:val="-7"/>
        </w:rPr>
      </w:pPr>
      <w:r>
        <w:rPr>
          <w:rFonts w:hint="eastAsia"/>
          <w:kern w:val="2"/>
        </w:rPr>
        <w:t>统一社会信用代码：</w:t>
      </w:r>
    </w:p>
    <w:p>
      <w:pPr>
        <w:pStyle w:val="132"/>
        <w:spacing w:before="0" w:beforeAutospacing="0" w:after="0" w:afterAutospacing="0" w:line="560" w:lineRule="exact"/>
        <w:ind w:firstLine="480"/>
        <w:jc w:val="right"/>
        <w:rPr>
          <w:color w:val="000000"/>
        </w:rPr>
      </w:pPr>
    </w:p>
    <w:p>
      <w:pPr>
        <w:pStyle w:val="132"/>
        <w:spacing w:before="0" w:beforeAutospacing="0" w:after="0" w:afterAutospacing="0" w:line="560" w:lineRule="exact"/>
        <w:ind w:firstLine="3240" w:firstLineChars="1350"/>
        <w:jc w:val="right"/>
        <w:rPr>
          <w:kern w:val="2"/>
        </w:rPr>
      </w:pPr>
      <w:r>
        <w:rPr>
          <w:rFonts w:hint="eastAsia"/>
          <w:kern w:val="2"/>
        </w:rPr>
        <w:t>承诺单位/个人（盖章/签名）</w:t>
      </w:r>
    </w:p>
    <w:p>
      <w:pPr>
        <w:spacing w:line="560" w:lineRule="exact"/>
        <w:ind w:firstLine="480"/>
        <w:jc w:val="right"/>
        <w:rPr>
          <w:rFonts w:ascii="宋体" w:hAnsi="宋体" w:cs="宋体"/>
          <w:sz w:val="24"/>
        </w:rPr>
      </w:pPr>
      <w:r>
        <w:rPr>
          <w:rFonts w:hint="eastAsia" w:ascii="宋体" w:hAnsi="宋体" w:cs="宋体"/>
          <w:sz w:val="24"/>
        </w:rPr>
        <w:t xml:space="preserve">                         时间：年月日</w:t>
      </w:r>
    </w:p>
    <w:p>
      <w:pPr>
        <w:pStyle w:val="19"/>
        <w:ind w:firstLine="240"/>
        <w:rPr>
          <w:sz w:val="24"/>
        </w:rPr>
      </w:pPr>
    </w:p>
    <w:p>
      <w:pPr>
        <w:pStyle w:val="19"/>
        <w:ind w:firstLine="0" w:firstLineChars="0"/>
        <w:rPr>
          <w:sz w:val="24"/>
        </w:rPr>
      </w:pPr>
    </w:p>
    <w:p>
      <w:pPr>
        <w:pStyle w:val="19"/>
        <w:ind w:firstLine="0" w:firstLineChars="0"/>
        <w:rPr>
          <w:b/>
          <w:bCs/>
          <w:sz w:val="24"/>
        </w:rPr>
      </w:pPr>
    </w:p>
    <w:p>
      <w:pPr>
        <w:snapToGrid w:val="0"/>
        <w:spacing w:line="360" w:lineRule="auto"/>
        <w:jc w:val="center"/>
        <w:rPr>
          <w:rFonts w:ascii="宋体" w:hAnsi="宋体"/>
          <w:b/>
          <w:bCs/>
          <w:sz w:val="24"/>
        </w:rPr>
      </w:pPr>
    </w:p>
    <w:p>
      <w:pPr>
        <w:pStyle w:val="26"/>
        <w:spacing w:line="360" w:lineRule="auto"/>
        <w:jc w:val="center"/>
        <w:rPr>
          <w:rFonts w:hint="eastAsia"/>
          <w:b/>
          <w:bCs/>
          <w:sz w:val="24"/>
        </w:rPr>
      </w:pPr>
      <w:r>
        <w:rPr>
          <w:rFonts w:hint="eastAsia"/>
          <w:b/>
          <w:bCs/>
          <w:sz w:val="24"/>
        </w:rPr>
        <w:br w:type="page"/>
      </w:r>
    </w:p>
    <w:p>
      <w:pPr>
        <w:pStyle w:val="26"/>
        <w:spacing w:line="360" w:lineRule="auto"/>
        <w:jc w:val="center"/>
        <w:rPr>
          <w:rFonts w:hint="eastAsia"/>
          <w:b/>
          <w:bCs/>
          <w:sz w:val="24"/>
        </w:rPr>
      </w:pPr>
    </w:p>
    <w:p>
      <w:pPr>
        <w:pStyle w:val="26"/>
        <w:spacing w:line="360" w:lineRule="auto"/>
        <w:jc w:val="center"/>
        <w:rPr>
          <w:rFonts w:hint="eastAsia" w:hAnsi="宋体"/>
          <w:b/>
          <w:bCs/>
          <w:sz w:val="24"/>
          <w:lang w:eastAsia="zh-CN"/>
        </w:rPr>
      </w:pPr>
      <w:r>
        <w:rPr>
          <w:rFonts w:hint="eastAsia"/>
          <w:b/>
          <w:bCs/>
          <w:sz w:val="24"/>
          <w:lang w:eastAsia="zh-CN"/>
        </w:rPr>
        <w:t>八、供应商的《中小企业声明函》，或属残疾人福利性单位、监狱企业的证明</w:t>
      </w:r>
    </w:p>
    <w:p>
      <w:pPr>
        <w:pStyle w:val="26"/>
        <w:spacing w:line="360" w:lineRule="auto"/>
        <w:jc w:val="center"/>
        <w:rPr>
          <w:rFonts w:hint="eastAsia" w:hAnsi="宋体"/>
          <w:b/>
          <w:bCs/>
          <w:sz w:val="24"/>
        </w:rPr>
      </w:pPr>
    </w:p>
    <w:p>
      <w:pPr>
        <w:pStyle w:val="26"/>
        <w:spacing w:line="360" w:lineRule="auto"/>
        <w:jc w:val="center"/>
        <w:rPr>
          <w:rFonts w:hint="eastAsia" w:hAnsi="宋体"/>
          <w:b/>
          <w:bCs/>
          <w:sz w:val="24"/>
        </w:rPr>
      </w:pPr>
    </w:p>
    <w:p>
      <w:pPr>
        <w:pStyle w:val="26"/>
        <w:spacing w:line="360" w:lineRule="auto"/>
        <w:jc w:val="center"/>
        <w:rPr>
          <w:sz w:val="24"/>
          <w:szCs w:val="24"/>
        </w:rPr>
      </w:pPr>
      <w:r>
        <w:rPr>
          <w:rFonts w:hint="eastAsia" w:hAnsi="宋体"/>
          <w:b/>
          <w:bCs/>
          <w:sz w:val="24"/>
        </w:rPr>
        <w:t>中小企业声明函</w:t>
      </w:r>
      <w:r>
        <w:rPr>
          <w:rFonts w:hint="eastAsia"/>
          <w:b/>
          <w:sz w:val="24"/>
          <w:szCs w:val="24"/>
        </w:rPr>
        <w:t>（工程、服务）</w:t>
      </w:r>
    </w:p>
    <w:p>
      <w:pPr>
        <w:spacing w:line="360" w:lineRule="auto"/>
        <w:rPr>
          <w:b/>
          <w:szCs w:val="28"/>
        </w:rPr>
      </w:pPr>
    </w:p>
    <w:p>
      <w:pPr>
        <w:spacing w:line="360" w:lineRule="auto"/>
        <w:ind w:firstLine="480" w:firstLineChars="200"/>
        <w:rPr>
          <w:rFonts w:cs="仿宋"/>
          <w:sz w:val="24"/>
        </w:rPr>
      </w:pPr>
      <w:r>
        <w:rPr>
          <w:rFonts w:hint="eastAsia" w:cs="仿宋"/>
          <w:sz w:val="24"/>
        </w:rPr>
        <w:t>本公司（联合体）郑重声明，根据《政府采购促进中小企业发展管理办法》（财库﹝2020﹞46 号）的规定，本公司</w:t>
      </w:r>
    </w:p>
    <w:p>
      <w:pPr>
        <w:spacing w:line="360" w:lineRule="auto"/>
        <w:ind w:firstLine="480" w:firstLineChars="200"/>
        <w:rPr>
          <w:rFonts w:cs="仿宋"/>
          <w:sz w:val="24"/>
        </w:rPr>
      </w:pPr>
      <w:r>
        <w:rPr>
          <w:rFonts w:hint="eastAsia" w:cs="仿宋"/>
          <w:sz w:val="24"/>
        </w:rPr>
        <w:t>（联合体）参加</w:t>
      </w:r>
      <w:r>
        <w:rPr>
          <w:rFonts w:hint="eastAsia" w:cs="仿宋"/>
          <w:sz w:val="24"/>
          <w:u w:val="single"/>
        </w:rPr>
        <w:t>（单位名称）</w:t>
      </w:r>
      <w:r>
        <w:rPr>
          <w:rFonts w:hint="eastAsia" w:cs="仿宋"/>
          <w:sz w:val="24"/>
        </w:rPr>
        <w:t>的</w:t>
      </w:r>
      <w:r>
        <w:rPr>
          <w:rFonts w:hint="eastAsia" w:cs="仿宋"/>
          <w:sz w:val="24"/>
          <w:u w:val="single"/>
        </w:rPr>
        <w:t>（项目名称）</w:t>
      </w:r>
      <w:r>
        <w:rPr>
          <w:rFonts w:hint="eastAsia" w:cs="仿宋"/>
          <w:sz w:val="24"/>
        </w:rPr>
        <w:t>采购活动，工 程的施工单位全部为符合政策要求的中小企业（或者：服务全部由符合政策要求的中小企业承接）。相关企业（含联合 体中的中小企业、签订分包意向协议的中小企业）的具体情况如下：</w:t>
      </w:r>
    </w:p>
    <w:p>
      <w:pPr>
        <w:numPr>
          <w:ilvl w:val="0"/>
          <w:numId w:val="12"/>
        </w:numPr>
        <w:spacing w:line="360" w:lineRule="auto"/>
        <w:ind w:firstLine="480" w:firstLineChars="200"/>
        <w:rPr>
          <w:rFonts w:cs="仿宋"/>
          <w:sz w:val="24"/>
        </w:rPr>
      </w:pPr>
      <w:r>
        <w:rPr>
          <w:rFonts w:hint="eastAsia" w:cs="仿宋"/>
          <w:sz w:val="24"/>
          <w:u w:val="single"/>
        </w:rPr>
        <w:t>（标的名称）</w:t>
      </w:r>
      <w:r>
        <w:rPr>
          <w:rFonts w:hint="eastAsia" w:cs="仿宋"/>
          <w:sz w:val="24"/>
        </w:rPr>
        <w:t>，属于</w:t>
      </w:r>
      <w:r>
        <w:rPr>
          <w:rFonts w:hint="eastAsia" w:cs="仿宋"/>
          <w:sz w:val="24"/>
          <w:u w:val="single"/>
        </w:rPr>
        <w:t>（采购文件中明确的所属行业）</w:t>
      </w:r>
      <w:r>
        <w:rPr>
          <w:rFonts w:hint="eastAsia" w:cs="仿宋"/>
          <w:sz w:val="24"/>
        </w:rPr>
        <w:t>；</w:t>
      </w:r>
    </w:p>
    <w:p>
      <w:pPr>
        <w:spacing w:line="360" w:lineRule="auto"/>
        <w:ind w:firstLine="480" w:firstLineChars="200"/>
        <w:rPr>
          <w:rFonts w:cs="仿宋"/>
          <w:sz w:val="24"/>
        </w:rPr>
      </w:pPr>
      <w:r>
        <w:rPr>
          <w:rFonts w:hint="eastAsia" w:cs="仿宋"/>
          <w:sz w:val="24"/>
        </w:rPr>
        <w:t>承建（承接）企业为</w:t>
      </w:r>
      <w:r>
        <w:rPr>
          <w:rFonts w:hint="eastAsia" w:cs="仿宋"/>
          <w:sz w:val="24"/>
          <w:u w:val="single"/>
        </w:rPr>
        <w:t>（企业名称）</w:t>
      </w:r>
      <w:r>
        <w:rPr>
          <w:rFonts w:hint="eastAsia" w:cs="仿宋"/>
          <w:sz w:val="24"/>
        </w:rPr>
        <w:t>，从业人员</w:t>
      </w:r>
      <w:r>
        <w:rPr>
          <w:rFonts w:hint="eastAsia" w:cs="仿宋"/>
          <w:sz w:val="24"/>
          <w:u w:val="single"/>
        </w:rPr>
        <w:tab/>
      </w:r>
      <w:r>
        <w:rPr>
          <w:rFonts w:hint="eastAsia" w:cs="仿宋"/>
          <w:sz w:val="24"/>
        </w:rPr>
        <w:t>人，营业收入为</w:t>
      </w:r>
      <w:r>
        <w:rPr>
          <w:rFonts w:hint="eastAsia" w:cs="仿宋"/>
          <w:sz w:val="24"/>
          <w:u w:val="single"/>
        </w:rPr>
        <w:tab/>
      </w:r>
      <w:r>
        <w:rPr>
          <w:rFonts w:hint="eastAsia" w:cs="仿宋"/>
          <w:sz w:val="24"/>
        </w:rPr>
        <w:t xml:space="preserve">万元，资产总额为 </w:t>
      </w:r>
      <w:r>
        <w:rPr>
          <w:rFonts w:hint="eastAsia" w:cs="仿宋"/>
          <w:sz w:val="24"/>
          <w:u w:val="single"/>
        </w:rPr>
        <w:tab/>
      </w:r>
      <w:r>
        <w:rPr>
          <w:rFonts w:hint="eastAsia" w:cs="仿宋"/>
          <w:sz w:val="24"/>
        </w:rPr>
        <w:t>万元，属于</w:t>
      </w:r>
      <w:r>
        <w:rPr>
          <w:rFonts w:hint="eastAsia" w:cs="仿宋"/>
          <w:sz w:val="24"/>
          <w:u w:val="single"/>
        </w:rPr>
        <w:t>（中型企业、小型企业、微型企业）</w:t>
      </w:r>
      <w:r>
        <w:rPr>
          <w:rFonts w:hint="eastAsia" w:cs="仿宋"/>
          <w:sz w:val="24"/>
        </w:rPr>
        <w:t>；</w:t>
      </w:r>
    </w:p>
    <w:p>
      <w:pPr>
        <w:spacing w:line="360" w:lineRule="auto"/>
        <w:ind w:firstLine="480" w:firstLineChars="200"/>
        <w:rPr>
          <w:rFonts w:cs="仿宋"/>
          <w:sz w:val="24"/>
        </w:rPr>
      </w:pPr>
      <w:r>
        <w:rPr>
          <w:rFonts w:hint="eastAsia" w:cs="仿宋"/>
          <w:sz w:val="24"/>
        </w:rPr>
        <w:t>以上企业，不属于大企业的分支机构，不存在控股股东为大企业的情形，也不存在与大企业的负责人为同一人的情形。</w:t>
      </w:r>
    </w:p>
    <w:p>
      <w:pPr>
        <w:spacing w:line="360" w:lineRule="auto"/>
        <w:ind w:firstLine="480" w:firstLineChars="200"/>
        <w:rPr>
          <w:rFonts w:cs="仿宋"/>
          <w:sz w:val="24"/>
        </w:rPr>
      </w:pPr>
      <w:r>
        <w:rPr>
          <w:rFonts w:hint="eastAsia" w:cs="仿宋"/>
          <w:sz w:val="24"/>
        </w:rPr>
        <w:t>本企业对上述声明内容的真实性负责。如有虚假，将依法承担相应责任。</w:t>
      </w:r>
    </w:p>
    <w:p>
      <w:pPr>
        <w:spacing w:line="360" w:lineRule="auto"/>
        <w:ind w:firstLine="5640" w:firstLineChars="2350"/>
        <w:rPr>
          <w:rFonts w:cs="仿宋"/>
          <w:sz w:val="24"/>
        </w:rPr>
      </w:pPr>
    </w:p>
    <w:p>
      <w:pPr>
        <w:spacing w:line="360" w:lineRule="auto"/>
        <w:ind w:firstLine="5640" w:firstLineChars="2350"/>
        <w:rPr>
          <w:rFonts w:cs="仿宋"/>
          <w:sz w:val="24"/>
        </w:rPr>
      </w:pPr>
      <w:r>
        <w:rPr>
          <w:rFonts w:hint="eastAsia" w:cs="仿宋"/>
          <w:sz w:val="24"/>
        </w:rPr>
        <w:t>企业名称（盖章）：</w:t>
      </w:r>
    </w:p>
    <w:p>
      <w:pPr>
        <w:spacing w:line="360" w:lineRule="auto"/>
        <w:ind w:firstLine="5640" w:firstLineChars="2350"/>
        <w:rPr>
          <w:bCs/>
          <w:sz w:val="24"/>
        </w:rPr>
      </w:pPr>
      <w:r>
        <w:rPr>
          <w:rFonts w:hint="eastAsia" w:cs="仿宋"/>
          <w:sz w:val="24"/>
        </w:rPr>
        <w:t>日期：</w:t>
      </w:r>
    </w:p>
    <w:p>
      <w:pPr>
        <w:snapToGrid w:val="0"/>
        <w:spacing w:line="360" w:lineRule="auto"/>
        <w:rPr>
          <w:rFonts w:cs="仿宋"/>
          <w:sz w:val="24"/>
        </w:rPr>
      </w:pPr>
    </w:p>
    <w:p>
      <w:pPr>
        <w:pStyle w:val="5"/>
        <w:spacing w:line="240" w:lineRule="exact"/>
        <w:ind w:firstLine="0"/>
      </w:pPr>
    </w:p>
    <w:p>
      <w:pPr>
        <w:pStyle w:val="5"/>
        <w:spacing w:line="240" w:lineRule="exact"/>
        <w:ind w:firstLine="0"/>
      </w:pPr>
    </w:p>
    <w:p>
      <w:pPr>
        <w:pStyle w:val="5"/>
        <w:spacing w:line="240" w:lineRule="exact"/>
        <w:ind w:firstLine="0"/>
        <w:rPr>
          <w:rFonts w:ascii="宋体"/>
          <w:sz w:val="22"/>
        </w:rPr>
      </w:pPr>
      <w:r>
        <w:rPr>
          <w:rFonts w:hint="eastAsia"/>
        </w:rPr>
        <w:t>注：</w:t>
      </w:r>
      <w:r>
        <w:rPr>
          <w:rFonts w:hint="eastAsia" w:ascii="宋体"/>
          <w:sz w:val="22"/>
        </w:rPr>
        <w:t>1.中小企业应当按照《政府采购促进中小企业发展管理办法》规定和《中小企业划型标准规定》（工信部联企业〔2011〕300号），如实填写并提交《中小企业声明函》。未按要求出具声明函的，投标报价不予扣减；</w:t>
      </w:r>
    </w:p>
    <w:p>
      <w:pPr>
        <w:pStyle w:val="5"/>
        <w:rPr>
          <w:rFonts w:ascii="宋体"/>
          <w:sz w:val="22"/>
        </w:rPr>
      </w:pPr>
      <w:r>
        <w:rPr>
          <w:rFonts w:hint="eastAsia" w:ascii="宋体"/>
          <w:sz w:val="22"/>
        </w:rPr>
        <w:t>2.如中标，将在中标公告中将此中小企业声明函予以公示，接受社会监督；</w:t>
      </w:r>
    </w:p>
    <w:p>
      <w:pPr>
        <w:pStyle w:val="5"/>
        <w:rPr>
          <w:rFonts w:ascii="宋体"/>
          <w:sz w:val="22"/>
        </w:rPr>
      </w:pPr>
      <w:r>
        <w:rPr>
          <w:rFonts w:hint="eastAsia" w:ascii="宋体"/>
          <w:sz w:val="22"/>
        </w:rPr>
        <w:t>3.中小企业对其声明内容的真实性负责，声明函内容不实的，属于提供虚假材料谋取中标、成交，依照《中华人民共和国政府采购法》等国家有关规定追究相应责任。</w:t>
      </w:r>
    </w:p>
    <w:p>
      <w:pPr>
        <w:pStyle w:val="18"/>
      </w:pPr>
    </w:p>
    <w:p>
      <w:pPr>
        <w:pStyle w:val="100"/>
      </w:pPr>
    </w:p>
    <w:p>
      <w:pPr>
        <w:pStyle w:val="5"/>
        <w:ind w:firstLine="0"/>
        <w:rPr>
          <w:rFonts w:ascii="宋体"/>
          <w:sz w:val="22"/>
        </w:rPr>
      </w:pPr>
    </w:p>
    <w:p>
      <w:pPr>
        <w:pStyle w:val="5"/>
        <w:rPr>
          <w:rFonts w:ascii="宋体"/>
          <w:sz w:val="22"/>
        </w:rPr>
      </w:pPr>
    </w:p>
    <w:p>
      <w:pPr>
        <w:snapToGrid w:val="0"/>
        <w:spacing w:line="360" w:lineRule="auto"/>
        <w:jc w:val="center"/>
        <w:rPr>
          <w:b/>
          <w:sz w:val="24"/>
        </w:rPr>
      </w:pPr>
    </w:p>
    <w:p>
      <w:pPr>
        <w:snapToGrid w:val="0"/>
        <w:spacing w:line="360" w:lineRule="auto"/>
        <w:jc w:val="center"/>
        <w:rPr>
          <w:b/>
          <w:sz w:val="24"/>
        </w:rPr>
      </w:pPr>
    </w:p>
    <w:p>
      <w:pPr>
        <w:snapToGrid w:val="0"/>
        <w:spacing w:line="360" w:lineRule="auto"/>
        <w:jc w:val="center"/>
        <w:rPr>
          <w:b/>
          <w:sz w:val="24"/>
        </w:rPr>
      </w:pPr>
    </w:p>
    <w:p>
      <w:pPr>
        <w:snapToGrid w:val="0"/>
        <w:spacing w:line="360" w:lineRule="auto"/>
        <w:jc w:val="center"/>
        <w:rPr>
          <w:b/>
          <w:sz w:val="24"/>
        </w:rPr>
      </w:pPr>
    </w:p>
    <w:p>
      <w:pPr>
        <w:pStyle w:val="61"/>
        <w:ind w:firstLine="482"/>
        <w:rPr>
          <w:b/>
          <w:sz w:val="24"/>
        </w:rPr>
      </w:pPr>
    </w:p>
    <w:p>
      <w:pPr>
        <w:pStyle w:val="61"/>
        <w:ind w:firstLine="482"/>
        <w:rPr>
          <w:b/>
          <w:sz w:val="24"/>
        </w:rPr>
      </w:pPr>
    </w:p>
    <w:p>
      <w:pPr>
        <w:pStyle w:val="61"/>
        <w:ind w:firstLine="482"/>
        <w:rPr>
          <w:b/>
          <w:sz w:val="24"/>
        </w:rPr>
      </w:pPr>
    </w:p>
    <w:p>
      <w:pPr>
        <w:pStyle w:val="61"/>
        <w:ind w:firstLine="482"/>
        <w:rPr>
          <w:b/>
          <w:sz w:val="24"/>
        </w:rPr>
      </w:pPr>
    </w:p>
    <w:p>
      <w:pPr>
        <w:snapToGrid w:val="0"/>
        <w:spacing w:line="360" w:lineRule="auto"/>
        <w:jc w:val="center"/>
        <w:rPr>
          <w:b/>
          <w:sz w:val="24"/>
        </w:rPr>
      </w:pPr>
      <w:r>
        <w:rPr>
          <w:rFonts w:hint="eastAsia"/>
          <w:b/>
          <w:sz w:val="24"/>
        </w:rPr>
        <w:t>残疾人福利企业声明函</w:t>
      </w:r>
    </w:p>
    <w:p>
      <w:pPr>
        <w:widowControl/>
        <w:spacing w:line="360" w:lineRule="auto"/>
        <w:jc w:val="center"/>
      </w:pPr>
      <w:r>
        <w:rPr>
          <w:rFonts w:hint="eastAsia"/>
          <w:color w:val="000000"/>
          <w:sz w:val="24"/>
        </w:rPr>
        <w:t>【非残疾人福利性单位不用提供】</w:t>
      </w:r>
    </w:p>
    <w:p>
      <w:pPr>
        <w:snapToGrid w:val="0"/>
        <w:spacing w:line="360" w:lineRule="auto"/>
        <w:ind w:firstLine="602" w:firstLineChars="250"/>
        <w:jc w:val="center"/>
        <w:rPr>
          <w:b/>
          <w:sz w:val="24"/>
        </w:rPr>
      </w:pPr>
    </w:p>
    <w:p>
      <w:pPr>
        <w:snapToGrid w:val="0"/>
        <w:spacing w:line="360" w:lineRule="auto"/>
        <w:ind w:firstLine="480" w:firstLineChars="200"/>
        <w:rPr>
          <w:sz w:val="24"/>
        </w:rPr>
      </w:pPr>
      <w:r>
        <w:rPr>
          <w:rFonts w:hint="eastAsia"/>
          <w:sz w:val="24"/>
        </w:rPr>
        <w:t>本单位郑重声明，根据《财政部民政部中国残疾人联合会关于促进残疾人就业政府采购政策的通知》（财库〔</w:t>
      </w:r>
      <w:r>
        <w:rPr>
          <w:sz w:val="24"/>
        </w:rPr>
        <w:t>2017</w:t>
      </w:r>
      <w:r>
        <w:rPr>
          <w:rFonts w:hint="eastAsia"/>
          <w:sz w:val="24"/>
        </w:rPr>
        <w:t>〕</w:t>
      </w:r>
      <w:r>
        <w:rPr>
          <w:sz w:val="24"/>
        </w:rPr>
        <w:t xml:space="preserve"> 141</w:t>
      </w:r>
      <w:r>
        <w:rPr>
          <w:rFonts w:hint="eastAsia"/>
          <w:sz w:val="24"/>
        </w:rPr>
        <w:t>号）的规定，本单位为符合条件的残疾人福利性单位，且本单位参加</w:t>
      </w:r>
      <w:r>
        <w:rPr>
          <w:sz w:val="24"/>
        </w:rPr>
        <w:t>______</w:t>
      </w:r>
      <w:r>
        <w:rPr>
          <w:rFonts w:hint="eastAsia"/>
          <w:sz w:val="24"/>
        </w:rPr>
        <w:t>单位的</w:t>
      </w:r>
      <w:r>
        <w:rPr>
          <w:sz w:val="24"/>
        </w:rPr>
        <w:t>______</w:t>
      </w:r>
      <w:r>
        <w:rPr>
          <w:rFonts w:hint="eastAsia"/>
          <w:sz w:val="24"/>
        </w:rPr>
        <w:t>项目采购活动提供本单位制造的货物（由本单位承担工程</w:t>
      </w:r>
      <w:r>
        <w:rPr>
          <w:sz w:val="24"/>
        </w:rPr>
        <w:t>/</w:t>
      </w:r>
      <w:r>
        <w:rPr>
          <w:rFonts w:hint="eastAsia"/>
          <w:sz w:val="24"/>
        </w:rPr>
        <w:t>提供服务），或者提供其他残疾人福利性单位制造的货物（不包括使用非残疾人福利性单位注册商标的货物）。</w:t>
      </w:r>
    </w:p>
    <w:p>
      <w:pPr>
        <w:snapToGrid w:val="0"/>
        <w:spacing w:line="360" w:lineRule="auto"/>
        <w:ind w:firstLine="480" w:firstLineChars="200"/>
        <w:rPr>
          <w:sz w:val="24"/>
        </w:rPr>
      </w:pPr>
      <w:r>
        <w:rPr>
          <w:rFonts w:hint="eastAsia"/>
          <w:sz w:val="24"/>
        </w:rPr>
        <w:t>本单位对上述声明的真实性负责。如有虚假，将依法承担相应责任。</w:t>
      </w:r>
    </w:p>
    <w:p>
      <w:pPr>
        <w:snapToGrid w:val="0"/>
        <w:spacing w:line="360" w:lineRule="auto"/>
        <w:ind w:firstLine="480" w:firstLineChars="200"/>
        <w:rPr>
          <w:sz w:val="24"/>
        </w:rPr>
      </w:pPr>
    </w:p>
    <w:p>
      <w:pPr>
        <w:spacing w:line="588" w:lineRule="exact"/>
        <w:ind w:firstLine="480" w:firstLineChars="200"/>
        <w:rPr>
          <w:sz w:val="24"/>
        </w:rPr>
      </w:pPr>
    </w:p>
    <w:p>
      <w:pPr>
        <w:snapToGrid w:val="0"/>
        <w:spacing w:line="360" w:lineRule="auto"/>
        <w:ind w:firstLine="480" w:firstLineChars="200"/>
        <w:jc w:val="right"/>
        <w:rPr>
          <w:sz w:val="24"/>
        </w:rPr>
      </w:pPr>
      <w:r>
        <w:rPr>
          <w:rFonts w:hint="eastAsia"/>
          <w:sz w:val="24"/>
        </w:rPr>
        <w:t>单位名称（盖章）：</w:t>
      </w:r>
    </w:p>
    <w:p>
      <w:pPr>
        <w:snapToGrid w:val="0"/>
        <w:spacing w:line="360" w:lineRule="auto"/>
        <w:ind w:firstLine="480" w:firstLineChars="200"/>
        <w:jc w:val="right"/>
        <w:rPr>
          <w:sz w:val="24"/>
        </w:rPr>
      </w:pPr>
      <w:r>
        <w:rPr>
          <w:rFonts w:hint="eastAsia"/>
          <w:sz w:val="24"/>
        </w:rPr>
        <w:t>日期：</w:t>
      </w:r>
    </w:p>
    <w:p>
      <w:pPr>
        <w:tabs>
          <w:tab w:val="left" w:pos="465"/>
        </w:tabs>
        <w:ind w:firstLine="2783" w:firstLineChars="990"/>
        <w:rPr>
          <w:rFonts w:ascii="仿宋" w:hAnsi="仿宋" w:eastAsia="仿宋"/>
          <w:b/>
          <w:bCs/>
          <w:szCs w:val="28"/>
        </w:rPr>
      </w:pPr>
    </w:p>
    <w:p>
      <w:pPr>
        <w:snapToGrid w:val="0"/>
        <w:spacing w:line="360" w:lineRule="auto"/>
        <w:rPr>
          <w:b/>
          <w:sz w:val="24"/>
        </w:rPr>
      </w:pPr>
    </w:p>
    <w:p>
      <w:pPr>
        <w:snapToGrid w:val="0"/>
        <w:spacing w:line="360" w:lineRule="auto"/>
        <w:ind w:firstLine="480" w:firstLineChars="200"/>
        <w:rPr>
          <w:sz w:val="24"/>
        </w:rPr>
      </w:pPr>
      <w:r>
        <w:rPr>
          <w:rFonts w:hint="eastAsia"/>
          <w:sz w:val="24"/>
        </w:rPr>
        <w:t>备注说明：</w:t>
      </w:r>
    </w:p>
    <w:p>
      <w:pPr>
        <w:snapToGrid w:val="0"/>
        <w:spacing w:line="360" w:lineRule="auto"/>
        <w:ind w:firstLine="480" w:firstLineChars="200"/>
        <w:rPr>
          <w:sz w:val="24"/>
        </w:rPr>
      </w:pPr>
      <w:r>
        <w:rPr>
          <w:rFonts w:hint="eastAsia"/>
          <w:sz w:val="24"/>
        </w:rPr>
        <w:t>1、如中标，将在中标公告中将此残疾人福利性单位声明函予以公示，接受社会监督；</w:t>
      </w:r>
    </w:p>
    <w:p>
      <w:pPr>
        <w:snapToGrid w:val="0"/>
        <w:spacing w:line="360" w:lineRule="auto"/>
        <w:ind w:firstLine="480" w:firstLineChars="200"/>
        <w:rPr>
          <w:sz w:val="24"/>
        </w:rPr>
      </w:pPr>
      <w:r>
        <w:rPr>
          <w:rFonts w:hint="eastAsia"/>
          <w:sz w:val="24"/>
        </w:rPr>
        <w:t>2、 供应商提供的《残疾人福利性单位声明函》与事实不符的，依照《政府采购法》第七十七条第一款的规定追究法律责任。</w:t>
      </w:r>
    </w:p>
    <w:p>
      <w:pPr>
        <w:pStyle w:val="5"/>
        <w:rPr>
          <w:rFonts w:ascii="宋体"/>
          <w:sz w:val="22"/>
        </w:rPr>
      </w:pPr>
    </w:p>
    <w:p>
      <w:pPr>
        <w:pStyle w:val="5"/>
        <w:rPr>
          <w:rFonts w:ascii="宋体"/>
          <w:sz w:val="22"/>
        </w:rPr>
      </w:pPr>
    </w:p>
    <w:p>
      <w:pPr>
        <w:pStyle w:val="5"/>
        <w:rPr>
          <w:rFonts w:ascii="宋体"/>
          <w:sz w:val="22"/>
        </w:rPr>
      </w:pPr>
    </w:p>
    <w:p>
      <w:pPr>
        <w:pStyle w:val="5"/>
        <w:rPr>
          <w:rFonts w:ascii="宋体"/>
          <w:sz w:val="22"/>
        </w:rPr>
      </w:pPr>
    </w:p>
    <w:p>
      <w:pPr>
        <w:pStyle w:val="5"/>
        <w:rPr>
          <w:rFonts w:ascii="宋体"/>
          <w:sz w:val="22"/>
        </w:rPr>
      </w:pPr>
    </w:p>
    <w:p>
      <w:pPr>
        <w:pStyle w:val="5"/>
        <w:rPr>
          <w:rFonts w:ascii="宋体"/>
          <w:sz w:val="22"/>
        </w:rPr>
      </w:pPr>
    </w:p>
    <w:p>
      <w:pPr>
        <w:pStyle w:val="5"/>
        <w:rPr>
          <w:rFonts w:ascii="宋体"/>
          <w:sz w:val="22"/>
        </w:rPr>
      </w:pPr>
    </w:p>
    <w:p>
      <w:pPr>
        <w:pStyle w:val="5"/>
        <w:rPr>
          <w:rFonts w:ascii="宋体"/>
          <w:sz w:val="22"/>
        </w:rPr>
      </w:pPr>
    </w:p>
    <w:p>
      <w:pPr>
        <w:pStyle w:val="5"/>
        <w:rPr>
          <w:rFonts w:ascii="宋体"/>
          <w:sz w:val="22"/>
        </w:rPr>
      </w:pPr>
    </w:p>
    <w:p>
      <w:pPr>
        <w:pStyle w:val="5"/>
        <w:rPr>
          <w:rFonts w:ascii="宋体"/>
          <w:sz w:val="22"/>
        </w:rPr>
      </w:pPr>
    </w:p>
    <w:p>
      <w:pPr>
        <w:pStyle w:val="5"/>
        <w:rPr>
          <w:rFonts w:ascii="宋体"/>
          <w:sz w:val="22"/>
        </w:rPr>
      </w:pPr>
    </w:p>
    <w:p>
      <w:pPr>
        <w:pStyle w:val="5"/>
        <w:rPr>
          <w:rFonts w:ascii="宋体"/>
          <w:sz w:val="22"/>
        </w:rPr>
      </w:pPr>
    </w:p>
    <w:p>
      <w:pPr>
        <w:pStyle w:val="37"/>
        <w:tabs>
          <w:tab w:val="right" w:leader="dot" w:pos="8302"/>
        </w:tabs>
        <w:ind w:left="560"/>
      </w:pPr>
    </w:p>
    <w:p>
      <w:pPr>
        <w:pStyle w:val="5"/>
        <w:ind w:firstLine="0"/>
        <w:rPr>
          <w:rFonts w:ascii="宋体"/>
          <w:sz w:val="22"/>
        </w:rPr>
      </w:pPr>
    </w:p>
    <w:p>
      <w:pPr>
        <w:snapToGrid w:val="0"/>
        <w:spacing w:line="360" w:lineRule="auto"/>
        <w:jc w:val="center"/>
        <w:rPr>
          <w:b/>
          <w:sz w:val="24"/>
        </w:rPr>
      </w:pPr>
    </w:p>
    <w:p>
      <w:pPr>
        <w:snapToGrid w:val="0"/>
        <w:spacing w:line="360" w:lineRule="auto"/>
        <w:jc w:val="center"/>
        <w:rPr>
          <w:b/>
          <w:sz w:val="24"/>
        </w:rPr>
      </w:pPr>
    </w:p>
    <w:p>
      <w:pPr>
        <w:snapToGrid w:val="0"/>
        <w:spacing w:line="360" w:lineRule="auto"/>
        <w:jc w:val="center"/>
        <w:rPr>
          <w:b/>
          <w:sz w:val="24"/>
        </w:rPr>
      </w:pPr>
    </w:p>
    <w:p>
      <w:pPr>
        <w:snapToGrid w:val="0"/>
        <w:spacing w:line="360" w:lineRule="auto"/>
        <w:jc w:val="center"/>
        <w:rPr>
          <w:b/>
          <w:sz w:val="24"/>
        </w:rPr>
      </w:pPr>
    </w:p>
    <w:p>
      <w:pPr>
        <w:snapToGrid w:val="0"/>
        <w:spacing w:line="360" w:lineRule="auto"/>
        <w:jc w:val="center"/>
        <w:rPr>
          <w:b/>
          <w:sz w:val="24"/>
        </w:rPr>
      </w:pPr>
      <w:r>
        <w:rPr>
          <w:rFonts w:hint="eastAsia"/>
          <w:b/>
          <w:sz w:val="24"/>
        </w:rPr>
        <w:t>监狱企业声明函</w:t>
      </w:r>
    </w:p>
    <w:p>
      <w:pPr>
        <w:widowControl/>
        <w:jc w:val="center"/>
        <w:rPr>
          <w:color w:val="000000"/>
          <w:sz w:val="24"/>
        </w:rPr>
      </w:pPr>
    </w:p>
    <w:p>
      <w:pPr>
        <w:widowControl/>
        <w:jc w:val="center"/>
        <w:rPr>
          <w:color w:val="000000"/>
          <w:sz w:val="24"/>
        </w:rPr>
      </w:pPr>
    </w:p>
    <w:p>
      <w:pPr>
        <w:widowControl/>
        <w:jc w:val="center"/>
      </w:pPr>
      <w:r>
        <w:rPr>
          <w:rFonts w:hint="eastAsia"/>
          <w:color w:val="000000"/>
          <w:sz w:val="24"/>
        </w:rPr>
        <w:t>【非监狱企业的不用提供】</w:t>
      </w:r>
    </w:p>
    <w:p>
      <w:pPr>
        <w:widowControl/>
        <w:spacing w:line="360" w:lineRule="auto"/>
        <w:ind w:firstLine="480" w:firstLineChars="200"/>
        <w:rPr>
          <w:color w:val="000000"/>
          <w:sz w:val="24"/>
        </w:rPr>
      </w:pPr>
    </w:p>
    <w:p>
      <w:pPr>
        <w:widowControl/>
        <w:spacing w:line="360" w:lineRule="auto"/>
        <w:ind w:firstLine="480" w:firstLineChars="200"/>
        <w:rPr>
          <w:sz w:val="24"/>
        </w:rPr>
      </w:pPr>
      <w:r>
        <w:rPr>
          <w:rFonts w:hint="eastAsia"/>
          <w:color w:val="000000"/>
          <w:sz w:val="24"/>
        </w:rPr>
        <w:t xml:space="preserve">本企业郑重声明，根据《关于政府采购支持监狱企业发展有关间想的通知》(财库[2014]68 号）的规定，本企业为监狱企业。 </w:t>
      </w:r>
    </w:p>
    <w:p>
      <w:pPr>
        <w:widowControl/>
        <w:spacing w:line="360" w:lineRule="auto"/>
        <w:ind w:firstLine="480" w:firstLineChars="200"/>
        <w:rPr>
          <w:sz w:val="24"/>
        </w:rPr>
      </w:pPr>
      <w:r>
        <w:rPr>
          <w:rFonts w:hint="eastAsia"/>
          <w:color w:val="000000"/>
          <w:sz w:val="24"/>
        </w:rPr>
        <w:t xml:space="preserve">根据上述标准，我企业属于监狱企业的理由为: </w:t>
      </w:r>
    </w:p>
    <w:p>
      <w:pPr>
        <w:widowControl/>
        <w:spacing w:line="360" w:lineRule="auto"/>
        <w:ind w:firstLine="480" w:firstLineChars="200"/>
        <w:rPr>
          <w:sz w:val="24"/>
        </w:rPr>
      </w:pPr>
      <w:r>
        <w:rPr>
          <w:rFonts w:hint="eastAsia"/>
          <w:color w:val="000000"/>
          <w:sz w:val="24"/>
        </w:rPr>
        <w:t xml:space="preserve">本企业为参加 (项目名称)(项目编号: )采购活动提供本企业的产品。 </w:t>
      </w:r>
    </w:p>
    <w:p>
      <w:pPr>
        <w:widowControl/>
        <w:spacing w:line="360" w:lineRule="auto"/>
        <w:ind w:firstLine="480" w:firstLineChars="200"/>
        <w:rPr>
          <w:sz w:val="24"/>
        </w:rPr>
      </w:pPr>
      <w:r>
        <w:rPr>
          <w:rFonts w:hint="eastAsia"/>
          <w:color w:val="000000"/>
          <w:sz w:val="24"/>
        </w:rPr>
        <w:t xml:space="preserve">本企业对上述声明的真实性负责。如有虚假，将依法承担相应责任。 </w:t>
      </w:r>
    </w:p>
    <w:p>
      <w:pPr>
        <w:widowControl/>
        <w:spacing w:line="360" w:lineRule="auto"/>
        <w:rPr>
          <w:color w:val="000000"/>
          <w:sz w:val="24"/>
        </w:rPr>
      </w:pPr>
    </w:p>
    <w:p>
      <w:pPr>
        <w:widowControl/>
        <w:spacing w:line="360" w:lineRule="auto"/>
        <w:rPr>
          <w:color w:val="000000"/>
          <w:sz w:val="24"/>
        </w:rPr>
      </w:pPr>
    </w:p>
    <w:p>
      <w:pPr>
        <w:widowControl/>
        <w:spacing w:line="360" w:lineRule="auto"/>
        <w:rPr>
          <w:sz w:val="24"/>
        </w:rPr>
      </w:pPr>
      <w:r>
        <w:rPr>
          <w:rFonts w:hint="eastAsia"/>
          <w:color w:val="000000"/>
          <w:sz w:val="24"/>
        </w:rPr>
        <w:t xml:space="preserve">供应商名称(盖章) : </w:t>
      </w:r>
    </w:p>
    <w:p>
      <w:pPr>
        <w:widowControl/>
        <w:spacing w:line="360" w:lineRule="auto"/>
        <w:rPr>
          <w:sz w:val="24"/>
        </w:rPr>
      </w:pPr>
      <w:r>
        <w:rPr>
          <w:rFonts w:hint="eastAsia"/>
          <w:color w:val="000000"/>
          <w:sz w:val="24"/>
        </w:rPr>
        <w:t xml:space="preserve">日期: 年 月 日 </w:t>
      </w:r>
    </w:p>
    <w:p>
      <w:pPr>
        <w:widowControl/>
        <w:spacing w:line="360" w:lineRule="auto"/>
        <w:rPr>
          <w:color w:val="000000"/>
          <w:sz w:val="24"/>
        </w:rPr>
      </w:pPr>
    </w:p>
    <w:p>
      <w:pPr>
        <w:widowControl/>
        <w:spacing w:line="360" w:lineRule="auto"/>
        <w:rPr>
          <w:color w:val="000000"/>
          <w:sz w:val="24"/>
        </w:rPr>
      </w:pPr>
    </w:p>
    <w:p>
      <w:pPr>
        <w:widowControl/>
        <w:spacing w:line="360" w:lineRule="auto"/>
        <w:ind w:firstLine="480" w:firstLineChars="200"/>
        <w:rPr>
          <w:color w:val="000000"/>
          <w:sz w:val="24"/>
        </w:rPr>
      </w:pPr>
      <w:r>
        <w:rPr>
          <w:rFonts w:hint="eastAsia"/>
          <w:color w:val="000000"/>
          <w:sz w:val="24"/>
        </w:rPr>
        <w:t>监狱企业参加政府采购活动时，应当提供由省级以上监狱管理局、戒毒管理局(新 疆生产建设兵团)出具的属于监狱企业的证明文件。</w:t>
      </w:r>
    </w:p>
    <w:p>
      <w:pPr>
        <w:widowControl/>
        <w:spacing w:line="360" w:lineRule="auto"/>
        <w:ind w:firstLine="480" w:firstLineChars="200"/>
        <w:rPr>
          <w:sz w:val="24"/>
        </w:rPr>
      </w:pPr>
      <w:r>
        <w:rPr>
          <w:rFonts w:hint="eastAsia"/>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rPr>
          <w:rFonts w:hint="eastAsia" w:eastAsia="宋体"/>
          <w:b/>
          <w:bCs/>
          <w:sz w:val="24"/>
          <w:lang w:eastAsia="zh-CN"/>
        </w:rPr>
      </w:pPr>
    </w:p>
    <w:p>
      <w:pPr>
        <w:rPr>
          <w:rFonts w:ascii="宋体" w:hAnsi="宋体"/>
          <w:b/>
          <w:bCs/>
          <w:sz w:val="24"/>
        </w:rPr>
      </w:pPr>
      <w:r>
        <w:rPr>
          <w:rFonts w:ascii="宋体" w:hAnsi="宋体"/>
          <w:b/>
          <w:bCs/>
          <w:sz w:val="24"/>
        </w:rPr>
        <w:br w:type="page"/>
      </w:r>
    </w:p>
    <w:p>
      <w:pPr>
        <w:pStyle w:val="2"/>
      </w:pPr>
    </w:p>
    <w:p>
      <w:pPr>
        <w:rPr>
          <w:rFonts w:ascii="宋体"/>
          <w:sz w:val="30"/>
          <w:szCs w:val="30"/>
        </w:rPr>
      </w:pPr>
      <w:r>
        <w:rPr>
          <w:rFonts w:ascii="宋体" w:hAnsi="宋体"/>
          <w:b/>
          <w:bCs/>
          <w:sz w:val="24"/>
        </w:rPr>
        <w:t>技术文件</w:t>
      </w:r>
      <w:r>
        <w:rPr>
          <w:rFonts w:hint="eastAsia" w:ascii="宋体" w:hAnsi="宋体"/>
          <w:b/>
          <w:bCs/>
          <w:sz w:val="24"/>
        </w:rPr>
        <w:t>目录</w:t>
      </w:r>
    </w:p>
    <w:p>
      <w:pPr>
        <w:spacing w:line="360" w:lineRule="auto"/>
        <w:ind w:firstLine="480" w:firstLineChars="200"/>
        <w:rPr>
          <w:rFonts w:ascii="宋体" w:hAnsi="宋体" w:cs="宋体"/>
          <w:b/>
          <w:sz w:val="24"/>
        </w:rPr>
      </w:pPr>
      <w:r>
        <w:rPr>
          <w:rFonts w:hint="eastAsia" w:ascii="宋体" w:hAnsi="宋体" w:cs="宋体"/>
          <w:sz w:val="24"/>
        </w:rPr>
        <w:t>（1）评分索引表（格式见附件，主要用于评审委员会对应评分内容，包括商务部分、技术部分）</w:t>
      </w:r>
      <w:r>
        <w:rPr>
          <w:rFonts w:hint="eastAsia" w:ascii="宋体" w:hAnsi="宋体" w:cs="宋体"/>
          <w:b/>
          <w:sz w:val="24"/>
        </w:rPr>
        <w:t>；</w:t>
      </w:r>
    </w:p>
    <w:p>
      <w:pPr>
        <w:snapToGrid w:val="0"/>
        <w:spacing w:line="360" w:lineRule="auto"/>
        <w:ind w:firstLine="480" w:firstLineChars="200"/>
        <w:jc w:val="left"/>
      </w:pPr>
      <w:r>
        <w:rPr>
          <w:rFonts w:hint="eastAsia" w:ascii="宋体" w:hAnsi="宋体"/>
          <w:sz w:val="24"/>
        </w:rPr>
        <w:t>（2）投标声明书（格式见附件）；</w:t>
      </w:r>
    </w:p>
    <w:p>
      <w:pPr>
        <w:spacing w:line="360" w:lineRule="auto"/>
        <w:ind w:firstLine="480" w:firstLineChars="200"/>
        <w:rPr>
          <w:rFonts w:ascii="宋体" w:hAnsi="宋体"/>
          <w:sz w:val="24"/>
        </w:rPr>
      </w:pPr>
      <w:r>
        <w:rPr>
          <w:rFonts w:hint="eastAsia" w:ascii="宋体" w:hAnsi="宋体"/>
          <w:sz w:val="24"/>
        </w:rPr>
        <w:t>（3）对本项目的理解；</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eastAsia="zh-CN"/>
        </w:rPr>
        <w:t>重难点分析及解决措施</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eastAsia="zh-CN"/>
        </w:rPr>
        <w:t>系统功能</w:t>
      </w:r>
      <w:r>
        <w:rPr>
          <w:rFonts w:hint="eastAsia" w:ascii="宋体" w:hAnsi="宋体"/>
          <w:sz w:val="24"/>
        </w:rPr>
        <w:t>；</w:t>
      </w:r>
    </w:p>
    <w:p>
      <w:pPr>
        <w:pStyle w:val="21"/>
        <w:ind w:left="0" w:leftChars="0" w:firstLine="480"/>
        <w:rPr>
          <w:rFonts w:ascii="宋体" w:hAnsi="宋体"/>
          <w:sz w:val="24"/>
        </w:rPr>
      </w:pPr>
      <w:r>
        <w:rPr>
          <w:rFonts w:hint="eastAsia" w:ascii="宋体" w:hAnsi="宋体"/>
          <w:sz w:val="24"/>
        </w:rPr>
        <w:t>（6）</w:t>
      </w:r>
      <w:r>
        <w:rPr>
          <w:rFonts w:hint="eastAsia" w:ascii="宋体" w:hAnsi="宋体"/>
          <w:sz w:val="24"/>
          <w:lang w:eastAsia="zh-CN"/>
        </w:rPr>
        <w:t>涉案财物出入库流程及操作规范</w:t>
      </w:r>
      <w:r>
        <w:rPr>
          <w:rFonts w:hint="eastAsia" w:ascii="宋体" w:hAnsi="宋体"/>
          <w:sz w:val="24"/>
        </w:rPr>
        <w:t>；</w:t>
      </w:r>
    </w:p>
    <w:p>
      <w:pPr>
        <w:pStyle w:val="21"/>
        <w:ind w:left="0" w:leftChars="0" w:firstLine="480"/>
        <w:rPr>
          <w:rFonts w:ascii="宋体" w:hAnsi="宋体"/>
          <w:sz w:val="24"/>
        </w:rPr>
      </w:pPr>
      <w:r>
        <w:rPr>
          <w:rFonts w:hint="eastAsia" w:ascii="宋体" w:hAnsi="宋体"/>
          <w:sz w:val="24"/>
        </w:rPr>
        <w:t>（7）</w:t>
      </w:r>
      <w:r>
        <w:rPr>
          <w:rFonts w:hint="eastAsia" w:ascii="宋体" w:hAnsi="宋体"/>
          <w:sz w:val="24"/>
          <w:lang w:eastAsia="zh-CN"/>
        </w:rPr>
        <w:t>各项制度</w:t>
      </w:r>
      <w:r>
        <w:rPr>
          <w:rFonts w:hint="eastAsia" w:ascii="宋体" w:hAnsi="宋体"/>
          <w:sz w:val="24"/>
        </w:rPr>
        <w:t>；</w:t>
      </w:r>
    </w:p>
    <w:p>
      <w:pPr>
        <w:pStyle w:val="21"/>
        <w:ind w:left="0" w:leftChars="0" w:firstLine="480"/>
        <w:rPr>
          <w:rFonts w:ascii="宋体" w:hAnsi="宋体"/>
          <w:sz w:val="24"/>
        </w:rPr>
      </w:pPr>
      <w:r>
        <w:rPr>
          <w:rFonts w:hint="eastAsia" w:ascii="宋体" w:hAnsi="宋体"/>
          <w:sz w:val="24"/>
        </w:rPr>
        <w:t>（8）</w:t>
      </w:r>
      <w:r>
        <w:rPr>
          <w:rFonts w:hint="eastAsia" w:ascii="宋体" w:hAnsi="宋体"/>
          <w:sz w:val="24"/>
          <w:lang w:eastAsia="zh-CN"/>
        </w:rPr>
        <w:t>硬件配备</w:t>
      </w:r>
      <w:r>
        <w:rPr>
          <w:rFonts w:hint="eastAsia" w:ascii="宋体" w:hAnsi="宋体"/>
          <w:sz w:val="24"/>
        </w:rPr>
        <w:t>；</w:t>
      </w:r>
    </w:p>
    <w:p>
      <w:pPr>
        <w:pStyle w:val="2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w:t>
      </w:r>
      <w:r>
        <w:rPr>
          <w:rFonts w:hint="eastAsia" w:ascii="宋体" w:hAnsi="宋体"/>
          <w:sz w:val="24"/>
          <w:lang w:eastAsia="zh-CN"/>
        </w:rPr>
        <w:t>服务团队</w:t>
      </w:r>
      <w:r>
        <w:rPr>
          <w:rFonts w:hint="eastAsia" w:ascii="宋体" w:hAnsi="宋体"/>
          <w:sz w:val="24"/>
        </w:rPr>
        <w:t>；</w:t>
      </w:r>
    </w:p>
    <w:p>
      <w:pPr>
        <w:pStyle w:val="2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w:t>
      </w:r>
      <w:r>
        <w:rPr>
          <w:rFonts w:hint="eastAsia" w:ascii="宋体" w:hAnsi="宋体"/>
          <w:sz w:val="24"/>
          <w:lang w:eastAsia="zh-CN"/>
        </w:rPr>
        <w:t>场地设置</w:t>
      </w:r>
      <w:r>
        <w:rPr>
          <w:rFonts w:hint="eastAsia" w:ascii="宋体" w:hAnsi="宋体"/>
          <w:sz w:val="24"/>
        </w:rPr>
        <w:t>；</w:t>
      </w:r>
    </w:p>
    <w:p>
      <w:pPr>
        <w:pStyle w:val="21"/>
        <w:ind w:left="0" w:leftChars="0" w:firstLine="480"/>
        <w:rPr>
          <w:rFonts w:hint="eastAsia" w:ascii="宋体" w:hAnsi="宋体"/>
          <w:sz w:val="24"/>
        </w:rPr>
      </w:pPr>
      <w:r>
        <w:rPr>
          <w:rFonts w:hint="eastAsia" w:ascii="宋体" w:hAnsi="宋体"/>
          <w:sz w:val="24"/>
        </w:rPr>
        <w:t>（</w:t>
      </w:r>
      <w:r>
        <w:rPr>
          <w:rFonts w:hint="eastAsia" w:ascii="宋体" w:hAnsi="宋体"/>
          <w:sz w:val="24"/>
          <w:lang w:val="en-US" w:eastAsia="zh-CN"/>
        </w:rPr>
        <w:t>11</w:t>
      </w:r>
      <w:r>
        <w:rPr>
          <w:rFonts w:hint="eastAsia" w:ascii="宋体" w:hAnsi="宋体"/>
          <w:sz w:val="24"/>
        </w:rPr>
        <w:t>）</w:t>
      </w:r>
      <w:r>
        <w:rPr>
          <w:rFonts w:hint="eastAsia" w:ascii="宋体" w:hAnsi="宋体"/>
          <w:sz w:val="24"/>
          <w:lang w:eastAsia="zh-CN"/>
        </w:rPr>
        <w:t>响应时间</w:t>
      </w:r>
      <w:r>
        <w:rPr>
          <w:rFonts w:hint="eastAsia" w:ascii="宋体" w:hAnsi="宋体"/>
          <w:sz w:val="24"/>
        </w:rPr>
        <w:t>；</w:t>
      </w:r>
    </w:p>
    <w:p>
      <w:pPr>
        <w:pStyle w:val="21"/>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12</w:t>
      </w:r>
      <w:r>
        <w:rPr>
          <w:rFonts w:hint="eastAsia" w:ascii="宋体" w:hAnsi="宋体"/>
          <w:sz w:val="24"/>
          <w:lang w:eastAsia="zh-CN"/>
        </w:rPr>
        <w:t>）针对本项目的合理化建议；</w:t>
      </w:r>
    </w:p>
    <w:p>
      <w:pPr>
        <w:pStyle w:val="21"/>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13</w:t>
      </w:r>
      <w:r>
        <w:rPr>
          <w:rFonts w:hint="eastAsia" w:ascii="宋体" w:hAnsi="宋体"/>
          <w:sz w:val="24"/>
          <w:lang w:eastAsia="zh-CN"/>
        </w:rPr>
        <w:t>）企业业绩；</w:t>
      </w:r>
    </w:p>
    <w:p>
      <w:pPr>
        <w:pStyle w:val="21"/>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14</w:t>
      </w:r>
      <w:r>
        <w:rPr>
          <w:rFonts w:hint="eastAsia" w:ascii="宋体" w:hAnsi="宋体"/>
          <w:sz w:val="24"/>
          <w:lang w:eastAsia="zh-CN"/>
        </w:rPr>
        <w:t>）企业综合实力；</w:t>
      </w:r>
    </w:p>
    <w:p>
      <w:pPr>
        <w:pStyle w:val="21"/>
        <w:ind w:left="0" w:leftChars="0" w:firstLine="480"/>
        <w:rPr>
          <w:rFonts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）商务响应表；</w:t>
      </w:r>
    </w:p>
    <w:p>
      <w:pPr>
        <w:snapToGri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）其他投标供应商认为有必要提供的资料。</w:t>
      </w:r>
    </w:p>
    <w:p>
      <w:pPr>
        <w:snapToGrid w:val="0"/>
        <w:spacing w:line="360" w:lineRule="auto"/>
        <w:ind w:firstLine="480" w:firstLineChars="200"/>
        <w:jc w:val="left"/>
        <w:rPr>
          <w:rFonts w:ascii="宋体" w:hAnsi="宋体"/>
          <w:sz w:val="24"/>
        </w:rPr>
      </w:pPr>
    </w:p>
    <w:p>
      <w:pPr>
        <w:spacing w:line="360" w:lineRule="auto"/>
        <w:ind w:firstLine="480" w:firstLineChars="200"/>
        <w:rPr>
          <w:rFonts w:ascii="宋体" w:hAnsi="宋体" w:cs="宋体"/>
          <w:sz w:val="24"/>
        </w:rPr>
      </w:pPr>
    </w:p>
    <w:p>
      <w:pPr>
        <w:pStyle w:val="13"/>
        <w:snapToGrid w:val="0"/>
        <w:jc w:val="center"/>
        <w:rPr>
          <w:rFonts w:ascii="宋体" w:hAnsi="宋体" w:eastAsia="宋体"/>
          <w:b/>
          <w:sz w:val="24"/>
        </w:rPr>
      </w:pPr>
    </w:p>
    <w:p>
      <w:pPr>
        <w:pStyle w:val="13"/>
        <w:snapToGrid w:val="0"/>
        <w:jc w:val="center"/>
        <w:rPr>
          <w:rFonts w:ascii="宋体" w:hAnsi="宋体" w:eastAsia="宋体"/>
          <w:b/>
          <w:sz w:val="24"/>
        </w:rPr>
      </w:pPr>
    </w:p>
    <w:p>
      <w:pPr>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rPr>
          <w:rFonts w:ascii="宋体" w:hAnsi="宋体"/>
          <w:b/>
          <w:sz w:val="24"/>
        </w:rPr>
      </w:pPr>
    </w:p>
    <w:p>
      <w:pPr>
        <w:pStyle w:val="5"/>
        <w:ind w:firstLine="0"/>
        <w:rPr>
          <w:rFonts w:ascii="宋体" w:hAnsi="宋体"/>
          <w:b/>
          <w:sz w:val="24"/>
        </w:rPr>
      </w:pPr>
    </w:p>
    <w:p>
      <w:pPr>
        <w:pStyle w:val="5"/>
        <w:rPr>
          <w:rFonts w:ascii="宋体" w:hAnsi="宋体"/>
          <w:b/>
          <w:sz w:val="24"/>
        </w:rPr>
      </w:pPr>
    </w:p>
    <w:p>
      <w:pPr>
        <w:pStyle w:val="21"/>
        <w:ind w:left="0" w:leftChars="0" w:firstLine="0" w:firstLineChars="0"/>
        <w:rPr>
          <w:rFonts w:ascii="宋体" w:hAnsi="宋体"/>
          <w:b/>
          <w:sz w:val="24"/>
        </w:rPr>
      </w:pPr>
    </w:p>
    <w:p>
      <w:pPr>
        <w:jc w:val="center"/>
        <w:rPr>
          <w:rFonts w:ascii="宋体" w:hAnsi="宋体" w:eastAsia="宋体"/>
          <w:b/>
          <w:sz w:val="24"/>
        </w:rPr>
      </w:pPr>
      <w:r>
        <w:rPr>
          <w:rFonts w:hint="eastAsia" w:ascii="宋体" w:hAnsi="宋体" w:eastAsia="宋体"/>
          <w:b/>
          <w:sz w:val="24"/>
        </w:rPr>
        <w:t>一、评分索引表</w:t>
      </w:r>
    </w:p>
    <w:p>
      <w:pPr>
        <w:pStyle w:val="13"/>
        <w:snapToGrid w:val="0"/>
        <w:rPr>
          <w:rFonts w:ascii="宋体" w:hAnsi="宋体" w:eastAsia="宋体"/>
          <w:sz w:val="24"/>
          <w:szCs w:val="24"/>
        </w:rPr>
      </w:pPr>
      <w:r>
        <w:rPr>
          <w:rFonts w:hint="eastAsia" w:ascii="宋体" w:hAnsi="宋体" w:eastAsia="宋体"/>
          <w:sz w:val="24"/>
          <w:szCs w:val="24"/>
        </w:rPr>
        <w:t xml:space="preserve"> 投标供应商全称（公章）：              </w:t>
      </w:r>
    </w:p>
    <w:tbl>
      <w:tblPr>
        <w:tblStyle w:val="4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593"/>
        <w:gridCol w:w="3315"/>
        <w:gridCol w:w="1418"/>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43" w:type="pct"/>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评分项目</w:t>
            </w:r>
          </w:p>
        </w:tc>
        <w:tc>
          <w:tcPr>
            <w:tcW w:w="1700" w:type="pct"/>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投标文件对应资料</w:t>
            </w: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sz w:val="24"/>
              </w:rPr>
            </w:pPr>
            <w:r>
              <w:rPr>
                <w:rFonts w:hint="eastAsia" w:ascii="宋体" w:hAnsi="宋体"/>
                <w:sz w:val="24"/>
              </w:rPr>
              <w:t>自评分</w:t>
            </w:r>
          </w:p>
        </w:tc>
        <w:tc>
          <w:tcPr>
            <w:tcW w:w="727" w:type="pct"/>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对应第四章评分办法及评分标准（报价除外）</w:t>
            </w:r>
          </w:p>
        </w:tc>
        <w:tc>
          <w:tcPr>
            <w:tcW w:w="1700" w:type="pct"/>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ascii="宋体" w:hAnsi="宋体"/>
                <w:sz w:val="24"/>
              </w:rPr>
              <w:t>……</w:t>
            </w:r>
          </w:p>
        </w:tc>
        <w:tc>
          <w:tcPr>
            <w:tcW w:w="1700" w:type="pct"/>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rPr>
      </w:pPr>
      <w:r>
        <w:rPr>
          <w:rFonts w:hint="eastAsia" w:ascii="宋体" w:hAnsi="宋体"/>
          <w:sz w:val="24"/>
        </w:rPr>
        <w:t xml:space="preserve">               日期：</w:t>
      </w:r>
    </w:p>
    <w:p>
      <w:pPr>
        <w:spacing w:line="360" w:lineRule="auto"/>
        <w:ind w:firstLine="482" w:firstLineChars="200"/>
        <w:jc w:val="center"/>
        <w:rPr>
          <w:rFonts w:ascii="宋体" w:hAnsi="宋体"/>
          <w:b/>
          <w:sz w:val="24"/>
        </w:rPr>
      </w:pPr>
    </w:p>
    <w:p>
      <w:pPr>
        <w:pStyle w:val="19"/>
        <w:ind w:firstLine="240"/>
        <w:rPr>
          <w:sz w:val="24"/>
        </w:rPr>
      </w:pPr>
    </w:p>
    <w:p>
      <w:pPr>
        <w:pStyle w:val="19"/>
        <w:ind w:firstLine="240"/>
        <w:rPr>
          <w:sz w:val="24"/>
        </w:rPr>
      </w:pPr>
    </w:p>
    <w:p>
      <w:pPr>
        <w:pStyle w:val="19"/>
        <w:ind w:firstLine="240"/>
        <w:rPr>
          <w:sz w:val="24"/>
        </w:rPr>
      </w:pPr>
    </w:p>
    <w:p>
      <w:pPr>
        <w:spacing w:line="360" w:lineRule="auto"/>
        <w:ind w:left="2" w:firstLine="480" w:firstLineChars="200"/>
        <w:rPr>
          <w:rFonts w:ascii="宋体"/>
          <w:sz w:val="24"/>
        </w:rPr>
      </w:pPr>
    </w:p>
    <w:p>
      <w:pPr>
        <w:spacing w:line="360" w:lineRule="auto"/>
        <w:ind w:left="2" w:firstLine="480" w:firstLineChars="200"/>
        <w:rPr>
          <w:rFonts w:ascii="宋体"/>
          <w:sz w:val="24"/>
        </w:rPr>
      </w:pPr>
    </w:p>
    <w:p>
      <w:pPr>
        <w:spacing w:line="360" w:lineRule="auto"/>
        <w:ind w:left="2" w:firstLine="480" w:firstLineChars="200"/>
        <w:rPr>
          <w:rFonts w:ascii="宋体"/>
          <w:sz w:val="24"/>
        </w:rPr>
      </w:pPr>
    </w:p>
    <w:p>
      <w:pPr>
        <w:spacing w:line="360" w:lineRule="auto"/>
        <w:ind w:left="2" w:firstLine="480" w:firstLineChars="200"/>
        <w:rPr>
          <w:rFonts w:ascii="宋体"/>
          <w:sz w:val="24"/>
        </w:rPr>
      </w:pPr>
    </w:p>
    <w:p>
      <w:pPr>
        <w:spacing w:line="360" w:lineRule="auto"/>
        <w:ind w:left="2" w:firstLine="480" w:firstLineChars="200"/>
        <w:rPr>
          <w:rFonts w:ascii="宋体"/>
          <w:sz w:val="24"/>
        </w:rPr>
      </w:pPr>
    </w:p>
    <w:p>
      <w:pPr>
        <w:spacing w:line="360" w:lineRule="auto"/>
        <w:ind w:left="2" w:firstLine="480" w:firstLineChars="200"/>
        <w:rPr>
          <w:rFonts w:ascii="宋体"/>
          <w:sz w:val="24"/>
        </w:rPr>
      </w:pPr>
    </w:p>
    <w:p>
      <w:pPr>
        <w:pStyle w:val="20"/>
        <w:rPr>
          <w:sz w:val="24"/>
        </w:rPr>
      </w:pPr>
    </w:p>
    <w:p>
      <w:pPr>
        <w:pStyle w:val="20"/>
        <w:ind w:left="0" w:leftChars="0" w:firstLine="0" w:firstLineChars="0"/>
        <w:rPr>
          <w:sz w:val="24"/>
        </w:rPr>
      </w:pPr>
    </w:p>
    <w:p>
      <w:pPr>
        <w:snapToGrid w:val="0"/>
        <w:spacing w:beforeLines="50" w:after="50"/>
        <w:jc w:val="center"/>
        <w:rPr>
          <w:rFonts w:ascii="宋体" w:hAnsi="宋体" w:cs="宋体"/>
          <w:b/>
          <w:sz w:val="24"/>
        </w:rPr>
      </w:pPr>
      <w:r>
        <w:rPr>
          <w:rFonts w:hint="eastAsia" w:ascii="宋体" w:hAnsi="宋体" w:cs="宋体"/>
          <w:b/>
          <w:sz w:val="24"/>
        </w:rPr>
        <w:t>二、投标声明书</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致：（招标采购单位名称）：</w:t>
      </w:r>
    </w:p>
    <w:p>
      <w:pPr>
        <w:snapToGrid w:val="0"/>
        <w:spacing w:line="360" w:lineRule="auto"/>
        <w:ind w:firstLine="480" w:firstLineChars="200"/>
        <w:jc w:val="left"/>
        <w:rPr>
          <w:rFonts w:ascii="宋体" w:hAnsi="宋体" w:cs="宋体"/>
          <w:sz w:val="24"/>
        </w:rPr>
      </w:pPr>
      <w:r>
        <w:rPr>
          <w:rFonts w:hint="eastAsia" w:ascii="宋体" w:hAnsi="宋体" w:cs="宋体"/>
          <w:sz w:val="24"/>
        </w:rPr>
        <w:t>（投标人名称）系中华人民共和国合法企业，经营地址。</w:t>
      </w:r>
    </w:p>
    <w:p>
      <w:pPr>
        <w:snapToGrid w:val="0"/>
        <w:spacing w:line="360" w:lineRule="auto"/>
        <w:ind w:firstLine="480" w:firstLineChars="200"/>
        <w:jc w:val="left"/>
        <w:rPr>
          <w:rFonts w:ascii="宋体" w:hAnsi="宋体" w:cs="宋体"/>
          <w:sz w:val="24"/>
        </w:rPr>
      </w:pPr>
      <w:r>
        <w:rPr>
          <w:rFonts w:hint="eastAsia" w:ascii="宋体" w:hAnsi="宋体" w:cs="宋体"/>
          <w:sz w:val="24"/>
        </w:rPr>
        <w:t>我（姓名）系（投标人名称）的法定代表人，我方愿意参加贵方组织的项目的投标，为便于贵方公正、择优地确定中标人及其服务，我方就本次投标有关事项郑重声明如下：</w:t>
      </w:r>
    </w:p>
    <w:p>
      <w:pPr>
        <w:snapToGrid w:val="0"/>
        <w:spacing w:line="360" w:lineRule="auto"/>
        <w:ind w:firstLine="480" w:firstLineChars="200"/>
        <w:jc w:val="left"/>
        <w:rPr>
          <w:rFonts w:ascii="宋体" w:hAnsi="宋体" w:cs="宋体"/>
          <w:sz w:val="24"/>
        </w:rPr>
      </w:pPr>
      <w:r>
        <w:rPr>
          <w:rFonts w:hint="eastAsia" w:ascii="宋体" w:hAnsi="宋体" w:cs="宋体"/>
          <w:sz w:val="24"/>
        </w:rPr>
        <w:t>1.我方向贵方提交的所有投标文件、资料都是准确的和真实的。</w:t>
      </w:r>
    </w:p>
    <w:p>
      <w:pPr>
        <w:snapToGrid w:val="0"/>
        <w:spacing w:line="360" w:lineRule="auto"/>
        <w:ind w:firstLine="480" w:firstLineChars="200"/>
        <w:jc w:val="left"/>
        <w:rPr>
          <w:rFonts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jc w:val="left"/>
        <w:rPr>
          <w:rFonts w:ascii="宋体" w:hAnsi="宋体" w:cs="宋体"/>
          <w:sz w:val="24"/>
        </w:rPr>
      </w:pPr>
      <w:r>
        <w:rPr>
          <w:rFonts w:hint="eastAsia" w:ascii="宋体" w:hAnsi="宋体" w:cs="宋体"/>
          <w:sz w:val="24"/>
        </w:rPr>
        <w:t>3. 我们已详细审核招标文件全部内容，包括修改文件、参考资料及有关附件，我们完全知道必须放弃提出含糊不清或误解的权利。</w:t>
      </w:r>
    </w:p>
    <w:p>
      <w:pPr>
        <w:snapToGrid w:val="0"/>
        <w:spacing w:line="360" w:lineRule="auto"/>
        <w:ind w:firstLine="480" w:firstLineChars="200"/>
        <w:jc w:val="left"/>
        <w:rPr>
          <w:rFonts w:ascii="宋体" w:hAnsi="宋体" w:cs="宋体"/>
          <w:sz w:val="24"/>
        </w:rPr>
      </w:pPr>
      <w:r>
        <w:rPr>
          <w:rFonts w:hint="eastAsia" w:ascii="宋体" w:hAnsi="宋体" w:cs="宋体"/>
          <w:sz w:val="24"/>
        </w:rPr>
        <w:t>4.我方及由本人担任法定代表人的其他机构最近三年内被通报或者被处罚的违法行为有：</w:t>
      </w:r>
    </w:p>
    <w:p>
      <w:pPr>
        <w:snapToGrid w:val="0"/>
        <w:spacing w:line="360" w:lineRule="auto"/>
        <w:ind w:firstLine="480" w:firstLineChars="200"/>
        <w:jc w:val="left"/>
        <w:rPr>
          <w:rFonts w:ascii="宋体" w:hAnsi="宋体" w:cs="宋体"/>
          <w:sz w:val="24"/>
          <w:u w:val="single"/>
        </w:rPr>
      </w:pPr>
      <w:r>
        <w:rPr>
          <w:rFonts w:hint="eastAsia" w:ascii="宋体" w:hAnsi="宋体" w:cs="宋体"/>
          <w:sz w:val="24"/>
          <w:u w:val="single"/>
        </w:rPr>
        <w:t>　　　　　　　　　　　　　　　　　　　　　　　　　　　</w:t>
      </w:r>
    </w:p>
    <w:p>
      <w:pPr>
        <w:snapToGrid w:val="0"/>
        <w:spacing w:line="360" w:lineRule="auto"/>
        <w:ind w:firstLine="480" w:firstLineChars="200"/>
        <w:jc w:val="left"/>
        <w:rPr>
          <w:rFonts w:ascii="宋体" w:hAnsi="宋体" w:cs="宋体"/>
          <w:sz w:val="24"/>
          <w:u w:val="single"/>
        </w:rPr>
      </w:pPr>
      <w:r>
        <w:rPr>
          <w:rFonts w:hint="eastAsia" w:ascii="宋体" w:hAnsi="宋体" w:cs="宋体"/>
          <w:sz w:val="24"/>
          <w:u w:val="single"/>
        </w:rPr>
        <w:t>　　　　　　　　　　　　　　　　　　　　　　　　　　　</w:t>
      </w:r>
    </w:p>
    <w:p>
      <w:pPr>
        <w:snapToGrid w:val="0"/>
        <w:spacing w:line="360" w:lineRule="auto"/>
        <w:ind w:firstLine="480" w:firstLineChars="200"/>
        <w:jc w:val="left"/>
        <w:rPr>
          <w:rFonts w:ascii="宋体" w:hAnsi="宋体" w:cs="宋体"/>
          <w:sz w:val="24"/>
        </w:rPr>
      </w:pPr>
      <w:r>
        <w:rPr>
          <w:rFonts w:hint="eastAsia" w:ascii="宋体" w:hAnsi="宋体" w:cs="宋体"/>
          <w:sz w:val="24"/>
        </w:rPr>
        <w:t>5.以上事项如有虚假或隐瞒，我方愿意承担一切后果，并不再寻求任何旨在减轻或免除法律责任的辩解。</w:t>
      </w:r>
    </w:p>
    <w:p>
      <w:pPr>
        <w:pStyle w:val="23"/>
        <w:tabs>
          <w:tab w:val="left" w:pos="939"/>
        </w:tabs>
        <w:snapToGrid w:val="0"/>
        <w:spacing w:line="360" w:lineRule="auto"/>
        <w:ind w:leftChars="0" w:firstLine="0" w:firstLineChars="0"/>
        <w:rPr>
          <w:rFonts w:ascii="宋体" w:hAnsi="宋体" w:cs="宋体"/>
          <w:sz w:val="24"/>
        </w:rPr>
      </w:pPr>
    </w:p>
    <w:p>
      <w:pPr>
        <w:pStyle w:val="129"/>
        <w:snapToGrid w:val="0"/>
        <w:spacing w:line="360" w:lineRule="auto"/>
        <w:rPr>
          <w:rFonts w:ascii="宋体" w:hAnsi="宋体" w:cs="宋体"/>
          <w:szCs w:val="24"/>
        </w:rPr>
      </w:pPr>
    </w:p>
    <w:p>
      <w:pPr>
        <w:snapToGrid w:val="0"/>
        <w:spacing w:line="360" w:lineRule="auto"/>
        <w:rPr>
          <w:rFonts w:ascii="宋体" w:hAnsi="宋体" w:cs="宋体"/>
          <w:sz w:val="24"/>
          <w:u w:val="single"/>
        </w:rPr>
      </w:pPr>
      <w:r>
        <w:rPr>
          <w:rFonts w:hint="eastAsia" w:ascii="宋体" w:hAnsi="宋体" w:cs="宋体"/>
          <w:sz w:val="24"/>
        </w:rPr>
        <w:t>法定代表人签字：</w:t>
      </w:r>
    </w:p>
    <w:p>
      <w:pPr>
        <w:snapToGrid w:val="0"/>
        <w:spacing w:beforeLines="50" w:after="50"/>
        <w:jc w:val="left"/>
        <w:rPr>
          <w:rFonts w:ascii="宋体" w:hAnsi="宋体" w:cs="宋体"/>
          <w:sz w:val="24"/>
          <w:szCs w:val="20"/>
        </w:rPr>
      </w:pPr>
      <w:r>
        <w:rPr>
          <w:rFonts w:hint="eastAsia" w:ascii="宋体" w:hAnsi="宋体" w:cs="宋体"/>
          <w:sz w:val="24"/>
        </w:rPr>
        <w:t>供应商公章：                      年    月    日</w:t>
      </w:r>
    </w:p>
    <w:p>
      <w:pPr>
        <w:pStyle w:val="26"/>
        <w:spacing w:before="120" w:after="120"/>
        <w:rPr>
          <w:rFonts w:hAnsi="宋体" w:cs="宋体"/>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rPr>
        <w:t>三、对本项目的理解；</w:t>
      </w:r>
    </w:p>
    <w:p>
      <w:pPr>
        <w:pStyle w:val="18"/>
      </w:pPr>
    </w:p>
    <w:p>
      <w:pPr>
        <w:spacing w:line="360" w:lineRule="auto"/>
        <w:ind w:firstLine="482" w:firstLineChars="200"/>
        <w:jc w:val="center"/>
        <w:rPr>
          <w:rFonts w:ascii="宋体" w:hAnsi="宋体"/>
          <w:b/>
          <w:bCs/>
          <w:sz w:val="24"/>
        </w:rPr>
      </w:pPr>
      <w:r>
        <w:rPr>
          <w:rFonts w:hint="eastAsia" w:ascii="宋体" w:hAnsi="宋体"/>
          <w:b/>
          <w:bCs/>
          <w:sz w:val="24"/>
          <w:lang w:eastAsia="zh-CN"/>
        </w:rPr>
        <w:t>四、重难点分析及解决措施</w:t>
      </w:r>
      <w:r>
        <w:rPr>
          <w:rFonts w:hint="eastAsia" w:ascii="宋体" w:hAnsi="宋体"/>
          <w:b/>
          <w:bCs/>
          <w:sz w:val="24"/>
        </w:rPr>
        <w:t>；</w:t>
      </w:r>
    </w:p>
    <w:p>
      <w:pPr>
        <w:spacing w:line="360" w:lineRule="auto"/>
        <w:ind w:firstLine="482" w:firstLineChars="200"/>
        <w:jc w:val="center"/>
        <w:rPr>
          <w:rFonts w:hint="eastAsia" w:ascii="宋体" w:hAnsi="宋体"/>
          <w:b/>
          <w:bCs/>
          <w:sz w:val="24"/>
          <w:lang w:eastAsia="zh-CN"/>
        </w:rPr>
      </w:pPr>
    </w:p>
    <w:p>
      <w:pPr>
        <w:spacing w:line="360" w:lineRule="auto"/>
        <w:ind w:firstLine="482" w:firstLineChars="200"/>
        <w:jc w:val="center"/>
        <w:rPr>
          <w:rFonts w:ascii="宋体" w:hAnsi="宋体"/>
          <w:b/>
          <w:bCs/>
          <w:sz w:val="24"/>
        </w:rPr>
      </w:pPr>
      <w:r>
        <w:rPr>
          <w:rFonts w:hint="eastAsia" w:ascii="宋体" w:hAnsi="宋体"/>
          <w:b/>
          <w:bCs/>
          <w:sz w:val="24"/>
          <w:lang w:eastAsia="zh-CN"/>
        </w:rPr>
        <w:t>五、系统功能</w:t>
      </w:r>
      <w:r>
        <w:rPr>
          <w:rFonts w:hint="eastAsia" w:ascii="宋体" w:hAnsi="宋体"/>
          <w:b/>
          <w:bCs/>
          <w:sz w:val="24"/>
        </w:rPr>
        <w:t>；</w:t>
      </w:r>
    </w:p>
    <w:p>
      <w:pPr>
        <w:pStyle w:val="21"/>
        <w:ind w:left="0" w:leftChars="0" w:firstLine="480"/>
        <w:jc w:val="center"/>
        <w:rPr>
          <w:rFonts w:hint="eastAsia" w:ascii="宋体" w:hAnsi="宋体"/>
          <w:b/>
          <w:bCs/>
          <w:sz w:val="24"/>
          <w:lang w:eastAsia="zh-CN"/>
        </w:rPr>
      </w:pPr>
    </w:p>
    <w:p>
      <w:pPr>
        <w:pStyle w:val="21"/>
        <w:ind w:left="0" w:leftChars="0" w:firstLine="480"/>
        <w:jc w:val="center"/>
        <w:rPr>
          <w:rFonts w:ascii="宋体" w:hAnsi="宋体"/>
          <w:b/>
          <w:bCs/>
          <w:sz w:val="24"/>
        </w:rPr>
      </w:pPr>
      <w:r>
        <w:rPr>
          <w:rFonts w:hint="eastAsia" w:ascii="宋体" w:hAnsi="宋体"/>
          <w:b/>
          <w:bCs/>
          <w:sz w:val="24"/>
          <w:lang w:eastAsia="zh-CN"/>
        </w:rPr>
        <w:t>六、涉案财物出入库流程及操作规范</w:t>
      </w:r>
      <w:r>
        <w:rPr>
          <w:rFonts w:hint="eastAsia" w:ascii="宋体" w:hAnsi="宋体"/>
          <w:b/>
          <w:bCs/>
          <w:sz w:val="24"/>
        </w:rPr>
        <w:t>；</w:t>
      </w:r>
    </w:p>
    <w:p>
      <w:pPr>
        <w:pStyle w:val="21"/>
        <w:ind w:left="0" w:leftChars="0" w:firstLine="480"/>
        <w:jc w:val="center"/>
        <w:rPr>
          <w:rFonts w:hint="eastAsia" w:ascii="宋体" w:hAnsi="宋体"/>
          <w:b/>
          <w:bCs/>
          <w:sz w:val="24"/>
          <w:lang w:eastAsia="zh-CN"/>
        </w:rPr>
      </w:pPr>
    </w:p>
    <w:p>
      <w:pPr>
        <w:pStyle w:val="21"/>
        <w:ind w:left="0" w:leftChars="0" w:firstLine="480"/>
        <w:jc w:val="center"/>
        <w:rPr>
          <w:rFonts w:ascii="宋体" w:hAnsi="宋体"/>
          <w:b/>
          <w:bCs/>
          <w:sz w:val="24"/>
        </w:rPr>
      </w:pPr>
      <w:r>
        <w:rPr>
          <w:rFonts w:hint="eastAsia" w:ascii="宋体" w:hAnsi="宋体"/>
          <w:b/>
          <w:bCs/>
          <w:sz w:val="24"/>
          <w:lang w:eastAsia="zh-CN"/>
        </w:rPr>
        <w:t>七、各项制度</w:t>
      </w:r>
      <w:r>
        <w:rPr>
          <w:rFonts w:hint="eastAsia" w:ascii="宋体" w:hAnsi="宋体"/>
          <w:b/>
          <w:bCs/>
          <w:sz w:val="24"/>
        </w:rPr>
        <w:t>；</w:t>
      </w:r>
    </w:p>
    <w:p>
      <w:pPr>
        <w:pStyle w:val="21"/>
        <w:ind w:left="0" w:leftChars="0" w:firstLine="480"/>
        <w:jc w:val="center"/>
        <w:rPr>
          <w:rFonts w:hint="eastAsia" w:ascii="宋体" w:hAnsi="宋体"/>
          <w:b/>
          <w:bCs/>
          <w:sz w:val="24"/>
          <w:lang w:eastAsia="zh-CN"/>
        </w:rPr>
      </w:pPr>
    </w:p>
    <w:p>
      <w:pPr>
        <w:pStyle w:val="21"/>
        <w:ind w:left="0" w:leftChars="0" w:firstLine="480"/>
        <w:jc w:val="center"/>
        <w:rPr>
          <w:rFonts w:ascii="宋体" w:hAnsi="宋体"/>
          <w:b/>
          <w:bCs/>
          <w:sz w:val="24"/>
        </w:rPr>
      </w:pPr>
      <w:r>
        <w:rPr>
          <w:rFonts w:hint="eastAsia" w:ascii="宋体" w:hAnsi="宋体"/>
          <w:b/>
          <w:bCs/>
          <w:sz w:val="24"/>
          <w:lang w:eastAsia="zh-CN"/>
        </w:rPr>
        <w:t>八、硬件配备</w:t>
      </w:r>
      <w:r>
        <w:rPr>
          <w:rFonts w:hint="eastAsia" w:ascii="宋体" w:hAnsi="宋体"/>
          <w:b/>
          <w:bCs/>
          <w:sz w:val="24"/>
        </w:rPr>
        <w:t>；</w:t>
      </w:r>
    </w:p>
    <w:p>
      <w:pPr>
        <w:pStyle w:val="21"/>
        <w:ind w:left="0" w:leftChars="0" w:firstLine="480"/>
        <w:jc w:val="center"/>
        <w:rPr>
          <w:rFonts w:hint="eastAsia" w:ascii="宋体" w:hAnsi="宋体"/>
          <w:b/>
          <w:bCs/>
          <w:sz w:val="24"/>
        </w:rPr>
      </w:pPr>
    </w:p>
    <w:p>
      <w:pPr>
        <w:rPr>
          <w:rFonts w:hint="eastAsia" w:ascii="宋体" w:hAnsi="宋体"/>
          <w:b/>
          <w:bCs/>
          <w:sz w:val="24"/>
        </w:rPr>
      </w:pPr>
      <w:r>
        <w:rPr>
          <w:rFonts w:hint="eastAsia" w:ascii="宋体" w:hAnsi="宋体"/>
          <w:b/>
          <w:bCs/>
          <w:sz w:val="24"/>
        </w:rPr>
        <w:br w:type="page"/>
      </w:r>
    </w:p>
    <w:p>
      <w:pPr>
        <w:pStyle w:val="21"/>
        <w:ind w:left="0" w:leftChars="0" w:firstLine="480"/>
        <w:jc w:val="center"/>
        <w:rPr>
          <w:rFonts w:ascii="宋体" w:hAnsi="宋体"/>
          <w:b/>
          <w:bCs/>
          <w:sz w:val="24"/>
        </w:rPr>
      </w:pPr>
      <w:r>
        <w:rPr>
          <w:rFonts w:hint="eastAsia" w:ascii="宋体" w:hAnsi="宋体"/>
          <w:b/>
          <w:bCs/>
          <w:sz w:val="24"/>
          <w:lang w:eastAsia="zh-CN"/>
        </w:rPr>
        <w:t>九、服务团队</w:t>
      </w:r>
      <w:r>
        <w:rPr>
          <w:rFonts w:hint="eastAsia" w:ascii="宋体" w:hAnsi="宋体"/>
          <w:b/>
          <w:bCs/>
          <w:sz w:val="24"/>
        </w:rPr>
        <w:t>；</w:t>
      </w:r>
    </w:p>
    <w:p>
      <w:pPr>
        <w:spacing w:line="360" w:lineRule="auto"/>
        <w:jc w:val="center"/>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rPr>
        <w:t>项目实施人员情况一览表</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3"/>
        <w:gridCol w:w="1116"/>
        <w:gridCol w:w="1957"/>
        <w:gridCol w:w="1640"/>
        <w:gridCol w:w="1656"/>
        <w:gridCol w:w="17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pPr>
              <w:spacing w:line="0" w:lineRule="atLeast"/>
              <w:jc w:val="center"/>
              <w:rPr>
                <w:rFonts w:ascii="宋体" w:hAnsi="宋体" w:cs="宋体"/>
                <w:sz w:val="24"/>
              </w:rPr>
            </w:pPr>
            <w:r>
              <w:rPr>
                <w:rFonts w:hint="eastAsia" w:ascii="宋体" w:hAnsi="宋体" w:cs="宋体"/>
                <w:sz w:val="24"/>
              </w:rPr>
              <w:t>姓名</w:t>
            </w:r>
          </w:p>
        </w:tc>
        <w:tc>
          <w:tcPr>
            <w:tcW w:w="1116" w:type="dxa"/>
            <w:tcBorders>
              <w:top w:val="single" w:color="auto" w:sz="4" w:space="0"/>
              <w:left w:val="single" w:color="auto" w:sz="4" w:space="0"/>
              <w:bottom w:val="single" w:color="auto" w:sz="4" w:space="0"/>
              <w:right w:val="single" w:color="auto" w:sz="4" w:space="0"/>
            </w:tcBorders>
            <w:noWrap/>
            <w:vAlign w:val="center"/>
          </w:tcPr>
          <w:p>
            <w:pPr>
              <w:spacing w:line="0" w:lineRule="atLeast"/>
              <w:jc w:val="center"/>
              <w:rPr>
                <w:rFonts w:ascii="宋体" w:hAnsi="宋体" w:cs="宋体"/>
                <w:sz w:val="24"/>
              </w:rPr>
            </w:pPr>
            <w:r>
              <w:rPr>
                <w:rFonts w:hint="eastAsia" w:ascii="宋体" w:hAnsi="宋体" w:cs="宋体"/>
                <w:sz w:val="24"/>
              </w:rPr>
              <w:t>职位</w:t>
            </w:r>
          </w:p>
        </w:tc>
        <w:tc>
          <w:tcPr>
            <w:tcW w:w="1957" w:type="dxa"/>
            <w:tcBorders>
              <w:top w:val="single" w:color="auto" w:sz="4" w:space="0"/>
              <w:left w:val="single" w:color="auto" w:sz="4" w:space="0"/>
              <w:bottom w:val="single" w:color="auto" w:sz="4" w:space="0"/>
              <w:right w:val="single" w:color="auto" w:sz="4" w:space="0"/>
            </w:tcBorders>
            <w:noWrap/>
            <w:vAlign w:val="center"/>
          </w:tcPr>
          <w:p>
            <w:pPr>
              <w:spacing w:line="0" w:lineRule="atLeast"/>
              <w:jc w:val="center"/>
              <w:rPr>
                <w:rFonts w:ascii="宋体" w:hAnsi="宋体" w:cs="宋体"/>
                <w:sz w:val="24"/>
              </w:rPr>
            </w:pPr>
            <w:r>
              <w:rPr>
                <w:rFonts w:hint="eastAsia" w:ascii="宋体" w:hAnsi="宋体" w:cs="宋体"/>
                <w:sz w:val="24"/>
              </w:rPr>
              <w:t>持何种</w:t>
            </w:r>
          </w:p>
          <w:p>
            <w:pPr>
              <w:spacing w:line="0" w:lineRule="atLeast"/>
              <w:jc w:val="center"/>
              <w:rPr>
                <w:rFonts w:ascii="宋体" w:hAnsi="宋体" w:cs="宋体"/>
                <w:sz w:val="24"/>
              </w:rPr>
            </w:pPr>
            <w:r>
              <w:rPr>
                <w:rFonts w:hint="eastAsia" w:ascii="宋体" w:hAnsi="宋体" w:cs="宋体"/>
                <w:sz w:val="24"/>
              </w:rPr>
              <w:t>资格证件</w:t>
            </w:r>
          </w:p>
        </w:tc>
        <w:tc>
          <w:tcPr>
            <w:tcW w:w="1640" w:type="dxa"/>
            <w:tcBorders>
              <w:top w:val="single" w:color="auto" w:sz="4" w:space="0"/>
              <w:left w:val="single" w:color="auto" w:sz="4" w:space="0"/>
              <w:bottom w:val="single" w:color="auto" w:sz="4" w:space="0"/>
              <w:right w:val="single" w:color="auto" w:sz="4" w:space="0"/>
            </w:tcBorders>
            <w:noWrap/>
            <w:vAlign w:val="center"/>
          </w:tcPr>
          <w:p>
            <w:pPr>
              <w:spacing w:line="0" w:lineRule="atLeast"/>
              <w:jc w:val="center"/>
              <w:rPr>
                <w:rFonts w:ascii="宋体" w:hAnsi="宋体" w:cs="宋体"/>
                <w:sz w:val="24"/>
              </w:rPr>
            </w:pPr>
            <w:r>
              <w:rPr>
                <w:rFonts w:hint="eastAsia" w:ascii="宋体" w:hAnsi="宋体" w:cs="宋体"/>
                <w:sz w:val="24"/>
              </w:rPr>
              <w:t>发证</w:t>
            </w:r>
          </w:p>
          <w:p>
            <w:pPr>
              <w:spacing w:line="0" w:lineRule="atLeast"/>
              <w:jc w:val="center"/>
              <w:rPr>
                <w:rFonts w:ascii="宋体" w:hAnsi="宋体" w:cs="宋体"/>
                <w:sz w:val="24"/>
              </w:rPr>
            </w:pPr>
            <w:r>
              <w:rPr>
                <w:rFonts w:hint="eastAsia" w:ascii="宋体" w:hAnsi="宋体" w:cs="宋体"/>
                <w:sz w:val="24"/>
              </w:rPr>
              <w:t>时间</w:t>
            </w:r>
          </w:p>
        </w:tc>
        <w:tc>
          <w:tcPr>
            <w:tcW w:w="1656" w:type="dxa"/>
            <w:tcBorders>
              <w:top w:val="single" w:color="auto" w:sz="4" w:space="0"/>
              <w:left w:val="single" w:color="auto" w:sz="4" w:space="0"/>
              <w:bottom w:val="single" w:color="auto" w:sz="4" w:space="0"/>
              <w:right w:val="single" w:color="auto" w:sz="4" w:space="0"/>
            </w:tcBorders>
            <w:noWrap/>
            <w:vAlign w:val="center"/>
          </w:tcPr>
          <w:p>
            <w:pPr>
              <w:spacing w:line="0" w:lineRule="atLeast"/>
              <w:jc w:val="center"/>
              <w:rPr>
                <w:rFonts w:ascii="宋体" w:hAnsi="宋体" w:cs="宋体"/>
                <w:sz w:val="24"/>
              </w:rPr>
            </w:pPr>
            <w:r>
              <w:rPr>
                <w:rFonts w:hint="eastAsia" w:ascii="宋体" w:hAnsi="宋体" w:cs="宋体"/>
                <w:sz w:val="24"/>
              </w:rPr>
              <w:t>从事本</w:t>
            </w:r>
          </w:p>
          <w:p>
            <w:pPr>
              <w:spacing w:line="0" w:lineRule="atLeast"/>
              <w:jc w:val="center"/>
              <w:rPr>
                <w:rFonts w:ascii="宋体" w:hAnsi="宋体" w:cs="宋体"/>
                <w:sz w:val="24"/>
              </w:rPr>
            </w:pPr>
            <w:r>
              <w:rPr>
                <w:rFonts w:hint="eastAsia" w:ascii="宋体" w:hAnsi="宋体" w:cs="宋体"/>
                <w:sz w:val="24"/>
              </w:rPr>
              <w:t>工作时间</w:t>
            </w:r>
          </w:p>
        </w:tc>
        <w:tc>
          <w:tcPr>
            <w:tcW w:w="1764" w:type="dxa"/>
            <w:tcBorders>
              <w:top w:val="single" w:color="auto" w:sz="4" w:space="0"/>
              <w:left w:val="single" w:color="auto" w:sz="4" w:space="0"/>
              <w:bottom w:val="single" w:color="auto" w:sz="4" w:space="0"/>
              <w:right w:val="single" w:color="auto" w:sz="4" w:space="0"/>
            </w:tcBorders>
            <w:noWrap/>
            <w:vAlign w:val="center"/>
          </w:tcPr>
          <w:p>
            <w:pPr>
              <w:spacing w:line="0" w:lineRule="atLeast"/>
              <w:jc w:val="center"/>
              <w:rPr>
                <w:rFonts w:ascii="宋体" w:hAnsi="宋体" w:cs="宋体"/>
                <w:sz w:val="24"/>
              </w:rPr>
            </w:pPr>
            <w:r>
              <w:rPr>
                <w:rFonts w:hint="eastAsia" w:ascii="宋体" w:hAnsi="宋体" w:cs="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p>
        </w:tc>
      </w:tr>
    </w:tbl>
    <w:p>
      <w:pPr>
        <w:spacing w:after="120" w:line="360" w:lineRule="auto"/>
        <w:ind w:firstLine="480" w:firstLineChars="200"/>
        <w:jc w:val="left"/>
        <w:rPr>
          <w:bCs/>
          <w:sz w:val="24"/>
        </w:rPr>
      </w:pPr>
    </w:p>
    <w:p>
      <w:pPr>
        <w:snapToGrid w:val="0"/>
        <w:spacing w:before="50" w:after="50"/>
        <w:rPr>
          <w:rFonts w:ascii="宋体" w:hAnsi="宋体"/>
          <w:spacing w:val="20"/>
          <w:sz w:val="24"/>
          <w:u w:val="single"/>
        </w:rPr>
      </w:pPr>
      <w:r>
        <w:rPr>
          <w:rFonts w:hint="eastAsia" w:ascii="宋体" w:hAnsi="宋体"/>
          <w:spacing w:val="20"/>
          <w:sz w:val="24"/>
        </w:rPr>
        <w:t>法定代表人或授权人</w:t>
      </w:r>
      <w:r>
        <w:rPr>
          <w:rFonts w:hint="eastAsia"/>
          <w:color w:val="000000"/>
          <w:sz w:val="24"/>
        </w:rPr>
        <w:t>签名或盖章</w:t>
      </w:r>
      <w:r>
        <w:rPr>
          <w:rFonts w:hint="eastAsia" w:ascii="宋体" w:hAnsi="宋体"/>
          <w:spacing w:val="20"/>
          <w:sz w:val="24"/>
        </w:rPr>
        <w:t>：</w:t>
      </w:r>
    </w:p>
    <w:p>
      <w:pPr>
        <w:snapToGrid w:val="0"/>
        <w:spacing w:beforeLines="50" w:after="50"/>
        <w:rPr>
          <w:rFonts w:ascii="宋体" w:hAnsi="宋体"/>
          <w:spacing w:val="20"/>
          <w:sz w:val="24"/>
        </w:rPr>
      </w:pPr>
      <w:r>
        <w:rPr>
          <w:rFonts w:hint="eastAsia" w:ascii="宋体" w:hAnsi="宋体"/>
          <w:spacing w:val="20"/>
          <w:sz w:val="24"/>
        </w:rPr>
        <w:t>供应商盖章：</w:t>
      </w:r>
    </w:p>
    <w:p>
      <w:pPr>
        <w:pStyle w:val="19"/>
        <w:spacing w:line="400" w:lineRule="exact"/>
        <w:ind w:firstLine="0" w:firstLineChars="0"/>
        <w:rPr>
          <w:rFonts w:ascii="宋体" w:hAnsi="宋体" w:cs="宋体"/>
          <w:b/>
          <w:sz w:val="21"/>
          <w:szCs w:val="21"/>
        </w:rPr>
      </w:pPr>
      <w:r>
        <w:rPr>
          <w:rFonts w:hint="eastAsia" w:ascii="宋体" w:hAnsi="宋体"/>
          <w:spacing w:val="20"/>
        </w:rPr>
        <w:t>日期：</w:t>
      </w:r>
    </w:p>
    <w:p>
      <w:pPr>
        <w:spacing w:line="360" w:lineRule="auto"/>
        <w:jc w:val="center"/>
        <w:rPr>
          <w:rFonts w:ascii="宋体" w:hAnsi="宋体" w:cs="宋体"/>
          <w:b/>
          <w:bCs/>
          <w:sz w:val="24"/>
        </w:rPr>
      </w:pPr>
    </w:p>
    <w:p>
      <w:pPr>
        <w:rPr>
          <w:rFonts w:ascii="宋体" w:hAnsi="宋体" w:cs="宋体"/>
          <w:b/>
          <w:bCs/>
          <w:sz w:val="24"/>
        </w:rPr>
      </w:pPr>
      <w:r>
        <w:rPr>
          <w:rFonts w:hint="eastAsia" w:ascii="宋体" w:hAnsi="宋体" w:cs="宋体"/>
          <w:b/>
          <w:bCs/>
          <w:sz w:val="24"/>
        </w:rPr>
        <w:br w:type="page"/>
      </w:r>
    </w:p>
    <w:p>
      <w:pPr>
        <w:pStyle w:val="21"/>
        <w:ind w:left="0" w:leftChars="0" w:firstLine="480"/>
        <w:jc w:val="center"/>
        <w:rPr>
          <w:rFonts w:hint="eastAsia"/>
          <w:b/>
          <w:bCs w:val="0"/>
          <w:sz w:val="24"/>
          <w:lang w:eastAsia="zh-CN"/>
        </w:rPr>
      </w:pPr>
    </w:p>
    <w:p>
      <w:pPr>
        <w:pStyle w:val="21"/>
        <w:ind w:left="0" w:leftChars="0" w:firstLine="480"/>
        <w:jc w:val="center"/>
        <w:rPr>
          <w:rFonts w:ascii="宋体" w:hAnsi="宋体"/>
          <w:b/>
          <w:bCs w:val="0"/>
          <w:sz w:val="24"/>
        </w:rPr>
      </w:pPr>
      <w:r>
        <w:rPr>
          <w:rFonts w:hint="eastAsia"/>
          <w:b/>
          <w:bCs w:val="0"/>
          <w:sz w:val="24"/>
          <w:lang w:eastAsia="zh-CN"/>
        </w:rPr>
        <w:t>十、场地设置</w:t>
      </w:r>
      <w:r>
        <w:rPr>
          <w:rFonts w:hint="eastAsia" w:ascii="宋体" w:hAnsi="宋体"/>
          <w:b/>
          <w:bCs w:val="0"/>
          <w:sz w:val="24"/>
        </w:rPr>
        <w:t>；</w:t>
      </w:r>
    </w:p>
    <w:p>
      <w:pPr>
        <w:pStyle w:val="21"/>
        <w:ind w:left="0" w:leftChars="0" w:firstLine="480"/>
        <w:jc w:val="center"/>
        <w:rPr>
          <w:rFonts w:hint="eastAsia" w:ascii="宋体" w:hAnsi="宋体"/>
          <w:b/>
          <w:bCs w:val="0"/>
          <w:sz w:val="24"/>
          <w:lang w:eastAsia="zh-CN"/>
        </w:rPr>
      </w:pPr>
    </w:p>
    <w:p>
      <w:pPr>
        <w:pStyle w:val="21"/>
        <w:ind w:left="0" w:leftChars="0" w:firstLine="480"/>
        <w:jc w:val="center"/>
        <w:rPr>
          <w:rFonts w:hint="eastAsia" w:ascii="宋体" w:hAnsi="宋体"/>
          <w:b/>
          <w:bCs w:val="0"/>
          <w:sz w:val="24"/>
        </w:rPr>
      </w:pPr>
      <w:r>
        <w:rPr>
          <w:rFonts w:hint="eastAsia" w:ascii="宋体" w:hAnsi="宋体"/>
          <w:b/>
          <w:bCs w:val="0"/>
          <w:sz w:val="24"/>
          <w:lang w:eastAsia="zh-CN"/>
        </w:rPr>
        <w:t>十一、响应时间</w:t>
      </w:r>
      <w:r>
        <w:rPr>
          <w:rFonts w:hint="eastAsia" w:ascii="宋体" w:hAnsi="宋体"/>
          <w:b/>
          <w:bCs w:val="0"/>
          <w:sz w:val="24"/>
        </w:rPr>
        <w:t>；</w:t>
      </w:r>
    </w:p>
    <w:p>
      <w:pPr>
        <w:pStyle w:val="21"/>
        <w:ind w:left="0" w:leftChars="0" w:firstLine="480"/>
        <w:jc w:val="center"/>
        <w:rPr>
          <w:rFonts w:hint="eastAsia" w:ascii="宋体" w:hAnsi="宋体"/>
          <w:b/>
          <w:bCs w:val="0"/>
          <w:sz w:val="24"/>
          <w:lang w:eastAsia="zh-CN"/>
        </w:rPr>
      </w:pPr>
    </w:p>
    <w:p>
      <w:pPr>
        <w:pStyle w:val="21"/>
        <w:ind w:left="0" w:leftChars="0" w:firstLine="480"/>
        <w:jc w:val="center"/>
        <w:rPr>
          <w:rFonts w:hint="eastAsia" w:ascii="宋体" w:hAnsi="宋体"/>
          <w:b/>
          <w:bCs w:val="0"/>
          <w:sz w:val="24"/>
          <w:lang w:eastAsia="zh-CN"/>
        </w:rPr>
      </w:pPr>
      <w:r>
        <w:rPr>
          <w:rFonts w:hint="eastAsia" w:ascii="宋体" w:hAnsi="宋体"/>
          <w:b/>
          <w:bCs w:val="0"/>
          <w:sz w:val="24"/>
          <w:lang w:eastAsia="zh-CN"/>
        </w:rPr>
        <w:t>十二、针对本项目的合理化建议；</w:t>
      </w:r>
    </w:p>
    <w:p>
      <w:pPr>
        <w:spacing w:line="360" w:lineRule="auto"/>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lang w:eastAsia="zh-CN"/>
        </w:rPr>
        <w:t>十三</w:t>
      </w:r>
      <w:r>
        <w:rPr>
          <w:rFonts w:hint="eastAsia" w:ascii="宋体" w:hAnsi="宋体" w:cs="宋体"/>
          <w:b/>
          <w:bCs/>
          <w:sz w:val="24"/>
        </w:rPr>
        <w:t>、企业业绩；</w:t>
      </w:r>
    </w:p>
    <w:p>
      <w:pPr>
        <w:spacing w:line="600" w:lineRule="exact"/>
        <w:rPr>
          <w:rFonts w:ascii="宋体" w:hAnsi="宋体"/>
          <w:sz w:val="24"/>
        </w:rPr>
      </w:pPr>
      <w:r>
        <w:rPr>
          <w:rFonts w:hint="eastAsia" w:ascii="宋体" w:hAnsi="宋体"/>
          <w:sz w:val="24"/>
        </w:rPr>
        <w:t>供应商全称（加盖公章）：             招标文件编号：</w:t>
      </w:r>
    </w:p>
    <w:tbl>
      <w:tblPr>
        <w:tblStyle w:val="4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795"/>
        <w:gridCol w:w="1474"/>
        <w:gridCol w:w="1474"/>
        <w:gridCol w:w="1902"/>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600" w:lineRule="exact"/>
              <w:jc w:val="center"/>
              <w:rPr>
                <w:rFonts w:ascii="宋体" w:hAnsi="宋体"/>
                <w:bCs/>
                <w:sz w:val="24"/>
              </w:rPr>
            </w:pPr>
            <w:r>
              <w:rPr>
                <w:rFonts w:hint="eastAsia" w:ascii="宋体" w:hAnsi="宋体"/>
                <w:bCs/>
                <w:sz w:val="24"/>
              </w:rPr>
              <w:t>序号</w:t>
            </w:r>
          </w:p>
        </w:tc>
        <w:tc>
          <w:tcPr>
            <w:tcW w:w="921" w:type="pct"/>
          </w:tcPr>
          <w:p>
            <w:pPr>
              <w:spacing w:line="600" w:lineRule="exact"/>
              <w:jc w:val="center"/>
              <w:rPr>
                <w:rFonts w:ascii="宋体" w:hAnsi="宋体"/>
                <w:bCs/>
                <w:sz w:val="24"/>
              </w:rPr>
            </w:pPr>
            <w:r>
              <w:rPr>
                <w:rFonts w:hint="eastAsia" w:ascii="宋体" w:hAnsi="宋体"/>
                <w:bCs/>
                <w:sz w:val="24"/>
              </w:rPr>
              <w:t>项目名称</w:t>
            </w:r>
          </w:p>
        </w:tc>
        <w:tc>
          <w:tcPr>
            <w:tcW w:w="756" w:type="pct"/>
          </w:tcPr>
          <w:p>
            <w:pPr>
              <w:spacing w:line="600" w:lineRule="exact"/>
              <w:jc w:val="center"/>
              <w:rPr>
                <w:rFonts w:ascii="宋体" w:hAnsi="宋体"/>
                <w:bCs/>
                <w:sz w:val="24"/>
              </w:rPr>
            </w:pPr>
            <w:r>
              <w:rPr>
                <w:rFonts w:hint="eastAsia" w:ascii="宋体" w:hAnsi="宋体"/>
                <w:bCs/>
                <w:sz w:val="24"/>
              </w:rPr>
              <w:t>合同金额</w:t>
            </w:r>
          </w:p>
        </w:tc>
        <w:tc>
          <w:tcPr>
            <w:tcW w:w="756" w:type="pct"/>
          </w:tcPr>
          <w:p>
            <w:pPr>
              <w:spacing w:line="600" w:lineRule="exact"/>
              <w:jc w:val="center"/>
              <w:rPr>
                <w:rFonts w:ascii="宋体" w:hAnsi="宋体"/>
                <w:bCs/>
                <w:sz w:val="24"/>
              </w:rPr>
            </w:pPr>
            <w:r>
              <w:rPr>
                <w:rFonts w:hint="eastAsia" w:ascii="宋体" w:hAnsi="宋体"/>
                <w:bCs/>
                <w:sz w:val="24"/>
              </w:rPr>
              <w:t>签订时间</w:t>
            </w:r>
          </w:p>
        </w:tc>
        <w:tc>
          <w:tcPr>
            <w:tcW w:w="976" w:type="pct"/>
          </w:tcPr>
          <w:p>
            <w:pPr>
              <w:spacing w:line="600" w:lineRule="exact"/>
              <w:jc w:val="center"/>
              <w:rPr>
                <w:rFonts w:ascii="宋体" w:hAnsi="宋体"/>
                <w:bCs/>
                <w:sz w:val="24"/>
              </w:rPr>
            </w:pPr>
            <w:r>
              <w:rPr>
                <w:rFonts w:hint="eastAsia" w:ascii="宋体" w:hAnsi="宋体"/>
                <w:bCs/>
                <w:sz w:val="24"/>
              </w:rPr>
              <w:t>采购人及联系人</w:t>
            </w:r>
          </w:p>
        </w:tc>
        <w:tc>
          <w:tcPr>
            <w:tcW w:w="1132" w:type="pct"/>
          </w:tcPr>
          <w:p>
            <w:pPr>
              <w:spacing w:line="600" w:lineRule="exact"/>
              <w:jc w:val="center"/>
              <w:rPr>
                <w:rFonts w:ascii="宋体" w:hAnsi="宋体"/>
                <w:bCs/>
                <w:sz w:val="24"/>
              </w:rPr>
            </w:pPr>
            <w:r>
              <w:rPr>
                <w:rFonts w:hint="eastAsia" w:ascii="宋体" w:hAnsi="宋体"/>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600" w:lineRule="exact"/>
              <w:rPr>
                <w:rFonts w:ascii="宋体" w:hAnsi="宋体"/>
                <w:bCs/>
                <w:sz w:val="24"/>
              </w:rPr>
            </w:pPr>
          </w:p>
        </w:tc>
        <w:tc>
          <w:tcPr>
            <w:tcW w:w="921" w:type="pct"/>
          </w:tcPr>
          <w:p>
            <w:pPr>
              <w:spacing w:line="600" w:lineRule="exact"/>
              <w:rPr>
                <w:rFonts w:ascii="宋体" w:hAnsi="宋体"/>
                <w:bCs/>
                <w:sz w:val="24"/>
              </w:rPr>
            </w:pPr>
          </w:p>
        </w:tc>
        <w:tc>
          <w:tcPr>
            <w:tcW w:w="756" w:type="pct"/>
          </w:tcPr>
          <w:p>
            <w:pPr>
              <w:spacing w:line="600" w:lineRule="exact"/>
              <w:rPr>
                <w:rFonts w:ascii="宋体" w:hAnsi="宋体"/>
                <w:bCs/>
                <w:sz w:val="24"/>
              </w:rPr>
            </w:pPr>
          </w:p>
        </w:tc>
        <w:tc>
          <w:tcPr>
            <w:tcW w:w="756" w:type="pct"/>
          </w:tcPr>
          <w:p>
            <w:pPr>
              <w:spacing w:line="600" w:lineRule="exact"/>
              <w:rPr>
                <w:rFonts w:ascii="宋体" w:hAnsi="宋体"/>
                <w:bCs/>
                <w:sz w:val="24"/>
              </w:rPr>
            </w:pPr>
          </w:p>
        </w:tc>
        <w:tc>
          <w:tcPr>
            <w:tcW w:w="976" w:type="pct"/>
          </w:tcPr>
          <w:p>
            <w:pPr>
              <w:spacing w:line="600" w:lineRule="exact"/>
              <w:rPr>
                <w:rFonts w:ascii="宋体" w:hAnsi="宋体"/>
                <w:bCs/>
                <w:sz w:val="24"/>
              </w:rPr>
            </w:pPr>
          </w:p>
        </w:tc>
        <w:tc>
          <w:tcPr>
            <w:tcW w:w="1132" w:type="pct"/>
          </w:tcPr>
          <w:p>
            <w:pPr>
              <w:spacing w:line="60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600" w:lineRule="exact"/>
              <w:rPr>
                <w:rFonts w:ascii="宋体" w:hAnsi="宋体"/>
                <w:bCs/>
                <w:sz w:val="24"/>
              </w:rPr>
            </w:pPr>
          </w:p>
        </w:tc>
        <w:tc>
          <w:tcPr>
            <w:tcW w:w="921" w:type="pct"/>
          </w:tcPr>
          <w:p>
            <w:pPr>
              <w:spacing w:line="600" w:lineRule="exact"/>
              <w:rPr>
                <w:rFonts w:ascii="宋体" w:hAnsi="宋体"/>
                <w:bCs/>
                <w:sz w:val="24"/>
              </w:rPr>
            </w:pPr>
          </w:p>
        </w:tc>
        <w:tc>
          <w:tcPr>
            <w:tcW w:w="756" w:type="pct"/>
          </w:tcPr>
          <w:p>
            <w:pPr>
              <w:spacing w:line="600" w:lineRule="exact"/>
              <w:rPr>
                <w:rFonts w:ascii="宋体" w:hAnsi="宋体"/>
                <w:bCs/>
                <w:sz w:val="24"/>
              </w:rPr>
            </w:pPr>
          </w:p>
        </w:tc>
        <w:tc>
          <w:tcPr>
            <w:tcW w:w="756" w:type="pct"/>
          </w:tcPr>
          <w:p>
            <w:pPr>
              <w:spacing w:line="600" w:lineRule="exact"/>
              <w:rPr>
                <w:rFonts w:ascii="宋体" w:hAnsi="宋体"/>
                <w:bCs/>
                <w:sz w:val="24"/>
              </w:rPr>
            </w:pPr>
          </w:p>
        </w:tc>
        <w:tc>
          <w:tcPr>
            <w:tcW w:w="976" w:type="pct"/>
          </w:tcPr>
          <w:p>
            <w:pPr>
              <w:spacing w:line="600" w:lineRule="exact"/>
              <w:rPr>
                <w:rFonts w:ascii="宋体" w:hAnsi="宋体"/>
                <w:bCs/>
                <w:sz w:val="24"/>
              </w:rPr>
            </w:pPr>
          </w:p>
        </w:tc>
        <w:tc>
          <w:tcPr>
            <w:tcW w:w="1132" w:type="pct"/>
          </w:tcPr>
          <w:p>
            <w:pPr>
              <w:spacing w:line="60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600" w:lineRule="exact"/>
              <w:rPr>
                <w:rFonts w:ascii="宋体" w:hAnsi="宋体"/>
                <w:bCs/>
                <w:sz w:val="24"/>
              </w:rPr>
            </w:pPr>
          </w:p>
        </w:tc>
        <w:tc>
          <w:tcPr>
            <w:tcW w:w="921" w:type="pct"/>
          </w:tcPr>
          <w:p>
            <w:pPr>
              <w:spacing w:line="600" w:lineRule="exact"/>
              <w:rPr>
                <w:rFonts w:ascii="宋体" w:hAnsi="宋体"/>
                <w:bCs/>
                <w:sz w:val="24"/>
              </w:rPr>
            </w:pPr>
          </w:p>
        </w:tc>
        <w:tc>
          <w:tcPr>
            <w:tcW w:w="756" w:type="pct"/>
          </w:tcPr>
          <w:p>
            <w:pPr>
              <w:spacing w:line="600" w:lineRule="exact"/>
              <w:rPr>
                <w:rFonts w:ascii="宋体" w:hAnsi="宋体"/>
                <w:bCs/>
                <w:sz w:val="24"/>
              </w:rPr>
            </w:pPr>
          </w:p>
        </w:tc>
        <w:tc>
          <w:tcPr>
            <w:tcW w:w="756" w:type="pct"/>
          </w:tcPr>
          <w:p>
            <w:pPr>
              <w:spacing w:line="600" w:lineRule="exact"/>
              <w:rPr>
                <w:rFonts w:ascii="宋体" w:hAnsi="宋体"/>
                <w:bCs/>
                <w:sz w:val="24"/>
              </w:rPr>
            </w:pPr>
          </w:p>
        </w:tc>
        <w:tc>
          <w:tcPr>
            <w:tcW w:w="976" w:type="pct"/>
          </w:tcPr>
          <w:p>
            <w:pPr>
              <w:spacing w:line="600" w:lineRule="exact"/>
              <w:rPr>
                <w:rFonts w:ascii="宋体" w:hAnsi="宋体"/>
                <w:bCs/>
                <w:sz w:val="24"/>
              </w:rPr>
            </w:pPr>
          </w:p>
        </w:tc>
        <w:tc>
          <w:tcPr>
            <w:tcW w:w="1132" w:type="pct"/>
          </w:tcPr>
          <w:p>
            <w:pPr>
              <w:spacing w:line="60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600" w:lineRule="exact"/>
              <w:rPr>
                <w:rFonts w:ascii="宋体" w:hAnsi="宋体"/>
                <w:bCs/>
                <w:sz w:val="24"/>
              </w:rPr>
            </w:pPr>
          </w:p>
        </w:tc>
        <w:tc>
          <w:tcPr>
            <w:tcW w:w="921" w:type="pct"/>
          </w:tcPr>
          <w:p>
            <w:pPr>
              <w:spacing w:line="600" w:lineRule="exact"/>
              <w:rPr>
                <w:rFonts w:ascii="宋体" w:hAnsi="宋体"/>
                <w:bCs/>
                <w:sz w:val="24"/>
              </w:rPr>
            </w:pPr>
          </w:p>
        </w:tc>
        <w:tc>
          <w:tcPr>
            <w:tcW w:w="756" w:type="pct"/>
          </w:tcPr>
          <w:p>
            <w:pPr>
              <w:spacing w:line="600" w:lineRule="exact"/>
              <w:rPr>
                <w:rFonts w:ascii="宋体" w:hAnsi="宋体"/>
                <w:bCs/>
                <w:sz w:val="24"/>
              </w:rPr>
            </w:pPr>
          </w:p>
        </w:tc>
        <w:tc>
          <w:tcPr>
            <w:tcW w:w="756" w:type="pct"/>
          </w:tcPr>
          <w:p>
            <w:pPr>
              <w:spacing w:line="600" w:lineRule="exact"/>
              <w:rPr>
                <w:rFonts w:ascii="宋体" w:hAnsi="宋体"/>
                <w:bCs/>
                <w:sz w:val="24"/>
              </w:rPr>
            </w:pPr>
          </w:p>
        </w:tc>
        <w:tc>
          <w:tcPr>
            <w:tcW w:w="976" w:type="pct"/>
          </w:tcPr>
          <w:p>
            <w:pPr>
              <w:spacing w:line="600" w:lineRule="exact"/>
              <w:rPr>
                <w:rFonts w:ascii="宋体" w:hAnsi="宋体"/>
                <w:bCs/>
                <w:sz w:val="24"/>
              </w:rPr>
            </w:pPr>
          </w:p>
        </w:tc>
        <w:tc>
          <w:tcPr>
            <w:tcW w:w="1132" w:type="pct"/>
          </w:tcPr>
          <w:p>
            <w:pPr>
              <w:spacing w:line="60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600" w:lineRule="exact"/>
              <w:rPr>
                <w:rFonts w:ascii="宋体" w:hAnsi="宋体"/>
                <w:bCs/>
                <w:sz w:val="24"/>
              </w:rPr>
            </w:pPr>
          </w:p>
        </w:tc>
        <w:tc>
          <w:tcPr>
            <w:tcW w:w="921" w:type="pct"/>
          </w:tcPr>
          <w:p>
            <w:pPr>
              <w:spacing w:line="600" w:lineRule="exact"/>
              <w:rPr>
                <w:rFonts w:ascii="宋体" w:hAnsi="宋体"/>
                <w:bCs/>
                <w:sz w:val="24"/>
              </w:rPr>
            </w:pPr>
          </w:p>
        </w:tc>
        <w:tc>
          <w:tcPr>
            <w:tcW w:w="756" w:type="pct"/>
          </w:tcPr>
          <w:p>
            <w:pPr>
              <w:spacing w:line="600" w:lineRule="exact"/>
              <w:rPr>
                <w:rFonts w:ascii="宋体" w:hAnsi="宋体"/>
                <w:bCs/>
                <w:sz w:val="24"/>
              </w:rPr>
            </w:pPr>
          </w:p>
        </w:tc>
        <w:tc>
          <w:tcPr>
            <w:tcW w:w="756" w:type="pct"/>
          </w:tcPr>
          <w:p>
            <w:pPr>
              <w:spacing w:line="600" w:lineRule="exact"/>
              <w:rPr>
                <w:rFonts w:ascii="宋体" w:hAnsi="宋体"/>
                <w:bCs/>
                <w:sz w:val="24"/>
              </w:rPr>
            </w:pPr>
          </w:p>
        </w:tc>
        <w:tc>
          <w:tcPr>
            <w:tcW w:w="976" w:type="pct"/>
          </w:tcPr>
          <w:p>
            <w:pPr>
              <w:spacing w:line="600" w:lineRule="exact"/>
              <w:rPr>
                <w:rFonts w:ascii="宋体" w:hAnsi="宋体"/>
                <w:bCs/>
                <w:sz w:val="24"/>
              </w:rPr>
            </w:pPr>
          </w:p>
        </w:tc>
        <w:tc>
          <w:tcPr>
            <w:tcW w:w="1132" w:type="pct"/>
          </w:tcPr>
          <w:p>
            <w:pPr>
              <w:spacing w:line="60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600" w:lineRule="exact"/>
              <w:rPr>
                <w:rFonts w:ascii="宋体" w:hAnsi="宋体"/>
                <w:bCs/>
                <w:sz w:val="24"/>
              </w:rPr>
            </w:pPr>
          </w:p>
        </w:tc>
        <w:tc>
          <w:tcPr>
            <w:tcW w:w="921" w:type="pct"/>
          </w:tcPr>
          <w:p>
            <w:pPr>
              <w:spacing w:line="600" w:lineRule="exact"/>
              <w:rPr>
                <w:rFonts w:ascii="宋体" w:hAnsi="宋体"/>
                <w:bCs/>
                <w:sz w:val="24"/>
              </w:rPr>
            </w:pPr>
          </w:p>
        </w:tc>
        <w:tc>
          <w:tcPr>
            <w:tcW w:w="756" w:type="pct"/>
          </w:tcPr>
          <w:p>
            <w:pPr>
              <w:spacing w:line="600" w:lineRule="exact"/>
              <w:rPr>
                <w:rFonts w:ascii="宋体" w:hAnsi="宋体"/>
                <w:bCs/>
                <w:sz w:val="24"/>
              </w:rPr>
            </w:pPr>
          </w:p>
        </w:tc>
        <w:tc>
          <w:tcPr>
            <w:tcW w:w="756" w:type="pct"/>
          </w:tcPr>
          <w:p>
            <w:pPr>
              <w:spacing w:line="600" w:lineRule="exact"/>
              <w:rPr>
                <w:rFonts w:ascii="宋体" w:hAnsi="宋体"/>
                <w:bCs/>
                <w:sz w:val="24"/>
              </w:rPr>
            </w:pPr>
          </w:p>
        </w:tc>
        <w:tc>
          <w:tcPr>
            <w:tcW w:w="976" w:type="pct"/>
          </w:tcPr>
          <w:p>
            <w:pPr>
              <w:spacing w:line="600" w:lineRule="exact"/>
              <w:rPr>
                <w:rFonts w:ascii="宋体" w:hAnsi="宋体"/>
                <w:bCs/>
                <w:sz w:val="24"/>
              </w:rPr>
            </w:pPr>
          </w:p>
        </w:tc>
        <w:tc>
          <w:tcPr>
            <w:tcW w:w="1132" w:type="pct"/>
          </w:tcPr>
          <w:p>
            <w:pPr>
              <w:spacing w:line="60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pPr>
              <w:spacing w:line="600" w:lineRule="exact"/>
              <w:rPr>
                <w:rFonts w:ascii="宋体" w:hAnsi="宋体"/>
                <w:bCs/>
                <w:sz w:val="24"/>
              </w:rPr>
            </w:pPr>
          </w:p>
        </w:tc>
        <w:tc>
          <w:tcPr>
            <w:tcW w:w="921" w:type="pct"/>
          </w:tcPr>
          <w:p>
            <w:pPr>
              <w:spacing w:line="600" w:lineRule="exact"/>
              <w:rPr>
                <w:rFonts w:ascii="宋体" w:hAnsi="宋体"/>
                <w:bCs/>
                <w:sz w:val="24"/>
              </w:rPr>
            </w:pPr>
          </w:p>
        </w:tc>
        <w:tc>
          <w:tcPr>
            <w:tcW w:w="756" w:type="pct"/>
          </w:tcPr>
          <w:p>
            <w:pPr>
              <w:spacing w:line="600" w:lineRule="exact"/>
              <w:rPr>
                <w:rFonts w:ascii="宋体" w:hAnsi="宋体"/>
                <w:bCs/>
                <w:sz w:val="24"/>
              </w:rPr>
            </w:pPr>
          </w:p>
        </w:tc>
        <w:tc>
          <w:tcPr>
            <w:tcW w:w="756" w:type="pct"/>
          </w:tcPr>
          <w:p>
            <w:pPr>
              <w:spacing w:line="600" w:lineRule="exact"/>
              <w:rPr>
                <w:rFonts w:ascii="宋体" w:hAnsi="宋体"/>
                <w:bCs/>
                <w:sz w:val="24"/>
              </w:rPr>
            </w:pPr>
          </w:p>
        </w:tc>
        <w:tc>
          <w:tcPr>
            <w:tcW w:w="976" w:type="pct"/>
          </w:tcPr>
          <w:p>
            <w:pPr>
              <w:spacing w:line="600" w:lineRule="exact"/>
              <w:rPr>
                <w:rFonts w:ascii="宋体" w:hAnsi="宋体"/>
                <w:bCs/>
                <w:sz w:val="24"/>
              </w:rPr>
            </w:pPr>
          </w:p>
        </w:tc>
        <w:tc>
          <w:tcPr>
            <w:tcW w:w="1132" w:type="pct"/>
          </w:tcPr>
          <w:p>
            <w:pPr>
              <w:spacing w:line="600" w:lineRule="exact"/>
              <w:rPr>
                <w:rFonts w:ascii="宋体" w:hAnsi="宋体"/>
                <w:bCs/>
                <w:sz w:val="24"/>
              </w:rPr>
            </w:pPr>
          </w:p>
        </w:tc>
      </w:tr>
    </w:tbl>
    <w:p>
      <w:pPr>
        <w:spacing w:line="600" w:lineRule="exact"/>
        <w:rPr>
          <w:rFonts w:ascii="宋体" w:hAnsi="宋体"/>
          <w:sz w:val="24"/>
        </w:rPr>
      </w:pPr>
      <w:r>
        <w:rPr>
          <w:rFonts w:hint="eastAsia" w:ascii="宋体" w:hAnsi="宋体"/>
          <w:sz w:val="24"/>
        </w:rPr>
        <w:t>法定代表人或其授权代理人（盖章）：</w:t>
      </w:r>
    </w:p>
    <w:p>
      <w:pPr>
        <w:spacing w:line="600" w:lineRule="exact"/>
        <w:rPr>
          <w:rFonts w:ascii="宋体" w:hAnsi="宋体"/>
          <w:sz w:val="24"/>
        </w:rPr>
      </w:pPr>
      <w:r>
        <w:rPr>
          <w:rFonts w:hint="eastAsia" w:ascii="宋体" w:hAnsi="宋体"/>
          <w:sz w:val="24"/>
        </w:rPr>
        <w:t>日期：    年   月  日</w:t>
      </w:r>
    </w:p>
    <w:p>
      <w:pPr>
        <w:spacing w:line="600" w:lineRule="exact"/>
        <w:ind w:firstLine="480" w:firstLineChars="200"/>
        <w:rPr>
          <w:rFonts w:ascii="宋体" w:hAnsi="宋体"/>
          <w:bCs/>
          <w:sz w:val="24"/>
        </w:rPr>
      </w:pPr>
      <w:r>
        <w:rPr>
          <w:rFonts w:hint="eastAsia" w:ascii="宋体" w:hAnsi="宋体"/>
          <w:sz w:val="24"/>
        </w:rPr>
        <w:t>注：1、</w:t>
      </w:r>
      <w:r>
        <w:rPr>
          <w:rFonts w:hint="eastAsia" w:ascii="宋体" w:hAnsi="宋体"/>
          <w:bCs/>
          <w:sz w:val="24"/>
        </w:rPr>
        <w:t>企业业绩是指供应商2020年1月1日至今，同类项目已签署的合同（提供合同复印件并加盖供应商公章）。</w:t>
      </w:r>
    </w:p>
    <w:p>
      <w:pPr>
        <w:spacing w:line="600" w:lineRule="exact"/>
        <w:ind w:firstLine="360" w:firstLineChars="150"/>
        <w:rPr>
          <w:rFonts w:ascii="宋体" w:hAnsi="宋体"/>
          <w:sz w:val="24"/>
        </w:rPr>
      </w:pPr>
      <w:r>
        <w:rPr>
          <w:rFonts w:hint="eastAsia" w:ascii="宋体" w:hAnsi="宋体"/>
          <w:sz w:val="24"/>
        </w:rPr>
        <w:t>2、此表仅提供了表格形式，供应商应根据需要准备足够数量的表格来填写。</w:t>
      </w:r>
    </w:p>
    <w:p>
      <w:pPr>
        <w:snapToGrid w:val="0"/>
        <w:spacing w:beforeLines="50" w:after="50"/>
        <w:ind w:firstLine="240" w:firstLineChars="100"/>
        <w:rPr>
          <w:rFonts w:ascii="宋体" w:hAnsi="宋体" w:cs="宋体"/>
          <w:b/>
          <w:bCs/>
          <w:sz w:val="24"/>
        </w:rPr>
      </w:pPr>
      <w:r>
        <w:rPr>
          <w:rFonts w:ascii="宋体" w:hAnsi="宋体"/>
          <w:sz w:val="24"/>
        </w:rPr>
        <w:t xml:space="preserve">年    月    </w:t>
      </w: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十</w:t>
      </w:r>
      <w:r>
        <w:rPr>
          <w:rFonts w:hint="eastAsia" w:ascii="宋体" w:hAnsi="宋体" w:cs="宋体"/>
          <w:b/>
          <w:bCs/>
          <w:sz w:val="24"/>
          <w:lang w:eastAsia="zh-CN"/>
        </w:rPr>
        <w:t>四</w:t>
      </w:r>
      <w:r>
        <w:rPr>
          <w:rFonts w:hint="eastAsia" w:ascii="宋体" w:hAnsi="宋体" w:cs="宋体"/>
          <w:b/>
          <w:bCs/>
          <w:sz w:val="24"/>
        </w:rPr>
        <w:t>、企业</w:t>
      </w:r>
      <w:r>
        <w:rPr>
          <w:rFonts w:hint="eastAsia" w:ascii="宋体" w:hAnsi="宋体" w:cs="宋体"/>
          <w:b/>
          <w:bCs/>
          <w:sz w:val="24"/>
          <w:lang w:eastAsia="zh-CN"/>
        </w:rPr>
        <w:t>综合实力</w:t>
      </w:r>
      <w:r>
        <w:rPr>
          <w:rFonts w:hint="eastAsia" w:ascii="宋体" w:hAnsi="宋体" w:cs="宋体"/>
          <w:b/>
          <w:bCs/>
          <w:sz w:val="24"/>
        </w:rPr>
        <w:t>；</w:t>
      </w:r>
    </w:p>
    <w:p>
      <w:pPr>
        <w:spacing w:line="360" w:lineRule="auto"/>
        <w:rPr>
          <w:rFonts w:ascii="宋体" w:hAnsi="宋体" w:cs="宋体"/>
          <w:b/>
          <w:bCs/>
          <w:sz w:val="24"/>
        </w:rPr>
      </w:pPr>
    </w:p>
    <w:p>
      <w:pPr>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rPr>
        <w:t>十</w:t>
      </w:r>
      <w:r>
        <w:rPr>
          <w:rFonts w:hint="eastAsia" w:ascii="宋体" w:hAnsi="宋体" w:cs="宋体"/>
          <w:b/>
          <w:bCs/>
          <w:sz w:val="24"/>
          <w:lang w:eastAsia="zh-CN"/>
        </w:rPr>
        <w:t>五</w:t>
      </w:r>
      <w:r>
        <w:rPr>
          <w:rFonts w:hint="eastAsia" w:ascii="宋体" w:hAnsi="宋体" w:cs="宋体"/>
          <w:b/>
          <w:bCs/>
          <w:sz w:val="24"/>
        </w:rPr>
        <w:t>、商务响应表</w:t>
      </w:r>
    </w:p>
    <w:p>
      <w:pPr>
        <w:snapToGrid w:val="0"/>
        <w:spacing w:before="50" w:line="360" w:lineRule="auto"/>
        <w:jc w:val="left"/>
        <w:rPr>
          <w:rFonts w:ascii="宋体" w:hAnsi="宋体"/>
          <w:sz w:val="24"/>
          <w:u w:val="single"/>
        </w:rPr>
      </w:pPr>
      <w:r>
        <w:rPr>
          <w:rFonts w:hint="eastAsia" w:ascii="宋体" w:hAnsi="宋体"/>
          <w:sz w:val="24"/>
        </w:rPr>
        <w:t>项目名称：项目编号：</w:t>
      </w:r>
    </w:p>
    <w:p>
      <w:pPr>
        <w:pStyle w:val="5"/>
        <w:spacing w:line="360" w:lineRule="auto"/>
      </w:pP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7"/>
        <w:gridCol w:w="5184"/>
        <w:gridCol w:w="917"/>
        <w:gridCol w:w="16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szCs w:val="20"/>
              </w:rPr>
            </w:pPr>
            <w:r>
              <w:rPr>
                <w:rFonts w:hint="eastAsia" w:ascii="宋体" w:hAnsi="宋体"/>
                <w:sz w:val="24"/>
              </w:rPr>
              <w:t>项目</w:t>
            </w:r>
          </w:p>
        </w:tc>
        <w:tc>
          <w:tcPr>
            <w:tcW w:w="5184"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szCs w:val="20"/>
              </w:rPr>
            </w:pPr>
            <w:r>
              <w:rPr>
                <w:rFonts w:hint="eastAsia" w:ascii="宋体" w:hAnsi="宋体"/>
                <w:sz w:val="24"/>
              </w:rPr>
              <w:t>采购文件要求</w:t>
            </w:r>
          </w:p>
        </w:tc>
        <w:tc>
          <w:tcPr>
            <w:tcW w:w="917"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宋体" w:hAnsi="宋体"/>
                <w:sz w:val="24"/>
                <w:szCs w:val="20"/>
              </w:rPr>
            </w:pPr>
            <w:r>
              <w:rPr>
                <w:rFonts w:hint="eastAsia" w:ascii="宋体" w:hAnsi="宋体"/>
                <w:sz w:val="24"/>
              </w:rPr>
              <w:t>是否响应</w:t>
            </w:r>
          </w:p>
        </w:tc>
        <w:tc>
          <w:tcPr>
            <w:tcW w:w="1699"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宋体" w:hAnsi="宋体"/>
                <w:sz w:val="24"/>
                <w:szCs w:val="20"/>
              </w:rPr>
            </w:pPr>
            <w:r>
              <w:rPr>
                <w:rFonts w:hint="eastAsia" w:ascii="宋体" w:hAnsi="宋体"/>
                <w:sz w:val="24"/>
              </w:rPr>
              <w:t>投标供应商的承诺或说明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r>
              <w:rPr>
                <w:rFonts w:hint="eastAsia" w:ascii="宋体" w:hAnsi="宋体"/>
                <w:sz w:val="24"/>
              </w:rPr>
              <w:t>服务期</w:t>
            </w:r>
          </w:p>
        </w:tc>
        <w:tc>
          <w:tcPr>
            <w:tcW w:w="5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tc>
        <w:tc>
          <w:tcPr>
            <w:tcW w:w="917"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69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140" w:leftChars="-50" w:right="-140" w:rightChars="-50"/>
              <w:jc w:val="center"/>
              <w:rPr>
                <w:rFonts w:ascii="宋体" w:hAnsi="宋体"/>
                <w:sz w:val="24"/>
                <w:szCs w:val="20"/>
              </w:rPr>
            </w:pPr>
            <w:r>
              <w:rPr>
                <w:rFonts w:hint="eastAsia" w:ascii="宋体" w:hAnsi="宋体"/>
                <w:sz w:val="24"/>
              </w:rPr>
              <w:t>付款条件</w:t>
            </w:r>
          </w:p>
        </w:tc>
        <w:tc>
          <w:tcPr>
            <w:tcW w:w="51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sz w:val="24"/>
              </w:rPr>
            </w:pPr>
          </w:p>
        </w:tc>
        <w:tc>
          <w:tcPr>
            <w:tcW w:w="917"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69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szCs w:val="20"/>
              </w:rPr>
            </w:pPr>
            <w:r>
              <w:rPr>
                <w:rFonts w:hint="eastAsia" w:ascii="宋体" w:hAnsi="宋体"/>
                <w:sz w:val="24"/>
              </w:rPr>
              <w:t>其他</w:t>
            </w:r>
          </w:p>
        </w:tc>
        <w:tc>
          <w:tcPr>
            <w:tcW w:w="5184"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917"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69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szCs w:val="20"/>
              </w:rPr>
            </w:pPr>
            <w:r>
              <w:rPr>
                <w:rFonts w:hint="eastAsia" w:ascii="宋体" w:hAnsi="宋体"/>
                <w:sz w:val="24"/>
              </w:rPr>
              <w:t>…</w:t>
            </w:r>
          </w:p>
        </w:tc>
        <w:tc>
          <w:tcPr>
            <w:tcW w:w="5184"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917"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c>
          <w:tcPr>
            <w:tcW w:w="169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sz w:val="24"/>
                <w:szCs w:val="20"/>
              </w:rPr>
            </w:pPr>
          </w:p>
        </w:tc>
      </w:tr>
    </w:tbl>
    <w:p>
      <w:pPr>
        <w:pStyle w:val="5"/>
        <w:spacing w:line="360" w:lineRule="auto"/>
        <w:ind w:firstLine="0"/>
        <w:rPr>
          <w:rFonts w:ascii="宋体" w:hAnsi="宋体" w:cs="宋体"/>
          <w:spacing w:val="20"/>
          <w:sz w:val="24"/>
        </w:rPr>
      </w:pPr>
    </w:p>
    <w:p>
      <w:pPr>
        <w:pStyle w:val="5"/>
        <w:spacing w:line="360" w:lineRule="auto"/>
        <w:ind w:firstLine="0"/>
        <w:rPr>
          <w:rFonts w:hAnsi="宋体"/>
          <w:sz w:val="24"/>
          <w:szCs w:val="24"/>
        </w:rPr>
      </w:pPr>
      <w:r>
        <w:rPr>
          <w:rFonts w:hint="eastAsia" w:ascii="宋体" w:hAnsi="宋体" w:cs="宋体"/>
          <w:spacing w:val="20"/>
          <w:sz w:val="24"/>
        </w:rPr>
        <w:t>投标供应商（盖章）：</w:t>
      </w:r>
    </w:p>
    <w:p>
      <w:pPr>
        <w:pStyle w:val="5"/>
        <w:spacing w:line="360" w:lineRule="auto"/>
        <w:ind w:firstLine="0"/>
        <w:rPr>
          <w:rFonts w:hAnsi="宋体" w:cs="宋体"/>
          <w:spacing w:val="20"/>
          <w:sz w:val="24"/>
          <w:u w:val="single"/>
        </w:rPr>
      </w:pPr>
      <w:r>
        <w:rPr>
          <w:rFonts w:hAnsi="宋体"/>
          <w:sz w:val="24"/>
          <w:szCs w:val="24"/>
        </w:rPr>
        <w:t>法定代表人或其授权代表（盖章）</w:t>
      </w:r>
      <w:r>
        <w:rPr>
          <w:rFonts w:hAnsi="宋体" w:cs="宋体"/>
          <w:spacing w:val="20"/>
          <w:sz w:val="24"/>
        </w:rPr>
        <w:t>：</w:t>
      </w:r>
    </w:p>
    <w:p>
      <w:pPr>
        <w:spacing w:line="360" w:lineRule="auto"/>
        <w:rPr>
          <w:rFonts w:ascii="宋体" w:hAnsi="宋体" w:cs="宋体"/>
          <w:spacing w:val="20"/>
          <w:sz w:val="24"/>
        </w:rPr>
      </w:pPr>
    </w:p>
    <w:p>
      <w:pPr>
        <w:spacing w:line="360" w:lineRule="auto"/>
        <w:ind w:firstLine="5740" w:firstLineChars="2050"/>
        <w:rPr>
          <w:rFonts w:ascii="宋体" w:hAnsi="宋体" w:cs="宋体"/>
          <w:spacing w:val="20"/>
          <w:sz w:val="24"/>
        </w:rPr>
      </w:pPr>
      <w:r>
        <w:rPr>
          <w:rFonts w:hint="eastAsia" w:ascii="宋体" w:hAnsi="宋体" w:cs="宋体"/>
          <w:spacing w:val="20"/>
          <w:sz w:val="24"/>
        </w:rPr>
        <w:t xml:space="preserve">  年  月  日</w:t>
      </w:r>
    </w:p>
    <w:p>
      <w:pPr>
        <w:pStyle w:val="19"/>
        <w:ind w:firstLine="0" w:firstLineChars="0"/>
      </w:pPr>
    </w:p>
    <w:p>
      <w:pPr>
        <w:spacing w:line="360" w:lineRule="auto"/>
        <w:jc w:val="center"/>
        <w:rPr>
          <w:rFonts w:ascii="宋体" w:hAnsi="宋体" w:cs="宋体"/>
          <w:b/>
          <w:bCs/>
          <w:sz w:val="24"/>
        </w:rPr>
      </w:pPr>
      <w:r>
        <w:rPr>
          <w:rFonts w:hint="eastAsia" w:ascii="宋体" w:hAnsi="宋体" w:cs="宋体"/>
          <w:b/>
          <w:bCs/>
          <w:sz w:val="24"/>
        </w:rPr>
        <w:t>十</w:t>
      </w:r>
      <w:r>
        <w:rPr>
          <w:rFonts w:hint="eastAsia" w:ascii="宋体" w:hAnsi="宋体" w:cs="宋体"/>
          <w:b/>
          <w:bCs/>
          <w:sz w:val="24"/>
          <w:lang w:eastAsia="zh-CN"/>
        </w:rPr>
        <w:t>六</w:t>
      </w:r>
      <w:r>
        <w:rPr>
          <w:rFonts w:hint="eastAsia" w:ascii="宋体" w:hAnsi="宋体" w:cs="宋体"/>
          <w:b/>
          <w:bCs/>
          <w:sz w:val="24"/>
        </w:rPr>
        <w:t>、其他投标供应商认为有必要提供的资料</w:t>
      </w:r>
    </w:p>
    <w:p>
      <w:pPr>
        <w:pStyle w:val="19"/>
        <w:ind w:firstLine="280"/>
      </w:pPr>
    </w:p>
    <w:p>
      <w:pPr>
        <w:pStyle w:val="19"/>
        <w:ind w:firstLine="241"/>
        <w:jc w:val="center"/>
        <w:rPr>
          <w:rFonts w:ascii="宋体" w:hAnsi="宋体" w:cs="宋体"/>
          <w:b/>
          <w:bCs/>
          <w:sz w:val="24"/>
        </w:rPr>
      </w:pPr>
    </w:p>
    <w:p>
      <w:r>
        <w:br w:type="page"/>
      </w:r>
    </w:p>
    <w:p>
      <w:pPr>
        <w:pStyle w:val="2"/>
      </w:pPr>
    </w:p>
    <w:p>
      <w:pPr>
        <w:numPr>
          <w:ilvl w:val="0"/>
          <w:numId w:val="13"/>
        </w:numPr>
        <w:spacing w:line="760" w:lineRule="exact"/>
        <w:rPr>
          <w:rFonts w:ascii="宋体" w:hAnsi="宋体" w:cs="宋体"/>
          <w:b/>
          <w:sz w:val="24"/>
        </w:rPr>
      </w:pPr>
      <w:r>
        <w:rPr>
          <w:rFonts w:hint="eastAsia" w:ascii="宋体" w:hAnsi="宋体" w:cs="宋体"/>
          <w:b/>
          <w:sz w:val="24"/>
        </w:rPr>
        <w:t>报价文件格式：</w:t>
      </w:r>
    </w:p>
    <w:p>
      <w:pPr>
        <w:pStyle w:val="20"/>
        <w:ind w:firstLine="0"/>
      </w:pPr>
    </w:p>
    <w:p>
      <w:pPr>
        <w:pStyle w:val="20"/>
        <w:ind w:firstLine="0"/>
      </w:pPr>
    </w:p>
    <w:p>
      <w:pPr>
        <w:snapToGrid w:val="0"/>
        <w:spacing w:beforeLines="50" w:after="50"/>
        <w:jc w:val="right"/>
        <w:rPr>
          <w:rFonts w:ascii="宋体" w:hAnsi="宋体" w:cs="宋体"/>
          <w:bCs/>
          <w:sz w:val="24"/>
          <w:szCs w:val="20"/>
        </w:rPr>
      </w:pPr>
      <w:r>
        <w:rPr>
          <w:rFonts w:hint="eastAsia" w:ascii="宋体" w:hAnsi="宋体" w:cs="宋体"/>
          <w:b/>
          <w:sz w:val="24"/>
          <w:szCs w:val="20"/>
        </w:rPr>
        <w:t>正本/或副本</w:t>
      </w:r>
    </w:p>
    <w:p>
      <w:pPr>
        <w:snapToGrid w:val="0"/>
        <w:spacing w:beforeLines="50" w:after="50"/>
        <w:jc w:val="center"/>
        <w:rPr>
          <w:rFonts w:ascii="宋体" w:hAnsi="宋体" w:cs="宋体"/>
          <w:bCs/>
          <w:sz w:val="24"/>
        </w:rPr>
      </w:pPr>
    </w:p>
    <w:p>
      <w:pPr>
        <w:snapToGrid w:val="0"/>
        <w:spacing w:beforeLines="50" w:after="50"/>
        <w:jc w:val="center"/>
        <w:rPr>
          <w:rFonts w:ascii="宋体" w:hAnsi="宋体" w:cs="宋体"/>
          <w:bCs/>
          <w:sz w:val="24"/>
        </w:rPr>
      </w:pPr>
    </w:p>
    <w:p>
      <w:pPr>
        <w:snapToGrid w:val="0"/>
        <w:spacing w:beforeLines="50" w:after="50"/>
        <w:jc w:val="center"/>
        <w:rPr>
          <w:rFonts w:ascii="宋体" w:hAnsi="宋体" w:cs="宋体"/>
          <w:bCs/>
          <w:sz w:val="24"/>
          <w:szCs w:val="20"/>
        </w:rPr>
      </w:pPr>
      <w:r>
        <w:rPr>
          <w:rFonts w:hint="eastAsia" w:ascii="宋体" w:hAnsi="宋体" w:cs="宋体"/>
          <w:bCs/>
          <w:sz w:val="24"/>
        </w:rPr>
        <w:t>报价文件</w:t>
      </w:r>
    </w:p>
    <w:p>
      <w:pPr>
        <w:snapToGrid w:val="0"/>
        <w:spacing w:beforeLines="50" w:after="50"/>
        <w:rPr>
          <w:rFonts w:ascii="宋体" w:hAnsi="宋体" w:cs="宋体"/>
          <w:bCs/>
          <w:sz w:val="24"/>
          <w:szCs w:val="20"/>
        </w:rPr>
      </w:pPr>
    </w:p>
    <w:p>
      <w:pPr>
        <w:snapToGrid w:val="0"/>
        <w:spacing w:beforeLines="50" w:after="50"/>
        <w:ind w:firstLine="1068" w:firstLineChars="445"/>
        <w:rPr>
          <w:rFonts w:ascii="宋体" w:hAnsi="宋体" w:cs="宋体"/>
          <w:bCs/>
          <w:sz w:val="24"/>
        </w:rPr>
      </w:pPr>
      <w:r>
        <w:rPr>
          <w:rFonts w:hint="eastAsia" w:ascii="宋体" w:hAnsi="宋体" w:cs="宋体"/>
          <w:bCs/>
          <w:sz w:val="24"/>
        </w:rPr>
        <w:t>项目名称：</w:t>
      </w:r>
    </w:p>
    <w:p>
      <w:pPr>
        <w:snapToGrid w:val="0"/>
        <w:spacing w:beforeLines="50" w:after="50"/>
        <w:ind w:firstLine="1068" w:firstLineChars="445"/>
        <w:rPr>
          <w:rFonts w:ascii="宋体" w:hAnsi="宋体" w:cs="宋体"/>
          <w:bCs/>
          <w:sz w:val="24"/>
        </w:rPr>
      </w:pPr>
      <w:r>
        <w:rPr>
          <w:rFonts w:hint="eastAsia" w:ascii="宋体" w:hAnsi="宋体" w:cs="宋体"/>
          <w:bCs/>
          <w:sz w:val="24"/>
        </w:rPr>
        <w:t>项目编号：</w:t>
      </w:r>
    </w:p>
    <w:p>
      <w:pPr>
        <w:snapToGrid w:val="0"/>
        <w:spacing w:beforeLines="50" w:after="50"/>
        <w:ind w:firstLine="1068" w:firstLineChars="445"/>
        <w:rPr>
          <w:rFonts w:ascii="宋体" w:hAnsi="宋体" w:cs="宋体"/>
          <w:bCs/>
          <w:sz w:val="24"/>
        </w:rPr>
      </w:pPr>
      <w:r>
        <w:rPr>
          <w:rFonts w:hint="eastAsia" w:ascii="宋体" w:hAnsi="宋体" w:cs="宋体"/>
          <w:bCs/>
          <w:sz w:val="24"/>
        </w:rPr>
        <w:t>投标人名称：</w:t>
      </w:r>
    </w:p>
    <w:p>
      <w:pPr>
        <w:snapToGrid w:val="0"/>
        <w:spacing w:beforeLines="50" w:after="50"/>
        <w:ind w:firstLine="1068" w:firstLineChars="445"/>
        <w:rPr>
          <w:rFonts w:ascii="宋体" w:hAnsi="宋体" w:cs="宋体"/>
          <w:bCs/>
          <w:sz w:val="24"/>
        </w:rPr>
      </w:pPr>
      <w:r>
        <w:rPr>
          <w:rFonts w:hint="eastAsia" w:ascii="宋体" w:hAnsi="宋体" w:cs="宋体"/>
          <w:bCs/>
          <w:sz w:val="24"/>
        </w:rPr>
        <w:t>投标人地址：</w:t>
      </w:r>
    </w:p>
    <w:p>
      <w:pPr>
        <w:snapToGrid w:val="0"/>
        <w:spacing w:beforeLines="50" w:after="50"/>
        <w:ind w:firstLine="1068" w:firstLineChars="445"/>
        <w:rPr>
          <w:rFonts w:ascii="宋体" w:hAnsi="宋体" w:cs="宋体"/>
          <w:bCs/>
          <w:sz w:val="24"/>
        </w:rPr>
      </w:pPr>
      <w:r>
        <w:rPr>
          <w:rFonts w:hint="eastAsia" w:ascii="宋体" w:hAnsi="宋体" w:cs="宋体"/>
          <w:bCs/>
          <w:sz w:val="24"/>
        </w:rPr>
        <w:t>在  年  月  日  时  分之前不得启封</w:t>
      </w:r>
    </w:p>
    <w:p>
      <w:pPr>
        <w:snapToGrid w:val="0"/>
        <w:spacing w:beforeLines="50" w:after="50"/>
        <w:ind w:firstLine="4080" w:firstLineChars="1700"/>
        <w:rPr>
          <w:rFonts w:ascii="宋体" w:hAnsi="宋体" w:cs="宋体"/>
          <w:bCs/>
          <w:sz w:val="24"/>
          <w:szCs w:val="20"/>
        </w:rPr>
      </w:pPr>
    </w:p>
    <w:p>
      <w:pPr>
        <w:snapToGrid w:val="0"/>
        <w:spacing w:beforeLines="50" w:after="50"/>
        <w:ind w:firstLine="645"/>
        <w:jc w:val="right"/>
        <w:rPr>
          <w:rFonts w:ascii="宋体" w:hAnsi="宋体" w:cs="宋体"/>
          <w:bCs/>
          <w:sz w:val="24"/>
          <w:szCs w:val="20"/>
        </w:rPr>
      </w:pPr>
      <w:r>
        <w:rPr>
          <w:rFonts w:hint="eastAsia" w:ascii="宋体" w:hAnsi="宋体" w:cs="宋体"/>
          <w:bCs/>
          <w:sz w:val="24"/>
        </w:rPr>
        <w:t>年  月  日</w:t>
      </w:r>
    </w:p>
    <w:p>
      <w:pPr>
        <w:snapToGrid w:val="0"/>
        <w:spacing w:before="50" w:afterLines="50"/>
        <w:rPr>
          <w:rFonts w:ascii="宋体" w:hAnsi="宋体" w:cs="宋体"/>
          <w:b/>
          <w:sz w:val="24"/>
        </w:rPr>
      </w:pPr>
    </w:p>
    <w:p>
      <w:pPr>
        <w:pStyle w:val="5"/>
        <w:ind w:firstLine="0"/>
        <w:rPr>
          <w:rFonts w:ascii="宋体" w:hAnsi="宋体"/>
          <w:b/>
          <w:sz w:val="24"/>
        </w:rPr>
      </w:pPr>
    </w:p>
    <w:p>
      <w:pPr>
        <w:pStyle w:val="5"/>
        <w:ind w:firstLine="0"/>
        <w:rPr>
          <w:rFonts w:ascii="宋体" w:hAnsi="宋体"/>
          <w:b/>
          <w:sz w:val="24"/>
        </w:rPr>
      </w:pPr>
    </w:p>
    <w:p>
      <w:pPr>
        <w:pStyle w:val="5"/>
        <w:ind w:firstLine="0"/>
        <w:rPr>
          <w:rFonts w:ascii="宋体" w:hAnsi="宋体"/>
          <w:b/>
          <w:sz w:val="24"/>
        </w:rPr>
      </w:pPr>
    </w:p>
    <w:p>
      <w:pPr>
        <w:pStyle w:val="5"/>
        <w:ind w:firstLine="0"/>
        <w:rPr>
          <w:rFonts w:ascii="宋体" w:hAnsi="宋体"/>
          <w:b/>
          <w:sz w:val="24"/>
        </w:rPr>
      </w:pPr>
    </w:p>
    <w:p>
      <w:pPr>
        <w:pStyle w:val="5"/>
        <w:ind w:firstLine="0"/>
        <w:rPr>
          <w:rFonts w:ascii="宋体" w:hAnsi="宋体"/>
          <w:b/>
          <w:sz w:val="24"/>
        </w:rPr>
      </w:pPr>
    </w:p>
    <w:p>
      <w:pPr>
        <w:pStyle w:val="5"/>
        <w:ind w:firstLine="0"/>
        <w:rPr>
          <w:rFonts w:ascii="宋体" w:hAnsi="宋体"/>
          <w:b/>
          <w:sz w:val="24"/>
        </w:rPr>
      </w:pPr>
    </w:p>
    <w:p>
      <w:pPr>
        <w:pStyle w:val="5"/>
        <w:ind w:firstLine="0"/>
        <w:rPr>
          <w:rFonts w:ascii="宋体" w:hAnsi="宋体"/>
          <w:b/>
          <w:sz w:val="24"/>
        </w:rPr>
      </w:pPr>
    </w:p>
    <w:p>
      <w:pPr>
        <w:pStyle w:val="5"/>
        <w:ind w:firstLine="0"/>
        <w:rPr>
          <w:rFonts w:ascii="宋体" w:hAnsi="宋体"/>
          <w:b/>
          <w:sz w:val="24"/>
        </w:rPr>
      </w:pPr>
    </w:p>
    <w:p>
      <w:pPr>
        <w:pStyle w:val="5"/>
        <w:ind w:firstLine="0"/>
        <w:rPr>
          <w:rFonts w:ascii="宋体" w:hAnsi="宋体"/>
          <w:b/>
          <w:sz w:val="24"/>
        </w:rPr>
      </w:pPr>
    </w:p>
    <w:p>
      <w:pPr>
        <w:pStyle w:val="5"/>
        <w:ind w:firstLine="0"/>
        <w:rPr>
          <w:rFonts w:ascii="宋体" w:hAnsi="宋体"/>
          <w:b/>
          <w:sz w:val="24"/>
        </w:rPr>
      </w:pPr>
    </w:p>
    <w:p>
      <w:pPr>
        <w:pStyle w:val="5"/>
        <w:ind w:firstLine="0"/>
        <w:rPr>
          <w:rFonts w:ascii="宋体" w:hAnsi="宋体"/>
          <w:b/>
          <w:sz w:val="24"/>
        </w:rPr>
      </w:pPr>
    </w:p>
    <w:p>
      <w:pPr>
        <w:pStyle w:val="5"/>
        <w:ind w:firstLine="0"/>
        <w:rPr>
          <w:rFonts w:ascii="宋体" w:hAnsi="宋体"/>
          <w:b/>
          <w:sz w:val="24"/>
        </w:rPr>
      </w:pPr>
    </w:p>
    <w:p>
      <w:pPr>
        <w:pStyle w:val="5"/>
        <w:ind w:firstLine="0"/>
        <w:rPr>
          <w:rFonts w:ascii="宋体" w:hAnsi="宋体"/>
          <w:b/>
          <w:sz w:val="24"/>
        </w:rPr>
      </w:pPr>
    </w:p>
    <w:p>
      <w:pPr>
        <w:pStyle w:val="5"/>
        <w:ind w:firstLine="0"/>
        <w:rPr>
          <w:rFonts w:ascii="宋体" w:hAnsi="宋体"/>
          <w:b/>
          <w:sz w:val="24"/>
        </w:rPr>
      </w:pPr>
    </w:p>
    <w:p>
      <w:pPr>
        <w:pStyle w:val="5"/>
        <w:ind w:firstLine="0"/>
        <w:rPr>
          <w:rFonts w:ascii="宋体" w:hAnsi="宋体"/>
          <w:b/>
          <w:sz w:val="24"/>
        </w:rPr>
      </w:pPr>
    </w:p>
    <w:p>
      <w:pPr>
        <w:pStyle w:val="5"/>
        <w:ind w:firstLine="0"/>
        <w:rPr>
          <w:rFonts w:ascii="宋体" w:hAnsi="宋体"/>
          <w:b/>
          <w:sz w:val="24"/>
        </w:rPr>
      </w:pPr>
    </w:p>
    <w:p>
      <w:pPr>
        <w:pStyle w:val="5"/>
        <w:ind w:firstLine="0"/>
        <w:rPr>
          <w:rFonts w:ascii="宋体" w:hAnsi="宋体"/>
          <w:b/>
          <w:sz w:val="24"/>
        </w:rPr>
      </w:pPr>
    </w:p>
    <w:p>
      <w:pPr>
        <w:pStyle w:val="5"/>
        <w:ind w:firstLine="0"/>
        <w:rPr>
          <w:rFonts w:ascii="宋体" w:hAnsi="宋体"/>
          <w:b/>
          <w:sz w:val="24"/>
        </w:rPr>
      </w:pPr>
    </w:p>
    <w:p>
      <w:pPr>
        <w:pStyle w:val="5"/>
        <w:ind w:firstLine="0"/>
        <w:rPr>
          <w:rFonts w:ascii="宋体" w:hAnsi="宋体"/>
          <w:b/>
          <w:sz w:val="24"/>
        </w:rPr>
      </w:pPr>
    </w:p>
    <w:p>
      <w:pPr>
        <w:pStyle w:val="5"/>
        <w:ind w:firstLine="0"/>
        <w:rPr>
          <w:rFonts w:ascii="宋体" w:hAnsi="宋体"/>
          <w:b/>
          <w:sz w:val="24"/>
        </w:rPr>
      </w:pPr>
    </w:p>
    <w:p>
      <w:pPr>
        <w:pStyle w:val="5"/>
        <w:ind w:firstLine="0"/>
        <w:rPr>
          <w:rFonts w:ascii="宋体" w:hAnsi="宋体"/>
          <w:b/>
          <w:sz w:val="24"/>
        </w:rPr>
      </w:pPr>
    </w:p>
    <w:p>
      <w:pPr>
        <w:pStyle w:val="5"/>
        <w:ind w:firstLine="0"/>
        <w:rPr>
          <w:rFonts w:ascii="宋体" w:hAnsi="宋体"/>
          <w:b/>
          <w:sz w:val="24"/>
        </w:rPr>
      </w:pPr>
    </w:p>
    <w:p>
      <w:pPr>
        <w:rPr>
          <w:rFonts w:ascii="宋体" w:hAnsi="宋体"/>
          <w:sz w:val="24"/>
        </w:rPr>
      </w:pPr>
      <w:r>
        <w:rPr>
          <w:rFonts w:ascii="宋体" w:hAnsi="宋体"/>
          <w:b/>
          <w:sz w:val="24"/>
        </w:rPr>
        <w:t>报价文件</w:t>
      </w:r>
      <w:r>
        <w:rPr>
          <w:rFonts w:hint="eastAsia" w:ascii="宋体" w:hAnsi="宋体"/>
          <w:b/>
          <w:sz w:val="24"/>
        </w:rPr>
        <w:t>目录</w:t>
      </w:r>
    </w:p>
    <w:p>
      <w:pPr>
        <w:tabs>
          <w:tab w:val="left" w:pos="720"/>
        </w:tabs>
        <w:spacing w:line="360" w:lineRule="auto"/>
        <w:ind w:firstLine="480" w:firstLineChars="200"/>
        <w:rPr>
          <w:rFonts w:hint="eastAsia" w:ascii="宋体" w:hAnsi="宋体"/>
          <w:sz w:val="24"/>
        </w:rPr>
      </w:pPr>
    </w:p>
    <w:p>
      <w:pPr>
        <w:tabs>
          <w:tab w:val="left" w:pos="720"/>
        </w:tabs>
        <w:spacing w:line="360" w:lineRule="auto"/>
        <w:ind w:firstLine="480" w:firstLineChars="200"/>
        <w:rPr>
          <w:rFonts w:ascii="宋体" w:hAnsi="宋体"/>
          <w:sz w:val="24"/>
        </w:rPr>
      </w:pPr>
      <w:r>
        <w:rPr>
          <w:rFonts w:hint="eastAsia" w:ascii="宋体" w:hAnsi="宋体"/>
          <w:sz w:val="24"/>
        </w:rPr>
        <w:t>（1) 投标函；</w:t>
      </w:r>
    </w:p>
    <w:p>
      <w:pPr>
        <w:tabs>
          <w:tab w:val="left" w:pos="720"/>
        </w:tabs>
        <w:spacing w:line="360" w:lineRule="auto"/>
        <w:ind w:firstLine="480" w:firstLineChars="200"/>
        <w:rPr>
          <w:rFonts w:ascii="宋体" w:hAnsi="宋体"/>
          <w:sz w:val="24"/>
        </w:rPr>
      </w:pPr>
      <w:r>
        <w:rPr>
          <w:rFonts w:hint="eastAsia" w:ascii="宋体" w:hAnsi="宋体"/>
          <w:sz w:val="24"/>
        </w:rPr>
        <w:t>（2) 开标一览表（格式见附件）；</w:t>
      </w:r>
    </w:p>
    <w:p>
      <w:pPr>
        <w:tabs>
          <w:tab w:val="left" w:pos="720"/>
        </w:tabs>
        <w:spacing w:line="360" w:lineRule="auto"/>
        <w:ind w:firstLine="480" w:firstLineChars="200"/>
        <w:rPr>
          <w:rFonts w:ascii="宋体" w:hAnsi="宋体"/>
          <w:sz w:val="24"/>
        </w:rPr>
      </w:pPr>
      <w:r>
        <w:rPr>
          <w:rFonts w:hint="eastAsia" w:ascii="宋体" w:hAnsi="宋体"/>
          <w:sz w:val="24"/>
        </w:rPr>
        <w:t>（3）报价明细表；</w:t>
      </w:r>
    </w:p>
    <w:p>
      <w:pPr>
        <w:tabs>
          <w:tab w:val="left" w:pos="720"/>
        </w:tabs>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）招标代理服务费承诺函(格式见附件)；</w:t>
      </w:r>
    </w:p>
    <w:p>
      <w:pPr>
        <w:tabs>
          <w:tab w:val="left" w:pos="720"/>
        </w:tabs>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）其他投标供应商认为有必要提供的资料。</w:t>
      </w:r>
      <w:r>
        <w:rPr>
          <w:rFonts w:hint="eastAsia" w:ascii="宋体" w:hAnsi="宋体"/>
          <w:sz w:val="24"/>
        </w:rPr>
        <w:tab/>
      </w:r>
    </w:p>
    <w:p>
      <w:pPr>
        <w:snapToGrid w:val="0"/>
        <w:spacing w:line="360" w:lineRule="auto"/>
        <w:rPr>
          <w:rFonts w:ascii="宋体" w:hAnsi="宋体"/>
          <w:b/>
          <w:sz w:val="24"/>
        </w:rPr>
      </w:pPr>
    </w:p>
    <w:p>
      <w:pPr>
        <w:pStyle w:val="19"/>
        <w:ind w:firstLine="240"/>
        <w:rPr>
          <w:sz w:val="24"/>
        </w:rPr>
      </w:pPr>
    </w:p>
    <w:p>
      <w:pPr>
        <w:rPr>
          <w:sz w:val="24"/>
        </w:rPr>
      </w:pPr>
    </w:p>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20"/>
        <w:rPr>
          <w:sz w:val="24"/>
        </w:rPr>
      </w:pPr>
    </w:p>
    <w:p>
      <w:pPr>
        <w:pStyle w:val="19"/>
        <w:ind w:firstLine="0" w:firstLineChars="0"/>
        <w:rPr>
          <w:sz w:val="24"/>
        </w:rPr>
      </w:pPr>
    </w:p>
    <w:p/>
    <w:p>
      <w:pPr>
        <w:rPr>
          <w:rFonts w:ascii="宋体" w:hAnsi="宋体" w:cs="宋体"/>
          <w:b/>
          <w:sz w:val="24"/>
        </w:rPr>
      </w:pPr>
      <w:r>
        <w:rPr>
          <w:rFonts w:hint="eastAsia" w:ascii="宋体" w:hAnsi="宋体" w:cs="宋体"/>
          <w:b/>
          <w:sz w:val="24"/>
        </w:rPr>
        <w:br w:type="page"/>
      </w:r>
    </w:p>
    <w:p>
      <w:pPr>
        <w:snapToGrid w:val="0"/>
        <w:spacing w:line="460" w:lineRule="exact"/>
        <w:jc w:val="center"/>
        <w:rPr>
          <w:rFonts w:ascii="宋体" w:hAnsi="宋体" w:cs="宋体"/>
          <w:b/>
          <w:sz w:val="24"/>
        </w:rPr>
      </w:pPr>
    </w:p>
    <w:p>
      <w:pPr>
        <w:snapToGrid w:val="0"/>
        <w:spacing w:line="460" w:lineRule="exact"/>
        <w:jc w:val="center"/>
        <w:rPr>
          <w:rFonts w:ascii="宋体" w:hAnsi="宋体" w:cs="宋体"/>
          <w:b/>
          <w:sz w:val="24"/>
        </w:rPr>
      </w:pPr>
      <w:r>
        <w:rPr>
          <w:rFonts w:hint="eastAsia" w:ascii="宋体" w:hAnsi="宋体" w:cs="宋体"/>
          <w:b/>
          <w:sz w:val="24"/>
        </w:rPr>
        <w:t>一、投标函</w:t>
      </w:r>
    </w:p>
    <w:p>
      <w:pPr>
        <w:snapToGrid w:val="0"/>
        <w:spacing w:line="460" w:lineRule="exact"/>
        <w:rPr>
          <w:rFonts w:ascii="宋体" w:hAnsi="宋体" w:cs="宋体"/>
          <w:sz w:val="24"/>
          <w:szCs w:val="20"/>
        </w:rPr>
      </w:pPr>
      <w:r>
        <w:rPr>
          <w:rFonts w:hint="eastAsia" w:ascii="宋体" w:hAnsi="宋体" w:cs="宋体"/>
          <w:sz w:val="24"/>
        </w:rPr>
        <w:t>致：（采购人名称）：</w:t>
      </w:r>
    </w:p>
    <w:p>
      <w:pPr>
        <w:snapToGrid w:val="0"/>
        <w:spacing w:line="460" w:lineRule="exact"/>
        <w:ind w:firstLine="600" w:firstLineChars="250"/>
        <w:rPr>
          <w:rFonts w:ascii="宋体" w:hAnsi="宋体" w:cs="宋体"/>
          <w:sz w:val="24"/>
          <w:szCs w:val="20"/>
        </w:rPr>
      </w:pPr>
      <w:r>
        <w:rPr>
          <w:rFonts w:hint="eastAsia" w:ascii="宋体" w:hAnsi="宋体" w:cs="宋体"/>
          <w:sz w:val="24"/>
        </w:rPr>
        <w:t>根据贵方为项目的招标公告（项目编号：），签字代表（全名）经正式授权并代表供应商（供应商名称）提交资格文件、报价文件、技术文件、商务文件、资信及其他文件电子标书一份。</w:t>
      </w:r>
    </w:p>
    <w:p>
      <w:pPr>
        <w:snapToGrid w:val="0"/>
        <w:spacing w:line="460" w:lineRule="exact"/>
        <w:ind w:firstLine="480" w:firstLineChars="200"/>
        <w:rPr>
          <w:rFonts w:ascii="宋体" w:hAnsi="宋体" w:cs="宋体"/>
          <w:sz w:val="24"/>
          <w:szCs w:val="20"/>
        </w:rPr>
      </w:pPr>
      <w:r>
        <w:rPr>
          <w:rFonts w:hint="eastAsia" w:ascii="宋体" w:hAnsi="宋体" w:cs="宋体"/>
          <w:sz w:val="24"/>
        </w:rPr>
        <w:t>据此函，签字代表宣布同意如下：</w:t>
      </w:r>
    </w:p>
    <w:p>
      <w:pPr>
        <w:snapToGrid w:val="0"/>
        <w:spacing w:line="460" w:lineRule="exact"/>
        <w:ind w:firstLine="480" w:firstLineChars="200"/>
        <w:rPr>
          <w:rFonts w:ascii="宋体" w:hAnsi="宋体" w:cs="宋体"/>
          <w:sz w:val="24"/>
          <w:szCs w:val="20"/>
        </w:rPr>
      </w:pPr>
      <w:r>
        <w:rPr>
          <w:rFonts w:hint="eastAsia" w:ascii="宋体" w:hAnsi="宋体" w:cs="宋体"/>
          <w:sz w:val="24"/>
        </w:rPr>
        <w:t>1.供应商已详细审查全部“招标文件”，包括修改文件（如有的话）以及全部参考资料和有关附件，已经了解我方对于招标文件、采购过程、采购结果有依法进行询问、质疑、投诉的权利及相关渠道和要求。</w:t>
      </w:r>
    </w:p>
    <w:p>
      <w:pPr>
        <w:snapToGrid w:val="0"/>
        <w:spacing w:line="460" w:lineRule="exact"/>
        <w:ind w:firstLine="480" w:firstLineChars="200"/>
        <w:rPr>
          <w:rFonts w:ascii="宋体" w:hAnsi="宋体" w:cs="宋体"/>
          <w:sz w:val="24"/>
          <w:szCs w:val="20"/>
        </w:rPr>
      </w:pPr>
      <w:r>
        <w:rPr>
          <w:rFonts w:hint="eastAsia" w:ascii="宋体" w:hAnsi="宋体" w:cs="宋体"/>
          <w:sz w:val="24"/>
        </w:rPr>
        <w:t>2.供应商在</w:t>
      </w:r>
      <w:r>
        <w:rPr>
          <w:rFonts w:hint="eastAsia" w:ascii="宋体" w:hAnsi="宋体" w:cs="宋体"/>
          <w:sz w:val="24"/>
          <w:lang w:eastAsia="zh-CN"/>
        </w:rPr>
        <w:t>投</w:t>
      </w:r>
      <w:r>
        <w:rPr>
          <w:rFonts w:hint="eastAsia" w:ascii="宋体" w:hAnsi="宋体" w:cs="宋体"/>
          <w:sz w:val="24"/>
        </w:rPr>
        <w:t>标之前已经与贵方进行了充分的沟通，完全理解并接受招标文件的各项规定和要求，对招标文件的合理性、合法性不再有异议。</w:t>
      </w:r>
    </w:p>
    <w:p>
      <w:pPr>
        <w:snapToGrid w:val="0"/>
        <w:spacing w:line="460" w:lineRule="exact"/>
        <w:ind w:firstLine="480" w:firstLineChars="200"/>
        <w:rPr>
          <w:rFonts w:ascii="宋体" w:hAnsi="宋体" w:cs="宋体"/>
          <w:sz w:val="24"/>
          <w:szCs w:val="20"/>
        </w:rPr>
      </w:pPr>
      <w:r>
        <w:rPr>
          <w:rFonts w:hint="eastAsia" w:ascii="宋体" w:hAnsi="宋体" w:cs="宋体"/>
          <w:sz w:val="24"/>
        </w:rPr>
        <w:t>3.本投标有效期自投标日起</w:t>
      </w:r>
      <w:r>
        <w:rPr>
          <w:rFonts w:hint="eastAsia" w:ascii="宋体" w:hAnsi="宋体" w:cs="宋体"/>
          <w:sz w:val="24"/>
          <w:u w:val="single"/>
        </w:rPr>
        <w:t>60</w:t>
      </w:r>
      <w:r>
        <w:rPr>
          <w:rFonts w:hint="eastAsia" w:ascii="宋体" w:hAnsi="宋体" w:cs="宋体"/>
          <w:sz w:val="24"/>
        </w:rPr>
        <w:t>个日历天。</w:t>
      </w:r>
    </w:p>
    <w:p>
      <w:pPr>
        <w:snapToGrid w:val="0"/>
        <w:spacing w:line="460" w:lineRule="exact"/>
        <w:ind w:firstLine="480" w:firstLineChars="200"/>
        <w:rPr>
          <w:rFonts w:ascii="宋体" w:hAnsi="宋体" w:cs="宋体"/>
          <w:sz w:val="24"/>
          <w:szCs w:val="20"/>
        </w:rPr>
      </w:pPr>
      <w:r>
        <w:rPr>
          <w:rFonts w:hint="eastAsia" w:ascii="宋体" w:hAnsi="宋体" w:cs="宋体"/>
          <w:sz w:val="24"/>
        </w:rPr>
        <w:t>4.如成交，本投标文件至本项目合同履行完毕止均保持有效，本供应商将按“招标文件”及政府采购法律、法规的规定履行合同责任和义务。</w:t>
      </w:r>
    </w:p>
    <w:p>
      <w:pPr>
        <w:snapToGrid w:val="0"/>
        <w:spacing w:line="460" w:lineRule="exact"/>
        <w:ind w:firstLine="480" w:firstLineChars="200"/>
        <w:rPr>
          <w:rFonts w:ascii="宋体" w:hAnsi="宋体" w:cs="宋体"/>
          <w:sz w:val="24"/>
          <w:szCs w:val="20"/>
        </w:rPr>
      </w:pPr>
      <w:r>
        <w:rPr>
          <w:rFonts w:hint="eastAsia" w:ascii="宋体" w:hAnsi="宋体" w:cs="宋体"/>
          <w:sz w:val="24"/>
        </w:rPr>
        <w:t>5.供应商同意按照贵方要求提供与</w:t>
      </w:r>
      <w:r>
        <w:rPr>
          <w:rFonts w:hint="eastAsia" w:ascii="宋体" w:hAnsi="宋体" w:cs="宋体"/>
          <w:sz w:val="24"/>
          <w:lang w:eastAsia="zh-CN"/>
        </w:rPr>
        <w:t>投</w:t>
      </w:r>
      <w:r>
        <w:rPr>
          <w:rFonts w:hint="eastAsia" w:ascii="宋体" w:hAnsi="宋体" w:cs="宋体"/>
          <w:sz w:val="24"/>
        </w:rPr>
        <w:t>标有关的一切数据或资料。</w:t>
      </w:r>
    </w:p>
    <w:p>
      <w:pPr>
        <w:snapToGrid w:val="0"/>
        <w:spacing w:line="460" w:lineRule="exact"/>
        <w:ind w:firstLine="480" w:firstLineChars="200"/>
        <w:rPr>
          <w:rFonts w:ascii="宋体" w:hAnsi="宋体" w:cs="宋体"/>
          <w:sz w:val="24"/>
          <w:szCs w:val="20"/>
        </w:rPr>
      </w:pPr>
      <w:r>
        <w:rPr>
          <w:rFonts w:hint="eastAsia" w:ascii="宋体" w:hAnsi="宋体" w:cs="宋体"/>
          <w:sz w:val="24"/>
        </w:rPr>
        <w:t>6.与本</w:t>
      </w:r>
      <w:r>
        <w:rPr>
          <w:rFonts w:hint="eastAsia" w:ascii="宋体" w:hAnsi="宋体" w:cs="宋体"/>
          <w:sz w:val="24"/>
          <w:lang w:eastAsia="zh-CN"/>
        </w:rPr>
        <w:t>投</w:t>
      </w:r>
      <w:r>
        <w:rPr>
          <w:rFonts w:hint="eastAsia" w:ascii="宋体" w:hAnsi="宋体" w:cs="宋体"/>
          <w:sz w:val="24"/>
        </w:rPr>
        <w:t>标有关的一切正式往来信函请寄：</w:t>
      </w:r>
    </w:p>
    <w:p>
      <w:pPr>
        <w:snapToGrid w:val="0"/>
        <w:spacing w:line="560" w:lineRule="exact"/>
        <w:rPr>
          <w:rFonts w:ascii="宋体" w:hAnsi="宋体" w:cs="宋体"/>
          <w:sz w:val="24"/>
          <w:szCs w:val="20"/>
        </w:rPr>
      </w:pPr>
      <w:r>
        <w:rPr>
          <w:rFonts w:hint="eastAsia" w:ascii="宋体" w:hAnsi="宋体" w:cs="宋体"/>
          <w:sz w:val="24"/>
        </w:rPr>
        <w:t>地址：</w:t>
      </w:r>
      <w:r>
        <w:rPr>
          <w:rFonts w:hint="eastAsia" w:ascii="宋体" w:hAnsi="宋体" w:cs="宋体"/>
          <w:sz w:val="24"/>
          <w:lang w:val="en-US" w:eastAsia="zh-CN"/>
        </w:rPr>
        <w:t xml:space="preserve">         </w:t>
      </w:r>
      <w:r>
        <w:rPr>
          <w:rFonts w:hint="eastAsia" w:ascii="宋体" w:hAnsi="宋体" w:cs="宋体"/>
          <w:sz w:val="24"/>
        </w:rPr>
        <w:t>邮编：</w:t>
      </w:r>
      <w:r>
        <w:rPr>
          <w:rFonts w:hint="eastAsia" w:ascii="宋体" w:hAnsi="宋体" w:cs="宋体"/>
          <w:sz w:val="24"/>
          <w:lang w:val="en-US" w:eastAsia="zh-CN"/>
        </w:rPr>
        <w:t xml:space="preserve">                  </w:t>
      </w:r>
      <w:r>
        <w:rPr>
          <w:rFonts w:hint="eastAsia" w:ascii="宋体" w:hAnsi="宋体" w:cs="宋体"/>
          <w:sz w:val="24"/>
        </w:rPr>
        <w:t>电话：</w:t>
      </w:r>
    </w:p>
    <w:p>
      <w:pPr>
        <w:snapToGrid w:val="0"/>
        <w:spacing w:line="560" w:lineRule="exact"/>
        <w:rPr>
          <w:rFonts w:ascii="宋体" w:hAnsi="宋体" w:cs="宋体"/>
          <w:sz w:val="24"/>
          <w:szCs w:val="20"/>
        </w:rPr>
      </w:pPr>
      <w:r>
        <w:rPr>
          <w:rFonts w:hint="eastAsia" w:ascii="宋体" w:hAnsi="宋体" w:cs="宋体"/>
          <w:sz w:val="24"/>
        </w:rPr>
        <w:t>传真：</w:t>
      </w:r>
      <w:r>
        <w:rPr>
          <w:rFonts w:hint="eastAsia" w:ascii="宋体" w:hAnsi="宋体" w:cs="宋体"/>
          <w:sz w:val="24"/>
          <w:lang w:val="en-US" w:eastAsia="zh-CN"/>
        </w:rPr>
        <w:t xml:space="preserve">          </w:t>
      </w:r>
      <w:r>
        <w:rPr>
          <w:rFonts w:hint="eastAsia" w:ascii="宋体" w:hAnsi="宋体" w:cs="宋体"/>
          <w:sz w:val="24"/>
        </w:rPr>
        <w:t xml:space="preserve">供应商代表姓名： </w:t>
      </w:r>
      <w:r>
        <w:rPr>
          <w:rFonts w:hint="eastAsia" w:ascii="宋体" w:hAnsi="宋体" w:cs="宋体"/>
          <w:sz w:val="24"/>
          <w:lang w:val="en-US" w:eastAsia="zh-CN"/>
        </w:rPr>
        <w:t xml:space="preserve">      </w:t>
      </w:r>
      <w:r>
        <w:rPr>
          <w:rFonts w:hint="eastAsia" w:ascii="宋体" w:hAnsi="宋体" w:cs="宋体"/>
          <w:sz w:val="24"/>
        </w:rPr>
        <w:t>职务：</w:t>
      </w:r>
    </w:p>
    <w:p>
      <w:pPr>
        <w:snapToGrid w:val="0"/>
        <w:spacing w:line="560" w:lineRule="exact"/>
        <w:rPr>
          <w:rFonts w:ascii="宋体" w:hAnsi="宋体" w:cs="宋体"/>
          <w:sz w:val="24"/>
          <w:u w:val="single"/>
        </w:rPr>
      </w:pPr>
      <w:r>
        <w:rPr>
          <w:rFonts w:hint="eastAsia" w:ascii="宋体" w:hAnsi="宋体"/>
          <w:sz w:val="24"/>
        </w:rPr>
        <w:t>投标供应商</w:t>
      </w:r>
      <w:r>
        <w:rPr>
          <w:rFonts w:hint="eastAsia" w:ascii="宋体" w:hAnsi="宋体" w:cs="宋体"/>
          <w:sz w:val="24"/>
        </w:rPr>
        <w:t>(公章):</w:t>
      </w:r>
    </w:p>
    <w:p>
      <w:pPr>
        <w:snapToGrid w:val="0"/>
        <w:spacing w:line="560" w:lineRule="exact"/>
        <w:rPr>
          <w:rFonts w:ascii="宋体" w:hAnsi="宋体" w:cs="宋体"/>
          <w:sz w:val="24"/>
          <w:szCs w:val="20"/>
        </w:rPr>
      </w:pPr>
      <w:r>
        <w:rPr>
          <w:rFonts w:hint="eastAsia" w:ascii="宋体" w:hAnsi="宋体" w:cs="宋体"/>
          <w:sz w:val="24"/>
        </w:rPr>
        <w:t>开户银行：   银行帐号：</w:t>
      </w:r>
    </w:p>
    <w:p>
      <w:pPr>
        <w:snapToGrid w:val="0"/>
        <w:spacing w:line="560" w:lineRule="exact"/>
        <w:rPr>
          <w:rFonts w:ascii="宋体" w:hAnsi="宋体" w:cs="宋体"/>
          <w:sz w:val="30"/>
          <w:szCs w:val="20"/>
        </w:rPr>
      </w:pPr>
      <w:r>
        <w:rPr>
          <w:rFonts w:hint="eastAsia" w:ascii="宋体" w:hAnsi="宋体" w:cs="宋体"/>
          <w:sz w:val="24"/>
        </w:rPr>
        <w:t xml:space="preserve"> 日期:年月日</w:t>
      </w:r>
    </w:p>
    <w:p>
      <w:pPr>
        <w:pStyle w:val="5"/>
        <w:spacing w:line="600" w:lineRule="exact"/>
        <w:ind w:firstLine="0"/>
        <w:rPr>
          <w:rFonts w:ascii="宋体" w:hAnsi="宋体" w:cs="宋体"/>
          <w:b/>
          <w:bCs/>
          <w:spacing w:val="24"/>
          <w:sz w:val="30"/>
        </w:rPr>
      </w:pPr>
    </w:p>
    <w:p>
      <w:pPr>
        <w:pStyle w:val="5"/>
        <w:spacing w:line="600" w:lineRule="exact"/>
        <w:ind w:firstLine="0"/>
        <w:rPr>
          <w:rFonts w:ascii="宋体" w:hAnsi="宋体" w:cs="宋体"/>
          <w:b/>
          <w:bCs/>
          <w:spacing w:val="24"/>
          <w:sz w:val="30"/>
        </w:rPr>
      </w:pPr>
    </w:p>
    <w:p>
      <w:pPr>
        <w:pStyle w:val="5"/>
        <w:spacing w:line="600" w:lineRule="exact"/>
        <w:ind w:firstLine="0"/>
        <w:rPr>
          <w:rFonts w:ascii="宋体" w:hAnsi="宋体" w:cs="宋体"/>
          <w:b/>
          <w:bCs/>
          <w:spacing w:val="24"/>
          <w:sz w:val="30"/>
        </w:rPr>
      </w:pPr>
    </w:p>
    <w:p>
      <w:pPr>
        <w:pStyle w:val="5"/>
        <w:spacing w:line="600" w:lineRule="exact"/>
        <w:ind w:firstLine="0"/>
        <w:rPr>
          <w:rFonts w:ascii="宋体" w:hAnsi="宋体" w:cs="宋体"/>
          <w:b/>
          <w:bCs/>
          <w:spacing w:val="24"/>
          <w:sz w:val="30"/>
        </w:rPr>
      </w:pPr>
    </w:p>
    <w:p>
      <w:pPr>
        <w:spacing w:line="360" w:lineRule="auto"/>
        <w:rPr>
          <w:rFonts w:ascii="宋体" w:hAnsi="宋体" w:cs="宋体"/>
          <w:b/>
          <w:bCs/>
          <w:sz w:val="24"/>
        </w:rPr>
      </w:pPr>
    </w:p>
    <w:p>
      <w:pPr>
        <w:pStyle w:val="20"/>
      </w:pPr>
    </w:p>
    <w:p>
      <w:pPr>
        <w:pStyle w:val="5"/>
      </w:pPr>
    </w:p>
    <w:p>
      <w:pPr>
        <w:pStyle w:val="26"/>
        <w:spacing w:before="295" w:after="295"/>
        <w:jc w:val="center"/>
        <w:rPr>
          <w:rFonts w:hint="eastAsia"/>
          <w:b/>
          <w:sz w:val="24"/>
          <w:szCs w:val="24"/>
        </w:rPr>
      </w:pPr>
    </w:p>
    <w:p>
      <w:pPr>
        <w:pStyle w:val="26"/>
        <w:spacing w:before="295" w:after="295"/>
        <w:jc w:val="center"/>
        <w:rPr>
          <w:b/>
          <w:sz w:val="24"/>
          <w:szCs w:val="24"/>
        </w:rPr>
      </w:pPr>
      <w:r>
        <w:rPr>
          <w:rFonts w:hint="eastAsia"/>
          <w:b/>
          <w:sz w:val="24"/>
          <w:szCs w:val="24"/>
        </w:rPr>
        <w:t>二、</w:t>
      </w:r>
      <w:r>
        <w:rPr>
          <w:b/>
          <w:sz w:val="24"/>
          <w:szCs w:val="24"/>
        </w:rPr>
        <w:t>开标一览表</w:t>
      </w:r>
    </w:p>
    <w:p>
      <w:pPr>
        <w:adjustRightInd w:val="0"/>
        <w:snapToGrid w:val="0"/>
        <w:spacing w:line="440" w:lineRule="exact"/>
        <w:ind w:firstLine="480" w:firstLineChars="200"/>
        <w:rPr>
          <w:rFonts w:ascii="宋体" w:hAnsi="宋体"/>
          <w:sz w:val="24"/>
          <w:u w:val="single"/>
        </w:rPr>
      </w:pPr>
      <w:r>
        <w:rPr>
          <w:rFonts w:hint="eastAsia" w:ascii="宋体" w:hAnsi="宋体"/>
          <w:sz w:val="24"/>
        </w:rPr>
        <w:t xml:space="preserve">项目名称：                                   </w:t>
      </w:r>
    </w:p>
    <w:p>
      <w:pPr>
        <w:spacing w:line="500" w:lineRule="exact"/>
        <w:ind w:right="465" w:rightChars="166" w:firstLine="480" w:firstLineChars="200"/>
        <w:rPr>
          <w:rFonts w:ascii="宋体" w:hAnsi="宋体" w:cs="宋体"/>
          <w:sz w:val="24"/>
        </w:rPr>
      </w:pPr>
      <w:r>
        <w:rPr>
          <w:rFonts w:hint="eastAsia" w:ascii="宋体" w:hAnsi="宋体" w:cs="宋体"/>
          <w:sz w:val="24"/>
        </w:rPr>
        <w:t>项目编号：</w:t>
      </w:r>
    </w:p>
    <w:tbl>
      <w:tblPr>
        <w:tblStyle w:val="42"/>
        <w:tblW w:w="97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9"/>
        <w:gridCol w:w="4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869" w:type="dxa"/>
            <w:noWrap/>
            <w:vAlign w:val="center"/>
          </w:tcPr>
          <w:p>
            <w:pPr>
              <w:adjustRightInd w:val="0"/>
              <w:snapToGrid w:val="0"/>
              <w:spacing w:line="440" w:lineRule="exact"/>
              <w:jc w:val="center"/>
              <w:rPr>
                <w:sz w:val="24"/>
              </w:rPr>
            </w:pPr>
            <w:r>
              <w:rPr>
                <w:rFonts w:hint="eastAsia"/>
                <w:sz w:val="24"/>
              </w:rPr>
              <w:t>项目名称</w:t>
            </w:r>
          </w:p>
        </w:tc>
        <w:tc>
          <w:tcPr>
            <w:tcW w:w="4913" w:type="dxa"/>
            <w:noWrap/>
            <w:vAlign w:val="center"/>
          </w:tcPr>
          <w:p>
            <w:pPr>
              <w:adjustRightInd w:val="0"/>
              <w:snapToGrid w:val="0"/>
              <w:spacing w:line="440" w:lineRule="exact"/>
              <w:jc w:val="center"/>
              <w:rPr>
                <w:sz w:val="24"/>
              </w:rPr>
            </w:pPr>
            <w:r>
              <w:rPr>
                <w:rFonts w:hint="eastAsia"/>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4869" w:type="dxa"/>
            <w:noWrap/>
            <w:vAlign w:val="center"/>
          </w:tcPr>
          <w:p>
            <w:pPr>
              <w:adjustRightInd w:val="0"/>
              <w:snapToGrid w:val="0"/>
              <w:spacing w:line="440" w:lineRule="exact"/>
              <w:ind w:left="-140" w:leftChars="-50" w:right="-140" w:rightChars="-50"/>
              <w:jc w:val="center"/>
              <w:rPr>
                <w:rFonts w:hint="eastAsia" w:eastAsia="宋体"/>
                <w:sz w:val="24"/>
                <w:lang w:eastAsia="zh-CN"/>
              </w:rPr>
            </w:pPr>
            <w:r>
              <w:rPr>
                <w:rFonts w:hint="eastAsia" w:ascii="宋体" w:hAnsi="宋体" w:cs="仿宋"/>
                <w:sz w:val="24"/>
              </w:rPr>
              <w:t>中共湖州市吴兴区委政法委员会刑事诉讼涉案财物管理项目（2024-2025年度）（重新招标）</w:t>
            </w:r>
          </w:p>
        </w:tc>
        <w:tc>
          <w:tcPr>
            <w:tcW w:w="4913" w:type="dxa"/>
            <w:noWrap/>
            <w:vAlign w:val="center"/>
          </w:tcPr>
          <w:p>
            <w:pPr>
              <w:adjustRightInd w:val="0"/>
              <w:snapToGrid w:val="0"/>
              <w:spacing w:line="440" w:lineRule="exact"/>
              <w:rPr>
                <w:sz w:val="24"/>
              </w:rPr>
            </w:pPr>
            <w:r>
              <w:rPr>
                <w:rFonts w:hint="eastAsia"/>
                <w:sz w:val="24"/>
              </w:rPr>
              <w:t>人民币大写：</w:t>
            </w:r>
          </w:p>
          <w:p>
            <w:pPr>
              <w:adjustRightInd w:val="0"/>
              <w:snapToGrid w:val="0"/>
              <w:spacing w:line="440" w:lineRule="exact"/>
              <w:rPr>
                <w:sz w:val="24"/>
              </w:rPr>
            </w:pPr>
            <w:r>
              <w:rPr>
                <w:rFonts w:hint="eastAsia"/>
                <w:sz w:val="24"/>
              </w:rPr>
              <w:t>人民币小写：</w:t>
            </w:r>
          </w:p>
        </w:tc>
      </w:tr>
    </w:tbl>
    <w:p>
      <w:pPr>
        <w:spacing w:line="500" w:lineRule="exact"/>
        <w:ind w:left="663" w:leftChars="105" w:hanging="369" w:hangingChars="154"/>
        <w:rPr>
          <w:rFonts w:ascii="宋体" w:hAnsi="宋体" w:cs="宋体"/>
          <w:sz w:val="24"/>
        </w:rPr>
      </w:pPr>
      <w:r>
        <w:rPr>
          <w:rFonts w:hint="eastAsia" w:ascii="宋体" w:hAnsi="宋体" w:cs="宋体"/>
          <w:sz w:val="24"/>
        </w:rPr>
        <w:t>说明：</w:t>
      </w:r>
    </w:p>
    <w:p>
      <w:pPr>
        <w:spacing w:line="500" w:lineRule="exact"/>
        <w:ind w:left="546" w:leftChars="106" w:hanging="249" w:hangingChars="104"/>
        <w:rPr>
          <w:rFonts w:ascii="宋体" w:hAnsi="宋体" w:cs="宋体"/>
          <w:sz w:val="24"/>
        </w:rPr>
      </w:pPr>
      <w:r>
        <w:rPr>
          <w:rFonts w:hint="eastAsia" w:ascii="宋体" w:hAnsi="宋体" w:cs="宋体"/>
          <w:sz w:val="24"/>
        </w:rPr>
        <w:t>1. 开标一览表中的报价为完成本项目的所有费用。</w:t>
      </w:r>
    </w:p>
    <w:p>
      <w:pPr>
        <w:spacing w:line="500" w:lineRule="exact"/>
        <w:ind w:left="546" w:leftChars="106" w:hanging="249" w:hangingChars="104"/>
        <w:rPr>
          <w:rFonts w:ascii="宋体" w:hAnsi="宋体" w:cs="宋体"/>
          <w:sz w:val="24"/>
        </w:rPr>
      </w:pPr>
      <w:r>
        <w:rPr>
          <w:rFonts w:hint="eastAsia" w:ascii="宋体" w:hAnsi="宋体"/>
          <w:sz w:val="24"/>
        </w:rPr>
        <w:t>2.报价一经涂改，应在涂改处加盖单位公章或者由法定代表人或授权委托人签字或盖章，否则其投标作无效标处理。</w:t>
      </w:r>
    </w:p>
    <w:p>
      <w:pPr>
        <w:jc w:val="left"/>
        <w:rPr>
          <w:rFonts w:ascii="宋体" w:hAnsi="宋体" w:cs="宋体"/>
          <w:b/>
          <w:sz w:val="24"/>
          <w:u w:val="single"/>
        </w:rPr>
      </w:pPr>
    </w:p>
    <w:p>
      <w:pPr>
        <w:jc w:val="left"/>
        <w:rPr>
          <w:rFonts w:ascii="宋体" w:hAnsi="宋体" w:cs="宋体"/>
          <w:b/>
          <w:sz w:val="24"/>
          <w:u w:val="single"/>
        </w:rPr>
      </w:pPr>
    </w:p>
    <w:p>
      <w:pPr>
        <w:jc w:val="left"/>
        <w:rPr>
          <w:b/>
          <w:sz w:val="24"/>
        </w:rPr>
      </w:pPr>
    </w:p>
    <w:p>
      <w:pPr>
        <w:spacing w:line="360" w:lineRule="auto"/>
        <w:jc w:val="left"/>
        <w:rPr>
          <w:sz w:val="24"/>
        </w:rPr>
      </w:pPr>
      <w:r>
        <w:rPr>
          <w:rFonts w:hint="eastAsia"/>
          <w:sz w:val="24"/>
        </w:rPr>
        <w:t>投标供应商全称（加盖公章）：</w:t>
      </w:r>
    </w:p>
    <w:p>
      <w:pPr>
        <w:spacing w:line="360" w:lineRule="auto"/>
        <w:jc w:val="left"/>
        <w:rPr>
          <w:sz w:val="24"/>
        </w:rPr>
      </w:pPr>
      <w:r>
        <w:rPr>
          <w:rFonts w:hint="eastAsia"/>
          <w:sz w:val="24"/>
        </w:rPr>
        <w:t>法定代表人或其授权代理人（盖章）：</w:t>
      </w:r>
    </w:p>
    <w:p>
      <w:pPr>
        <w:spacing w:line="360" w:lineRule="auto"/>
        <w:jc w:val="left"/>
        <w:rPr>
          <w:sz w:val="24"/>
        </w:rPr>
      </w:pPr>
    </w:p>
    <w:p>
      <w:pPr>
        <w:spacing w:line="360" w:lineRule="auto"/>
        <w:jc w:val="left"/>
        <w:rPr>
          <w:sz w:val="24"/>
        </w:rPr>
      </w:pPr>
    </w:p>
    <w:p>
      <w:pPr>
        <w:spacing w:line="360" w:lineRule="auto"/>
        <w:jc w:val="left"/>
        <w:rPr>
          <w:sz w:val="24"/>
        </w:rPr>
      </w:pPr>
      <w:r>
        <w:rPr>
          <w:rFonts w:hint="eastAsia"/>
          <w:sz w:val="24"/>
        </w:rPr>
        <w:t xml:space="preserve">                                                日期：   年   月  日 </w:t>
      </w:r>
    </w:p>
    <w:p>
      <w:pPr>
        <w:spacing w:line="360" w:lineRule="auto"/>
        <w:rPr>
          <w:rFonts w:ascii="宋体" w:hAnsi="宋体" w:cs="宋体"/>
          <w:b/>
          <w:szCs w:val="28"/>
        </w:rPr>
      </w:pPr>
    </w:p>
    <w:p>
      <w:pPr>
        <w:pStyle w:val="19"/>
        <w:ind w:firstLine="240"/>
        <w:rPr>
          <w:sz w:val="24"/>
        </w:rPr>
      </w:pPr>
    </w:p>
    <w:p>
      <w:pPr>
        <w:pStyle w:val="19"/>
        <w:ind w:firstLine="240"/>
        <w:rPr>
          <w:sz w:val="24"/>
        </w:rPr>
      </w:pPr>
    </w:p>
    <w:p>
      <w:pPr>
        <w:pStyle w:val="19"/>
        <w:ind w:firstLine="0" w:firstLineChars="0"/>
        <w:rPr>
          <w:sz w:val="24"/>
        </w:rPr>
      </w:pPr>
    </w:p>
    <w:p>
      <w:pPr>
        <w:pStyle w:val="19"/>
        <w:ind w:firstLine="0" w:firstLineChars="0"/>
        <w:rPr>
          <w:sz w:val="24"/>
        </w:rPr>
      </w:pPr>
    </w:p>
    <w:p/>
    <w:p>
      <w:pPr>
        <w:snapToGrid w:val="0"/>
        <w:spacing w:before="50" w:after="50" w:line="540" w:lineRule="exact"/>
        <w:jc w:val="center"/>
        <w:rPr>
          <w:b/>
          <w:bCs/>
          <w:sz w:val="24"/>
        </w:rPr>
      </w:pPr>
    </w:p>
    <w:p>
      <w:pPr>
        <w:rPr>
          <w:rFonts w:hint="eastAsia"/>
          <w:b/>
          <w:bCs/>
          <w:sz w:val="24"/>
        </w:rPr>
      </w:pPr>
      <w:r>
        <w:rPr>
          <w:rFonts w:hint="eastAsia"/>
          <w:b/>
          <w:bCs/>
          <w:sz w:val="24"/>
        </w:rPr>
        <w:br w:type="page"/>
      </w:r>
    </w:p>
    <w:p>
      <w:pPr>
        <w:jc w:val="center"/>
        <w:rPr>
          <w:rFonts w:hint="eastAsia"/>
          <w:b/>
          <w:bCs/>
          <w:sz w:val="24"/>
        </w:rPr>
      </w:pPr>
    </w:p>
    <w:p>
      <w:pPr>
        <w:jc w:val="center"/>
        <w:rPr>
          <w:rFonts w:hint="eastAsia"/>
          <w:b/>
          <w:bCs/>
          <w:sz w:val="24"/>
        </w:rPr>
      </w:pPr>
    </w:p>
    <w:p>
      <w:pPr>
        <w:jc w:val="center"/>
        <w:rPr>
          <w:b/>
          <w:bCs/>
          <w:sz w:val="24"/>
        </w:rPr>
      </w:pPr>
      <w:r>
        <w:rPr>
          <w:rFonts w:hint="eastAsia"/>
          <w:b/>
          <w:bCs/>
          <w:sz w:val="24"/>
        </w:rPr>
        <w:t>三、报价明细表</w:t>
      </w:r>
    </w:p>
    <w:p>
      <w:pPr>
        <w:snapToGrid w:val="0"/>
        <w:spacing w:before="50" w:afterLines="50" w:line="540" w:lineRule="exact"/>
        <w:rPr>
          <w:sz w:val="24"/>
        </w:rPr>
      </w:pPr>
      <w:r>
        <w:rPr>
          <w:rFonts w:hint="eastAsia"/>
          <w:sz w:val="24"/>
        </w:rPr>
        <w:t>项目名称：</w:t>
      </w:r>
    </w:p>
    <w:p>
      <w:pPr>
        <w:snapToGrid w:val="0"/>
        <w:spacing w:before="50" w:afterLines="50" w:line="540" w:lineRule="exact"/>
        <w:rPr>
          <w:sz w:val="24"/>
        </w:rPr>
      </w:pPr>
      <w:r>
        <w:rPr>
          <w:rFonts w:hint="eastAsia"/>
          <w:sz w:val="24"/>
        </w:rPr>
        <w:t>项目编号：</w:t>
      </w:r>
    </w:p>
    <w:tbl>
      <w:tblPr>
        <w:tblStyle w:val="42"/>
        <w:tblpPr w:leftFromText="180" w:rightFromText="180" w:vertAnchor="text" w:horzAnchor="page" w:tblpX="976" w:tblpY="394"/>
        <w:tblOverlap w:val="never"/>
        <w:tblW w:w="51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436"/>
        <w:gridCol w:w="2482"/>
        <w:gridCol w:w="879"/>
        <w:gridCol w:w="821"/>
        <w:gridCol w:w="975"/>
        <w:gridCol w:w="1766"/>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56" w:type="pct"/>
            <w:vAlign w:val="center"/>
          </w:tcPr>
          <w:p>
            <w:pPr>
              <w:spacing w:line="360" w:lineRule="auto"/>
              <w:jc w:val="center"/>
              <w:rPr>
                <w:sz w:val="24"/>
              </w:rPr>
            </w:pPr>
            <w:r>
              <w:rPr>
                <w:rFonts w:hint="eastAsia"/>
                <w:sz w:val="24"/>
              </w:rPr>
              <w:t>序号</w:t>
            </w:r>
          </w:p>
        </w:tc>
        <w:tc>
          <w:tcPr>
            <w:tcW w:w="714" w:type="pct"/>
            <w:vAlign w:val="center"/>
          </w:tcPr>
          <w:p>
            <w:pPr>
              <w:spacing w:line="360" w:lineRule="auto"/>
              <w:jc w:val="center"/>
              <w:rPr>
                <w:sz w:val="24"/>
              </w:rPr>
            </w:pPr>
            <w:r>
              <w:rPr>
                <w:rFonts w:hint="eastAsia"/>
                <w:sz w:val="24"/>
              </w:rPr>
              <w:t>名称</w:t>
            </w:r>
          </w:p>
        </w:tc>
        <w:tc>
          <w:tcPr>
            <w:tcW w:w="1234" w:type="pct"/>
            <w:vAlign w:val="center"/>
          </w:tcPr>
          <w:p>
            <w:pPr>
              <w:spacing w:line="360" w:lineRule="auto"/>
              <w:jc w:val="center"/>
              <w:rPr>
                <w:sz w:val="24"/>
              </w:rPr>
            </w:pPr>
            <w:r>
              <w:rPr>
                <w:rFonts w:hint="eastAsia"/>
                <w:sz w:val="24"/>
              </w:rPr>
              <w:t>详细说明</w:t>
            </w:r>
          </w:p>
        </w:tc>
        <w:tc>
          <w:tcPr>
            <w:tcW w:w="437" w:type="pct"/>
            <w:vAlign w:val="center"/>
          </w:tcPr>
          <w:p>
            <w:pPr>
              <w:spacing w:line="360" w:lineRule="auto"/>
              <w:jc w:val="center"/>
              <w:rPr>
                <w:sz w:val="24"/>
              </w:rPr>
            </w:pPr>
            <w:r>
              <w:rPr>
                <w:rFonts w:hint="eastAsia"/>
                <w:sz w:val="24"/>
              </w:rPr>
              <w:t>数量</w:t>
            </w:r>
          </w:p>
        </w:tc>
        <w:tc>
          <w:tcPr>
            <w:tcW w:w="408" w:type="pct"/>
            <w:vAlign w:val="center"/>
          </w:tcPr>
          <w:p>
            <w:pPr>
              <w:spacing w:line="360" w:lineRule="auto"/>
              <w:jc w:val="center"/>
              <w:rPr>
                <w:sz w:val="24"/>
              </w:rPr>
            </w:pPr>
            <w:r>
              <w:rPr>
                <w:rFonts w:hint="eastAsia"/>
                <w:sz w:val="24"/>
              </w:rPr>
              <w:t>单位</w:t>
            </w:r>
          </w:p>
        </w:tc>
        <w:tc>
          <w:tcPr>
            <w:tcW w:w="485" w:type="pct"/>
            <w:vAlign w:val="center"/>
          </w:tcPr>
          <w:p>
            <w:pPr>
              <w:spacing w:line="360" w:lineRule="auto"/>
              <w:jc w:val="center"/>
              <w:rPr>
                <w:sz w:val="24"/>
              </w:rPr>
            </w:pPr>
            <w:r>
              <w:rPr>
                <w:rFonts w:hint="eastAsia"/>
                <w:sz w:val="24"/>
              </w:rPr>
              <w:t>单价</w:t>
            </w:r>
          </w:p>
        </w:tc>
        <w:tc>
          <w:tcPr>
            <w:tcW w:w="878" w:type="pct"/>
            <w:vAlign w:val="center"/>
          </w:tcPr>
          <w:p>
            <w:pPr>
              <w:spacing w:line="360" w:lineRule="auto"/>
              <w:jc w:val="center"/>
              <w:rPr>
                <w:sz w:val="24"/>
              </w:rPr>
            </w:pPr>
            <w:r>
              <w:rPr>
                <w:rFonts w:hint="eastAsia"/>
                <w:sz w:val="24"/>
              </w:rPr>
              <w:t>合计（元）</w:t>
            </w:r>
          </w:p>
        </w:tc>
        <w:tc>
          <w:tcPr>
            <w:tcW w:w="485" w:type="pct"/>
            <w:vAlign w:val="center"/>
          </w:tcPr>
          <w:p>
            <w:pPr>
              <w:spacing w:line="360" w:lineRule="auto"/>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356" w:type="pct"/>
            <w:vAlign w:val="center"/>
          </w:tcPr>
          <w:p>
            <w:pPr>
              <w:spacing w:line="360" w:lineRule="auto"/>
              <w:jc w:val="center"/>
              <w:rPr>
                <w:sz w:val="24"/>
              </w:rPr>
            </w:pPr>
          </w:p>
        </w:tc>
        <w:tc>
          <w:tcPr>
            <w:tcW w:w="714" w:type="pct"/>
            <w:vAlign w:val="center"/>
          </w:tcPr>
          <w:p>
            <w:pPr>
              <w:widowControl/>
              <w:jc w:val="center"/>
              <w:rPr>
                <w:sz w:val="24"/>
              </w:rPr>
            </w:pPr>
          </w:p>
        </w:tc>
        <w:tc>
          <w:tcPr>
            <w:tcW w:w="1234" w:type="pct"/>
            <w:vAlign w:val="center"/>
          </w:tcPr>
          <w:p>
            <w:pPr>
              <w:autoSpaceDE w:val="0"/>
              <w:autoSpaceDN w:val="0"/>
              <w:spacing w:line="320" w:lineRule="atLeast"/>
              <w:jc w:val="center"/>
              <w:rPr>
                <w:sz w:val="24"/>
              </w:rPr>
            </w:pPr>
          </w:p>
        </w:tc>
        <w:tc>
          <w:tcPr>
            <w:tcW w:w="437" w:type="pct"/>
            <w:vAlign w:val="center"/>
          </w:tcPr>
          <w:p>
            <w:pPr>
              <w:autoSpaceDE w:val="0"/>
              <w:autoSpaceDN w:val="0"/>
              <w:spacing w:line="320" w:lineRule="atLeast"/>
              <w:jc w:val="center"/>
              <w:rPr>
                <w:rFonts w:ascii="宋体" w:hAnsi="宋体"/>
                <w:sz w:val="24"/>
              </w:rPr>
            </w:pPr>
          </w:p>
        </w:tc>
        <w:tc>
          <w:tcPr>
            <w:tcW w:w="408" w:type="pct"/>
            <w:vAlign w:val="center"/>
          </w:tcPr>
          <w:p>
            <w:pPr>
              <w:autoSpaceDE w:val="0"/>
              <w:autoSpaceDN w:val="0"/>
              <w:spacing w:line="320" w:lineRule="atLeast"/>
              <w:jc w:val="center"/>
              <w:rPr>
                <w:rFonts w:ascii="宋体" w:hAnsi="宋体"/>
                <w:sz w:val="24"/>
              </w:rPr>
            </w:pPr>
          </w:p>
        </w:tc>
        <w:tc>
          <w:tcPr>
            <w:tcW w:w="485" w:type="pct"/>
            <w:vAlign w:val="center"/>
          </w:tcPr>
          <w:p>
            <w:pPr>
              <w:spacing w:line="360" w:lineRule="auto"/>
              <w:jc w:val="center"/>
              <w:rPr>
                <w:sz w:val="24"/>
              </w:rPr>
            </w:pPr>
          </w:p>
        </w:tc>
        <w:tc>
          <w:tcPr>
            <w:tcW w:w="878" w:type="pct"/>
            <w:vAlign w:val="center"/>
          </w:tcPr>
          <w:p>
            <w:pPr>
              <w:spacing w:line="360" w:lineRule="auto"/>
              <w:jc w:val="center"/>
              <w:rPr>
                <w:sz w:val="24"/>
              </w:rPr>
            </w:pPr>
          </w:p>
        </w:tc>
        <w:tc>
          <w:tcPr>
            <w:tcW w:w="485" w:type="pct"/>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356" w:type="pct"/>
            <w:vAlign w:val="center"/>
          </w:tcPr>
          <w:p>
            <w:pPr>
              <w:spacing w:line="360" w:lineRule="auto"/>
              <w:jc w:val="center"/>
              <w:rPr>
                <w:sz w:val="24"/>
              </w:rPr>
            </w:pPr>
          </w:p>
        </w:tc>
        <w:tc>
          <w:tcPr>
            <w:tcW w:w="714" w:type="pct"/>
            <w:vAlign w:val="center"/>
          </w:tcPr>
          <w:p>
            <w:pPr>
              <w:widowControl/>
              <w:jc w:val="center"/>
              <w:rPr>
                <w:sz w:val="24"/>
              </w:rPr>
            </w:pPr>
          </w:p>
        </w:tc>
        <w:tc>
          <w:tcPr>
            <w:tcW w:w="1234" w:type="pct"/>
            <w:vAlign w:val="center"/>
          </w:tcPr>
          <w:p>
            <w:pPr>
              <w:autoSpaceDE w:val="0"/>
              <w:autoSpaceDN w:val="0"/>
              <w:spacing w:line="320" w:lineRule="atLeast"/>
              <w:jc w:val="center"/>
              <w:rPr>
                <w:sz w:val="24"/>
              </w:rPr>
            </w:pPr>
          </w:p>
        </w:tc>
        <w:tc>
          <w:tcPr>
            <w:tcW w:w="437" w:type="pct"/>
            <w:vAlign w:val="center"/>
          </w:tcPr>
          <w:p>
            <w:pPr>
              <w:autoSpaceDE w:val="0"/>
              <w:autoSpaceDN w:val="0"/>
              <w:spacing w:line="320" w:lineRule="atLeast"/>
              <w:jc w:val="center"/>
              <w:rPr>
                <w:rFonts w:ascii="宋体" w:hAnsi="宋体"/>
                <w:sz w:val="24"/>
              </w:rPr>
            </w:pPr>
          </w:p>
        </w:tc>
        <w:tc>
          <w:tcPr>
            <w:tcW w:w="408" w:type="pct"/>
            <w:vAlign w:val="center"/>
          </w:tcPr>
          <w:p>
            <w:pPr>
              <w:autoSpaceDE w:val="0"/>
              <w:autoSpaceDN w:val="0"/>
              <w:spacing w:line="320" w:lineRule="atLeast"/>
              <w:jc w:val="center"/>
              <w:rPr>
                <w:rFonts w:ascii="宋体" w:hAnsi="宋体"/>
                <w:sz w:val="24"/>
              </w:rPr>
            </w:pPr>
          </w:p>
        </w:tc>
        <w:tc>
          <w:tcPr>
            <w:tcW w:w="485" w:type="pct"/>
            <w:vAlign w:val="center"/>
          </w:tcPr>
          <w:p>
            <w:pPr>
              <w:spacing w:line="360" w:lineRule="auto"/>
              <w:jc w:val="center"/>
              <w:rPr>
                <w:sz w:val="24"/>
              </w:rPr>
            </w:pPr>
          </w:p>
        </w:tc>
        <w:tc>
          <w:tcPr>
            <w:tcW w:w="878" w:type="pct"/>
            <w:vAlign w:val="center"/>
          </w:tcPr>
          <w:p>
            <w:pPr>
              <w:spacing w:line="360" w:lineRule="auto"/>
              <w:jc w:val="center"/>
              <w:rPr>
                <w:sz w:val="24"/>
              </w:rPr>
            </w:pPr>
          </w:p>
        </w:tc>
        <w:tc>
          <w:tcPr>
            <w:tcW w:w="485" w:type="pct"/>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356" w:type="pct"/>
            <w:vAlign w:val="center"/>
          </w:tcPr>
          <w:p>
            <w:pPr>
              <w:spacing w:line="360" w:lineRule="auto"/>
              <w:jc w:val="center"/>
              <w:rPr>
                <w:sz w:val="24"/>
              </w:rPr>
            </w:pPr>
          </w:p>
        </w:tc>
        <w:tc>
          <w:tcPr>
            <w:tcW w:w="714" w:type="pct"/>
            <w:vAlign w:val="center"/>
          </w:tcPr>
          <w:p>
            <w:pPr>
              <w:widowControl/>
              <w:rPr>
                <w:sz w:val="24"/>
              </w:rPr>
            </w:pPr>
          </w:p>
        </w:tc>
        <w:tc>
          <w:tcPr>
            <w:tcW w:w="1234" w:type="pct"/>
            <w:vAlign w:val="center"/>
          </w:tcPr>
          <w:p>
            <w:pPr>
              <w:autoSpaceDE w:val="0"/>
              <w:autoSpaceDN w:val="0"/>
              <w:spacing w:line="320" w:lineRule="atLeast"/>
              <w:jc w:val="center"/>
              <w:rPr>
                <w:sz w:val="24"/>
              </w:rPr>
            </w:pPr>
          </w:p>
        </w:tc>
        <w:tc>
          <w:tcPr>
            <w:tcW w:w="437" w:type="pct"/>
            <w:vAlign w:val="center"/>
          </w:tcPr>
          <w:p>
            <w:pPr>
              <w:autoSpaceDE w:val="0"/>
              <w:autoSpaceDN w:val="0"/>
              <w:spacing w:line="320" w:lineRule="atLeast"/>
              <w:jc w:val="center"/>
              <w:rPr>
                <w:rFonts w:ascii="宋体" w:hAnsi="宋体"/>
                <w:sz w:val="24"/>
              </w:rPr>
            </w:pPr>
          </w:p>
        </w:tc>
        <w:tc>
          <w:tcPr>
            <w:tcW w:w="408" w:type="pct"/>
            <w:vAlign w:val="center"/>
          </w:tcPr>
          <w:p>
            <w:pPr>
              <w:autoSpaceDE w:val="0"/>
              <w:autoSpaceDN w:val="0"/>
              <w:spacing w:line="320" w:lineRule="atLeast"/>
              <w:jc w:val="center"/>
              <w:rPr>
                <w:rFonts w:ascii="宋体" w:hAnsi="宋体"/>
                <w:sz w:val="24"/>
              </w:rPr>
            </w:pPr>
          </w:p>
        </w:tc>
        <w:tc>
          <w:tcPr>
            <w:tcW w:w="485" w:type="pct"/>
            <w:vAlign w:val="center"/>
          </w:tcPr>
          <w:p>
            <w:pPr>
              <w:spacing w:line="360" w:lineRule="auto"/>
              <w:jc w:val="center"/>
              <w:rPr>
                <w:sz w:val="24"/>
              </w:rPr>
            </w:pPr>
          </w:p>
        </w:tc>
        <w:tc>
          <w:tcPr>
            <w:tcW w:w="878" w:type="pct"/>
            <w:vAlign w:val="center"/>
          </w:tcPr>
          <w:p>
            <w:pPr>
              <w:spacing w:line="360" w:lineRule="auto"/>
              <w:jc w:val="center"/>
              <w:rPr>
                <w:sz w:val="24"/>
              </w:rPr>
            </w:pPr>
          </w:p>
        </w:tc>
        <w:tc>
          <w:tcPr>
            <w:tcW w:w="485" w:type="pct"/>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6" w:type="pct"/>
            <w:vAlign w:val="center"/>
          </w:tcPr>
          <w:p>
            <w:pPr>
              <w:spacing w:line="360" w:lineRule="auto"/>
              <w:jc w:val="center"/>
              <w:rPr>
                <w:sz w:val="24"/>
              </w:rPr>
            </w:pPr>
          </w:p>
        </w:tc>
        <w:tc>
          <w:tcPr>
            <w:tcW w:w="714" w:type="pct"/>
            <w:vAlign w:val="center"/>
          </w:tcPr>
          <w:p>
            <w:pPr>
              <w:spacing w:line="360" w:lineRule="auto"/>
              <w:jc w:val="center"/>
              <w:rPr>
                <w:sz w:val="24"/>
              </w:rPr>
            </w:pPr>
          </w:p>
        </w:tc>
        <w:tc>
          <w:tcPr>
            <w:tcW w:w="1234" w:type="pct"/>
            <w:vAlign w:val="center"/>
          </w:tcPr>
          <w:p>
            <w:pPr>
              <w:spacing w:line="360" w:lineRule="auto"/>
              <w:jc w:val="center"/>
              <w:rPr>
                <w:sz w:val="24"/>
              </w:rPr>
            </w:pPr>
          </w:p>
        </w:tc>
        <w:tc>
          <w:tcPr>
            <w:tcW w:w="437" w:type="pct"/>
            <w:vAlign w:val="center"/>
          </w:tcPr>
          <w:p>
            <w:pPr>
              <w:spacing w:line="360" w:lineRule="auto"/>
              <w:jc w:val="center"/>
              <w:rPr>
                <w:sz w:val="24"/>
              </w:rPr>
            </w:pPr>
          </w:p>
        </w:tc>
        <w:tc>
          <w:tcPr>
            <w:tcW w:w="408" w:type="pct"/>
            <w:vAlign w:val="center"/>
          </w:tcPr>
          <w:p>
            <w:pPr>
              <w:spacing w:line="360" w:lineRule="auto"/>
              <w:jc w:val="center"/>
              <w:rPr>
                <w:sz w:val="24"/>
              </w:rPr>
            </w:pPr>
          </w:p>
        </w:tc>
        <w:tc>
          <w:tcPr>
            <w:tcW w:w="485" w:type="pct"/>
            <w:vAlign w:val="center"/>
          </w:tcPr>
          <w:p>
            <w:pPr>
              <w:spacing w:line="360" w:lineRule="auto"/>
              <w:jc w:val="center"/>
              <w:rPr>
                <w:sz w:val="24"/>
              </w:rPr>
            </w:pPr>
          </w:p>
        </w:tc>
        <w:tc>
          <w:tcPr>
            <w:tcW w:w="878" w:type="pct"/>
            <w:vAlign w:val="center"/>
          </w:tcPr>
          <w:p>
            <w:pPr>
              <w:spacing w:line="360" w:lineRule="auto"/>
              <w:jc w:val="center"/>
              <w:rPr>
                <w:sz w:val="24"/>
              </w:rPr>
            </w:pPr>
          </w:p>
        </w:tc>
        <w:tc>
          <w:tcPr>
            <w:tcW w:w="485" w:type="pct"/>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6" w:type="pct"/>
            <w:vAlign w:val="center"/>
          </w:tcPr>
          <w:p>
            <w:pPr>
              <w:spacing w:line="360" w:lineRule="auto"/>
              <w:jc w:val="center"/>
              <w:rPr>
                <w:sz w:val="24"/>
              </w:rPr>
            </w:pPr>
          </w:p>
        </w:tc>
        <w:tc>
          <w:tcPr>
            <w:tcW w:w="714" w:type="pct"/>
            <w:vAlign w:val="center"/>
          </w:tcPr>
          <w:p>
            <w:pPr>
              <w:spacing w:line="360" w:lineRule="auto"/>
              <w:jc w:val="center"/>
              <w:rPr>
                <w:sz w:val="24"/>
              </w:rPr>
            </w:pPr>
          </w:p>
        </w:tc>
        <w:tc>
          <w:tcPr>
            <w:tcW w:w="1234" w:type="pct"/>
            <w:vAlign w:val="center"/>
          </w:tcPr>
          <w:p>
            <w:pPr>
              <w:spacing w:line="360" w:lineRule="auto"/>
              <w:jc w:val="center"/>
              <w:rPr>
                <w:sz w:val="24"/>
              </w:rPr>
            </w:pPr>
          </w:p>
        </w:tc>
        <w:tc>
          <w:tcPr>
            <w:tcW w:w="437" w:type="pct"/>
            <w:vAlign w:val="center"/>
          </w:tcPr>
          <w:p>
            <w:pPr>
              <w:spacing w:line="360" w:lineRule="auto"/>
              <w:jc w:val="center"/>
              <w:rPr>
                <w:sz w:val="24"/>
              </w:rPr>
            </w:pPr>
          </w:p>
        </w:tc>
        <w:tc>
          <w:tcPr>
            <w:tcW w:w="408" w:type="pct"/>
            <w:vAlign w:val="center"/>
          </w:tcPr>
          <w:p>
            <w:pPr>
              <w:spacing w:line="360" w:lineRule="auto"/>
              <w:jc w:val="center"/>
              <w:rPr>
                <w:sz w:val="24"/>
              </w:rPr>
            </w:pPr>
          </w:p>
        </w:tc>
        <w:tc>
          <w:tcPr>
            <w:tcW w:w="485" w:type="pct"/>
            <w:vAlign w:val="center"/>
          </w:tcPr>
          <w:p>
            <w:pPr>
              <w:spacing w:line="360" w:lineRule="auto"/>
              <w:jc w:val="center"/>
              <w:rPr>
                <w:sz w:val="24"/>
              </w:rPr>
            </w:pPr>
          </w:p>
        </w:tc>
        <w:tc>
          <w:tcPr>
            <w:tcW w:w="878" w:type="pct"/>
            <w:vAlign w:val="center"/>
          </w:tcPr>
          <w:p>
            <w:pPr>
              <w:spacing w:line="360" w:lineRule="auto"/>
              <w:jc w:val="center"/>
              <w:rPr>
                <w:sz w:val="24"/>
              </w:rPr>
            </w:pPr>
          </w:p>
        </w:tc>
        <w:tc>
          <w:tcPr>
            <w:tcW w:w="485" w:type="pct"/>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356" w:type="pct"/>
            <w:vMerge w:val="restart"/>
            <w:vAlign w:val="center"/>
          </w:tcPr>
          <w:p>
            <w:pPr>
              <w:spacing w:line="360" w:lineRule="auto"/>
              <w:jc w:val="center"/>
              <w:rPr>
                <w:sz w:val="24"/>
              </w:rPr>
            </w:pPr>
          </w:p>
        </w:tc>
        <w:tc>
          <w:tcPr>
            <w:tcW w:w="1948" w:type="pct"/>
            <w:gridSpan w:val="2"/>
            <w:vMerge w:val="restart"/>
            <w:vAlign w:val="center"/>
          </w:tcPr>
          <w:p>
            <w:pPr>
              <w:spacing w:line="360" w:lineRule="auto"/>
              <w:jc w:val="center"/>
              <w:rPr>
                <w:sz w:val="24"/>
              </w:rPr>
            </w:pPr>
            <w:r>
              <w:rPr>
                <w:rFonts w:hint="eastAsia"/>
                <w:sz w:val="24"/>
              </w:rPr>
              <w:t>总价</w:t>
            </w:r>
          </w:p>
        </w:tc>
        <w:tc>
          <w:tcPr>
            <w:tcW w:w="2694" w:type="pct"/>
            <w:gridSpan w:val="5"/>
            <w:vAlign w:val="center"/>
          </w:tcPr>
          <w:p>
            <w:pPr>
              <w:spacing w:before="240" w:line="360" w:lineRule="auto"/>
              <w:jc w:val="center"/>
              <w:rPr>
                <w:sz w:val="24"/>
              </w:rPr>
            </w:pPr>
            <w:r>
              <w:rPr>
                <w:rFonts w:hint="eastAsia"/>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356" w:type="pct"/>
            <w:vMerge w:val="continue"/>
            <w:vAlign w:val="center"/>
          </w:tcPr>
          <w:p>
            <w:pPr>
              <w:spacing w:line="360" w:lineRule="auto"/>
              <w:jc w:val="center"/>
              <w:rPr>
                <w:sz w:val="24"/>
              </w:rPr>
            </w:pPr>
          </w:p>
        </w:tc>
        <w:tc>
          <w:tcPr>
            <w:tcW w:w="1948" w:type="pct"/>
            <w:gridSpan w:val="2"/>
            <w:vMerge w:val="continue"/>
            <w:vAlign w:val="center"/>
          </w:tcPr>
          <w:p>
            <w:pPr>
              <w:spacing w:line="360" w:lineRule="auto"/>
              <w:jc w:val="center"/>
              <w:rPr>
                <w:sz w:val="24"/>
              </w:rPr>
            </w:pPr>
          </w:p>
        </w:tc>
        <w:tc>
          <w:tcPr>
            <w:tcW w:w="2694" w:type="pct"/>
            <w:gridSpan w:val="5"/>
            <w:vAlign w:val="center"/>
          </w:tcPr>
          <w:p>
            <w:pPr>
              <w:spacing w:before="240" w:line="360" w:lineRule="auto"/>
              <w:jc w:val="center"/>
              <w:rPr>
                <w:sz w:val="24"/>
              </w:rPr>
            </w:pPr>
            <w:r>
              <w:rPr>
                <w:rFonts w:hint="eastAsia" w:ascii="宋体" w:hAnsi="宋体" w:cs="宋体"/>
                <w:sz w:val="24"/>
              </w:rPr>
              <w:t>小写：</w:t>
            </w:r>
          </w:p>
        </w:tc>
      </w:tr>
    </w:tbl>
    <w:p>
      <w:pPr>
        <w:pStyle w:val="5"/>
        <w:spacing w:line="540" w:lineRule="exact"/>
        <w:ind w:left="-479" w:leftChars="-171" w:firstLine="480" w:firstLineChars="200"/>
        <w:rPr>
          <w:rFonts w:ascii="宋体"/>
          <w:sz w:val="24"/>
          <w:szCs w:val="24"/>
        </w:rPr>
      </w:pPr>
    </w:p>
    <w:p>
      <w:pPr>
        <w:adjustRightInd w:val="0"/>
        <w:spacing w:line="500" w:lineRule="exact"/>
        <w:rPr>
          <w:b/>
          <w:bCs/>
          <w:sz w:val="24"/>
        </w:rPr>
      </w:pPr>
      <w:r>
        <w:rPr>
          <w:rFonts w:hint="eastAsia"/>
          <w:b/>
          <w:bCs/>
          <w:sz w:val="24"/>
        </w:rPr>
        <w:t>注▲以上报价总和应与“报价一览表”相一致。</w:t>
      </w:r>
    </w:p>
    <w:p>
      <w:pPr>
        <w:adjustRightInd w:val="0"/>
        <w:spacing w:line="500" w:lineRule="exact"/>
        <w:rPr>
          <w:sz w:val="24"/>
        </w:rPr>
      </w:pPr>
      <w:r>
        <w:rPr>
          <w:rFonts w:hint="eastAsia"/>
          <w:sz w:val="24"/>
        </w:rPr>
        <w:t>供应商全称（盖章）：</w:t>
      </w:r>
    </w:p>
    <w:p>
      <w:pPr>
        <w:adjustRightInd w:val="0"/>
        <w:spacing w:line="500" w:lineRule="exact"/>
        <w:rPr>
          <w:sz w:val="24"/>
        </w:rPr>
      </w:pPr>
      <w:r>
        <w:rPr>
          <w:rFonts w:hint="eastAsia"/>
          <w:color w:val="000000"/>
          <w:sz w:val="24"/>
        </w:rPr>
        <w:t>法定代表人或其授权代理人签名或盖章</w:t>
      </w:r>
      <w:r>
        <w:rPr>
          <w:rFonts w:hint="eastAsia"/>
          <w:sz w:val="24"/>
        </w:rPr>
        <w:t>：</w:t>
      </w:r>
    </w:p>
    <w:p>
      <w:pPr>
        <w:adjustRightInd w:val="0"/>
        <w:spacing w:line="500" w:lineRule="exact"/>
        <w:rPr>
          <w:rFonts w:ascii="宋体" w:hAnsi="宋体" w:cs="宋体"/>
          <w:b/>
          <w:sz w:val="24"/>
        </w:rPr>
      </w:pPr>
      <w:r>
        <w:rPr>
          <w:rFonts w:hint="eastAsia"/>
          <w:sz w:val="24"/>
        </w:rPr>
        <w:t>日期：</w:t>
      </w:r>
    </w:p>
    <w:p>
      <w:pPr>
        <w:snapToGrid w:val="0"/>
        <w:spacing w:before="50" w:after="50" w:line="540" w:lineRule="exact"/>
        <w:jc w:val="center"/>
        <w:rPr>
          <w:rFonts w:ascii="宋体" w:hAnsi="宋体" w:cs="宋体"/>
          <w:b/>
          <w:sz w:val="24"/>
        </w:rPr>
      </w:pPr>
    </w:p>
    <w:p>
      <w:pPr>
        <w:rPr>
          <w:rFonts w:ascii="宋体" w:hAnsi="宋体" w:cs="宋体"/>
          <w:b/>
          <w:sz w:val="24"/>
        </w:rPr>
      </w:pPr>
      <w:r>
        <w:rPr>
          <w:rFonts w:hint="eastAsia" w:ascii="宋体" w:hAnsi="宋体" w:cs="宋体"/>
          <w:b/>
          <w:sz w:val="24"/>
        </w:rPr>
        <w:br w:type="page"/>
      </w:r>
    </w:p>
    <w:p>
      <w:pPr>
        <w:snapToGrid w:val="0"/>
        <w:spacing w:before="50" w:after="50" w:line="540" w:lineRule="exact"/>
        <w:jc w:val="center"/>
        <w:rPr>
          <w:rFonts w:ascii="宋体" w:hAnsi="宋体" w:cs="宋体"/>
          <w:b/>
          <w:sz w:val="24"/>
        </w:rPr>
      </w:pPr>
    </w:p>
    <w:p>
      <w:pPr>
        <w:snapToGrid w:val="0"/>
        <w:spacing w:before="50" w:after="50" w:line="540" w:lineRule="exact"/>
        <w:jc w:val="center"/>
        <w:rPr>
          <w:rFonts w:ascii="宋体" w:hAnsi="宋体" w:cs="宋体"/>
          <w:b/>
          <w:sz w:val="24"/>
        </w:rPr>
      </w:pPr>
      <w:r>
        <w:rPr>
          <w:rFonts w:hint="eastAsia" w:ascii="宋体" w:hAnsi="宋体" w:cs="宋体"/>
          <w:b/>
          <w:sz w:val="24"/>
          <w:lang w:eastAsia="zh-CN"/>
        </w:rPr>
        <w:t>四</w:t>
      </w:r>
      <w:r>
        <w:rPr>
          <w:rFonts w:hint="eastAsia" w:ascii="宋体" w:hAnsi="宋体" w:cs="宋体"/>
          <w:b/>
          <w:sz w:val="24"/>
        </w:rPr>
        <w:t>、招标代理服务费承诺函</w:t>
      </w:r>
    </w:p>
    <w:p>
      <w:pPr>
        <w:spacing w:line="540" w:lineRule="exact"/>
        <w:jc w:val="center"/>
        <w:rPr>
          <w:rFonts w:ascii="宋体" w:hAnsi="宋体"/>
          <w:b/>
          <w:sz w:val="24"/>
          <w:szCs w:val="20"/>
        </w:rPr>
      </w:pPr>
    </w:p>
    <w:p>
      <w:pPr>
        <w:tabs>
          <w:tab w:val="left" w:pos="2996"/>
        </w:tabs>
        <w:spacing w:line="480" w:lineRule="auto"/>
        <w:ind w:firstLine="480" w:firstLineChars="200"/>
        <w:rPr>
          <w:rFonts w:ascii="宋体" w:hAnsi="宋体" w:cs="宋体"/>
          <w:sz w:val="24"/>
        </w:rPr>
      </w:pPr>
      <w:r>
        <w:rPr>
          <w:rFonts w:hint="eastAsia" w:ascii="宋体" w:hAnsi="宋体" w:cs="宋体"/>
          <w:sz w:val="24"/>
        </w:rPr>
        <w:t>根据国家计委、物价局文件和招标文件的规定，一旦我公司中标，我公司同意按本招标文件规定向代理机构交纳招标代理费，</w:t>
      </w:r>
      <w:r>
        <w:rPr>
          <w:rFonts w:hint="eastAsia" w:ascii="宋体" w:hAnsi="宋体" w:cs="宋体"/>
          <w:sz w:val="24"/>
          <w:u w:val="single"/>
        </w:rPr>
        <w:t>招标代理服务费按人</w:t>
      </w:r>
      <w:r>
        <w:rPr>
          <w:rFonts w:hint="eastAsia" w:ascii="宋体" w:hAnsi="宋体" w:cs="宋体"/>
          <w:sz w:val="24"/>
          <w:highlight w:val="none"/>
          <w:u w:val="single"/>
        </w:rPr>
        <w:t>民币</w:t>
      </w:r>
      <w:r>
        <w:rPr>
          <w:rFonts w:hint="eastAsia" w:ascii="宋体" w:hAnsi="宋体" w:cs="宋体"/>
          <w:sz w:val="24"/>
          <w:highlight w:val="none"/>
          <w:u w:val="single"/>
          <w:lang w:eastAsia="zh-CN"/>
        </w:rPr>
        <w:t>贰万</w:t>
      </w:r>
      <w:r>
        <w:rPr>
          <w:rFonts w:hint="eastAsia" w:ascii="宋体" w:hAnsi="宋体"/>
          <w:color w:val="000000"/>
          <w:sz w:val="24"/>
          <w:highlight w:val="none"/>
          <w:u w:val="single"/>
        </w:rPr>
        <w:t>元</w:t>
      </w:r>
      <w:r>
        <w:rPr>
          <w:rFonts w:hint="eastAsia" w:ascii="宋体" w:hAnsi="宋体" w:cs="宋体"/>
          <w:sz w:val="24"/>
          <w:u w:val="single"/>
        </w:rPr>
        <w:t>整计取，</w:t>
      </w:r>
      <w:r>
        <w:rPr>
          <w:rFonts w:hint="eastAsia" w:ascii="宋体" w:hAnsi="宋体" w:cs="宋体"/>
          <w:sz w:val="24"/>
        </w:rPr>
        <w:t>在收到中标通知书的当日一次性向招标代理机构缴清。</w:t>
      </w:r>
    </w:p>
    <w:p>
      <w:pPr>
        <w:spacing w:line="480" w:lineRule="auto"/>
        <w:rPr>
          <w:rFonts w:ascii="宋体" w:hAnsi="宋体" w:cs="宋体"/>
          <w:sz w:val="24"/>
        </w:rPr>
      </w:pPr>
    </w:p>
    <w:p>
      <w:pPr>
        <w:pStyle w:val="26"/>
        <w:spacing w:before="120" w:after="120"/>
        <w:rPr>
          <w:rFonts w:hAnsi="宋体" w:cs="宋体"/>
        </w:rPr>
      </w:pPr>
    </w:p>
    <w:p>
      <w:pPr>
        <w:pStyle w:val="26"/>
        <w:spacing w:before="120" w:after="120"/>
        <w:rPr>
          <w:rFonts w:hAnsi="宋体" w:cs="宋体"/>
        </w:rPr>
      </w:pPr>
    </w:p>
    <w:p>
      <w:pPr>
        <w:pStyle w:val="26"/>
        <w:spacing w:before="120" w:after="120"/>
        <w:rPr>
          <w:rFonts w:hAnsi="宋体" w:cs="宋体"/>
        </w:rPr>
      </w:pPr>
    </w:p>
    <w:p>
      <w:pPr>
        <w:pStyle w:val="26"/>
        <w:spacing w:before="120" w:after="120"/>
        <w:rPr>
          <w:rFonts w:hAnsi="宋体" w:cs="宋体"/>
        </w:rPr>
      </w:pPr>
    </w:p>
    <w:p>
      <w:pPr>
        <w:snapToGrid w:val="0"/>
        <w:spacing w:beforeLines="50"/>
        <w:rPr>
          <w:rFonts w:ascii="宋体" w:hAnsi="宋体" w:cs="宋体"/>
          <w:sz w:val="24"/>
          <w:u w:val="single"/>
        </w:rPr>
      </w:pPr>
      <w:r>
        <w:rPr>
          <w:rFonts w:hint="eastAsia" w:ascii="宋体" w:hAnsi="宋体" w:cs="宋体"/>
          <w:sz w:val="24"/>
        </w:rPr>
        <w:t>法定代表人或授权代表签字：</w:t>
      </w:r>
    </w:p>
    <w:p>
      <w:pPr>
        <w:snapToGrid w:val="0"/>
        <w:spacing w:beforeLines="50" w:after="50"/>
        <w:rPr>
          <w:rFonts w:ascii="宋体" w:hAnsi="宋体" w:cs="宋体"/>
          <w:sz w:val="24"/>
        </w:rPr>
      </w:pPr>
      <w:r>
        <w:rPr>
          <w:rFonts w:hint="eastAsia" w:cs="宋体"/>
          <w:sz w:val="24"/>
        </w:rPr>
        <w:t>供应商</w:t>
      </w:r>
      <w:r>
        <w:rPr>
          <w:rFonts w:hint="eastAsia" w:ascii="宋体" w:hAnsi="宋体" w:cs="宋体"/>
          <w:sz w:val="24"/>
        </w:rPr>
        <w:t>公章：</w:t>
      </w:r>
    </w:p>
    <w:p>
      <w:pPr>
        <w:snapToGrid w:val="0"/>
        <w:spacing w:beforeLines="50" w:after="50"/>
        <w:ind w:firstLine="6240" w:firstLineChars="2600"/>
        <w:rPr>
          <w:rFonts w:ascii="宋体" w:hAnsi="宋体" w:cs="宋体"/>
          <w:sz w:val="24"/>
        </w:rPr>
      </w:pPr>
    </w:p>
    <w:p>
      <w:pPr>
        <w:snapToGrid w:val="0"/>
        <w:spacing w:beforeLines="50" w:after="50"/>
        <w:ind w:firstLine="6240" w:firstLineChars="2600"/>
        <w:rPr>
          <w:rFonts w:ascii="宋体" w:hAnsi="宋体" w:cs="宋体"/>
          <w:sz w:val="24"/>
        </w:rPr>
      </w:pPr>
      <w:r>
        <w:rPr>
          <w:rFonts w:hint="eastAsia" w:ascii="宋体" w:hAnsi="宋体" w:cs="宋体"/>
          <w:sz w:val="24"/>
        </w:rPr>
        <w:t>年    月    日</w:t>
      </w:r>
    </w:p>
    <w:p>
      <w:pPr>
        <w:tabs>
          <w:tab w:val="left" w:pos="3780"/>
        </w:tabs>
        <w:spacing w:after="160"/>
        <w:jc w:val="center"/>
        <w:rPr>
          <w:rFonts w:ascii="宋体" w:hAnsi="宋体" w:cs="宋体"/>
          <w:position w:val="-6"/>
        </w:rPr>
      </w:pPr>
    </w:p>
    <w:p>
      <w:pPr>
        <w:tabs>
          <w:tab w:val="left" w:pos="3780"/>
        </w:tabs>
        <w:spacing w:after="160"/>
        <w:jc w:val="center"/>
        <w:rPr>
          <w:rFonts w:ascii="宋体" w:hAnsi="宋体" w:cs="宋体"/>
          <w:position w:val="-6"/>
        </w:rPr>
      </w:pPr>
    </w:p>
    <w:p>
      <w:pPr>
        <w:ind w:firstLine="480"/>
        <w:rPr>
          <w:sz w:val="24"/>
          <w:u w:val="single"/>
        </w:rPr>
      </w:pPr>
    </w:p>
    <w:p>
      <w:pPr>
        <w:ind w:firstLine="480"/>
        <w:rPr>
          <w:sz w:val="24"/>
          <w:u w:val="single"/>
        </w:rPr>
      </w:pPr>
      <w:r>
        <w:rPr>
          <w:rFonts w:hint="eastAsia"/>
          <w:sz w:val="24"/>
          <w:u w:val="single"/>
        </w:rPr>
        <w:t>代理费汇款账号：</w:t>
      </w:r>
    </w:p>
    <w:p>
      <w:pPr>
        <w:ind w:firstLine="480"/>
        <w:rPr>
          <w:sz w:val="24"/>
          <w:u w:val="single"/>
        </w:rPr>
      </w:pPr>
      <w:r>
        <w:rPr>
          <w:rFonts w:hint="eastAsia"/>
          <w:sz w:val="24"/>
          <w:u w:val="single"/>
        </w:rPr>
        <w:t>账户名称：浙江星兴工程咨询有限公司</w:t>
      </w:r>
    </w:p>
    <w:p>
      <w:pPr>
        <w:ind w:firstLine="480"/>
        <w:rPr>
          <w:sz w:val="24"/>
          <w:u w:val="single"/>
        </w:rPr>
      </w:pPr>
      <w:r>
        <w:rPr>
          <w:rFonts w:hint="eastAsia"/>
          <w:sz w:val="24"/>
          <w:u w:val="single"/>
        </w:rPr>
        <w:t>开户行：工商银行湖州仁皇山支行</w:t>
      </w:r>
    </w:p>
    <w:p>
      <w:pPr>
        <w:ind w:firstLine="480"/>
        <w:rPr>
          <w:sz w:val="24"/>
          <w:u w:val="single"/>
        </w:rPr>
      </w:pPr>
      <w:r>
        <w:rPr>
          <w:rFonts w:hint="eastAsia"/>
          <w:sz w:val="24"/>
          <w:u w:val="single"/>
        </w:rPr>
        <w:t>账号：</w:t>
      </w:r>
      <w:r>
        <w:rPr>
          <w:sz w:val="24"/>
          <w:u w:val="single"/>
        </w:rPr>
        <w:t xml:space="preserve">1205210209000060768   </w:t>
      </w:r>
    </w:p>
    <w:p>
      <w:pPr>
        <w:snapToGrid w:val="0"/>
        <w:spacing w:before="50" w:after="50" w:line="540" w:lineRule="exact"/>
        <w:rPr>
          <w:rFonts w:ascii="宋体" w:hAnsi="宋体"/>
          <w:b/>
          <w:sz w:val="24"/>
          <w:szCs w:val="30"/>
        </w:rPr>
      </w:pPr>
    </w:p>
    <w:p>
      <w:pPr>
        <w:pStyle w:val="38"/>
        <w:spacing w:after="120" w:line="360" w:lineRule="auto"/>
        <w:ind w:firstLine="482" w:firstLineChars="200"/>
        <w:jc w:val="center"/>
        <w:rPr>
          <w:b/>
          <w:bCs/>
        </w:rPr>
      </w:pPr>
      <w:r>
        <w:rPr>
          <w:rFonts w:hint="eastAsia"/>
          <w:b/>
          <w:bCs/>
          <w:lang w:eastAsia="zh-CN"/>
        </w:rPr>
        <w:t>五</w:t>
      </w:r>
      <w:r>
        <w:rPr>
          <w:rFonts w:hint="eastAsia"/>
          <w:b/>
          <w:bCs/>
        </w:rPr>
        <w:t>、 其他投标供应商认为有必要提供的资料。</w:t>
      </w:r>
    </w:p>
    <w:p>
      <w:pPr>
        <w:pStyle w:val="5"/>
        <w:ind w:firstLine="0"/>
        <w:rPr>
          <w:rFonts w:ascii="宋体"/>
          <w:sz w:val="22"/>
        </w:rPr>
      </w:pPr>
    </w:p>
    <w:sectPr>
      <w:headerReference r:id="rId3" w:type="default"/>
      <w:footerReference r:id="rId4" w:type="default"/>
      <w:pgSz w:w="11907" w:h="16840"/>
      <w:pgMar w:top="1134" w:right="1247" w:bottom="1191" w:left="1128" w:header="454" w:footer="10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MS PGothic">
    <w:altName w:val="Meiryo UI"/>
    <w:panose1 w:val="020B0600070205080204"/>
    <w:charset w:val="80"/>
    <w:family w:val="swiss"/>
    <w:pitch w:val="default"/>
    <w:sig w:usb0="00000000" w:usb1="00000000" w:usb2="00000012" w:usb3="00000000" w:csb0="0002009F"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ascii="黑体" w:hAnsi="MS PGothic"/>
      </w:rPr>
    </w:pPr>
    <w:r>
      <w:rPr>
        <w:sz w:val="21"/>
      </w:rPr>
      <w:pict>
        <v:shape id="文本框 1025" o:spid="_x0000_s1026" o:spt="202" type="#_x0000_t202" style="position:absolute;left:0pt;margin-left:443.6pt;margin-top:0pt;height:144pt;width:144pt;mso-position-horizontal-relative:margin;mso-wrap-style:none;z-index:251659264;mso-width-relative:page;mso-height-relative:page;" filled="f" stroked="f" coordsize="21600,21600" o:gfxdata="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4jIJ9QAAAAJAQAADwAAAAAAAAABACAAAAAiAAAAZHJzL2Rv&#10;d25yZXYueG1sUEsBAhQAFAAAAAgAh07iQKicdNjMAQAAnAMAAA4AAAAAAAAAAQAgAAAAIwEAAGRy&#10;cy9lMm9Eb2MueG1sUEsFBgAAAAAGAAYAWQEAAGEFAAAA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12</w:t>
                </w:r>
                <w:r>
                  <w:fldChar w:fldCharType="end"/>
                </w:r>
              </w:p>
            </w:txbxContent>
          </v:textbox>
        </v:shape>
      </w:pict>
    </w:r>
    <w:r>
      <w:rPr>
        <w:rFonts w:hint="eastAsia"/>
        <w:color w:val="000000"/>
        <w:sz w:val="21"/>
        <w:szCs w:val="21"/>
      </w:rPr>
      <w:t>浙江星兴工程咨询有限公司</w:t>
    </w:r>
    <w:r>
      <w:rPr>
        <w:rFonts w:hint="eastAsia"/>
        <w:color w:val="000000"/>
        <w:sz w:val="21"/>
        <w:szCs w:val="21"/>
        <w:lang w:val="en-US" w:eastAsia="zh-CN"/>
      </w:rPr>
      <w:t xml:space="preserve">          </w:t>
    </w:r>
    <w:r>
      <w:rPr>
        <w:rFonts w:hint="eastAsia"/>
        <w:color w:val="000000"/>
        <w:sz w:val="21"/>
        <w:szCs w:val="21"/>
      </w:rPr>
      <w:t>湖州市吴兴区八里店镇星光商务广场11幢A座702室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388"/>
        <w:tab w:val="clear" w:pos="8306"/>
      </w:tabs>
      <w:jc w:val="both"/>
      <w:rPr>
        <w:rFonts w:ascii="宋体" w:hAnsi="宋体" w:cs="宋体"/>
        <w:snapToGrid w:val="0"/>
      </w:rPr>
    </w:pPr>
  </w:p>
  <w:p>
    <w:pPr>
      <w:pStyle w:val="32"/>
      <w:tabs>
        <w:tab w:val="left" w:pos="8388"/>
        <w:tab w:val="clear" w:pos="8306"/>
      </w:tabs>
      <w:jc w:val="both"/>
      <w:rPr>
        <w:rFonts w:ascii="宋体" w:hAnsi="宋体" w:cs="宋体"/>
        <w:sz w:val="21"/>
        <w:szCs w:val="21"/>
      </w:rPr>
    </w:pPr>
    <w:r>
      <w:rPr>
        <w:rFonts w:hint="eastAsia" w:ascii="宋体" w:hAnsi="宋体" w:cs="宋体"/>
        <w:snapToGrid w:val="0"/>
        <w:sz w:val="21"/>
        <w:szCs w:val="21"/>
      </w:rPr>
      <w:t>中共湖州市吴兴区委政法委员会刑事诉讼涉案财物管理项目（2024-2025年度）（重新招标</w:t>
    </w:r>
    <w:r>
      <w:rPr>
        <w:rFonts w:hint="eastAsia" w:ascii="宋体" w:hAnsi="宋体" w:cs="宋体"/>
        <w:snapToGrid w:val="0"/>
        <w:sz w:val="21"/>
        <w:szCs w:val="21"/>
        <w:lang w:eastAsia="zh-CN"/>
      </w:rPr>
      <w:t>）</w:t>
    </w:r>
    <w:r>
      <w:rPr>
        <w:rFonts w:hint="eastAsia" w:ascii="宋体" w:hAnsi="宋体" w:cs="宋体"/>
        <w:snapToGrid w:val="0"/>
        <w:sz w:val="21"/>
        <w:szCs w:val="21"/>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FD4D2"/>
    <w:multiLevelType w:val="singleLevel"/>
    <w:tmpl w:val="B84FD4D2"/>
    <w:lvl w:ilvl="0" w:tentative="0">
      <w:start w:val="1"/>
      <w:numFmt w:val="decimal"/>
      <w:suff w:val="nothing"/>
      <w:lvlText w:val="%1、"/>
      <w:lvlJc w:val="left"/>
    </w:lvl>
  </w:abstractNum>
  <w:abstractNum w:abstractNumId="1">
    <w:nsid w:val="E327E1F2"/>
    <w:multiLevelType w:val="singleLevel"/>
    <w:tmpl w:val="E327E1F2"/>
    <w:lvl w:ilvl="0" w:tentative="0">
      <w:start w:val="1"/>
      <w:numFmt w:val="chineseCounting"/>
      <w:suff w:val="nothing"/>
      <w:lvlText w:val="%1、"/>
      <w:lvlJc w:val="left"/>
      <w:rPr>
        <w:rFonts w:hint="eastAsia"/>
      </w:rPr>
    </w:lvl>
  </w:abstractNum>
  <w:abstractNum w:abstractNumId="2">
    <w:nsid w:val="FDF116DE"/>
    <w:multiLevelType w:val="singleLevel"/>
    <w:tmpl w:val="FDF116DE"/>
    <w:lvl w:ilvl="0" w:tentative="0">
      <w:start w:val="1"/>
      <w:numFmt w:val="chineseCounting"/>
      <w:suff w:val="nothing"/>
      <w:lvlText w:val="（%1）"/>
      <w:lvlJc w:val="left"/>
      <w:rPr>
        <w:rFonts w:hint="eastAsia"/>
      </w:rPr>
    </w:lvl>
  </w:abstractNum>
  <w:abstractNum w:abstractNumId="3">
    <w:nsid w:val="FE426EFD"/>
    <w:multiLevelType w:val="singleLevel"/>
    <w:tmpl w:val="FE426EFD"/>
    <w:lvl w:ilvl="0" w:tentative="0">
      <w:start w:val="1"/>
      <w:numFmt w:val="decimal"/>
      <w:suff w:val="nothing"/>
      <w:lvlText w:val="%1、"/>
      <w:lvlJc w:val="left"/>
    </w:lvl>
  </w:abstractNum>
  <w:abstractNum w:abstractNumId="4">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5">
    <w:nsid w:val="FFFFFF82"/>
    <w:multiLevelType w:val="singleLevel"/>
    <w:tmpl w:val="FFFFFF82"/>
    <w:lvl w:ilvl="0" w:tentative="0">
      <w:start w:val="1"/>
      <w:numFmt w:val="bullet"/>
      <w:pStyle w:val="17"/>
      <w:lvlText w:val=""/>
      <w:lvlJc w:val="left"/>
      <w:pPr>
        <w:tabs>
          <w:tab w:val="left" w:pos="1200"/>
        </w:tabs>
        <w:ind w:left="1200" w:hanging="360"/>
      </w:pPr>
      <w:rPr>
        <w:rFonts w:hint="default" w:ascii="Wingdings" w:hAnsi="Wingdings"/>
      </w:rPr>
    </w:lvl>
  </w:abstractNum>
  <w:abstractNum w:abstractNumId="6">
    <w:nsid w:val="139079B9"/>
    <w:multiLevelType w:val="singleLevel"/>
    <w:tmpl w:val="139079B9"/>
    <w:lvl w:ilvl="0" w:tentative="0">
      <w:start w:val="2"/>
      <w:numFmt w:val="decimal"/>
      <w:lvlText w:val="%1."/>
      <w:lvlJc w:val="left"/>
      <w:pPr>
        <w:tabs>
          <w:tab w:val="left" w:pos="312"/>
        </w:tabs>
      </w:pPr>
    </w:lvl>
  </w:abstractNum>
  <w:abstractNum w:abstractNumId="7">
    <w:nsid w:val="1F2FC1D8"/>
    <w:multiLevelType w:val="singleLevel"/>
    <w:tmpl w:val="1F2FC1D8"/>
    <w:lvl w:ilvl="0" w:tentative="0">
      <w:start w:val="1"/>
      <w:numFmt w:val="chineseCounting"/>
      <w:suff w:val="nothing"/>
      <w:lvlText w:val="%1、"/>
      <w:lvlJc w:val="left"/>
      <w:rPr>
        <w:rFonts w:hint="eastAsia"/>
      </w:rPr>
    </w:lvl>
  </w:abstractNum>
  <w:abstractNum w:abstractNumId="8">
    <w:nsid w:val="307DE30D"/>
    <w:multiLevelType w:val="singleLevel"/>
    <w:tmpl w:val="307DE30D"/>
    <w:lvl w:ilvl="0" w:tentative="0">
      <w:start w:val="2"/>
      <w:numFmt w:val="chineseCounting"/>
      <w:suff w:val="space"/>
      <w:lvlText w:val="第%1章"/>
      <w:lvlJc w:val="left"/>
      <w:rPr>
        <w:rFonts w:hint="eastAsia"/>
      </w:rPr>
    </w:lvl>
  </w:abstractNum>
  <w:abstractNum w:abstractNumId="9">
    <w:nsid w:val="3AB4A548"/>
    <w:multiLevelType w:val="singleLevel"/>
    <w:tmpl w:val="3AB4A548"/>
    <w:lvl w:ilvl="0" w:tentative="0">
      <w:start w:val="5"/>
      <w:numFmt w:val="chineseCounting"/>
      <w:suff w:val="space"/>
      <w:lvlText w:val="第%1章"/>
      <w:lvlJc w:val="left"/>
      <w:rPr>
        <w:rFonts w:hint="eastAsia"/>
      </w:rPr>
    </w:lvl>
  </w:abstractNum>
  <w:abstractNum w:abstractNumId="10">
    <w:nsid w:val="3D488B29"/>
    <w:multiLevelType w:val="singleLevel"/>
    <w:tmpl w:val="3D488B29"/>
    <w:lvl w:ilvl="0" w:tentative="0">
      <w:start w:val="1"/>
      <w:numFmt w:val="decimal"/>
      <w:suff w:val="nothing"/>
      <w:lvlText w:val="%1、"/>
      <w:lvlJc w:val="left"/>
    </w:lvl>
  </w:abstractNum>
  <w:abstractNum w:abstractNumId="1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2">
    <w:nsid w:val="61197AF1"/>
    <w:multiLevelType w:val="singleLevel"/>
    <w:tmpl w:val="61197AF1"/>
    <w:lvl w:ilvl="0" w:tentative="0">
      <w:start w:val="1"/>
      <w:numFmt w:val="decimal"/>
      <w:lvlText w:val="%1."/>
      <w:lvlJc w:val="left"/>
      <w:pPr>
        <w:tabs>
          <w:tab w:val="left" w:pos="312"/>
        </w:tabs>
      </w:pPr>
    </w:lvl>
  </w:abstractNum>
  <w:num w:numId="1">
    <w:abstractNumId w:val="11"/>
  </w:num>
  <w:num w:numId="2">
    <w:abstractNumId w:val="5"/>
  </w:num>
  <w:num w:numId="3">
    <w:abstractNumId w:val="4"/>
  </w:num>
  <w:num w:numId="4">
    <w:abstractNumId w:val="8"/>
  </w:num>
  <w:num w:numId="5">
    <w:abstractNumId w:val="7"/>
  </w:num>
  <w:num w:numId="6">
    <w:abstractNumId w:val="2"/>
  </w:num>
  <w:num w:numId="7">
    <w:abstractNumId w:val="0"/>
  </w:num>
  <w:num w:numId="8">
    <w:abstractNumId w:val="3"/>
  </w:num>
  <w:num w:numId="9">
    <w:abstractNumId w:val="10"/>
  </w:num>
  <w:num w:numId="10">
    <w:abstractNumId w:val="9"/>
  </w:num>
  <w:num w:numId="11">
    <w:abstractNumId w:val="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MxODBiMjE0ZWNmZTEyMTgxOTc3MDk2OTdjMWFiMTQifQ=="/>
  </w:docVars>
  <w:rsids>
    <w:rsidRoot w:val="00F24E48"/>
    <w:rsid w:val="000006B4"/>
    <w:rsid w:val="000007E4"/>
    <w:rsid w:val="00000FEC"/>
    <w:rsid w:val="00001C64"/>
    <w:rsid w:val="00003D00"/>
    <w:rsid w:val="00004639"/>
    <w:rsid w:val="00005C6E"/>
    <w:rsid w:val="00005D9D"/>
    <w:rsid w:val="0000609E"/>
    <w:rsid w:val="00006378"/>
    <w:rsid w:val="0000673A"/>
    <w:rsid w:val="00011A3E"/>
    <w:rsid w:val="000126C5"/>
    <w:rsid w:val="00015824"/>
    <w:rsid w:val="00015EF2"/>
    <w:rsid w:val="00016668"/>
    <w:rsid w:val="00017645"/>
    <w:rsid w:val="00020D43"/>
    <w:rsid w:val="00020EFB"/>
    <w:rsid w:val="00021451"/>
    <w:rsid w:val="00022443"/>
    <w:rsid w:val="000233E6"/>
    <w:rsid w:val="00024B55"/>
    <w:rsid w:val="000256CF"/>
    <w:rsid w:val="00027D87"/>
    <w:rsid w:val="00030720"/>
    <w:rsid w:val="00031679"/>
    <w:rsid w:val="00032E33"/>
    <w:rsid w:val="000341E2"/>
    <w:rsid w:val="00034488"/>
    <w:rsid w:val="0003471A"/>
    <w:rsid w:val="000349A0"/>
    <w:rsid w:val="0003574D"/>
    <w:rsid w:val="00035752"/>
    <w:rsid w:val="0003627D"/>
    <w:rsid w:val="00037665"/>
    <w:rsid w:val="00037F55"/>
    <w:rsid w:val="00041814"/>
    <w:rsid w:val="00043CCD"/>
    <w:rsid w:val="0004481C"/>
    <w:rsid w:val="00045A61"/>
    <w:rsid w:val="000516E4"/>
    <w:rsid w:val="00051EE9"/>
    <w:rsid w:val="00052DBB"/>
    <w:rsid w:val="00053BA4"/>
    <w:rsid w:val="0005559D"/>
    <w:rsid w:val="00057159"/>
    <w:rsid w:val="000571F3"/>
    <w:rsid w:val="0005747C"/>
    <w:rsid w:val="00057CB4"/>
    <w:rsid w:val="000610ED"/>
    <w:rsid w:val="000618FD"/>
    <w:rsid w:val="0006399B"/>
    <w:rsid w:val="00063ED0"/>
    <w:rsid w:val="00065560"/>
    <w:rsid w:val="00066AEF"/>
    <w:rsid w:val="00066E08"/>
    <w:rsid w:val="000737D2"/>
    <w:rsid w:val="000739C8"/>
    <w:rsid w:val="00074C4F"/>
    <w:rsid w:val="00075446"/>
    <w:rsid w:val="00075763"/>
    <w:rsid w:val="00076278"/>
    <w:rsid w:val="00076CD5"/>
    <w:rsid w:val="00076DCA"/>
    <w:rsid w:val="0007747B"/>
    <w:rsid w:val="00077713"/>
    <w:rsid w:val="00077780"/>
    <w:rsid w:val="00080AA5"/>
    <w:rsid w:val="00084129"/>
    <w:rsid w:val="00084E47"/>
    <w:rsid w:val="000864BC"/>
    <w:rsid w:val="00086A51"/>
    <w:rsid w:val="00086B4D"/>
    <w:rsid w:val="00086B76"/>
    <w:rsid w:val="00087359"/>
    <w:rsid w:val="00087551"/>
    <w:rsid w:val="0009104E"/>
    <w:rsid w:val="000911F8"/>
    <w:rsid w:val="000918E9"/>
    <w:rsid w:val="00092CD3"/>
    <w:rsid w:val="00092E76"/>
    <w:rsid w:val="00095E80"/>
    <w:rsid w:val="00097B83"/>
    <w:rsid w:val="00097D35"/>
    <w:rsid w:val="000A12B2"/>
    <w:rsid w:val="000A134C"/>
    <w:rsid w:val="000A2363"/>
    <w:rsid w:val="000A2FC9"/>
    <w:rsid w:val="000A359E"/>
    <w:rsid w:val="000A4A49"/>
    <w:rsid w:val="000A5B8E"/>
    <w:rsid w:val="000A6713"/>
    <w:rsid w:val="000B021B"/>
    <w:rsid w:val="000B29AF"/>
    <w:rsid w:val="000B4D21"/>
    <w:rsid w:val="000B66FB"/>
    <w:rsid w:val="000B7CB9"/>
    <w:rsid w:val="000C1898"/>
    <w:rsid w:val="000C3124"/>
    <w:rsid w:val="000C5CAB"/>
    <w:rsid w:val="000C5CD6"/>
    <w:rsid w:val="000C67B9"/>
    <w:rsid w:val="000C7A22"/>
    <w:rsid w:val="000D07D7"/>
    <w:rsid w:val="000D0F71"/>
    <w:rsid w:val="000D14D9"/>
    <w:rsid w:val="000D1D42"/>
    <w:rsid w:val="000D2DBE"/>
    <w:rsid w:val="000D3A1B"/>
    <w:rsid w:val="000D4174"/>
    <w:rsid w:val="000D5789"/>
    <w:rsid w:val="000D672B"/>
    <w:rsid w:val="000D73D5"/>
    <w:rsid w:val="000D7CCE"/>
    <w:rsid w:val="000D7F5F"/>
    <w:rsid w:val="000E29F4"/>
    <w:rsid w:val="000E3FAC"/>
    <w:rsid w:val="000E40AF"/>
    <w:rsid w:val="000E4ED4"/>
    <w:rsid w:val="000E526D"/>
    <w:rsid w:val="000E5BEB"/>
    <w:rsid w:val="000F38F3"/>
    <w:rsid w:val="000F48A6"/>
    <w:rsid w:val="000F4A8A"/>
    <w:rsid w:val="000F63C9"/>
    <w:rsid w:val="000F6D52"/>
    <w:rsid w:val="000F70F9"/>
    <w:rsid w:val="001019A4"/>
    <w:rsid w:val="00101E7C"/>
    <w:rsid w:val="00102F8E"/>
    <w:rsid w:val="00104914"/>
    <w:rsid w:val="001055CE"/>
    <w:rsid w:val="00107E28"/>
    <w:rsid w:val="001102D6"/>
    <w:rsid w:val="00111D8B"/>
    <w:rsid w:val="0011234E"/>
    <w:rsid w:val="00113D3D"/>
    <w:rsid w:val="00114C0A"/>
    <w:rsid w:val="0012174E"/>
    <w:rsid w:val="00125885"/>
    <w:rsid w:val="00125C58"/>
    <w:rsid w:val="001261EA"/>
    <w:rsid w:val="00126655"/>
    <w:rsid w:val="00127FEA"/>
    <w:rsid w:val="001326CC"/>
    <w:rsid w:val="001329E5"/>
    <w:rsid w:val="00132C2A"/>
    <w:rsid w:val="00132F9E"/>
    <w:rsid w:val="001345A3"/>
    <w:rsid w:val="0013520D"/>
    <w:rsid w:val="00137655"/>
    <w:rsid w:val="001425AE"/>
    <w:rsid w:val="001455CA"/>
    <w:rsid w:val="00145AFD"/>
    <w:rsid w:val="00145B6A"/>
    <w:rsid w:val="0014678D"/>
    <w:rsid w:val="0014727E"/>
    <w:rsid w:val="00147644"/>
    <w:rsid w:val="0015062B"/>
    <w:rsid w:val="001509EA"/>
    <w:rsid w:val="00151340"/>
    <w:rsid w:val="001522D2"/>
    <w:rsid w:val="00152353"/>
    <w:rsid w:val="00152840"/>
    <w:rsid w:val="00152DB7"/>
    <w:rsid w:val="0015369D"/>
    <w:rsid w:val="001543C1"/>
    <w:rsid w:val="001554C4"/>
    <w:rsid w:val="00155704"/>
    <w:rsid w:val="00156609"/>
    <w:rsid w:val="001625E5"/>
    <w:rsid w:val="00163E62"/>
    <w:rsid w:val="00164FC6"/>
    <w:rsid w:val="00165614"/>
    <w:rsid w:val="00165CE2"/>
    <w:rsid w:val="001662D4"/>
    <w:rsid w:val="00167820"/>
    <w:rsid w:val="00167D75"/>
    <w:rsid w:val="00173549"/>
    <w:rsid w:val="00173D9B"/>
    <w:rsid w:val="00175C06"/>
    <w:rsid w:val="00176078"/>
    <w:rsid w:val="00176E63"/>
    <w:rsid w:val="00177185"/>
    <w:rsid w:val="0018050D"/>
    <w:rsid w:val="00180954"/>
    <w:rsid w:val="00180AE6"/>
    <w:rsid w:val="00183168"/>
    <w:rsid w:val="00185247"/>
    <w:rsid w:val="00186C85"/>
    <w:rsid w:val="00190B98"/>
    <w:rsid w:val="001912E7"/>
    <w:rsid w:val="00191FF8"/>
    <w:rsid w:val="00192534"/>
    <w:rsid w:val="001929B8"/>
    <w:rsid w:val="00192C15"/>
    <w:rsid w:val="00195551"/>
    <w:rsid w:val="00197193"/>
    <w:rsid w:val="00197FAF"/>
    <w:rsid w:val="001A1613"/>
    <w:rsid w:val="001A6B3B"/>
    <w:rsid w:val="001B0C1E"/>
    <w:rsid w:val="001B178D"/>
    <w:rsid w:val="001B2A4A"/>
    <w:rsid w:val="001B5168"/>
    <w:rsid w:val="001B68B9"/>
    <w:rsid w:val="001B79EE"/>
    <w:rsid w:val="001B7DAC"/>
    <w:rsid w:val="001C141E"/>
    <w:rsid w:val="001C1E56"/>
    <w:rsid w:val="001C2BC7"/>
    <w:rsid w:val="001C3C26"/>
    <w:rsid w:val="001C45E0"/>
    <w:rsid w:val="001C4C9A"/>
    <w:rsid w:val="001D1C6F"/>
    <w:rsid w:val="001D21C5"/>
    <w:rsid w:val="001D34FA"/>
    <w:rsid w:val="001D3EA7"/>
    <w:rsid w:val="001D56D0"/>
    <w:rsid w:val="001D58FB"/>
    <w:rsid w:val="001E2638"/>
    <w:rsid w:val="001E4395"/>
    <w:rsid w:val="001E799F"/>
    <w:rsid w:val="001F0282"/>
    <w:rsid w:val="001F364A"/>
    <w:rsid w:val="001F3937"/>
    <w:rsid w:val="001F5A39"/>
    <w:rsid w:val="001F6363"/>
    <w:rsid w:val="001F7865"/>
    <w:rsid w:val="001F7A0E"/>
    <w:rsid w:val="001F7A82"/>
    <w:rsid w:val="002005B9"/>
    <w:rsid w:val="00201914"/>
    <w:rsid w:val="0020224E"/>
    <w:rsid w:val="00202472"/>
    <w:rsid w:val="00202CD5"/>
    <w:rsid w:val="00202E28"/>
    <w:rsid w:val="002039C8"/>
    <w:rsid w:val="002049C5"/>
    <w:rsid w:val="00204B83"/>
    <w:rsid w:val="002074C4"/>
    <w:rsid w:val="00207A59"/>
    <w:rsid w:val="00210540"/>
    <w:rsid w:val="00210B1E"/>
    <w:rsid w:val="0021276F"/>
    <w:rsid w:val="00213AF4"/>
    <w:rsid w:val="0021557D"/>
    <w:rsid w:val="00216820"/>
    <w:rsid w:val="00217987"/>
    <w:rsid w:val="0022077B"/>
    <w:rsid w:val="00224F11"/>
    <w:rsid w:val="002257A2"/>
    <w:rsid w:val="00225B92"/>
    <w:rsid w:val="002304CE"/>
    <w:rsid w:val="002306EF"/>
    <w:rsid w:val="00230DE5"/>
    <w:rsid w:val="00232C9A"/>
    <w:rsid w:val="002356F5"/>
    <w:rsid w:val="00236C01"/>
    <w:rsid w:val="00237FA1"/>
    <w:rsid w:val="00245542"/>
    <w:rsid w:val="00245FE7"/>
    <w:rsid w:val="0024603D"/>
    <w:rsid w:val="00246630"/>
    <w:rsid w:val="00247808"/>
    <w:rsid w:val="00251F52"/>
    <w:rsid w:val="00252946"/>
    <w:rsid w:val="00254D64"/>
    <w:rsid w:val="002615CC"/>
    <w:rsid w:val="00261ECB"/>
    <w:rsid w:val="00262D59"/>
    <w:rsid w:val="00263392"/>
    <w:rsid w:val="0026374F"/>
    <w:rsid w:val="00265BE2"/>
    <w:rsid w:val="00271A26"/>
    <w:rsid w:val="002731B6"/>
    <w:rsid w:val="00273B90"/>
    <w:rsid w:val="00273EE7"/>
    <w:rsid w:val="00274006"/>
    <w:rsid w:val="00275310"/>
    <w:rsid w:val="002772DE"/>
    <w:rsid w:val="002819D4"/>
    <w:rsid w:val="00282DFE"/>
    <w:rsid w:val="0028313A"/>
    <w:rsid w:val="002841EF"/>
    <w:rsid w:val="00286021"/>
    <w:rsid w:val="00286952"/>
    <w:rsid w:val="00286B1F"/>
    <w:rsid w:val="002901C6"/>
    <w:rsid w:val="002911DB"/>
    <w:rsid w:val="002913EA"/>
    <w:rsid w:val="002942F5"/>
    <w:rsid w:val="002944B8"/>
    <w:rsid w:val="002947BB"/>
    <w:rsid w:val="002947ED"/>
    <w:rsid w:val="00295270"/>
    <w:rsid w:val="00296F1F"/>
    <w:rsid w:val="002A0074"/>
    <w:rsid w:val="002A1033"/>
    <w:rsid w:val="002A2D66"/>
    <w:rsid w:val="002A5548"/>
    <w:rsid w:val="002A5E87"/>
    <w:rsid w:val="002A7472"/>
    <w:rsid w:val="002A7BCC"/>
    <w:rsid w:val="002B0042"/>
    <w:rsid w:val="002B07AF"/>
    <w:rsid w:val="002B206F"/>
    <w:rsid w:val="002B231B"/>
    <w:rsid w:val="002B235A"/>
    <w:rsid w:val="002B2B68"/>
    <w:rsid w:val="002B44BC"/>
    <w:rsid w:val="002B48F6"/>
    <w:rsid w:val="002C01E9"/>
    <w:rsid w:val="002C07B2"/>
    <w:rsid w:val="002C0BE4"/>
    <w:rsid w:val="002C1549"/>
    <w:rsid w:val="002C16AD"/>
    <w:rsid w:val="002C20E0"/>
    <w:rsid w:val="002C271F"/>
    <w:rsid w:val="002C3028"/>
    <w:rsid w:val="002C3EFC"/>
    <w:rsid w:val="002C7F25"/>
    <w:rsid w:val="002C7F88"/>
    <w:rsid w:val="002D0336"/>
    <w:rsid w:val="002D09A5"/>
    <w:rsid w:val="002D2353"/>
    <w:rsid w:val="002D346A"/>
    <w:rsid w:val="002D3A82"/>
    <w:rsid w:val="002D3B8D"/>
    <w:rsid w:val="002D47CD"/>
    <w:rsid w:val="002E0938"/>
    <w:rsid w:val="002E21CF"/>
    <w:rsid w:val="002E254E"/>
    <w:rsid w:val="002E275C"/>
    <w:rsid w:val="002E4525"/>
    <w:rsid w:val="002F55E7"/>
    <w:rsid w:val="002F58DA"/>
    <w:rsid w:val="002F695A"/>
    <w:rsid w:val="003009DA"/>
    <w:rsid w:val="0030212D"/>
    <w:rsid w:val="00302B85"/>
    <w:rsid w:val="0030653F"/>
    <w:rsid w:val="00307264"/>
    <w:rsid w:val="00307BF4"/>
    <w:rsid w:val="00310A92"/>
    <w:rsid w:val="00310AD2"/>
    <w:rsid w:val="0031126E"/>
    <w:rsid w:val="003115D3"/>
    <w:rsid w:val="0031292C"/>
    <w:rsid w:val="00314101"/>
    <w:rsid w:val="003210A5"/>
    <w:rsid w:val="00321BB2"/>
    <w:rsid w:val="00322AB0"/>
    <w:rsid w:val="00326BFD"/>
    <w:rsid w:val="00326C1D"/>
    <w:rsid w:val="00330FEB"/>
    <w:rsid w:val="00332F23"/>
    <w:rsid w:val="00333A85"/>
    <w:rsid w:val="00334802"/>
    <w:rsid w:val="00335161"/>
    <w:rsid w:val="00337E90"/>
    <w:rsid w:val="0034071A"/>
    <w:rsid w:val="0034071D"/>
    <w:rsid w:val="00342A1D"/>
    <w:rsid w:val="00342D91"/>
    <w:rsid w:val="003433A5"/>
    <w:rsid w:val="003451B3"/>
    <w:rsid w:val="00346493"/>
    <w:rsid w:val="00346F76"/>
    <w:rsid w:val="00347A74"/>
    <w:rsid w:val="00350C64"/>
    <w:rsid w:val="00353DBB"/>
    <w:rsid w:val="00354088"/>
    <w:rsid w:val="0035553F"/>
    <w:rsid w:val="003555A8"/>
    <w:rsid w:val="00356713"/>
    <w:rsid w:val="003575FF"/>
    <w:rsid w:val="003629E7"/>
    <w:rsid w:val="003633E9"/>
    <w:rsid w:val="00364C98"/>
    <w:rsid w:val="0036513A"/>
    <w:rsid w:val="00366B31"/>
    <w:rsid w:val="00371683"/>
    <w:rsid w:val="003722FA"/>
    <w:rsid w:val="00380D67"/>
    <w:rsid w:val="00381344"/>
    <w:rsid w:val="0038432D"/>
    <w:rsid w:val="003857A5"/>
    <w:rsid w:val="00386345"/>
    <w:rsid w:val="00386515"/>
    <w:rsid w:val="00386769"/>
    <w:rsid w:val="003872E8"/>
    <w:rsid w:val="00390AEF"/>
    <w:rsid w:val="00392196"/>
    <w:rsid w:val="003924F1"/>
    <w:rsid w:val="00392DE0"/>
    <w:rsid w:val="00393D08"/>
    <w:rsid w:val="00394394"/>
    <w:rsid w:val="003956E2"/>
    <w:rsid w:val="00395D21"/>
    <w:rsid w:val="0039638E"/>
    <w:rsid w:val="003968A6"/>
    <w:rsid w:val="00397269"/>
    <w:rsid w:val="00397368"/>
    <w:rsid w:val="003A060C"/>
    <w:rsid w:val="003A069E"/>
    <w:rsid w:val="003A0F0E"/>
    <w:rsid w:val="003A1410"/>
    <w:rsid w:val="003A18CD"/>
    <w:rsid w:val="003A572A"/>
    <w:rsid w:val="003A7F5D"/>
    <w:rsid w:val="003B2618"/>
    <w:rsid w:val="003B273D"/>
    <w:rsid w:val="003B51B2"/>
    <w:rsid w:val="003B521C"/>
    <w:rsid w:val="003B524C"/>
    <w:rsid w:val="003B5F91"/>
    <w:rsid w:val="003B6F83"/>
    <w:rsid w:val="003C09E3"/>
    <w:rsid w:val="003C10C2"/>
    <w:rsid w:val="003C16ED"/>
    <w:rsid w:val="003C299A"/>
    <w:rsid w:val="003C3790"/>
    <w:rsid w:val="003C3DB0"/>
    <w:rsid w:val="003C5596"/>
    <w:rsid w:val="003C599C"/>
    <w:rsid w:val="003C6092"/>
    <w:rsid w:val="003D3FD1"/>
    <w:rsid w:val="003D465C"/>
    <w:rsid w:val="003D4A0C"/>
    <w:rsid w:val="003D542D"/>
    <w:rsid w:val="003E0228"/>
    <w:rsid w:val="003E2C04"/>
    <w:rsid w:val="003E2D6A"/>
    <w:rsid w:val="003E3451"/>
    <w:rsid w:val="003E5215"/>
    <w:rsid w:val="003E54DF"/>
    <w:rsid w:val="003E5D2C"/>
    <w:rsid w:val="003E6BB4"/>
    <w:rsid w:val="003E6FC9"/>
    <w:rsid w:val="003F3352"/>
    <w:rsid w:val="003F371D"/>
    <w:rsid w:val="003F3AD6"/>
    <w:rsid w:val="003F59B0"/>
    <w:rsid w:val="003F6354"/>
    <w:rsid w:val="00405C14"/>
    <w:rsid w:val="004061D7"/>
    <w:rsid w:val="00407728"/>
    <w:rsid w:val="00411CA3"/>
    <w:rsid w:val="00414A33"/>
    <w:rsid w:val="0041641E"/>
    <w:rsid w:val="004165B7"/>
    <w:rsid w:val="0041683F"/>
    <w:rsid w:val="004177D7"/>
    <w:rsid w:val="004205D1"/>
    <w:rsid w:val="004211E6"/>
    <w:rsid w:val="00421BA6"/>
    <w:rsid w:val="004223D1"/>
    <w:rsid w:val="00422AED"/>
    <w:rsid w:val="004244C9"/>
    <w:rsid w:val="00427C34"/>
    <w:rsid w:val="00431A63"/>
    <w:rsid w:val="00432153"/>
    <w:rsid w:val="00434157"/>
    <w:rsid w:val="00437751"/>
    <w:rsid w:val="00441A5B"/>
    <w:rsid w:val="004421F7"/>
    <w:rsid w:val="00442665"/>
    <w:rsid w:val="004437D1"/>
    <w:rsid w:val="0044392E"/>
    <w:rsid w:val="0044463D"/>
    <w:rsid w:val="00447F34"/>
    <w:rsid w:val="00452299"/>
    <w:rsid w:val="00453421"/>
    <w:rsid w:val="00457C22"/>
    <w:rsid w:val="0046048A"/>
    <w:rsid w:val="004638DB"/>
    <w:rsid w:val="00465FEF"/>
    <w:rsid w:val="0046650E"/>
    <w:rsid w:val="00466682"/>
    <w:rsid w:val="004712CA"/>
    <w:rsid w:val="00472215"/>
    <w:rsid w:val="004730B7"/>
    <w:rsid w:val="0047403F"/>
    <w:rsid w:val="00475BB4"/>
    <w:rsid w:val="00476512"/>
    <w:rsid w:val="004766B2"/>
    <w:rsid w:val="00476BCA"/>
    <w:rsid w:val="00476D84"/>
    <w:rsid w:val="00477022"/>
    <w:rsid w:val="004770BB"/>
    <w:rsid w:val="0047778E"/>
    <w:rsid w:val="00477F1F"/>
    <w:rsid w:val="00482117"/>
    <w:rsid w:val="00482248"/>
    <w:rsid w:val="0048285A"/>
    <w:rsid w:val="00482E7B"/>
    <w:rsid w:val="004844AE"/>
    <w:rsid w:val="00485123"/>
    <w:rsid w:val="0048572B"/>
    <w:rsid w:val="004865F5"/>
    <w:rsid w:val="0048689E"/>
    <w:rsid w:val="00491047"/>
    <w:rsid w:val="00492105"/>
    <w:rsid w:val="00493649"/>
    <w:rsid w:val="00494735"/>
    <w:rsid w:val="00495D51"/>
    <w:rsid w:val="004972E5"/>
    <w:rsid w:val="0049758E"/>
    <w:rsid w:val="00497BA7"/>
    <w:rsid w:val="004A00E9"/>
    <w:rsid w:val="004A213D"/>
    <w:rsid w:val="004A4114"/>
    <w:rsid w:val="004A7CB9"/>
    <w:rsid w:val="004B1A47"/>
    <w:rsid w:val="004B1D36"/>
    <w:rsid w:val="004B21EC"/>
    <w:rsid w:val="004B2808"/>
    <w:rsid w:val="004B34DE"/>
    <w:rsid w:val="004B6332"/>
    <w:rsid w:val="004B6822"/>
    <w:rsid w:val="004B68D8"/>
    <w:rsid w:val="004B77A9"/>
    <w:rsid w:val="004C1C68"/>
    <w:rsid w:val="004C2E7A"/>
    <w:rsid w:val="004C4030"/>
    <w:rsid w:val="004C537C"/>
    <w:rsid w:val="004C6EE7"/>
    <w:rsid w:val="004C7CD7"/>
    <w:rsid w:val="004D0365"/>
    <w:rsid w:val="004D049E"/>
    <w:rsid w:val="004D1D81"/>
    <w:rsid w:val="004D283D"/>
    <w:rsid w:val="004D2B5A"/>
    <w:rsid w:val="004D57FB"/>
    <w:rsid w:val="004D5FA5"/>
    <w:rsid w:val="004D6F47"/>
    <w:rsid w:val="004E0974"/>
    <w:rsid w:val="004E0A93"/>
    <w:rsid w:val="004E1F3C"/>
    <w:rsid w:val="004E22CB"/>
    <w:rsid w:val="004E2DF8"/>
    <w:rsid w:val="004E4D24"/>
    <w:rsid w:val="004E55B5"/>
    <w:rsid w:val="004E62B0"/>
    <w:rsid w:val="004F058F"/>
    <w:rsid w:val="004F0A2E"/>
    <w:rsid w:val="004F15EA"/>
    <w:rsid w:val="004F2777"/>
    <w:rsid w:val="004F3740"/>
    <w:rsid w:val="004F4390"/>
    <w:rsid w:val="004F6992"/>
    <w:rsid w:val="004F69F6"/>
    <w:rsid w:val="004F7659"/>
    <w:rsid w:val="005009B9"/>
    <w:rsid w:val="00502268"/>
    <w:rsid w:val="00502388"/>
    <w:rsid w:val="00504781"/>
    <w:rsid w:val="005070F9"/>
    <w:rsid w:val="005104FF"/>
    <w:rsid w:val="00510704"/>
    <w:rsid w:val="00513D85"/>
    <w:rsid w:val="00513E2A"/>
    <w:rsid w:val="00515858"/>
    <w:rsid w:val="005168A6"/>
    <w:rsid w:val="00516BA8"/>
    <w:rsid w:val="00517DD2"/>
    <w:rsid w:val="00520259"/>
    <w:rsid w:val="00522A52"/>
    <w:rsid w:val="005250C9"/>
    <w:rsid w:val="00525430"/>
    <w:rsid w:val="0052606B"/>
    <w:rsid w:val="00531EA1"/>
    <w:rsid w:val="00533FCB"/>
    <w:rsid w:val="005344A7"/>
    <w:rsid w:val="00535912"/>
    <w:rsid w:val="0053653C"/>
    <w:rsid w:val="00541CDE"/>
    <w:rsid w:val="005421AD"/>
    <w:rsid w:val="00543010"/>
    <w:rsid w:val="0054323E"/>
    <w:rsid w:val="005441A7"/>
    <w:rsid w:val="00544204"/>
    <w:rsid w:val="00545728"/>
    <w:rsid w:val="00545BAC"/>
    <w:rsid w:val="00545DD3"/>
    <w:rsid w:val="005502B3"/>
    <w:rsid w:val="00550D5F"/>
    <w:rsid w:val="00550E89"/>
    <w:rsid w:val="005510F5"/>
    <w:rsid w:val="0055135C"/>
    <w:rsid w:val="0055158C"/>
    <w:rsid w:val="00551670"/>
    <w:rsid w:val="00551E26"/>
    <w:rsid w:val="00551F07"/>
    <w:rsid w:val="0055461E"/>
    <w:rsid w:val="005564AA"/>
    <w:rsid w:val="005566C8"/>
    <w:rsid w:val="00560274"/>
    <w:rsid w:val="00560D5C"/>
    <w:rsid w:val="00564BCE"/>
    <w:rsid w:val="005666EF"/>
    <w:rsid w:val="00570DB5"/>
    <w:rsid w:val="00570F53"/>
    <w:rsid w:val="00570FE6"/>
    <w:rsid w:val="00572038"/>
    <w:rsid w:val="00572D78"/>
    <w:rsid w:val="0057326D"/>
    <w:rsid w:val="005768CC"/>
    <w:rsid w:val="00576A6F"/>
    <w:rsid w:val="005776ED"/>
    <w:rsid w:val="00580607"/>
    <w:rsid w:val="005807FB"/>
    <w:rsid w:val="00580BF9"/>
    <w:rsid w:val="00581715"/>
    <w:rsid w:val="00582167"/>
    <w:rsid w:val="00582849"/>
    <w:rsid w:val="0058339C"/>
    <w:rsid w:val="00583C08"/>
    <w:rsid w:val="0058495D"/>
    <w:rsid w:val="00586158"/>
    <w:rsid w:val="005903E4"/>
    <w:rsid w:val="005909E6"/>
    <w:rsid w:val="0059518D"/>
    <w:rsid w:val="005955E9"/>
    <w:rsid w:val="00595DB8"/>
    <w:rsid w:val="005A0353"/>
    <w:rsid w:val="005A1180"/>
    <w:rsid w:val="005A4448"/>
    <w:rsid w:val="005A5AC7"/>
    <w:rsid w:val="005A6568"/>
    <w:rsid w:val="005B04EC"/>
    <w:rsid w:val="005B5846"/>
    <w:rsid w:val="005B7195"/>
    <w:rsid w:val="005B71A8"/>
    <w:rsid w:val="005B7E60"/>
    <w:rsid w:val="005C159E"/>
    <w:rsid w:val="005C1623"/>
    <w:rsid w:val="005C1FA1"/>
    <w:rsid w:val="005C32C9"/>
    <w:rsid w:val="005C3C57"/>
    <w:rsid w:val="005C4042"/>
    <w:rsid w:val="005C4DA7"/>
    <w:rsid w:val="005C54BD"/>
    <w:rsid w:val="005C6772"/>
    <w:rsid w:val="005D1173"/>
    <w:rsid w:val="005D2652"/>
    <w:rsid w:val="005D30CA"/>
    <w:rsid w:val="005D3B29"/>
    <w:rsid w:val="005D3F86"/>
    <w:rsid w:val="005D486B"/>
    <w:rsid w:val="005D770A"/>
    <w:rsid w:val="005E01AB"/>
    <w:rsid w:val="005E43BD"/>
    <w:rsid w:val="005E6C25"/>
    <w:rsid w:val="005E754E"/>
    <w:rsid w:val="005E7E3F"/>
    <w:rsid w:val="005F37C5"/>
    <w:rsid w:val="005F3940"/>
    <w:rsid w:val="005F43D5"/>
    <w:rsid w:val="005F4BAF"/>
    <w:rsid w:val="005F5772"/>
    <w:rsid w:val="005F79D5"/>
    <w:rsid w:val="00601356"/>
    <w:rsid w:val="00601ADE"/>
    <w:rsid w:val="00602E24"/>
    <w:rsid w:val="006053A9"/>
    <w:rsid w:val="00607DBE"/>
    <w:rsid w:val="00610210"/>
    <w:rsid w:val="00611DC4"/>
    <w:rsid w:val="006124D2"/>
    <w:rsid w:val="006135A8"/>
    <w:rsid w:val="0061501B"/>
    <w:rsid w:val="00615231"/>
    <w:rsid w:val="00620507"/>
    <w:rsid w:val="006221D9"/>
    <w:rsid w:val="00623712"/>
    <w:rsid w:val="006261AC"/>
    <w:rsid w:val="0063501C"/>
    <w:rsid w:val="0063527A"/>
    <w:rsid w:val="0064035E"/>
    <w:rsid w:val="00641B56"/>
    <w:rsid w:val="00643D7A"/>
    <w:rsid w:val="006442B7"/>
    <w:rsid w:val="00644532"/>
    <w:rsid w:val="00644C71"/>
    <w:rsid w:val="00644D42"/>
    <w:rsid w:val="00644F37"/>
    <w:rsid w:val="0064644B"/>
    <w:rsid w:val="00646E5F"/>
    <w:rsid w:val="00651366"/>
    <w:rsid w:val="006517B8"/>
    <w:rsid w:val="0065192D"/>
    <w:rsid w:val="0065313E"/>
    <w:rsid w:val="0065378C"/>
    <w:rsid w:val="0065380F"/>
    <w:rsid w:val="00653CF4"/>
    <w:rsid w:val="00654EE0"/>
    <w:rsid w:val="00655272"/>
    <w:rsid w:val="006573B9"/>
    <w:rsid w:val="006602F1"/>
    <w:rsid w:val="0066060F"/>
    <w:rsid w:val="00661E30"/>
    <w:rsid w:val="006641C8"/>
    <w:rsid w:val="00664249"/>
    <w:rsid w:val="00664350"/>
    <w:rsid w:val="006659E4"/>
    <w:rsid w:val="00665E10"/>
    <w:rsid w:val="00666F98"/>
    <w:rsid w:val="00667337"/>
    <w:rsid w:val="00671091"/>
    <w:rsid w:val="00672397"/>
    <w:rsid w:val="006723C6"/>
    <w:rsid w:val="0067582B"/>
    <w:rsid w:val="00675EA6"/>
    <w:rsid w:val="006772F7"/>
    <w:rsid w:val="00680CF9"/>
    <w:rsid w:val="0068139A"/>
    <w:rsid w:val="00681D53"/>
    <w:rsid w:val="006843D9"/>
    <w:rsid w:val="006868C8"/>
    <w:rsid w:val="006914F4"/>
    <w:rsid w:val="006941A7"/>
    <w:rsid w:val="00694E4E"/>
    <w:rsid w:val="006953CA"/>
    <w:rsid w:val="00695FA0"/>
    <w:rsid w:val="0069691B"/>
    <w:rsid w:val="006A0031"/>
    <w:rsid w:val="006A01F7"/>
    <w:rsid w:val="006A4AFB"/>
    <w:rsid w:val="006A5D7C"/>
    <w:rsid w:val="006A60F3"/>
    <w:rsid w:val="006B03D5"/>
    <w:rsid w:val="006B05A0"/>
    <w:rsid w:val="006B0ED8"/>
    <w:rsid w:val="006B1939"/>
    <w:rsid w:val="006B19E6"/>
    <w:rsid w:val="006B33A6"/>
    <w:rsid w:val="006B366C"/>
    <w:rsid w:val="006B6EBF"/>
    <w:rsid w:val="006B7E4A"/>
    <w:rsid w:val="006C285C"/>
    <w:rsid w:val="006C2B15"/>
    <w:rsid w:val="006C45BF"/>
    <w:rsid w:val="006C653C"/>
    <w:rsid w:val="006C6FAE"/>
    <w:rsid w:val="006D0583"/>
    <w:rsid w:val="006D0938"/>
    <w:rsid w:val="006D25BE"/>
    <w:rsid w:val="006D40E1"/>
    <w:rsid w:val="006D5796"/>
    <w:rsid w:val="006D6882"/>
    <w:rsid w:val="006D739B"/>
    <w:rsid w:val="006E0515"/>
    <w:rsid w:val="006E1F5E"/>
    <w:rsid w:val="006E2FD2"/>
    <w:rsid w:val="006E47BD"/>
    <w:rsid w:val="006E4B68"/>
    <w:rsid w:val="006E676E"/>
    <w:rsid w:val="006E69C1"/>
    <w:rsid w:val="006E7559"/>
    <w:rsid w:val="006F02CD"/>
    <w:rsid w:val="006F2B42"/>
    <w:rsid w:val="006F3D22"/>
    <w:rsid w:val="006F6098"/>
    <w:rsid w:val="006F6DEF"/>
    <w:rsid w:val="007019C1"/>
    <w:rsid w:val="0070321E"/>
    <w:rsid w:val="007143A1"/>
    <w:rsid w:val="00722B4E"/>
    <w:rsid w:val="00722E43"/>
    <w:rsid w:val="0072408B"/>
    <w:rsid w:val="007241EF"/>
    <w:rsid w:val="00724BF7"/>
    <w:rsid w:val="007272FF"/>
    <w:rsid w:val="00727A33"/>
    <w:rsid w:val="00727E7E"/>
    <w:rsid w:val="00730680"/>
    <w:rsid w:val="00730E32"/>
    <w:rsid w:val="00732652"/>
    <w:rsid w:val="00732F2C"/>
    <w:rsid w:val="00733057"/>
    <w:rsid w:val="00733811"/>
    <w:rsid w:val="00734125"/>
    <w:rsid w:val="0073417A"/>
    <w:rsid w:val="00734223"/>
    <w:rsid w:val="0073580F"/>
    <w:rsid w:val="00735D3B"/>
    <w:rsid w:val="00736C4E"/>
    <w:rsid w:val="007376DD"/>
    <w:rsid w:val="00740501"/>
    <w:rsid w:val="00743E85"/>
    <w:rsid w:val="00746748"/>
    <w:rsid w:val="007476E4"/>
    <w:rsid w:val="00747980"/>
    <w:rsid w:val="007500F3"/>
    <w:rsid w:val="00750362"/>
    <w:rsid w:val="007517E5"/>
    <w:rsid w:val="0075285E"/>
    <w:rsid w:val="007531AF"/>
    <w:rsid w:val="00753F42"/>
    <w:rsid w:val="00754E2F"/>
    <w:rsid w:val="007578D4"/>
    <w:rsid w:val="00760AE6"/>
    <w:rsid w:val="007626D7"/>
    <w:rsid w:val="007629B0"/>
    <w:rsid w:val="00762AE6"/>
    <w:rsid w:val="00762FB6"/>
    <w:rsid w:val="00763A5A"/>
    <w:rsid w:val="00763EF6"/>
    <w:rsid w:val="00766F69"/>
    <w:rsid w:val="00767FFD"/>
    <w:rsid w:val="007712A4"/>
    <w:rsid w:val="0077251E"/>
    <w:rsid w:val="00772FBD"/>
    <w:rsid w:val="0077327B"/>
    <w:rsid w:val="00775B89"/>
    <w:rsid w:val="00776580"/>
    <w:rsid w:val="00776EF3"/>
    <w:rsid w:val="0077773D"/>
    <w:rsid w:val="00781997"/>
    <w:rsid w:val="00782F1A"/>
    <w:rsid w:val="0078454A"/>
    <w:rsid w:val="007856C5"/>
    <w:rsid w:val="0078585D"/>
    <w:rsid w:val="00790EC3"/>
    <w:rsid w:val="00791418"/>
    <w:rsid w:val="00792DA2"/>
    <w:rsid w:val="00793268"/>
    <w:rsid w:val="00794F3B"/>
    <w:rsid w:val="00795A5E"/>
    <w:rsid w:val="00795AB0"/>
    <w:rsid w:val="007966FC"/>
    <w:rsid w:val="00796C33"/>
    <w:rsid w:val="007A20F9"/>
    <w:rsid w:val="007A3469"/>
    <w:rsid w:val="007A3AF2"/>
    <w:rsid w:val="007B0315"/>
    <w:rsid w:val="007B206B"/>
    <w:rsid w:val="007B56B6"/>
    <w:rsid w:val="007B5895"/>
    <w:rsid w:val="007B71CA"/>
    <w:rsid w:val="007C0EA8"/>
    <w:rsid w:val="007C2762"/>
    <w:rsid w:val="007C5492"/>
    <w:rsid w:val="007C6B1D"/>
    <w:rsid w:val="007D0E21"/>
    <w:rsid w:val="007D10D8"/>
    <w:rsid w:val="007D286F"/>
    <w:rsid w:val="007D287D"/>
    <w:rsid w:val="007D2965"/>
    <w:rsid w:val="007D2F05"/>
    <w:rsid w:val="007D51EC"/>
    <w:rsid w:val="007D6504"/>
    <w:rsid w:val="007D79B3"/>
    <w:rsid w:val="007E031B"/>
    <w:rsid w:val="007E0B66"/>
    <w:rsid w:val="007E0C15"/>
    <w:rsid w:val="007E0F7D"/>
    <w:rsid w:val="007E18E8"/>
    <w:rsid w:val="007E197D"/>
    <w:rsid w:val="007E1E3B"/>
    <w:rsid w:val="007E7EEA"/>
    <w:rsid w:val="007F0FE7"/>
    <w:rsid w:val="007F1932"/>
    <w:rsid w:val="007F1A80"/>
    <w:rsid w:val="007F5FC0"/>
    <w:rsid w:val="007F683F"/>
    <w:rsid w:val="008007C8"/>
    <w:rsid w:val="00800E9E"/>
    <w:rsid w:val="00806E32"/>
    <w:rsid w:val="00807F39"/>
    <w:rsid w:val="0081104F"/>
    <w:rsid w:val="0081349C"/>
    <w:rsid w:val="008140B5"/>
    <w:rsid w:val="00814EE8"/>
    <w:rsid w:val="00815510"/>
    <w:rsid w:val="008169F6"/>
    <w:rsid w:val="00816CC9"/>
    <w:rsid w:val="0082047E"/>
    <w:rsid w:val="008209A9"/>
    <w:rsid w:val="00821600"/>
    <w:rsid w:val="00822FC9"/>
    <w:rsid w:val="00823339"/>
    <w:rsid w:val="00825106"/>
    <w:rsid w:val="0082662F"/>
    <w:rsid w:val="008305C0"/>
    <w:rsid w:val="008341E0"/>
    <w:rsid w:val="008348E6"/>
    <w:rsid w:val="00835BB9"/>
    <w:rsid w:val="008369A2"/>
    <w:rsid w:val="00837235"/>
    <w:rsid w:val="00837565"/>
    <w:rsid w:val="00840648"/>
    <w:rsid w:val="00840DCC"/>
    <w:rsid w:val="00840FFE"/>
    <w:rsid w:val="008455B9"/>
    <w:rsid w:val="0084637D"/>
    <w:rsid w:val="0084712F"/>
    <w:rsid w:val="0084786B"/>
    <w:rsid w:val="00847C38"/>
    <w:rsid w:val="00850DA9"/>
    <w:rsid w:val="0085148E"/>
    <w:rsid w:val="00851ECE"/>
    <w:rsid w:val="00854534"/>
    <w:rsid w:val="008546F0"/>
    <w:rsid w:val="00855503"/>
    <w:rsid w:val="008578C4"/>
    <w:rsid w:val="00860C28"/>
    <w:rsid w:val="00862FFD"/>
    <w:rsid w:val="00863155"/>
    <w:rsid w:val="00864E19"/>
    <w:rsid w:val="008701AC"/>
    <w:rsid w:val="00871860"/>
    <w:rsid w:val="00872306"/>
    <w:rsid w:val="00872F9B"/>
    <w:rsid w:val="008733C9"/>
    <w:rsid w:val="00873BD7"/>
    <w:rsid w:val="00875249"/>
    <w:rsid w:val="00875ECD"/>
    <w:rsid w:val="00876599"/>
    <w:rsid w:val="00876EF9"/>
    <w:rsid w:val="00880BC2"/>
    <w:rsid w:val="00882066"/>
    <w:rsid w:val="00885CAE"/>
    <w:rsid w:val="0088641C"/>
    <w:rsid w:val="0088673E"/>
    <w:rsid w:val="008870EE"/>
    <w:rsid w:val="0088713E"/>
    <w:rsid w:val="00887D95"/>
    <w:rsid w:val="00890AF5"/>
    <w:rsid w:val="00892F8C"/>
    <w:rsid w:val="00894073"/>
    <w:rsid w:val="0089431B"/>
    <w:rsid w:val="0089498F"/>
    <w:rsid w:val="008956AC"/>
    <w:rsid w:val="008962B8"/>
    <w:rsid w:val="00897306"/>
    <w:rsid w:val="008A0079"/>
    <w:rsid w:val="008A1D84"/>
    <w:rsid w:val="008A3867"/>
    <w:rsid w:val="008A3989"/>
    <w:rsid w:val="008A5583"/>
    <w:rsid w:val="008A6732"/>
    <w:rsid w:val="008B1025"/>
    <w:rsid w:val="008B48C2"/>
    <w:rsid w:val="008B552B"/>
    <w:rsid w:val="008B5F34"/>
    <w:rsid w:val="008B62EF"/>
    <w:rsid w:val="008B67A9"/>
    <w:rsid w:val="008C0102"/>
    <w:rsid w:val="008C042D"/>
    <w:rsid w:val="008C24FF"/>
    <w:rsid w:val="008C282C"/>
    <w:rsid w:val="008C42F2"/>
    <w:rsid w:val="008C4D47"/>
    <w:rsid w:val="008C554B"/>
    <w:rsid w:val="008D0C82"/>
    <w:rsid w:val="008D0E45"/>
    <w:rsid w:val="008D18AE"/>
    <w:rsid w:val="008D3FE7"/>
    <w:rsid w:val="008D55B9"/>
    <w:rsid w:val="008D7FEA"/>
    <w:rsid w:val="008E0EFE"/>
    <w:rsid w:val="008E12B3"/>
    <w:rsid w:val="008E2F85"/>
    <w:rsid w:val="008E3414"/>
    <w:rsid w:val="008E380D"/>
    <w:rsid w:val="008E4380"/>
    <w:rsid w:val="008E4AE0"/>
    <w:rsid w:val="008E4ED3"/>
    <w:rsid w:val="008E550B"/>
    <w:rsid w:val="008E6ACB"/>
    <w:rsid w:val="008E703C"/>
    <w:rsid w:val="008E7AFB"/>
    <w:rsid w:val="008E7C2E"/>
    <w:rsid w:val="008F0C63"/>
    <w:rsid w:val="008F2D1A"/>
    <w:rsid w:val="008F4B69"/>
    <w:rsid w:val="008F6A11"/>
    <w:rsid w:val="00901E39"/>
    <w:rsid w:val="00904908"/>
    <w:rsid w:val="0090534A"/>
    <w:rsid w:val="009054C5"/>
    <w:rsid w:val="00906710"/>
    <w:rsid w:val="00906868"/>
    <w:rsid w:val="00906BA1"/>
    <w:rsid w:val="00906FEF"/>
    <w:rsid w:val="00907E5B"/>
    <w:rsid w:val="00912E39"/>
    <w:rsid w:val="0091445F"/>
    <w:rsid w:val="00917574"/>
    <w:rsid w:val="0092031B"/>
    <w:rsid w:val="009203C7"/>
    <w:rsid w:val="00921AF7"/>
    <w:rsid w:val="00921D9E"/>
    <w:rsid w:val="0092387F"/>
    <w:rsid w:val="00926405"/>
    <w:rsid w:val="00931362"/>
    <w:rsid w:val="00931FF3"/>
    <w:rsid w:val="00935EBC"/>
    <w:rsid w:val="009374B0"/>
    <w:rsid w:val="00937973"/>
    <w:rsid w:val="0094062A"/>
    <w:rsid w:val="00940979"/>
    <w:rsid w:val="0094171F"/>
    <w:rsid w:val="0094332F"/>
    <w:rsid w:val="00943C03"/>
    <w:rsid w:val="00947307"/>
    <w:rsid w:val="00947A1F"/>
    <w:rsid w:val="00953416"/>
    <w:rsid w:val="00953FB3"/>
    <w:rsid w:val="009551B7"/>
    <w:rsid w:val="0095533A"/>
    <w:rsid w:val="0095552E"/>
    <w:rsid w:val="00957F10"/>
    <w:rsid w:val="00960954"/>
    <w:rsid w:val="00961AB7"/>
    <w:rsid w:val="00961C02"/>
    <w:rsid w:val="00962101"/>
    <w:rsid w:val="009636F6"/>
    <w:rsid w:val="0096428F"/>
    <w:rsid w:val="0096432B"/>
    <w:rsid w:val="00965974"/>
    <w:rsid w:val="009670BB"/>
    <w:rsid w:val="009672E7"/>
    <w:rsid w:val="00971576"/>
    <w:rsid w:val="009721FC"/>
    <w:rsid w:val="009732EE"/>
    <w:rsid w:val="00976D29"/>
    <w:rsid w:val="0098318A"/>
    <w:rsid w:val="00985ED4"/>
    <w:rsid w:val="00985F34"/>
    <w:rsid w:val="00987F51"/>
    <w:rsid w:val="009914DA"/>
    <w:rsid w:val="00991F3F"/>
    <w:rsid w:val="009933F1"/>
    <w:rsid w:val="00993CE9"/>
    <w:rsid w:val="00994127"/>
    <w:rsid w:val="00994757"/>
    <w:rsid w:val="00997A66"/>
    <w:rsid w:val="009A2F1A"/>
    <w:rsid w:val="009A33FC"/>
    <w:rsid w:val="009A4031"/>
    <w:rsid w:val="009A54FA"/>
    <w:rsid w:val="009A6DC7"/>
    <w:rsid w:val="009A7D18"/>
    <w:rsid w:val="009B0228"/>
    <w:rsid w:val="009B25CE"/>
    <w:rsid w:val="009B314B"/>
    <w:rsid w:val="009B3584"/>
    <w:rsid w:val="009B4820"/>
    <w:rsid w:val="009B4F4B"/>
    <w:rsid w:val="009B5EE4"/>
    <w:rsid w:val="009B6C99"/>
    <w:rsid w:val="009C14F7"/>
    <w:rsid w:val="009C1864"/>
    <w:rsid w:val="009C198E"/>
    <w:rsid w:val="009C2748"/>
    <w:rsid w:val="009C3618"/>
    <w:rsid w:val="009C47CD"/>
    <w:rsid w:val="009C4BCE"/>
    <w:rsid w:val="009C65FD"/>
    <w:rsid w:val="009C7378"/>
    <w:rsid w:val="009D0648"/>
    <w:rsid w:val="009D431C"/>
    <w:rsid w:val="009D6385"/>
    <w:rsid w:val="009D69CB"/>
    <w:rsid w:val="009E0B52"/>
    <w:rsid w:val="009E0F20"/>
    <w:rsid w:val="009E263E"/>
    <w:rsid w:val="009E3C12"/>
    <w:rsid w:val="009E4456"/>
    <w:rsid w:val="009E5EA4"/>
    <w:rsid w:val="009F0B90"/>
    <w:rsid w:val="009F102D"/>
    <w:rsid w:val="009F1269"/>
    <w:rsid w:val="009F2B2F"/>
    <w:rsid w:val="009F32FE"/>
    <w:rsid w:val="009F4619"/>
    <w:rsid w:val="00A0035D"/>
    <w:rsid w:val="00A01B8A"/>
    <w:rsid w:val="00A053CE"/>
    <w:rsid w:val="00A05854"/>
    <w:rsid w:val="00A0602C"/>
    <w:rsid w:val="00A12260"/>
    <w:rsid w:val="00A13EB8"/>
    <w:rsid w:val="00A1588A"/>
    <w:rsid w:val="00A1594C"/>
    <w:rsid w:val="00A16709"/>
    <w:rsid w:val="00A16ABB"/>
    <w:rsid w:val="00A209BE"/>
    <w:rsid w:val="00A20F40"/>
    <w:rsid w:val="00A21F57"/>
    <w:rsid w:val="00A2273F"/>
    <w:rsid w:val="00A310E4"/>
    <w:rsid w:val="00A3166E"/>
    <w:rsid w:val="00A318BC"/>
    <w:rsid w:val="00A32203"/>
    <w:rsid w:val="00A32FA9"/>
    <w:rsid w:val="00A353C1"/>
    <w:rsid w:val="00A36937"/>
    <w:rsid w:val="00A42506"/>
    <w:rsid w:val="00A42687"/>
    <w:rsid w:val="00A432F1"/>
    <w:rsid w:val="00A4442B"/>
    <w:rsid w:val="00A46A25"/>
    <w:rsid w:val="00A511EB"/>
    <w:rsid w:val="00A53572"/>
    <w:rsid w:val="00A53826"/>
    <w:rsid w:val="00A5487A"/>
    <w:rsid w:val="00A57C72"/>
    <w:rsid w:val="00A61B8C"/>
    <w:rsid w:val="00A6204C"/>
    <w:rsid w:val="00A6316F"/>
    <w:rsid w:val="00A64EBC"/>
    <w:rsid w:val="00A64F35"/>
    <w:rsid w:val="00A65C47"/>
    <w:rsid w:val="00A664AD"/>
    <w:rsid w:val="00A67013"/>
    <w:rsid w:val="00A70C5B"/>
    <w:rsid w:val="00A70FF3"/>
    <w:rsid w:val="00A72AAC"/>
    <w:rsid w:val="00A72E1E"/>
    <w:rsid w:val="00A7515F"/>
    <w:rsid w:val="00A75484"/>
    <w:rsid w:val="00A75FBB"/>
    <w:rsid w:val="00A7791A"/>
    <w:rsid w:val="00A779D8"/>
    <w:rsid w:val="00A802FC"/>
    <w:rsid w:val="00A84763"/>
    <w:rsid w:val="00A84A9E"/>
    <w:rsid w:val="00A85179"/>
    <w:rsid w:val="00A8642C"/>
    <w:rsid w:val="00A86BC0"/>
    <w:rsid w:val="00A87FD9"/>
    <w:rsid w:val="00A913C1"/>
    <w:rsid w:val="00A91F9E"/>
    <w:rsid w:val="00A94035"/>
    <w:rsid w:val="00A9506D"/>
    <w:rsid w:val="00A957EA"/>
    <w:rsid w:val="00A95B04"/>
    <w:rsid w:val="00A9632C"/>
    <w:rsid w:val="00A96844"/>
    <w:rsid w:val="00AA2657"/>
    <w:rsid w:val="00AA323D"/>
    <w:rsid w:val="00AA34E7"/>
    <w:rsid w:val="00AA4283"/>
    <w:rsid w:val="00AA5B48"/>
    <w:rsid w:val="00AA6144"/>
    <w:rsid w:val="00AB00C6"/>
    <w:rsid w:val="00AB0970"/>
    <w:rsid w:val="00AB189B"/>
    <w:rsid w:val="00AB56B9"/>
    <w:rsid w:val="00AB6861"/>
    <w:rsid w:val="00AB6B02"/>
    <w:rsid w:val="00AC0B8A"/>
    <w:rsid w:val="00AC389B"/>
    <w:rsid w:val="00AC3FD3"/>
    <w:rsid w:val="00AC5432"/>
    <w:rsid w:val="00AC60E8"/>
    <w:rsid w:val="00AC72A2"/>
    <w:rsid w:val="00AD00EC"/>
    <w:rsid w:val="00AD0413"/>
    <w:rsid w:val="00AD0910"/>
    <w:rsid w:val="00AD2B8F"/>
    <w:rsid w:val="00AD2D98"/>
    <w:rsid w:val="00AD39C7"/>
    <w:rsid w:val="00AD3ECE"/>
    <w:rsid w:val="00AD453C"/>
    <w:rsid w:val="00AD4854"/>
    <w:rsid w:val="00AD4953"/>
    <w:rsid w:val="00AD5E16"/>
    <w:rsid w:val="00AD7456"/>
    <w:rsid w:val="00AE0044"/>
    <w:rsid w:val="00AE06FE"/>
    <w:rsid w:val="00AE1B16"/>
    <w:rsid w:val="00AE28A6"/>
    <w:rsid w:val="00AE3943"/>
    <w:rsid w:val="00AE48F6"/>
    <w:rsid w:val="00AE4F72"/>
    <w:rsid w:val="00AE59E5"/>
    <w:rsid w:val="00AE5FE6"/>
    <w:rsid w:val="00AE602F"/>
    <w:rsid w:val="00AE6F2A"/>
    <w:rsid w:val="00AF008B"/>
    <w:rsid w:val="00AF2671"/>
    <w:rsid w:val="00AF2F74"/>
    <w:rsid w:val="00AF3CA7"/>
    <w:rsid w:val="00AF3E04"/>
    <w:rsid w:val="00AF3F17"/>
    <w:rsid w:val="00AF4A4C"/>
    <w:rsid w:val="00AF4A9A"/>
    <w:rsid w:val="00AF788A"/>
    <w:rsid w:val="00AF7B82"/>
    <w:rsid w:val="00B03559"/>
    <w:rsid w:val="00B042A1"/>
    <w:rsid w:val="00B043F0"/>
    <w:rsid w:val="00B05B79"/>
    <w:rsid w:val="00B06998"/>
    <w:rsid w:val="00B1160B"/>
    <w:rsid w:val="00B1198C"/>
    <w:rsid w:val="00B12281"/>
    <w:rsid w:val="00B12FC8"/>
    <w:rsid w:val="00B13583"/>
    <w:rsid w:val="00B14368"/>
    <w:rsid w:val="00B14A91"/>
    <w:rsid w:val="00B156DA"/>
    <w:rsid w:val="00B1755B"/>
    <w:rsid w:val="00B203D3"/>
    <w:rsid w:val="00B209E0"/>
    <w:rsid w:val="00B22710"/>
    <w:rsid w:val="00B22746"/>
    <w:rsid w:val="00B22A5C"/>
    <w:rsid w:val="00B23371"/>
    <w:rsid w:val="00B2495E"/>
    <w:rsid w:val="00B257DC"/>
    <w:rsid w:val="00B315A0"/>
    <w:rsid w:val="00B32F52"/>
    <w:rsid w:val="00B33E45"/>
    <w:rsid w:val="00B344A7"/>
    <w:rsid w:val="00B345A1"/>
    <w:rsid w:val="00B354D3"/>
    <w:rsid w:val="00B36E51"/>
    <w:rsid w:val="00B40ED1"/>
    <w:rsid w:val="00B41770"/>
    <w:rsid w:val="00B4235D"/>
    <w:rsid w:val="00B424DE"/>
    <w:rsid w:val="00B42CF6"/>
    <w:rsid w:val="00B433D8"/>
    <w:rsid w:val="00B438F3"/>
    <w:rsid w:val="00B43974"/>
    <w:rsid w:val="00B43F4F"/>
    <w:rsid w:val="00B46412"/>
    <w:rsid w:val="00B4707D"/>
    <w:rsid w:val="00B519A3"/>
    <w:rsid w:val="00B55451"/>
    <w:rsid w:val="00B55770"/>
    <w:rsid w:val="00B55872"/>
    <w:rsid w:val="00B57048"/>
    <w:rsid w:val="00B60196"/>
    <w:rsid w:val="00B60988"/>
    <w:rsid w:val="00B65430"/>
    <w:rsid w:val="00B65806"/>
    <w:rsid w:val="00B664E5"/>
    <w:rsid w:val="00B66757"/>
    <w:rsid w:val="00B66B1E"/>
    <w:rsid w:val="00B67CC7"/>
    <w:rsid w:val="00B7213E"/>
    <w:rsid w:val="00B767F5"/>
    <w:rsid w:val="00B77857"/>
    <w:rsid w:val="00B83A2F"/>
    <w:rsid w:val="00B85C82"/>
    <w:rsid w:val="00B86C3E"/>
    <w:rsid w:val="00B90FF1"/>
    <w:rsid w:val="00B9121A"/>
    <w:rsid w:val="00B9148F"/>
    <w:rsid w:val="00B915AC"/>
    <w:rsid w:val="00B92DB0"/>
    <w:rsid w:val="00B93AB0"/>
    <w:rsid w:val="00B949F2"/>
    <w:rsid w:val="00B960CD"/>
    <w:rsid w:val="00B96E3C"/>
    <w:rsid w:val="00B97696"/>
    <w:rsid w:val="00BA2D9A"/>
    <w:rsid w:val="00BA2F55"/>
    <w:rsid w:val="00BA32DB"/>
    <w:rsid w:val="00BA3F4C"/>
    <w:rsid w:val="00BA60C0"/>
    <w:rsid w:val="00BA6E38"/>
    <w:rsid w:val="00BB281B"/>
    <w:rsid w:val="00BB3161"/>
    <w:rsid w:val="00BB32E8"/>
    <w:rsid w:val="00BB3ED9"/>
    <w:rsid w:val="00BB4152"/>
    <w:rsid w:val="00BB4647"/>
    <w:rsid w:val="00BB5F24"/>
    <w:rsid w:val="00BB6B21"/>
    <w:rsid w:val="00BB6FD7"/>
    <w:rsid w:val="00BB777B"/>
    <w:rsid w:val="00BC0B06"/>
    <w:rsid w:val="00BC1935"/>
    <w:rsid w:val="00BC2AE6"/>
    <w:rsid w:val="00BC469F"/>
    <w:rsid w:val="00BD21D3"/>
    <w:rsid w:val="00BD2655"/>
    <w:rsid w:val="00BD2765"/>
    <w:rsid w:val="00BD4362"/>
    <w:rsid w:val="00BE1566"/>
    <w:rsid w:val="00BE29C8"/>
    <w:rsid w:val="00BE2DED"/>
    <w:rsid w:val="00BE401B"/>
    <w:rsid w:val="00BE55A2"/>
    <w:rsid w:val="00BE56A3"/>
    <w:rsid w:val="00BE56A9"/>
    <w:rsid w:val="00BE5E82"/>
    <w:rsid w:val="00BF0672"/>
    <w:rsid w:val="00BF1AA1"/>
    <w:rsid w:val="00BF5862"/>
    <w:rsid w:val="00BF5CCA"/>
    <w:rsid w:val="00BF606D"/>
    <w:rsid w:val="00C03704"/>
    <w:rsid w:val="00C06CD2"/>
    <w:rsid w:val="00C0751F"/>
    <w:rsid w:val="00C13A30"/>
    <w:rsid w:val="00C1436A"/>
    <w:rsid w:val="00C14F7A"/>
    <w:rsid w:val="00C16FAC"/>
    <w:rsid w:val="00C17276"/>
    <w:rsid w:val="00C22611"/>
    <w:rsid w:val="00C2264C"/>
    <w:rsid w:val="00C253F0"/>
    <w:rsid w:val="00C26372"/>
    <w:rsid w:val="00C26BF5"/>
    <w:rsid w:val="00C31E95"/>
    <w:rsid w:val="00C35AFD"/>
    <w:rsid w:val="00C35E7C"/>
    <w:rsid w:val="00C37BD2"/>
    <w:rsid w:val="00C405CA"/>
    <w:rsid w:val="00C41712"/>
    <w:rsid w:val="00C41E37"/>
    <w:rsid w:val="00C4205A"/>
    <w:rsid w:val="00C42C68"/>
    <w:rsid w:val="00C43205"/>
    <w:rsid w:val="00C4414C"/>
    <w:rsid w:val="00C44473"/>
    <w:rsid w:val="00C45969"/>
    <w:rsid w:val="00C478D2"/>
    <w:rsid w:val="00C47D47"/>
    <w:rsid w:val="00C50855"/>
    <w:rsid w:val="00C50981"/>
    <w:rsid w:val="00C52BBD"/>
    <w:rsid w:val="00C5410C"/>
    <w:rsid w:val="00C54BF8"/>
    <w:rsid w:val="00C555FD"/>
    <w:rsid w:val="00C5560B"/>
    <w:rsid w:val="00C556A7"/>
    <w:rsid w:val="00C5608D"/>
    <w:rsid w:val="00C56427"/>
    <w:rsid w:val="00C60112"/>
    <w:rsid w:val="00C61C11"/>
    <w:rsid w:val="00C61F9E"/>
    <w:rsid w:val="00C64C81"/>
    <w:rsid w:val="00C6550B"/>
    <w:rsid w:val="00C70406"/>
    <w:rsid w:val="00C70F3E"/>
    <w:rsid w:val="00C71E1E"/>
    <w:rsid w:val="00C727B5"/>
    <w:rsid w:val="00C72A90"/>
    <w:rsid w:val="00C738B9"/>
    <w:rsid w:val="00C75114"/>
    <w:rsid w:val="00C77317"/>
    <w:rsid w:val="00C81DAD"/>
    <w:rsid w:val="00C822BF"/>
    <w:rsid w:val="00C8261C"/>
    <w:rsid w:val="00C82986"/>
    <w:rsid w:val="00C8655C"/>
    <w:rsid w:val="00C90655"/>
    <w:rsid w:val="00C91426"/>
    <w:rsid w:val="00C915BD"/>
    <w:rsid w:val="00C91C60"/>
    <w:rsid w:val="00C9282B"/>
    <w:rsid w:val="00C92ED0"/>
    <w:rsid w:val="00C931B6"/>
    <w:rsid w:val="00C93BE3"/>
    <w:rsid w:val="00C94D8A"/>
    <w:rsid w:val="00C95EC2"/>
    <w:rsid w:val="00C97E65"/>
    <w:rsid w:val="00CA10C1"/>
    <w:rsid w:val="00CA23BB"/>
    <w:rsid w:val="00CA2E4D"/>
    <w:rsid w:val="00CA3812"/>
    <w:rsid w:val="00CA4014"/>
    <w:rsid w:val="00CA76B8"/>
    <w:rsid w:val="00CB0871"/>
    <w:rsid w:val="00CB2722"/>
    <w:rsid w:val="00CB35FC"/>
    <w:rsid w:val="00CB3C87"/>
    <w:rsid w:val="00CB45A3"/>
    <w:rsid w:val="00CB4B4F"/>
    <w:rsid w:val="00CB4CDD"/>
    <w:rsid w:val="00CB68BB"/>
    <w:rsid w:val="00CB76C6"/>
    <w:rsid w:val="00CC2841"/>
    <w:rsid w:val="00CC4972"/>
    <w:rsid w:val="00CC6B35"/>
    <w:rsid w:val="00CC78B0"/>
    <w:rsid w:val="00CD319E"/>
    <w:rsid w:val="00CD337D"/>
    <w:rsid w:val="00CD496E"/>
    <w:rsid w:val="00CD6290"/>
    <w:rsid w:val="00CD753D"/>
    <w:rsid w:val="00CE639D"/>
    <w:rsid w:val="00CE6AB1"/>
    <w:rsid w:val="00CE6E38"/>
    <w:rsid w:val="00CF62D1"/>
    <w:rsid w:val="00CF6607"/>
    <w:rsid w:val="00CF66E1"/>
    <w:rsid w:val="00CF67F9"/>
    <w:rsid w:val="00CF7050"/>
    <w:rsid w:val="00D006E2"/>
    <w:rsid w:val="00D00A37"/>
    <w:rsid w:val="00D01734"/>
    <w:rsid w:val="00D02BA4"/>
    <w:rsid w:val="00D058A6"/>
    <w:rsid w:val="00D073EE"/>
    <w:rsid w:val="00D07ECD"/>
    <w:rsid w:val="00D103D2"/>
    <w:rsid w:val="00D10725"/>
    <w:rsid w:val="00D1100E"/>
    <w:rsid w:val="00D125B6"/>
    <w:rsid w:val="00D13D1D"/>
    <w:rsid w:val="00D17572"/>
    <w:rsid w:val="00D17DB8"/>
    <w:rsid w:val="00D22483"/>
    <w:rsid w:val="00D24EEC"/>
    <w:rsid w:val="00D253B4"/>
    <w:rsid w:val="00D259AB"/>
    <w:rsid w:val="00D26C68"/>
    <w:rsid w:val="00D30549"/>
    <w:rsid w:val="00D330DA"/>
    <w:rsid w:val="00D332FD"/>
    <w:rsid w:val="00D3573C"/>
    <w:rsid w:val="00D35F9B"/>
    <w:rsid w:val="00D360A9"/>
    <w:rsid w:val="00D37948"/>
    <w:rsid w:val="00D41E5B"/>
    <w:rsid w:val="00D43DDF"/>
    <w:rsid w:val="00D44B2F"/>
    <w:rsid w:val="00D44D5A"/>
    <w:rsid w:val="00D450A9"/>
    <w:rsid w:val="00D46304"/>
    <w:rsid w:val="00D478DD"/>
    <w:rsid w:val="00D50D09"/>
    <w:rsid w:val="00D518D8"/>
    <w:rsid w:val="00D533CE"/>
    <w:rsid w:val="00D534E9"/>
    <w:rsid w:val="00D5514B"/>
    <w:rsid w:val="00D55BAB"/>
    <w:rsid w:val="00D5685E"/>
    <w:rsid w:val="00D60485"/>
    <w:rsid w:val="00D608CB"/>
    <w:rsid w:val="00D6171E"/>
    <w:rsid w:val="00D62936"/>
    <w:rsid w:val="00D630A5"/>
    <w:rsid w:val="00D63B7F"/>
    <w:rsid w:val="00D647F2"/>
    <w:rsid w:val="00D64CDA"/>
    <w:rsid w:val="00D65B65"/>
    <w:rsid w:val="00D665C3"/>
    <w:rsid w:val="00D674CF"/>
    <w:rsid w:val="00D72716"/>
    <w:rsid w:val="00D729B6"/>
    <w:rsid w:val="00D736E3"/>
    <w:rsid w:val="00D7385C"/>
    <w:rsid w:val="00D73B19"/>
    <w:rsid w:val="00D76D14"/>
    <w:rsid w:val="00D77112"/>
    <w:rsid w:val="00D77212"/>
    <w:rsid w:val="00D7724D"/>
    <w:rsid w:val="00D77847"/>
    <w:rsid w:val="00D82282"/>
    <w:rsid w:val="00D825F5"/>
    <w:rsid w:val="00D83DB1"/>
    <w:rsid w:val="00D84950"/>
    <w:rsid w:val="00D84BE2"/>
    <w:rsid w:val="00D84C75"/>
    <w:rsid w:val="00D84E16"/>
    <w:rsid w:val="00D87170"/>
    <w:rsid w:val="00D87492"/>
    <w:rsid w:val="00D879DE"/>
    <w:rsid w:val="00D90C4D"/>
    <w:rsid w:val="00D91B3E"/>
    <w:rsid w:val="00D9208A"/>
    <w:rsid w:val="00D92E84"/>
    <w:rsid w:val="00D93754"/>
    <w:rsid w:val="00D940BA"/>
    <w:rsid w:val="00D948B4"/>
    <w:rsid w:val="00D94C36"/>
    <w:rsid w:val="00D96ADC"/>
    <w:rsid w:val="00DA0FDB"/>
    <w:rsid w:val="00DA1896"/>
    <w:rsid w:val="00DA2A42"/>
    <w:rsid w:val="00DA57F6"/>
    <w:rsid w:val="00DA5989"/>
    <w:rsid w:val="00DA6132"/>
    <w:rsid w:val="00DB0571"/>
    <w:rsid w:val="00DB37DD"/>
    <w:rsid w:val="00DB391A"/>
    <w:rsid w:val="00DB406B"/>
    <w:rsid w:val="00DB712D"/>
    <w:rsid w:val="00DB7585"/>
    <w:rsid w:val="00DC0B24"/>
    <w:rsid w:val="00DC3F09"/>
    <w:rsid w:val="00DC5798"/>
    <w:rsid w:val="00DC72DC"/>
    <w:rsid w:val="00DC7D28"/>
    <w:rsid w:val="00DD04C8"/>
    <w:rsid w:val="00DD18DA"/>
    <w:rsid w:val="00DD2601"/>
    <w:rsid w:val="00DD413A"/>
    <w:rsid w:val="00DD4EFD"/>
    <w:rsid w:val="00DE1020"/>
    <w:rsid w:val="00DE21D8"/>
    <w:rsid w:val="00DE27B0"/>
    <w:rsid w:val="00DE5E6F"/>
    <w:rsid w:val="00DE75E3"/>
    <w:rsid w:val="00DF1744"/>
    <w:rsid w:val="00DF1F33"/>
    <w:rsid w:val="00DF2CA4"/>
    <w:rsid w:val="00DF2F4B"/>
    <w:rsid w:val="00DF355B"/>
    <w:rsid w:val="00DF361E"/>
    <w:rsid w:val="00DF40AB"/>
    <w:rsid w:val="00DF4471"/>
    <w:rsid w:val="00DF4E7E"/>
    <w:rsid w:val="00DF5BA1"/>
    <w:rsid w:val="00DF63D3"/>
    <w:rsid w:val="00DF6759"/>
    <w:rsid w:val="00E00071"/>
    <w:rsid w:val="00E075F2"/>
    <w:rsid w:val="00E1123D"/>
    <w:rsid w:val="00E12A64"/>
    <w:rsid w:val="00E12E2A"/>
    <w:rsid w:val="00E13EDB"/>
    <w:rsid w:val="00E1405A"/>
    <w:rsid w:val="00E146A1"/>
    <w:rsid w:val="00E159A9"/>
    <w:rsid w:val="00E204EC"/>
    <w:rsid w:val="00E20B66"/>
    <w:rsid w:val="00E21A73"/>
    <w:rsid w:val="00E21F73"/>
    <w:rsid w:val="00E24988"/>
    <w:rsid w:val="00E25F48"/>
    <w:rsid w:val="00E25FD0"/>
    <w:rsid w:val="00E3099C"/>
    <w:rsid w:val="00E30DF9"/>
    <w:rsid w:val="00E3630C"/>
    <w:rsid w:val="00E36454"/>
    <w:rsid w:val="00E366BC"/>
    <w:rsid w:val="00E3682A"/>
    <w:rsid w:val="00E3712A"/>
    <w:rsid w:val="00E37F31"/>
    <w:rsid w:val="00E40FD3"/>
    <w:rsid w:val="00E41120"/>
    <w:rsid w:val="00E415B8"/>
    <w:rsid w:val="00E416D0"/>
    <w:rsid w:val="00E42CB4"/>
    <w:rsid w:val="00E44898"/>
    <w:rsid w:val="00E44913"/>
    <w:rsid w:val="00E450E7"/>
    <w:rsid w:val="00E453A3"/>
    <w:rsid w:val="00E45EB9"/>
    <w:rsid w:val="00E46136"/>
    <w:rsid w:val="00E467E1"/>
    <w:rsid w:val="00E46A44"/>
    <w:rsid w:val="00E50677"/>
    <w:rsid w:val="00E52735"/>
    <w:rsid w:val="00E54368"/>
    <w:rsid w:val="00E54F31"/>
    <w:rsid w:val="00E57227"/>
    <w:rsid w:val="00E57C7F"/>
    <w:rsid w:val="00E60085"/>
    <w:rsid w:val="00E610EB"/>
    <w:rsid w:val="00E61370"/>
    <w:rsid w:val="00E61A1E"/>
    <w:rsid w:val="00E640FF"/>
    <w:rsid w:val="00E6421A"/>
    <w:rsid w:val="00E658C7"/>
    <w:rsid w:val="00E663E6"/>
    <w:rsid w:val="00E67BAC"/>
    <w:rsid w:val="00E70617"/>
    <w:rsid w:val="00E745A4"/>
    <w:rsid w:val="00E751A0"/>
    <w:rsid w:val="00E7649D"/>
    <w:rsid w:val="00E76537"/>
    <w:rsid w:val="00E76A76"/>
    <w:rsid w:val="00E77373"/>
    <w:rsid w:val="00E82F2E"/>
    <w:rsid w:val="00E854C1"/>
    <w:rsid w:val="00E85C43"/>
    <w:rsid w:val="00E8627D"/>
    <w:rsid w:val="00E90B04"/>
    <w:rsid w:val="00E9415F"/>
    <w:rsid w:val="00E962D1"/>
    <w:rsid w:val="00E9694A"/>
    <w:rsid w:val="00E974AD"/>
    <w:rsid w:val="00EA029B"/>
    <w:rsid w:val="00EA0682"/>
    <w:rsid w:val="00EA084E"/>
    <w:rsid w:val="00EA0B48"/>
    <w:rsid w:val="00EA0CB2"/>
    <w:rsid w:val="00EA2351"/>
    <w:rsid w:val="00EA3283"/>
    <w:rsid w:val="00EA3BEF"/>
    <w:rsid w:val="00EA3CCB"/>
    <w:rsid w:val="00EA545B"/>
    <w:rsid w:val="00EA58D8"/>
    <w:rsid w:val="00EA5C4D"/>
    <w:rsid w:val="00EA5E0E"/>
    <w:rsid w:val="00EA67F3"/>
    <w:rsid w:val="00EA788B"/>
    <w:rsid w:val="00EB3326"/>
    <w:rsid w:val="00EB3A10"/>
    <w:rsid w:val="00EB59BD"/>
    <w:rsid w:val="00EB7D49"/>
    <w:rsid w:val="00EC117C"/>
    <w:rsid w:val="00EC359E"/>
    <w:rsid w:val="00EC452F"/>
    <w:rsid w:val="00EC5EA7"/>
    <w:rsid w:val="00ED08B8"/>
    <w:rsid w:val="00ED16A4"/>
    <w:rsid w:val="00ED23E9"/>
    <w:rsid w:val="00ED2E90"/>
    <w:rsid w:val="00ED434E"/>
    <w:rsid w:val="00ED445D"/>
    <w:rsid w:val="00EE03E2"/>
    <w:rsid w:val="00EE389F"/>
    <w:rsid w:val="00EE3DBE"/>
    <w:rsid w:val="00EE478E"/>
    <w:rsid w:val="00EE5038"/>
    <w:rsid w:val="00EE577E"/>
    <w:rsid w:val="00EE5855"/>
    <w:rsid w:val="00EE6A16"/>
    <w:rsid w:val="00EF026F"/>
    <w:rsid w:val="00EF0FAF"/>
    <w:rsid w:val="00EF152D"/>
    <w:rsid w:val="00EF2BA3"/>
    <w:rsid w:val="00EF4724"/>
    <w:rsid w:val="00EF4B1F"/>
    <w:rsid w:val="00EF4CD0"/>
    <w:rsid w:val="00EF66D0"/>
    <w:rsid w:val="00EF7E78"/>
    <w:rsid w:val="00F005C5"/>
    <w:rsid w:val="00F009BE"/>
    <w:rsid w:val="00F00D15"/>
    <w:rsid w:val="00F03583"/>
    <w:rsid w:val="00F05894"/>
    <w:rsid w:val="00F06907"/>
    <w:rsid w:val="00F07E5C"/>
    <w:rsid w:val="00F1040C"/>
    <w:rsid w:val="00F12586"/>
    <w:rsid w:val="00F14BA9"/>
    <w:rsid w:val="00F152D8"/>
    <w:rsid w:val="00F16CEC"/>
    <w:rsid w:val="00F20D61"/>
    <w:rsid w:val="00F21F57"/>
    <w:rsid w:val="00F2382D"/>
    <w:rsid w:val="00F24E48"/>
    <w:rsid w:val="00F25CD3"/>
    <w:rsid w:val="00F26F4D"/>
    <w:rsid w:val="00F27A40"/>
    <w:rsid w:val="00F30453"/>
    <w:rsid w:val="00F330C7"/>
    <w:rsid w:val="00F402CE"/>
    <w:rsid w:val="00F40656"/>
    <w:rsid w:val="00F42516"/>
    <w:rsid w:val="00F42DD9"/>
    <w:rsid w:val="00F45187"/>
    <w:rsid w:val="00F459A6"/>
    <w:rsid w:val="00F47B27"/>
    <w:rsid w:val="00F5152E"/>
    <w:rsid w:val="00F53A75"/>
    <w:rsid w:val="00F55B60"/>
    <w:rsid w:val="00F56B27"/>
    <w:rsid w:val="00F57061"/>
    <w:rsid w:val="00F601D1"/>
    <w:rsid w:val="00F60B7B"/>
    <w:rsid w:val="00F616C1"/>
    <w:rsid w:val="00F619D4"/>
    <w:rsid w:val="00F643A3"/>
    <w:rsid w:val="00F64573"/>
    <w:rsid w:val="00F64898"/>
    <w:rsid w:val="00F65F08"/>
    <w:rsid w:val="00F6636D"/>
    <w:rsid w:val="00F674A5"/>
    <w:rsid w:val="00F71259"/>
    <w:rsid w:val="00F71448"/>
    <w:rsid w:val="00F72F4B"/>
    <w:rsid w:val="00F74028"/>
    <w:rsid w:val="00F748FE"/>
    <w:rsid w:val="00F759BC"/>
    <w:rsid w:val="00F80520"/>
    <w:rsid w:val="00F806B9"/>
    <w:rsid w:val="00F816BF"/>
    <w:rsid w:val="00F81C40"/>
    <w:rsid w:val="00F81FC9"/>
    <w:rsid w:val="00F85E7A"/>
    <w:rsid w:val="00F87386"/>
    <w:rsid w:val="00F90871"/>
    <w:rsid w:val="00F93130"/>
    <w:rsid w:val="00F93CC1"/>
    <w:rsid w:val="00F9410C"/>
    <w:rsid w:val="00F944A9"/>
    <w:rsid w:val="00F94B31"/>
    <w:rsid w:val="00F95CF3"/>
    <w:rsid w:val="00F970C0"/>
    <w:rsid w:val="00FA0F79"/>
    <w:rsid w:val="00FA1D04"/>
    <w:rsid w:val="00FA7F4B"/>
    <w:rsid w:val="00FB0E68"/>
    <w:rsid w:val="00FB278A"/>
    <w:rsid w:val="00FB64E9"/>
    <w:rsid w:val="00FB69C7"/>
    <w:rsid w:val="00FB71F7"/>
    <w:rsid w:val="00FB74E5"/>
    <w:rsid w:val="00FB7A8B"/>
    <w:rsid w:val="00FC0317"/>
    <w:rsid w:val="00FC0721"/>
    <w:rsid w:val="00FC0F6A"/>
    <w:rsid w:val="00FC3C61"/>
    <w:rsid w:val="00FD2271"/>
    <w:rsid w:val="00FD27BE"/>
    <w:rsid w:val="00FE0387"/>
    <w:rsid w:val="00FE12D2"/>
    <w:rsid w:val="00FE3A90"/>
    <w:rsid w:val="00FE3BD8"/>
    <w:rsid w:val="00FE5441"/>
    <w:rsid w:val="00FE5DB2"/>
    <w:rsid w:val="00FE72A5"/>
    <w:rsid w:val="00FE76F6"/>
    <w:rsid w:val="00FF1FDB"/>
    <w:rsid w:val="00FF7612"/>
    <w:rsid w:val="010728ED"/>
    <w:rsid w:val="011B2E38"/>
    <w:rsid w:val="014F09D3"/>
    <w:rsid w:val="01615741"/>
    <w:rsid w:val="018B76DE"/>
    <w:rsid w:val="01B87094"/>
    <w:rsid w:val="01D136C3"/>
    <w:rsid w:val="01D57348"/>
    <w:rsid w:val="01DA494C"/>
    <w:rsid w:val="01FA3BA1"/>
    <w:rsid w:val="01FE6AD1"/>
    <w:rsid w:val="0235346A"/>
    <w:rsid w:val="024E3D78"/>
    <w:rsid w:val="025A5526"/>
    <w:rsid w:val="02737E72"/>
    <w:rsid w:val="02865B55"/>
    <w:rsid w:val="02C92703"/>
    <w:rsid w:val="02E275F2"/>
    <w:rsid w:val="02E818DE"/>
    <w:rsid w:val="02EE60FA"/>
    <w:rsid w:val="03093C3C"/>
    <w:rsid w:val="031C1576"/>
    <w:rsid w:val="032644F1"/>
    <w:rsid w:val="032911FF"/>
    <w:rsid w:val="03443C07"/>
    <w:rsid w:val="03464ABF"/>
    <w:rsid w:val="037924DB"/>
    <w:rsid w:val="037B4CD4"/>
    <w:rsid w:val="03994022"/>
    <w:rsid w:val="03C0318C"/>
    <w:rsid w:val="03C46021"/>
    <w:rsid w:val="03DA11B3"/>
    <w:rsid w:val="041846B5"/>
    <w:rsid w:val="041F6DEC"/>
    <w:rsid w:val="0427262A"/>
    <w:rsid w:val="04A86FF4"/>
    <w:rsid w:val="04B62533"/>
    <w:rsid w:val="04BB06B1"/>
    <w:rsid w:val="04DC7B68"/>
    <w:rsid w:val="04DE1B9F"/>
    <w:rsid w:val="04EA1716"/>
    <w:rsid w:val="04FC6524"/>
    <w:rsid w:val="04FD4C0A"/>
    <w:rsid w:val="052722A7"/>
    <w:rsid w:val="05370857"/>
    <w:rsid w:val="055B0C43"/>
    <w:rsid w:val="05902C24"/>
    <w:rsid w:val="05951BA5"/>
    <w:rsid w:val="05967170"/>
    <w:rsid w:val="05A60F67"/>
    <w:rsid w:val="05B11E50"/>
    <w:rsid w:val="05B4539A"/>
    <w:rsid w:val="05CC0F23"/>
    <w:rsid w:val="05CF04C3"/>
    <w:rsid w:val="05E74F83"/>
    <w:rsid w:val="05FF1BD0"/>
    <w:rsid w:val="061C5287"/>
    <w:rsid w:val="062A4B06"/>
    <w:rsid w:val="06405385"/>
    <w:rsid w:val="065B42D2"/>
    <w:rsid w:val="06952B2A"/>
    <w:rsid w:val="06AC7621"/>
    <w:rsid w:val="06B449E8"/>
    <w:rsid w:val="06E55900"/>
    <w:rsid w:val="06EF2962"/>
    <w:rsid w:val="070F74DD"/>
    <w:rsid w:val="07156B69"/>
    <w:rsid w:val="074F7401"/>
    <w:rsid w:val="07566E68"/>
    <w:rsid w:val="075876B9"/>
    <w:rsid w:val="076560A2"/>
    <w:rsid w:val="076F78F5"/>
    <w:rsid w:val="07980D6B"/>
    <w:rsid w:val="079B6C48"/>
    <w:rsid w:val="07BA0581"/>
    <w:rsid w:val="07BA25DA"/>
    <w:rsid w:val="07D05744"/>
    <w:rsid w:val="07D872D8"/>
    <w:rsid w:val="07DC0503"/>
    <w:rsid w:val="07E077C4"/>
    <w:rsid w:val="07F0265E"/>
    <w:rsid w:val="07F137AF"/>
    <w:rsid w:val="08061125"/>
    <w:rsid w:val="08270B6E"/>
    <w:rsid w:val="084A5596"/>
    <w:rsid w:val="089E6A7F"/>
    <w:rsid w:val="08D401D8"/>
    <w:rsid w:val="08FB4267"/>
    <w:rsid w:val="08FC2784"/>
    <w:rsid w:val="091F724C"/>
    <w:rsid w:val="093C27E8"/>
    <w:rsid w:val="09420B40"/>
    <w:rsid w:val="09441DC3"/>
    <w:rsid w:val="094E3637"/>
    <w:rsid w:val="094F5638"/>
    <w:rsid w:val="09677F17"/>
    <w:rsid w:val="09AD47F6"/>
    <w:rsid w:val="09D524E2"/>
    <w:rsid w:val="09F45CDA"/>
    <w:rsid w:val="0A0D4BA9"/>
    <w:rsid w:val="0A174DC5"/>
    <w:rsid w:val="0A196D7F"/>
    <w:rsid w:val="0A3227B1"/>
    <w:rsid w:val="0A38682C"/>
    <w:rsid w:val="0A403C01"/>
    <w:rsid w:val="0A570D43"/>
    <w:rsid w:val="0AC17816"/>
    <w:rsid w:val="0AC42304"/>
    <w:rsid w:val="0AD56081"/>
    <w:rsid w:val="0AED62B0"/>
    <w:rsid w:val="0AF44A65"/>
    <w:rsid w:val="0B234360"/>
    <w:rsid w:val="0B235389"/>
    <w:rsid w:val="0B7E7969"/>
    <w:rsid w:val="0B9139BA"/>
    <w:rsid w:val="0BA14782"/>
    <w:rsid w:val="0BB3039C"/>
    <w:rsid w:val="0BD70BDD"/>
    <w:rsid w:val="0BD93022"/>
    <w:rsid w:val="0BFD5CFE"/>
    <w:rsid w:val="0C452842"/>
    <w:rsid w:val="0C461145"/>
    <w:rsid w:val="0C47420B"/>
    <w:rsid w:val="0C5D5313"/>
    <w:rsid w:val="0C6A6E26"/>
    <w:rsid w:val="0C701CE7"/>
    <w:rsid w:val="0C946884"/>
    <w:rsid w:val="0CE93FC6"/>
    <w:rsid w:val="0CEC0D29"/>
    <w:rsid w:val="0D181C6E"/>
    <w:rsid w:val="0D2160AD"/>
    <w:rsid w:val="0D282AD2"/>
    <w:rsid w:val="0D4B3500"/>
    <w:rsid w:val="0D5F382D"/>
    <w:rsid w:val="0D604131"/>
    <w:rsid w:val="0D6540A0"/>
    <w:rsid w:val="0D6C0CA2"/>
    <w:rsid w:val="0D7F7494"/>
    <w:rsid w:val="0D835B86"/>
    <w:rsid w:val="0DBD4238"/>
    <w:rsid w:val="0DCF28A1"/>
    <w:rsid w:val="0DE038F1"/>
    <w:rsid w:val="0DE95EC9"/>
    <w:rsid w:val="0E0B5ADC"/>
    <w:rsid w:val="0E214E89"/>
    <w:rsid w:val="0E2C316A"/>
    <w:rsid w:val="0E664566"/>
    <w:rsid w:val="0E7058D0"/>
    <w:rsid w:val="0E9B6C5B"/>
    <w:rsid w:val="0EA8609D"/>
    <w:rsid w:val="0EDE4D23"/>
    <w:rsid w:val="0EDE7883"/>
    <w:rsid w:val="0EE81CE2"/>
    <w:rsid w:val="0F065B31"/>
    <w:rsid w:val="0F121CD3"/>
    <w:rsid w:val="0F234269"/>
    <w:rsid w:val="0F432F7D"/>
    <w:rsid w:val="0F512B06"/>
    <w:rsid w:val="0F78649A"/>
    <w:rsid w:val="0F9A7029"/>
    <w:rsid w:val="0FC1070A"/>
    <w:rsid w:val="0FF50DDF"/>
    <w:rsid w:val="0FFA158B"/>
    <w:rsid w:val="106B3C5C"/>
    <w:rsid w:val="10863276"/>
    <w:rsid w:val="10BE3305"/>
    <w:rsid w:val="10F07196"/>
    <w:rsid w:val="10F11796"/>
    <w:rsid w:val="11207761"/>
    <w:rsid w:val="113C6D55"/>
    <w:rsid w:val="113D3267"/>
    <w:rsid w:val="114411CF"/>
    <w:rsid w:val="115E6D52"/>
    <w:rsid w:val="1192681D"/>
    <w:rsid w:val="119C31AD"/>
    <w:rsid w:val="119E5FAB"/>
    <w:rsid w:val="11A90E79"/>
    <w:rsid w:val="11C43225"/>
    <w:rsid w:val="121F5E28"/>
    <w:rsid w:val="1241258B"/>
    <w:rsid w:val="125449EA"/>
    <w:rsid w:val="127B3EDC"/>
    <w:rsid w:val="12D85FEB"/>
    <w:rsid w:val="13005243"/>
    <w:rsid w:val="13090143"/>
    <w:rsid w:val="131D3CDF"/>
    <w:rsid w:val="132821A0"/>
    <w:rsid w:val="13881C60"/>
    <w:rsid w:val="138B6498"/>
    <w:rsid w:val="139D0C31"/>
    <w:rsid w:val="13A62A82"/>
    <w:rsid w:val="13AA6975"/>
    <w:rsid w:val="13C117BE"/>
    <w:rsid w:val="13E66B14"/>
    <w:rsid w:val="14111320"/>
    <w:rsid w:val="14213091"/>
    <w:rsid w:val="144A617F"/>
    <w:rsid w:val="14533E01"/>
    <w:rsid w:val="1459022B"/>
    <w:rsid w:val="146B482B"/>
    <w:rsid w:val="14892109"/>
    <w:rsid w:val="14A24235"/>
    <w:rsid w:val="14CC70CA"/>
    <w:rsid w:val="14F75923"/>
    <w:rsid w:val="14FD7476"/>
    <w:rsid w:val="150B3A4D"/>
    <w:rsid w:val="150F76B4"/>
    <w:rsid w:val="15250A36"/>
    <w:rsid w:val="15732FE9"/>
    <w:rsid w:val="157D5EC0"/>
    <w:rsid w:val="15896112"/>
    <w:rsid w:val="158E228D"/>
    <w:rsid w:val="158F0292"/>
    <w:rsid w:val="159F3D93"/>
    <w:rsid w:val="15A36C75"/>
    <w:rsid w:val="15C262DE"/>
    <w:rsid w:val="16112612"/>
    <w:rsid w:val="162C162E"/>
    <w:rsid w:val="16342843"/>
    <w:rsid w:val="1639254D"/>
    <w:rsid w:val="164B2E68"/>
    <w:rsid w:val="16AF1D9A"/>
    <w:rsid w:val="16FA2CE4"/>
    <w:rsid w:val="17040310"/>
    <w:rsid w:val="17064FFA"/>
    <w:rsid w:val="170E7896"/>
    <w:rsid w:val="172B7A6D"/>
    <w:rsid w:val="17447C31"/>
    <w:rsid w:val="174D6CD7"/>
    <w:rsid w:val="17765BC5"/>
    <w:rsid w:val="17A32A45"/>
    <w:rsid w:val="17D252BA"/>
    <w:rsid w:val="17D8205C"/>
    <w:rsid w:val="17DD680B"/>
    <w:rsid w:val="17DE5535"/>
    <w:rsid w:val="18114620"/>
    <w:rsid w:val="181573E2"/>
    <w:rsid w:val="18573657"/>
    <w:rsid w:val="18601A40"/>
    <w:rsid w:val="186834B7"/>
    <w:rsid w:val="187A4051"/>
    <w:rsid w:val="18B05777"/>
    <w:rsid w:val="18D61DE5"/>
    <w:rsid w:val="18E43D2A"/>
    <w:rsid w:val="18F3123E"/>
    <w:rsid w:val="1906188C"/>
    <w:rsid w:val="196C5B08"/>
    <w:rsid w:val="197A4451"/>
    <w:rsid w:val="198E7FC2"/>
    <w:rsid w:val="199F306B"/>
    <w:rsid w:val="19D86D4F"/>
    <w:rsid w:val="19DE534A"/>
    <w:rsid w:val="19FE0FFC"/>
    <w:rsid w:val="1A206E6A"/>
    <w:rsid w:val="1A240CBD"/>
    <w:rsid w:val="1A2C6E15"/>
    <w:rsid w:val="1A43782A"/>
    <w:rsid w:val="1A474250"/>
    <w:rsid w:val="1A5672E2"/>
    <w:rsid w:val="1A67124F"/>
    <w:rsid w:val="1AEA3B43"/>
    <w:rsid w:val="1B0572E0"/>
    <w:rsid w:val="1B116279"/>
    <w:rsid w:val="1B336733"/>
    <w:rsid w:val="1B3A6E7C"/>
    <w:rsid w:val="1B525540"/>
    <w:rsid w:val="1B5A6C2C"/>
    <w:rsid w:val="1B60171F"/>
    <w:rsid w:val="1B7366C4"/>
    <w:rsid w:val="1B8536C2"/>
    <w:rsid w:val="1B944DE0"/>
    <w:rsid w:val="1BB031A7"/>
    <w:rsid w:val="1BC85FEC"/>
    <w:rsid w:val="1BD465CD"/>
    <w:rsid w:val="1BF3616B"/>
    <w:rsid w:val="1C216DDC"/>
    <w:rsid w:val="1C3D6BC0"/>
    <w:rsid w:val="1C8E5EB0"/>
    <w:rsid w:val="1C983618"/>
    <w:rsid w:val="1C9C0955"/>
    <w:rsid w:val="1CA13AB6"/>
    <w:rsid w:val="1CBE1806"/>
    <w:rsid w:val="1CC90D33"/>
    <w:rsid w:val="1CDE38D5"/>
    <w:rsid w:val="1D056FBA"/>
    <w:rsid w:val="1D4A702D"/>
    <w:rsid w:val="1D4C35EE"/>
    <w:rsid w:val="1D4D21F9"/>
    <w:rsid w:val="1D5E59CA"/>
    <w:rsid w:val="1D7312E1"/>
    <w:rsid w:val="1D9F2D21"/>
    <w:rsid w:val="1DAE6A92"/>
    <w:rsid w:val="1DF63C75"/>
    <w:rsid w:val="1DFF326A"/>
    <w:rsid w:val="1E0D5462"/>
    <w:rsid w:val="1E3C6B3B"/>
    <w:rsid w:val="1E6D2CC5"/>
    <w:rsid w:val="1EA772E0"/>
    <w:rsid w:val="1EB964B7"/>
    <w:rsid w:val="1F0B766F"/>
    <w:rsid w:val="1F510700"/>
    <w:rsid w:val="1F7514DF"/>
    <w:rsid w:val="201805BB"/>
    <w:rsid w:val="202B2AD1"/>
    <w:rsid w:val="2051507A"/>
    <w:rsid w:val="20586B61"/>
    <w:rsid w:val="2080139F"/>
    <w:rsid w:val="20D969A9"/>
    <w:rsid w:val="21074434"/>
    <w:rsid w:val="21115F11"/>
    <w:rsid w:val="21137B56"/>
    <w:rsid w:val="216803B2"/>
    <w:rsid w:val="21895706"/>
    <w:rsid w:val="22046F2A"/>
    <w:rsid w:val="22281D22"/>
    <w:rsid w:val="223F6733"/>
    <w:rsid w:val="224E25F7"/>
    <w:rsid w:val="225079A5"/>
    <w:rsid w:val="225365CD"/>
    <w:rsid w:val="22860F7B"/>
    <w:rsid w:val="228D621F"/>
    <w:rsid w:val="22C06271"/>
    <w:rsid w:val="22C64F56"/>
    <w:rsid w:val="22D24B74"/>
    <w:rsid w:val="22ED51DE"/>
    <w:rsid w:val="23340BFF"/>
    <w:rsid w:val="235F79E5"/>
    <w:rsid w:val="23663782"/>
    <w:rsid w:val="236741D1"/>
    <w:rsid w:val="237A2AF0"/>
    <w:rsid w:val="239B11C1"/>
    <w:rsid w:val="239E0540"/>
    <w:rsid w:val="23B72EC4"/>
    <w:rsid w:val="24475598"/>
    <w:rsid w:val="24641FE2"/>
    <w:rsid w:val="246B441C"/>
    <w:rsid w:val="246F5EA9"/>
    <w:rsid w:val="247F43CB"/>
    <w:rsid w:val="249364A8"/>
    <w:rsid w:val="24BD5A48"/>
    <w:rsid w:val="24CF34E5"/>
    <w:rsid w:val="24D7204C"/>
    <w:rsid w:val="24DC4388"/>
    <w:rsid w:val="24DF06A9"/>
    <w:rsid w:val="24E42B5E"/>
    <w:rsid w:val="250C4699"/>
    <w:rsid w:val="25102005"/>
    <w:rsid w:val="252D46D4"/>
    <w:rsid w:val="25551A7D"/>
    <w:rsid w:val="259E1D9A"/>
    <w:rsid w:val="25E04DF4"/>
    <w:rsid w:val="25F64A62"/>
    <w:rsid w:val="26193034"/>
    <w:rsid w:val="26350719"/>
    <w:rsid w:val="26351B89"/>
    <w:rsid w:val="26413A7C"/>
    <w:rsid w:val="26442B77"/>
    <w:rsid w:val="2664103E"/>
    <w:rsid w:val="26831404"/>
    <w:rsid w:val="26C124AA"/>
    <w:rsid w:val="271352BE"/>
    <w:rsid w:val="271F4D90"/>
    <w:rsid w:val="27356745"/>
    <w:rsid w:val="277116C7"/>
    <w:rsid w:val="27775FB1"/>
    <w:rsid w:val="277C7C49"/>
    <w:rsid w:val="27964913"/>
    <w:rsid w:val="279B5197"/>
    <w:rsid w:val="27BF4197"/>
    <w:rsid w:val="27E865E2"/>
    <w:rsid w:val="27F6251A"/>
    <w:rsid w:val="28020694"/>
    <w:rsid w:val="280F0119"/>
    <w:rsid w:val="2819014B"/>
    <w:rsid w:val="281F70D9"/>
    <w:rsid w:val="28376316"/>
    <w:rsid w:val="284F4474"/>
    <w:rsid w:val="285F5C43"/>
    <w:rsid w:val="28A22685"/>
    <w:rsid w:val="28AD23F4"/>
    <w:rsid w:val="28B353A4"/>
    <w:rsid w:val="290134AB"/>
    <w:rsid w:val="292568A6"/>
    <w:rsid w:val="292E5AF8"/>
    <w:rsid w:val="295E5748"/>
    <w:rsid w:val="29673B26"/>
    <w:rsid w:val="29844401"/>
    <w:rsid w:val="2A33646A"/>
    <w:rsid w:val="2A3C48D7"/>
    <w:rsid w:val="2A595FE0"/>
    <w:rsid w:val="2A6339FD"/>
    <w:rsid w:val="2A831349"/>
    <w:rsid w:val="2A9F04BA"/>
    <w:rsid w:val="2AA31833"/>
    <w:rsid w:val="2AB501B1"/>
    <w:rsid w:val="2AC47FF9"/>
    <w:rsid w:val="2ACB689F"/>
    <w:rsid w:val="2AD72C79"/>
    <w:rsid w:val="2AEB697C"/>
    <w:rsid w:val="2B0C7CCC"/>
    <w:rsid w:val="2B271496"/>
    <w:rsid w:val="2B273182"/>
    <w:rsid w:val="2B28287E"/>
    <w:rsid w:val="2B663DCA"/>
    <w:rsid w:val="2B690E35"/>
    <w:rsid w:val="2B725E2E"/>
    <w:rsid w:val="2B824762"/>
    <w:rsid w:val="2BAE0891"/>
    <w:rsid w:val="2BAE295A"/>
    <w:rsid w:val="2BBA59A0"/>
    <w:rsid w:val="2BC53C4F"/>
    <w:rsid w:val="2BFB08C0"/>
    <w:rsid w:val="2BFD228B"/>
    <w:rsid w:val="2C4F5413"/>
    <w:rsid w:val="2C5D393E"/>
    <w:rsid w:val="2C644BA9"/>
    <w:rsid w:val="2C985978"/>
    <w:rsid w:val="2CB915BF"/>
    <w:rsid w:val="2CC360C5"/>
    <w:rsid w:val="2CD01D06"/>
    <w:rsid w:val="2CD07699"/>
    <w:rsid w:val="2CDF29EC"/>
    <w:rsid w:val="2CE078D5"/>
    <w:rsid w:val="2CFC5E84"/>
    <w:rsid w:val="2D0960A0"/>
    <w:rsid w:val="2D1D3028"/>
    <w:rsid w:val="2D3765B4"/>
    <w:rsid w:val="2D522175"/>
    <w:rsid w:val="2D7132D9"/>
    <w:rsid w:val="2D801130"/>
    <w:rsid w:val="2DAB2C4C"/>
    <w:rsid w:val="2DE62C07"/>
    <w:rsid w:val="2DE65545"/>
    <w:rsid w:val="2DEA10A4"/>
    <w:rsid w:val="2E065E15"/>
    <w:rsid w:val="2E5E6D7E"/>
    <w:rsid w:val="2E8061C8"/>
    <w:rsid w:val="2E880F31"/>
    <w:rsid w:val="2EBD2BDD"/>
    <w:rsid w:val="2EBD5180"/>
    <w:rsid w:val="2EC965F3"/>
    <w:rsid w:val="2ED7671F"/>
    <w:rsid w:val="2EE30245"/>
    <w:rsid w:val="2EEC2EBF"/>
    <w:rsid w:val="2EED5724"/>
    <w:rsid w:val="2EF6230E"/>
    <w:rsid w:val="2F146F4C"/>
    <w:rsid w:val="2F1D24CC"/>
    <w:rsid w:val="2F2307E7"/>
    <w:rsid w:val="2F6578B4"/>
    <w:rsid w:val="2F662E71"/>
    <w:rsid w:val="2FEE1B7A"/>
    <w:rsid w:val="2FFC3EF8"/>
    <w:rsid w:val="30015CE1"/>
    <w:rsid w:val="30054C1A"/>
    <w:rsid w:val="302B32F1"/>
    <w:rsid w:val="30341909"/>
    <w:rsid w:val="303F44B9"/>
    <w:rsid w:val="30495113"/>
    <w:rsid w:val="305665A7"/>
    <w:rsid w:val="30B8125D"/>
    <w:rsid w:val="30CF6095"/>
    <w:rsid w:val="31036440"/>
    <w:rsid w:val="310373D9"/>
    <w:rsid w:val="310C5EFC"/>
    <w:rsid w:val="31293822"/>
    <w:rsid w:val="31356DFC"/>
    <w:rsid w:val="31671CC5"/>
    <w:rsid w:val="3171028E"/>
    <w:rsid w:val="31B96ADD"/>
    <w:rsid w:val="31C2036C"/>
    <w:rsid w:val="31D82A83"/>
    <w:rsid w:val="321E69CF"/>
    <w:rsid w:val="32463868"/>
    <w:rsid w:val="325B45DF"/>
    <w:rsid w:val="32B55C16"/>
    <w:rsid w:val="32D50688"/>
    <w:rsid w:val="32F45ED0"/>
    <w:rsid w:val="335C4430"/>
    <w:rsid w:val="33615649"/>
    <w:rsid w:val="336657EF"/>
    <w:rsid w:val="33671832"/>
    <w:rsid w:val="33776D2E"/>
    <w:rsid w:val="337A6C9E"/>
    <w:rsid w:val="339A08CD"/>
    <w:rsid w:val="339B60C3"/>
    <w:rsid w:val="33A52BAB"/>
    <w:rsid w:val="33BF5CCA"/>
    <w:rsid w:val="33CD093B"/>
    <w:rsid w:val="33E62A12"/>
    <w:rsid w:val="33F21329"/>
    <w:rsid w:val="33F70AD6"/>
    <w:rsid w:val="34000267"/>
    <w:rsid w:val="3430176B"/>
    <w:rsid w:val="347A0EE3"/>
    <w:rsid w:val="34823B52"/>
    <w:rsid w:val="34B0173D"/>
    <w:rsid w:val="34B26218"/>
    <w:rsid w:val="34C80B5E"/>
    <w:rsid w:val="34CF25C8"/>
    <w:rsid w:val="350077FE"/>
    <w:rsid w:val="35070581"/>
    <w:rsid w:val="350971C4"/>
    <w:rsid w:val="350C1AD9"/>
    <w:rsid w:val="353D6F6B"/>
    <w:rsid w:val="35483AA0"/>
    <w:rsid w:val="356C74DA"/>
    <w:rsid w:val="356F0D73"/>
    <w:rsid w:val="35796698"/>
    <w:rsid w:val="35973C0F"/>
    <w:rsid w:val="359F2BA3"/>
    <w:rsid w:val="35BB2549"/>
    <w:rsid w:val="35D17E72"/>
    <w:rsid w:val="35D40DF1"/>
    <w:rsid w:val="36227DB5"/>
    <w:rsid w:val="36275D20"/>
    <w:rsid w:val="362B6D12"/>
    <w:rsid w:val="363D5D5B"/>
    <w:rsid w:val="36864E01"/>
    <w:rsid w:val="36907792"/>
    <w:rsid w:val="36A729CD"/>
    <w:rsid w:val="36AA1EFA"/>
    <w:rsid w:val="36BC42FC"/>
    <w:rsid w:val="36C61BC9"/>
    <w:rsid w:val="36D5068E"/>
    <w:rsid w:val="36DD78DE"/>
    <w:rsid w:val="36E27C37"/>
    <w:rsid w:val="36EE41F0"/>
    <w:rsid w:val="36F64B18"/>
    <w:rsid w:val="3758532E"/>
    <w:rsid w:val="37D578DE"/>
    <w:rsid w:val="37E10067"/>
    <w:rsid w:val="37F50B32"/>
    <w:rsid w:val="3862254C"/>
    <w:rsid w:val="389110E8"/>
    <w:rsid w:val="393C77B2"/>
    <w:rsid w:val="3957348C"/>
    <w:rsid w:val="396725A0"/>
    <w:rsid w:val="397B0DF2"/>
    <w:rsid w:val="39914F3D"/>
    <w:rsid w:val="39A40797"/>
    <w:rsid w:val="39DF4CCC"/>
    <w:rsid w:val="3A4C3C47"/>
    <w:rsid w:val="3A7B266A"/>
    <w:rsid w:val="3A8B2F81"/>
    <w:rsid w:val="3A966060"/>
    <w:rsid w:val="3ABB1150"/>
    <w:rsid w:val="3AF564FB"/>
    <w:rsid w:val="3B1D5897"/>
    <w:rsid w:val="3B226F49"/>
    <w:rsid w:val="3B435BB7"/>
    <w:rsid w:val="3B6254C9"/>
    <w:rsid w:val="3BA0115D"/>
    <w:rsid w:val="3BA6375D"/>
    <w:rsid w:val="3BC95FBF"/>
    <w:rsid w:val="3BD74C8E"/>
    <w:rsid w:val="3BDC142B"/>
    <w:rsid w:val="3BE11400"/>
    <w:rsid w:val="3C2A06CF"/>
    <w:rsid w:val="3C5538B3"/>
    <w:rsid w:val="3C5C3C4C"/>
    <w:rsid w:val="3C6817B3"/>
    <w:rsid w:val="3C896008"/>
    <w:rsid w:val="3CE45A6D"/>
    <w:rsid w:val="3D096A38"/>
    <w:rsid w:val="3D116A98"/>
    <w:rsid w:val="3D2804EB"/>
    <w:rsid w:val="3D646BB5"/>
    <w:rsid w:val="3D7F1700"/>
    <w:rsid w:val="3D9A7397"/>
    <w:rsid w:val="3D9B7ED4"/>
    <w:rsid w:val="3DDE36CB"/>
    <w:rsid w:val="3DF061FB"/>
    <w:rsid w:val="3DF3229D"/>
    <w:rsid w:val="3E36138F"/>
    <w:rsid w:val="3E757720"/>
    <w:rsid w:val="3E953B97"/>
    <w:rsid w:val="3EB046B0"/>
    <w:rsid w:val="3EBD1708"/>
    <w:rsid w:val="3EC24F01"/>
    <w:rsid w:val="3EC5295D"/>
    <w:rsid w:val="3ECB7CDF"/>
    <w:rsid w:val="3EDE2AD3"/>
    <w:rsid w:val="3EF52A44"/>
    <w:rsid w:val="3F127114"/>
    <w:rsid w:val="3F167E9E"/>
    <w:rsid w:val="3F256345"/>
    <w:rsid w:val="3F273F1C"/>
    <w:rsid w:val="3F4E0FAA"/>
    <w:rsid w:val="3F615C62"/>
    <w:rsid w:val="3F626373"/>
    <w:rsid w:val="3F7976C9"/>
    <w:rsid w:val="3F805E47"/>
    <w:rsid w:val="3FD11FEB"/>
    <w:rsid w:val="3FE644CA"/>
    <w:rsid w:val="3FEE25A6"/>
    <w:rsid w:val="40062DA2"/>
    <w:rsid w:val="4015433D"/>
    <w:rsid w:val="401D6359"/>
    <w:rsid w:val="40527268"/>
    <w:rsid w:val="405D5087"/>
    <w:rsid w:val="40842783"/>
    <w:rsid w:val="40890670"/>
    <w:rsid w:val="40A86AC1"/>
    <w:rsid w:val="40B756B8"/>
    <w:rsid w:val="40DF0F2E"/>
    <w:rsid w:val="40E73708"/>
    <w:rsid w:val="41040A34"/>
    <w:rsid w:val="4118372D"/>
    <w:rsid w:val="4125222F"/>
    <w:rsid w:val="41287EB4"/>
    <w:rsid w:val="41335FC9"/>
    <w:rsid w:val="414C08A2"/>
    <w:rsid w:val="41503BF6"/>
    <w:rsid w:val="415E4253"/>
    <w:rsid w:val="418C37E1"/>
    <w:rsid w:val="41CC2635"/>
    <w:rsid w:val="41DF1199"/>
    <w:rsid w:val="41FF5609"/>
    <w:rsid w:val="420D3D52"/>
    <w:rsid w:val="420D4287"/>
    <w:rsid w:val="421A31B0"/>
    <w:rsid w:val="421E323E"/>
    <w:rsid w:val="422E5CC6"/>
    <w:rsid w:val="424348A3"/>
    <w:rsid w:val="425959B4"/>
    <w:rsid w:val="42670E32"/>
    <w:rsid w:val="427B37EA"/>
    <w:rsid w:val="428910AF"/>
    <w:rsid w:val="42F669E1"/>
    <w:rsid w:val="431D3010"/>
    <w:rsid w:val="43225772"/>
    <w:rsid w:val="4327551E"/>
    <w:rsid w:val="434863BE"/>
    <w:rsid w:val="434B5C56"/>
    <w:rsid w:val="436C18CC"/>
    <w:rsid w:val="43C041BF"/>
    <w:rsid w:val="43D5366A"/>
    <w:rsid w:val="43DC0E27"/>
    <w:rsid w:val="4456561E"/>
    <w:rsid w:val="44797683"/>
    <w:rsid w:val="4481496D"/>
    <w:rsid w:val="44B36ACE"/>
    <w:rsid w:val="44BC77EC"/>
    <w:rsid w:val="44C8655A"/>
    <w:rsid w:val="44CB7025"/>
    <w:rsid w:val="44FC3175"/>
    <w:rsid w:val="451F7F28"/>
    <w:rsid w:val="45231D6F"/>
    <w:rsid w:val="452B3604"/>
    <w:rsid w:val="457E5466"/>
    <w:rsid w:val="45AA3B0F"/>
    <w:rsid w:val="45AF5E81"/>
    <w:rsid w:val="45C5329B"/>
    <w:rsid w:val="45EC25C2"/>
    <w:rsid w:val="45FB2A4E"/>
    <w:rsid w:val="461F4288"/>
    <w:rsid w:val="465B1EF3"/>
    <w:rsid w:val="465C481B"/>
    <w:rsid w:val="46850C8B"/>
    <w:rsid w:val="46856383"/>
    <w:rsid w:val="46D46F0B"/>
    <w:rsid w:val="46DA0FD0"/>
    <w:rsid w:val="47056033"/>
    <w:rsid w:val="472250C1"/>
    <w:rsid w:val="472E7904"/>
    <w:rsid w:val="477A43F1"/>
    <w:rsid w:val="478E64B4"/>
    <w:rsid w:val="47936743"/>
    <w:rsid w:val="47BA2B76"/>
    <w:rsid w:val="47E364BD"/>
    <w:rsid w:val="47FB429C"/>
    <w:rsid w:val="48554A25"/>
    <w:rsid w:val="48614361"/>
    <w:rsid w:val="486B44BA"/>
    <w:rsid w:val="488B3DEF"/>
    <w:rsid w:val="48C52015"/>
    <w:rsid w:val="48D10788"/>
    <w:rsid w:val="48E5702B"/>
    <w:rsid w:val="48E94252"/>
    <w:rsid w:val="490551EA"/>
    <w:rsid w:val="494C6832"/>
    <w:rsid w:val="496438D9"/>
    <w:rsid w:val="49690EDC"/>
    <w:rsid w:val="49926698"/>
    <w:rsid w:val="499716FD"/>
    <w:rsid w:val="49BD7782"/>
    <w:rsid w:val="49C76F18"/>
    <w:rsid w:val="49D2497F"/>
    <w:rsid w:val="4A3239D7"/>
    <w:rsid w:val="4A335E29"/>
    <w:rsid w:val="4A5D49A7"/>
    <w:rsid w:val="4A5E723F"/>
    <w:rsid w:val="4A9B5279"/>
    <w:rsid w:val="4AA7140E"/>
    <w:rsid w:val="4ADA45AC"/>
    <w:rsid w:val="4AEF57E1"/>
    <w:rsid w:val="4AF414C6"/>
    <w:rsid w:val="4B086AD7"/>
    <w:rsid w:val="4B153778"/>
    <w:rsid w:val="4B44154F"/>
    <w:rsid w:val="4B784AE9"/>
    <w:rsid w:val="4B892AAA"/>
    <w:rsid w:val="4B8D0E9C"/>
    <w:rsid w:val="4B9D4D6D"/>
    <w:rsid w:val="4BEC1523"/>
    <w:rsid w:val="4C287515"/>
    <w:rsid w:val="4C2F21BB"/>
    <w:rsid w:val="4C363F71"/>
    <w:rsid w:val="4C512114"/>
    <w:rsid w:val="4C7503E7"/>
    <w:rsid w:val="4C891825"/>
    <w:rsid w:val="4CAF0C63"/>
    <w:rsid w:val="4CB02062"/>
    <w:rsid w:val="4CDB3A35"/>
    <w:rsid w:val="4CFD7051"/>
    <w:rsid w:val="4D434F37"/>
    <w:rsid w:val="4D4F7BE1"/>
    <w:rsid w:val="4D872C2D"/>
    <w:rsid w:val="4DA42B01"/>
    <w:rsid w:val="4DE62039"/>
    <w:rsid w:val="4E115510"/>
    <w:rsid w:val="4E1D510A"/>
    <w:rsid w:val="4E33529A"/>
    <w:rsid w:val="4E537B49"/>
    <w:rsid w:val="4E551BCF"/>
    <w:rsid w:val="4E6E5D35"/>
    <w:rsid w:val="4E7A7D4E"/>
    <w:rsid w:val="4EA56803"/>
    <w:rsid w:val="4EAA1951"/>
    <w:rsid w:val="4EAD4631"/>
    <w:rsid w:val="4F0E1AF7"/>
    <w:rsid w:val="4F0F2B72"/>
    <w:rsid w:val="4F7B62B4"/>
    <w:rsid w:val="4F9C5E78"/>
    <w:rsid w:val="4FAD6779"/>
    <w:rsid w:val="50405008"/>
    <w:rsid w:val="504B72C7"/>
    <w:rsid w:val="50620D6F"/>
    <w:rsid w:val="50802B94"/>
    <w:rsid w:val="509C0DEC"/>
    <w:rsid w:val="509D71CD"/>
    <w:rsid w:val="50A26286"/>
    <w:rsid w:val="50CD09DD"/>
    <w:rsid w:val="50F00FE9"/>
    <w:rsid w:val="51056409"/>
    <w:rsid w:val="51104756"/>
    <w:rsid w:val="51736D6C"/>
    <w:rsid w:val="51890802"/>
    <w:rsid w:val="51B0261D"/>
    <w:rsid w:val="51B55A37"/>
    <w:rsid w:val="521D51AA"/>
    <w:rsid w:val="52263E21"/>
    <w:rsid w:val="527C2EB4"/>
    <w:rsid w:val="52810C43"/>
    <w:rsid w:val="528B1CFF"/>
    <w:rsid w:val="5294352D"/>
    <w:rsid w:val="52965DD2"/>
    <w:rsid w:val="529A0FBA"/>
    <w:rsid w:val="52BC5DF4"/>
    <w:rsid w:val="52F6000E"/>
    <w:rsid w:val="53221C65"/>
    <w:rsid w:val="53386499"/>
    <w:rsid w:val="535C4FE2"/>
    <w:rsid w:val="538D51C5"/>
    <w:rsid w:val="53CC3ADE"/>
    <w:rsid w:val="53EA562E"/>
    <w:rsid w:val="543449A8"/>
    <w:rsid w:val="54590915"/>
    <w:rsid w:val="545E7779"/>
    <w:rsid w:val="54A06503"/>
    <w:rsid w:val="54D02D1F"/>
    <w:rsid w:val="55006F88"/>
    <w:rsid w:val="551754FD"/>
    <w:rsid w:val="554A02FD"/>
    <w:rsid w:val="556C3DA3"/>
    <w:rsid w:val="557E5D78"/>
    <w:rsid w:val="55880E41"/>
    <w:rsid w:val="55B066E0"/>
    <w:rsid w:val="55D1017B"/>
    <w:rsid w:val="55EF19D9"/>
    <w:rsid w:val="56121BBE"/>
    <w:rsid w:val="561B3CD6"/>
    <w:rsid w:val="561D46BC"/>
    <w:rsid w:val="56486589"/>
    <w:rsid w:val="56501293"/>
    <w:rsid w:val="5654180F"/>
    <w:rsid w:val="56612CFF"/>
    <w:rsid w:val="569B1BE0"/>
    <w:rsid w:val="56A8086F"/>
    <w:rsid w:val="56BF4848"/>
    <w:rsid w:val="56D06908"/>
    <w:rsid w:val="56EF119B"/>
    <w:rsid w:val="5785532F"/>
    <w:rsid w:val="57864767"/>
    <w:rsid w:val="579C2294"/>
    <w:rsid w:val="57A408D6"/>
    <w:rsid w:val="57CA3325"/>
    <w:rsid w:val="57D572BF"/>
    <w:rsid w:val="58052ED1"/>
    <w:rsid w:val="58210772"/>
    <w:rsid w:val="582608A0"/>
    <w:rsid w:val="584C0094"/>
    <w:rsid w:val="58912831"/>
    <w:rsid w:val="58987F04"/>
    <w:rsid w:val="58A24C00"/>
    <w:rsid w:val="58B56E27"/>
    <w:rsid w:val="58DD51BC"/>
    <w:rsid w:val="58FD06B1"/>
    <w:rsid w:val="59075240"/>
    <w:rsid w:val="590E032C"/>
    <w:rsid w:val="5934156E"/>
    <w:rsid w:val="593744E5"/>
    <w:rsid w:val="5940429F"/>
    <w:rsid w:val="59426C92"/>
    <w:rsid w:val="59672CF3"/>
    <w:rsid w:val="5991341D"/>
    <w:rsid w:val="59A27512"/>
    <w:rsid w:val="59A466C7"/>
    <w:rsid w:val="59EA1A56"/>
    <w:rsid w:val="5A010482"/>
    <w:rsid w:val="5A2C1D8F"/>
    <w:rsid w:val="5A3A37E6"/>
    <w:rsid w:val="5A9821A6"/>
    <w:rsid w:val="5A9F37FF"/>
    <w:rsid w:val="5AA23B19"/>
    <w:rsid w:val="5ABA4D51"/>
    <w:rsid w:val="5AC27CF4"/>
    <w:rsid w:val="5B091427"/>
    <w:rsid w:val="5B141F21"/>
    <w:rsid w:val="5B17509C"/>
    <w:rsid w:val="5B1C5FB6"/>
    <w:rsid w:val="5B582D46"/>
    <w:rsid w:val="5B660822"/>
    <w:rsid w:val="5B9010D6"/>
    <w:rsid w:val="5BA73880"/>
    <w:rsid w:val="5BDB416C"/>
    <w:rsid w:val="5BE6502F"/>
    <w:rsid w:val="5BFD7D70"/>
    <w:rsid w:val="5C3345B7"/>
    <w:rsid w:val="5C4A4BB0"/>
    <w:rsid w:val="5C567561"/>
    <w:rsid w:val="5C5746F8"/>
    <w:rsid w:val="5C6325B1"/>
    <w:rsid w:val="5C8F6241"/>
    <w:rsid w:val="5CD4459F"/>
    <w:rsid w:val="5CDE6D82"/>
    <w:rsid w:val="5D043EAE"/>
    <w:rsid w:val="5D212BDD"/>
    <w:rsid w:val="5D22290C"/>
    <w:rsid w:val="5D391B26"/>
    <w:rsid w:val="5D557AD9"/>
    <w:rsid w:val="5D62442A"/>
    <w:rsid w:val="5D7823B8"/>
    <w:rsid w:val="5D9A56C3"/>
    <w:rsid w:val="5DC7260D"/>
    <w:rsid w:val="5DCF725C"/>
    <w:rsid w:val="5DD169CD"/>
    <w:rsid w:val="5DD26365"/>
    <w:rsid w:val="5DD30CCA"/>
    <w:rsid w:val="5E1723EB"/>
    <w:rsid w:val="5E7F43AC"/>
    <w:rsid w:val="5E976BC8"/>
    <w:rsid w:val="5EA30BF7"/>
    <w:rsid w:val="5F4E20AD"/>
    <w:rsid w:val="5F517840"/>
    <w:rsid w:val="5F865174"/>
    <w:rsid w:val="5F964C32"/>
    <w:rsid w:val="5F9920D2"/>
    <w:rsid w:val="5FA4136B"/>
    <w:rsid w:val="5FB064A7"/>
    <w:rsid w:val="5FC13F0A"/>
    <w:rsid w:val="5FC62184"/>
    <w:rsid w:val="5FD51631"/>
    <w:rsid w:val="5FDE72F6"/>
    <w:rsid w:val="605819C7"/>
    <w:rsid w:val="6064285A"/>
    <w:rsid w:val="60673F4C"/>
    <w:rsid w:val="607508FE"/>
    <w:rsid w:val="60C02B92"/>
    <w:rsid w:val="60ED55E7"/>
    <w:rsid w:val="6140773F"/>
    <w:rsid w:val="619744A2"/>
    <w:rsid w:val="61D072D3"/>
    <w:rsid w:val="61E1537F"/>
    <w:rsid w:val="62501BE4"/>
    <w:rsid w:val="62552A87"/>
    <w:rsid w:val="62652A9E"/>
    <w:rsid w:val="62843FC4"/>
    <w:rsid w:val="629054FC"/>
    <w:rsid w:val="6299512D"/>
    <w:rsid w:val="629A5576"/>
    <w:rsid w:val="62A212A2"/>
    <w:rsid w:val="62BD60DC"/>
    <w:rsid w:val="62BE5387"/>
    <w:rsid w:val="62C56354"/>
    <w:rsid w:val="62D26DDC"/>
    <w:rsid w:val="62F01C69"/>
    <w:rsid w:val="62F91C62"/>
    <w:rsid w:val="62FE786C"/>
    <w:rsid w:val="63072BCC"/>
    <w:rsid w:val="6315696A"/>
    <w:rsid w:val="63273E9D"/>
    <w:rsid w:val="63285926"/>
    <w:rsid w:val="632E475A"/>
    <w:rsid w:val="6356073C"/>
    <w:rsid w:val="636B3418"/>
    <w:rsid w:val="6381672D"/>
    <w:rsid w:val="638650FE"/>
    <w:rsid w:val="63952B1A"/>
    <w:rsid w:val="63BB69D5"/>
    <w:rsid w:val="63C170AD"/>
    <w:rsid w:val="63F15388"/>
    <w:rsid w:val="64016839"/>
    <w:rsid w:val="64153CF6"/>
    <w:rsid w:val="642072AD"/>
    <w:rsid w:val="64426FAC"/>
    <w:rsid w:val="645F1DFD"/>
    <w:rsid w:val="64603DE6"/>
    <w:rsid w:val="646E127E"/>
    <w:rsid w:val="648307EC"/>
    <w:rsid w:val="649D4AAB"/>
    <w:rsid w:val="64AE2B03"/>
    <w:rsid w:val="64E00199"/>
    <w:rsid w:val="64E42B53"/>
    <w:rsid w:val="64FA5ACB"/>
    <w:rsid w:val="65492F6E"/>
    <w:rsid w:val="65BE7A05"/>
    <w:rsid w:val="65D30E3D"/>
    <w:rsid w:val="65D338DA"/>
    <w:rsid w:val="65F26E71"/>
    <w:rsid w:val="663E63C4"/>
    <w:rsid w:val="66777958"/>
    <w:rsid w:val="668F2B06"/>
    <w:rsid w:val="669E6E2A"/>
    <w:rsid w:val="66E61903"/>
    <w:rsid w:val="670A5417"/>
    <w:rsid w:val="673C6ECE"/>
    <w:rsid w:val="675E6B93"/>
    <w:rsid w:val="679F69ED"/>
    <w:rsid w:val="67AF1AC7"/>
    <w:rsid w:val="67B72F7B"/>
    <w:rsid w:val="67D671BD"/>
    <w:rsid w:val="67DB7004"/>
    <w:rsid w:val="67F66FA0"/>
    <w:rsid w:val="680B4BB0"/>
    <w:rsid w:val="681B101F"/>
    <w:rsid w:val="685D30BC"/>
    <w:rsid w:val="68816323"/>
    <w:rsid w:val="689C0DA3"/>
    <w:rsid w:val="68C47A04"/>
    <w:rsid w:val="68D460BA"/>
    <w:rsid w:val="6901006E"/>
    <w:rsid w:val="69150C63"/>
    <w:rsid w:val="69627B1D"/>
    <w:rsid w:val="697E0EB5"/>
    <w:rsid w:val="697F30FA"/>
    <w:rsid w:val="698D3F53"/>
    <w:rsid w:val="69F16999"/>
    <w:rsid w:val="6A266B02"/>
    <w:rsid w:val="6A2A2600"/>
    <w:rsid w:val="6A694DFC"/>
    <w:rsid w:val="6A784F4C"/>
    <w:rsid w:val="6AA17E18"/>
    <w:rsid w:val="6AC80E49"/>
    <w:rsid w:val="6ACD4CFB"/>
    <w:rsid w:val="6AFD504E"/>
    <w:rsid w:val="6B2A6F41"/>
    <w:rsid w:val="6B406C8C"/>
    <w:rsid w:val="6B5F0B5A"/>
    <w:rsid w:val="6B794D1E"/>
    <w:rsid w:val="6BBF1117"/>
    <w:rsid w:val="6BEF7C67"/>
    <w:rsid w:val="6BF277B0"/>
    <w:rsid w:val="6BF35B12"/>
    <w:rsid w:val="6C3919F6"/>
    <w:rsid w:val="6C4B5B3B"/>
    <w:rsid w:val="6C4F62CC"/>
    <w:rsid w:val="6C61224A"/>
    <w:rsid w:val="6C637664"/>
    <w:rsid w:val="6C792F32"/>
    <w:rsid w:val="6C821243"/>
    <w:rsid w:val="6CB42814"/>
    <w:rsid w:val="6D096903"/>
    <w:rsid w:val="6D121BA4"/>
    <w:rsid w:val="6D2D7CA8"/>
    <w:rsid w:val="6D440804"/>
    <w:rsid w:val="6D5F1A40"/>
    <w:rsid w:val="6D813910"/>
    <w:rsid w:val="6DA53478"/>
    <w:rsid w:val="6DAD5523"/>
    <w:rsid w:val="6E0714AB"/>
    <w:rsid w:val="6E2E074A"/>
    <w:rsid w:val="6E4F72C3"/>
    <w:rsid w:val="6E8C1058"/>
    <w:rsid w:val="6E9C533A"/>
    <w:rsid w:val="6E9F3112"/>
    <w:rsid w:val="6EBE157C"/>
    <w:rsid w:val="6EE3776F"/>
    <w:rsid w:val="6F033EC7"/>
    <w:rsid w:val="6F0853D4"/>
    <w:rsid w:val="6F1714D7"/>
    <w:rsid w:val="6F4C16B8"/>
    <w:rsid w:val="6F5850FE"/>
    <w:rsid w:val="6F6525EA"/>
    <w:rsid w:val="6F7B648A"/>
    <w:rsid w:val="6F830A4E"/>
    <w:rsid w:val="6F9C219C"/>
    <w:rsid w:val="6FC45445"/>
    <w:rsid w:val="6FE97C35"/>
    <w:rsid w:val="6FF26397"/>
    <w:rsid w:val="70055143"/>
    <w:rsid w:val="70292EC5"/>
    <w:rsid w:val="705C0FC6"/>
    <w:rsid w:val="70A04330"/>
    <w:rsid w:val="70A13A10"/>
    <w:rsid w:val="70AF4C61"/>
    <w:rsid w:val="70BA1EAD"/>
    <w:rsid w:val="70CE3BAA"/>
    <w:rsid w:val="70E316BB"/>
    <w:rsid w:val="71117641"/>
    <w:rsid w:val="71156382"/>
    <w:rsid w:val="715211FB"/>
    <w:rsid w:val="71576633"/>
    <w:rsid w:val="716345F2"/>
    <w:rsid w:val="716743D5"/>
    <w:rsid w:val="718D3490"/>
    <w:rsid w:val="71997874"/>
    <w:rsid w:val="719E6475"/>
    <w:rsid w:val="71FE401B"/>
    <w:rsid w:val="72811B07"/>
    <w:rsid w:val="7294138C"/>
    <w:rsid w:val="72A00069"/>
    <w:rsid w:val="72A31EFA"/>
    <w:rsid w:val="72A75400"/>
    <w:rsid w:val="72DD00D4"/>
    <w:rsid w:val="72F16F51"/>
    <w:rsid w:val="73171221"/>
    <w:rsid w:val="7334738F"/>
    <w:rsid w:val="734A5E0F"/>
    <w:rsid w:val="734C0143"/>
    <w:rsid w:val="734D08F1"/>
    <w:rsid w:val="736B1B84"/>
    <w:rsid w:val="737A756E"/>
    <w:rsid w:val="738F5BB1"/>
    <w:rsid w:val="73946C2C"/>
    <w:rsid w:val="739E1E18"/>
    <w:rsid w:val="73B6455D"/>
    <w:rsid w:val="74426AAA"/>
    <w:rsid w:val="745340BF"/>
    <w:rsid w:val="746C2E2C"/>
    <w:rsid w:val="74AE50F0"/>
    <w:rsid w:val="74F34180"/>
    <w:rsid w:val="753C2968"/>
    <w:rsid w:val="753F1ECA"/>
    <w:rsid w:val="756B4072"/>
    <w:rsid w:val="75734773"/>
    <w:rsid w:val="75A57FB9"/>
    <w:rsid w:val="75B5748A"/>
    <w:rsid w:val="75B649AF"/>
    <w:rsid w:val="75D44E39"/>
    <w:rsid w:val="75DA0D53"/>
    <w:rsid w:val="75DD1A41"/>
    <w:rsid w:val="75E7449A"/>
    <w:rsid w:val="75FB6490"/>
    <w:rsid w:val="76054289"/>
    <w:rsid w:val="76065314"/>
    <w:rsid w:val="76170497"/>
    <w:rsid w:val="76764473"/>
    <w:rsid w:val="767A09C3"/>
    <w:rsid w:val="76827E37"/>
    <w:rsid w:val="768B2D96"/>
    <w:rsid w:val="76BD4310"/>
    <w:rsid w:val="76BD7233"/>
    <w:rsid w:val="76F35364"/>
    <w:rsid w:val="76F873CC"/>
    <w:rsid w:val="770D7A58"/>
    <w:rsid w:val="77457240"/>
    <w:rsid w:val="77526393"/>
    <w:rsid w:val="7791632E"/>
    <w:rsid w:val="779A50DF"/>
    <w:rsid w:val="77A92E06"/>
    <w:rsid w:val="77C657CC"/>
    <w:rsid w:val="77D82949"/>
    <w:rsid w:val="77E8428B"/>
    <w:rsid w:val="77F75F89"/>
    <w:rsid w:val="781B5927"/>
    <w:rsid w:val="786A2999"/>
    <w:rsid w:val="787A6581"/>
    <w:rsid w:val="789332D0"/>
    <w:rsid w:val="78DC3841"/>
    <w:rsid w:val="78EE309A"/>
    <w:rsid w:val="78F138E1"/>
    <w:rsid w:val="79456010"/>
    <w:rsid w:val="79496D12"/>
    <w:rsid w:val="79741CEB"/>
    <w:rsid w:val="797A29C0"/>
    <w:rsid w:val="797A3212"/>
    <w:rsid w:val="7991238E"/>
    <w:rsid w:val="79B460D7"/>
    <w:rsid w:val="79BC2804"/>
    <w:rsid w:val="79C83864"/>
    <w:rsid w:val="79E50D3A"/>
    <w:rsid w:val="79FD5FD5"/>
    <w:rsid w:val="7A1A1324"/>
    <w:rsid w:val="7A291D39"/>
    <w:rsid w:val="7A2B2992"/>
    <w:rsid w:val="7A4E273C"/>
    <w:rsid w:val="7A570C5B"/>
    <w:rsid w:val="7A737C87"/>
    <w:rsid w:val="7A745A5C"/>
    <w:rsid w:val="7A756E44"/>
    <w:rsid w:val="7A900CAB"/>
    <w:rsid w:val="7AA26E1C"/>
    <w:rsid w:val="7AC15B06"/>
    <w:rsid w:val="7ACE4E37"/>
    <w:rsid w:val="7ADF5739"/>
    <w:rsid w:val="7AEF1593"/>
    <w:rsid w:val="7B1F45AC"/>
    <w:rsid w:val="7B265B3C"/>
    <w:rsid w:val="7B324AC3"/>
    <w:rsid w:val="7B387682"/>
    <w:rsid w:val="7B54266E"/>
    <w:rsid w:val="7BA42308"/>
    <w:rsid w:val="7BAB0CBD"/>
    <w:rsid w:val="7BB068AE"/>
    <w:rsid w:val="7BB45549"/>
    <w:rsid w:val="7BDD3458"/>
    <w:rsid w:val="7C017373"/>
    <w:rsid w:val="7C0977CC"/>
    <w:rsid w:val="7C2877E1"/>
    <w:rsid w:val="7C3A6B8B"/>
    <w:rsid w:val="7C68028B"/>
    <w:rsid w:val="7C6B5760"/>
    <w:rsid w:val="7D136B9C"/>
    <w:rsid w:val="7D1A6423"/>
    <w:rsid w:val="7D3D4EC3"/>
    <w:rsid w:val="7D721E66"/>
    <w:rsid w:val="7D7332D9"/>
    <w:rsid w:val="7D8A4ABE"/>
    <w:rsid w:val="7DA0242A"/>
    <w:rsid w:val="7DB17046"/>
    <w:rsid w:val="7DD13B11"/>
    <w:rsid w:val="7DD476D6"/>
    <w:rsid w:val="7E025951"/>
    <w:rsid w:val="7E0C2354"/>
    <w:rsid w:val="7E4C0CAF"/>
    <w:rsid w:val="7E5D70FA"/>
    <w:rsid w:val="7E6308E9"/>
    <w:rsid w:val="7E954A35"/>
    <w:rsid w:val="7E996DD5"/>
    <w:rsid w:val="7E9C7D46"/>
    <w:rsid w:val="7EAD35DD"/>
    <w:rsid w:val="7ED20BCB"/>
    <w:rsid w:val="7F012B24"/>
    <w:rsid w:val="7F4C265F"/>
    <w:rsid w:val="7F5F1202"/>
    <w:rsid w:val="7F757411"/>
    <w:rsid w:val="7FAC736E"/>
    <w:rsid w:val="7FE031D4"/>
    <w:rsid w:val="7FE61A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autoRedefine/>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link w:val="8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95"/>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autoRedefine/>
    <w:qFormat/>
    <w:uiPriority w:val="0"/>
    <w:pPr>
      <w:keepNext/>
      <w:keepLines/>
      <w:widowControl/>
      <w:spacing w:before="120" w:after="120" w:line="360" w:lineRule="auto"/>
      <w:jc w:val="center"/>
      <w:outlineLvl w:val="3"/>
    </w:pPr>
    <w:rPr>
      <w:rFonts w:ascii="Arial" w:hAnsi="Arial" w:eastAsia="黑体"/>
      <w:kern w:val="0"/>
      <w:szCs w:val="20"/>
    </w:rPr>
  </w:style>
  <w:style w:type="paragraph" w:styleId="7">
    <w:name w:val="heading 5"/>
    <w:basedOn w:val="1"/>
    <w:next w:val="1"/>
    <w:autoRedefine/>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autoRedefine/>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autoRedefine/>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87"/>
    <w:autoRedefine/>
    <w:qFormat/>
    <w:uiPriority w:val="0"/>
    <w:pPr>
      <w:ind w:firstLine="420"/>
    </w:pPr>
    <w:rPr>
      <w:sz w:val="21"/>
      <w:szCs w:val="20"/>
    </w:rPr>
  </w:style>
  <w:style w:type="paragraph" w:styleId="12">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3">
    <w:name w:val="caption"/>
    <w:basedOn w:val="1"/>
    <w:next w:val="1"/>
    <w:autoRedefine/>
    <w:qFormat/>
    <w:uiPriority w:val="0"/>
    <w:pPr>
      <w:spacing w:before="152" w:after="160"/>
    </w:pPr>
    <w:rPr>
      <w:rFonts w:ascii="Arial" w:hAnsi="Arial" w:eastAsia="黑体" w:cs="Arial"/>
      <w:sz w:val="20"/>
      <w:szCs w:val="20"/>
    </w:rPr>
  </w:style>
  <w:style w:type="paragraph" w:styleId="14">
    <w:name w:val="Document Map"/>
    <w:basedOn w:val="1"/>
    <w:autoRedefine/>
    <w:semiHidden/>
    <w:qFormat/>
    <w:uiPriority w:val="0"/>
    <w:pPr>
      <w:shd w:val="clear" w:color="auto" w:fill="000080"/>
    </w:pPr>
  </w:style>
  <w:style w:type="paragraph" w:styleId="15">
    <w:name w:val="annotation text"/>
    <w:basedOn w:val="1"/>
    <w:autoRedefine/>
    <w:semiHidden/>
    <w:qFormat/>
    <w:uiPriority w:val="99"/>
    <w:pPr>
      <w:adjustRightInd w:val="0"/>
      <w:spacing w:line="360" w:lineRule="atLeast"/>
      <w:jc w:val="left"/>
      <w:textAlignment w:val="baseline"/>
    </w:pPr>
    <w:rPr>
      <w:kern w:val="0"/>
      <w:sz w:val="24"/>
      <w:szCs w:val="20"/>
    </w:rPr>
  </w:style>
  <w:style w:type="paragraph" w:styleId="16">
    <w:name w:val="Body Text 3"/>
    <w:basedOn w:val="1"/>
    <w:autoRedefine/>
    <w:qFormat/>
    <w:uiPriority w:val="0"/>
    <w:pPr>
      <w:snapToGrid w:val="0"/>
      <w:spacing w:before="50" w:after="50"/>
    </w:pPr>
  </w:style>
  <w:style w:type="paragraph" w:styleId="17">
    <w:name w:val="List Bullet 3"/>
    <w:basedOn w:val="1"/>
    <w:autoRedefine/>
    <w:qFormat/>
    <w:uiPriority w:val="0"/>
    <w:pPr>
      <w:numPr>
        <w:ilvl w:val="0"/>
        <w:numId w:val="2"/>
      </w:numPr>
    </w:pPr>
    <w:rPr>
      <w:sz w:val="21"/>
    </w:rPr>
  </w:style>
  <w:style w:type="paragraph" w:styleId="18">
    <w:name w:val="Body Text"/>
    <w:basedOn w:val="1"/>
    <w:next w:val="19"/>
    <w:autoRedefine/>
    <w:qFormat/>
    <w:uiPriority w:val="0"/>
    <w:pPr>
      <w:spacing w:line="0" w:lineRule="atLeast"/>
    </w:pPr>
    <w:rPr>
      <w:sz w:val="30"/>
      <w:szCs w:val="20"/>
    </w:rPr>
  </w:style>
  <w:style w:type="paragraph" w:styleId="19">
    <w:name w:val="Body Text First Indent"/>
    <w:basedOn w:val="18"/>
    <w:next w:val="1"/>
    <w:autoRedefine/>
    <w:qFormat/>
    <w:uiPriority w:val="0"/>
    <w:pPr>
      <w:spacing w:after="120" w:line="240" w:lineRule="auto"/>
      <w:ind w:firstLine="420" w:firstLineChars="100"/>
    </w:pPr>
    <w:rPr>
      <w:sz w:val="28"/>
    </w:rPr>
  </w:style>
  <w:style w:type="paragraph" w:styleId="20">
    <w:name w:val="Body Text Indent"/>
    <w:basedOn w:val="1"/>
    <w:next w:val="21"/>
    <w:autoRedefine/>
    <w:qFormat/>
    <w:uiPriority w:val="0"/>
    <w:pPr>
      <w:widowControl/>
      <w:tabs>
        <w:tab w:val="left" w:pos="0"/>
        <w:tab w:val="left" w:pos="993"/>
        <w:tab w:val="left" w:pos="1134"/>
      </w:tabs>
      <w:spacing w:line="500" w:lineRule="exact"/>
      <w:ind w:firstLine="567"/>
    </w:pPr>
    <w:rPr>
      <w:rFonts w:ascii="宋体"/>
      <w:kern w:val="0"/>
      <w:szCs w:val="20"/>
    </w:rPr>
  </w:style>
  <w:style w:type="paragraph" w:styleId="21">
    <w:name w:val="Body Text First Indent 2"/>
    <w:basedOn w:val="20"/>
    <w:next w:val="1"/>
    <w:autoRedefine/>
    <w:unhideWhenUsed/>
    <w:qFormat/>
    <w:uiPriority w:val="99"/>
    <w:pPr>
      <w:spacing w:after="120" w:line="240" w:lineRule="auto"/>
      <w:ind w:left="420" w:leftChars="200" w:firstLine="420" w:firstLineChars="200"/>
    </w:pPr>
    <w:rPr>
      <w:rFonts w:ascii="Calibri" w:hAnsi="Calibri"/>
      <w:sz w:val="21"/>
      <w:szCs w:val="24"/>
    </w:rPr>
  </w:style>
  <w:style w:type="paragraph" w:styleId="22">
    <w:name w:val="List Number 3"/>
    <w:basedOn w:val="1"/>
    <w:autoRedefine/>
    <w:qFormat/>
    <w:uiPriority w:val="0"/>
    <w:pPr>
      <w:numPr>
        <w:ilvl w:val="0"/>
        <w:numId w:val="3"/>
      </w:numPr>
    </w:pPr>
    <w:rPr>
      <w:sz w:val="21"/>
    </w:rPr>
  </w:style>
  <w:style w:type="paragraph" w:styleId="23">
    <w:name w:val="List 2"/>
    <w:basedOn w:val="1"/>
    <w:autoRedefine/>
    <w:qFormat/>
    <w:uiPriority w:val="0"/>
    <w:pPr>
      <w:ind w:left="100" w:leftChars="200" w:hanging="200" w:hangingChars="200"/>
    </w:pPr>
  </w:style>
  <w:style w:type="paragraph" w:styleId="24">
    <w:name w:val="Block Text"/>
    <w:basedOn w:val="1"/>
    <w:autoRedefine/>
    <w:qFormat/>
    <w:uiPriority w:val="0"/>
    <w:pPr>
      <w:adjustRightInd w:val="0"/>
      <w:ind w:left="420" w:right="33"/>
      <w:jc w:val="left"/>
      <w:textAlignment w:val="baseline"/>
    </w:pPr>
    <w:rPr>
      <w:kern w:val="0"/>
      <w:sz w:val="24"/>
      <w:szCs w:val="20"/>
    </w:rPr>
  </w:style>
  <w:style w:type="paragraph" w:styleId="25">
    <w:name w:val="toc 3"/>
    <w:basedOn w:val="1"/>
    <w:next w:val="1"/>
    <w:autoRedefine/>
    <w:semiHidden/>
    <w:qFormat/>
    <w:uiPriority w:val="0"/>
    <w:pPr>
      <w:widowControl/>
      <w:ind w:left="400" w:right="255"/>
    </w:pPr>
    <w:rPr>
      <w:kern w:val="0"/>
      <w:sz w:val="24"/>
      <w:szCs w:val="20"/>
    </w:rPr>
  </w:style>
  <w:style w:type="paragraph" w:styleId="26">
    <w:name w:val="Plain Text"/>
    <w:basedOn w:val="1"/>
    <w:next w:val="18"/>
    <w:link w:val="79"/>
    <w:autoRedefine/>
    <w:qFormat/>
    <w:uiPriority w:val="0"/>
    <w:pPr>
      <w:adjustRightInd w:val="0"/>
      <w:snapToGrid w:val="0"/>
    </w:pPr>
    <w:rPr>
      <w:rFonts w:ascii="宋体" w:hAnsi="Courier New" w:cs="Courier New"/>
      <w:sz w:val="21"/>
      <w:szCs w:val="21"/>
    </w:rPr>
  </w:style>
  <w:style w:type="paragraph" w:styleId="27">
    <w:name w:val="Date"/>
    <w:basedOn w:val="1"/>
    <w:next w:val="1"/>
    <w:autoRedefine/>
    <w:qFormat/>
    <w:uiPriority w:val="0"/>
    <w:rPr>
      <w:szCs w:val="20"/>
    </w:rPr>
  </w:style>
  <w:style w:type="paragraph" w:styleId="28">
    <w:name w:val="Body Text Indent 2"/>
    <w:basedOn w:val="1"/>
    <w:autoRedefine/>
    <w:qFormat/>
    <w:uiPriority w:val="0"/>
    <w:pPr>
      <w:ind w:firstLine="560" w:firstLineChars="200"/>
    </w:pPr>
    <w:rPr>
      <w:rFonts w:ascii="宋体" w:hAnsi="宋体"/>
      <w:szCs w:val="20"/>
    </w:rPr>
  </w:style>
  <w:style w:type="paragraph" w:styleId="29">
    <w:name w:val="Balloon Text"/>
    <w:basedOn w:val="1"/>
    <w:autoRedefine/>
    <w:semiHidden/>
    <w:qFormat/>
    <w:uiPriority w:val="0"/>
    <w:rPr>
      <w:sz w:val="18"/>
      <w:szCs w:val="18"/>
    </w:rPr>
  </w:style>
  <w:style w:type="paragraph" w:styleId="30">
    <w:name w:val="footer"/>
    <w:basedOn w:val="1"/>
    <w:link w:val="84"/>
    <w:autoRedefine/>
    <w:qFormat/>
    <w:uiPriority w:val="0"/>
    <w:pPr>
      <w:tabs>
        <w:tab w:val="center" w:pos="4153"/>
        <w:tab w:val="right" w:pos="8306"/>
      </w:tabs>
      <w:snapToGrid w:val="0"/>
      <w:jc w:val="left"/>
    </w:pPr>
    <w:rPr>
      <w:sz w:val="18"/>
      <w:szCs w:val="18"/>
    </w:rPr>
  </w:style>
  <w:style w:type="paragraph" w:styleId="31">
    <w:name w:val="envelope return"/>
    <w:basedOn w:val="1"/>
    <w:autoRedefine/>
    <w:qFormat/>
    <w:uiPriority w:val="0"/>
    <w:pPr>
      <w:widowControl/>
      <w:adjustRightInd w:val="0"/>
      <w:snapToGrid w:val="0"/>
      <w:spacing w:after="200"/>
      <w:jc w:val="left"/>
    </w:pPr>
    <w:rPr>
      <w:rFonts w:ascii="Arial" w:hAnsi="Arial" w:eastAsia="微软雅黑"/>
      <w:kern w:val="0"/>
      <w:sz w:val="22"/>
      <w:szCs w:val="22"/>
    </w:rPr>
  </w:style>
  <w:style w:type="paragraph" w:styleId="32">
    <w:name w:val="header"/>
    <w:basedOn w:val="1"/>
    <w:link w:val="69"/>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0"/>
  </w:style>
  <w:style w:type="paragraph" w:styleId="34">
    <w:name w:val="toc 4"/>
    <w:basedOn w:val="1"/>
    <w:next w:val="1"/>
    <w:autoRedefine/>
    <w:qFormat/>
    <w:uiPriority w:val="0"/>
    <w:pPr>
      <w:wordWrap w:val="0"/>
      <w:ind w:left="850"/>
    </w:pPr>
    <w:rPr>
      <w:rFonts w:ascii="Calibri" w:hAnsi="Calibri"/>
      <w:sz w:val="21"/>
    </w:rPr>
  </w:style>
  <w:style w:type="paragraph" w:styleId="35">
    <w:name w:val="List"/>
    <w:basedOn w:val="1"/>
    <w:autoRedefine/>
    <w:qFormat/>
    <w:uiPriority w:val="0"/>
    <w:pPr>
      <w:ind w:left="200" w:hanging="200" w:hangingChars="200"/>
    </w:pPr>
  </w:style>
  <w:style w:type="paragraph" w:styleId="36">
    <w:name w:val="Body Text Indent 3"/>
    <w:basedOn w:val="1"/>
    <w:autoRedefine/>
    <w:qFormat/>
    <w:uiPriority w:val="0"/>
    <w:pPr>
      <w:ind w:firstLine="419" w:firstLineChars="161"/>
    </w:pPr>
    <w:rPr>
      <w:rFonts w:ascii="宋体" w:hAnsi="宋体"/>
      <w:szCs w:val="20"/>
    </w:rPr>
  </w:style>
  <w:style w:type="paragraph" w:styleId="37">
    <w:name w:val="toc 2"/>
    <w:basedOn w:val="1"/>
    <w:next w:val="1"/>
    <w:autoRedefine/>
    <w:qFormat/>
    <w:uiPriority w:val="0"/>
    <w:pPr>
      <w:ind w:left="420" w:leftChars="200"/>
    </w:pPr>
  </w:style>
  <w:style w:type="paragraph" w:styleId="38">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3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1">
    <w:name w:val="Title"/>
    <w:basedOn w:val="1"/>
    <w:autoRedefine/>
    <w:qFormat/>
    <w:uiPriority w:val="0"/>
    <w:pPr>
      <w:widowControl/>
      <w:overflowPunct w:val="0"/>
      <w:autoSpaceDE w:val="0"/>
      <w:autoSpaceDN w:val="0"/>
      <w:adjustRightInd w:val="0"/>
      <w:snapToGrid/>
      <w:spacing w:line="360" w:lineRule="auto"/>
      <w:jc w:val="center"/>
      <w:textAlignment w:val="baseline"/>
    </w:pPr>
    <w:rPr>
      <w:rFonts w:ascii="仿宋" w:hAnsi="仿宋" w:eastAsia="仿宋"/>
      <w:kern w:val="3"/>
      <w:sz w:val="18"/>
      <w:szCs w:val="18"/>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autoRedefine/>
    <w:qFormat/>
    <w:uiPriority w:val="0"/>
    <w:rPr>
      <w:b/>
      <w:bCs/>
    </w:rPr>
  </w:style>
  <w:style w:type="character" w:styleId="46">
    <w:name w:val="page number"/>
    <w:basedOn w:val="44"/>
    <w:autoRedefine/>
    <w:qFormat/>
    <w:uiPriority w:val="0"/>
  </w:style>
  <w:style w:type="character" w:styleId="47">
    <w:name w:val="FollowedHyperlink"/>
    <w:autoRedefine/>
    <w:qFormat/>
    <w:uiPriority w:val="99"/>
    <w:rPr>
      <w:color w:val="333333"/>
      <w:u w:val="none"/>
    </w:rPr>
  </w:style>
  <w:style w:type="character" w:styleId="48">
    <w:name w:val="Emphasis"/>
    <w:autoRedefine/>
    <w:qFormat/>
    <w:uiPriority w:val="0"/>
    <w:rPr>
      <w:color w:val="CC0033"/>
    </w:rPr>
  </w:style>
  <w:style w:type="character" w:styleId="49">
    <w:name w:val="HTML Definition"/>
    <w:autoRedefine/>
    <w:qFormat/>
    <w:uiPriority w:val="0"/>
  </w:style>
  <w:style w:type="character" w:styleId="50">
    <w:name w:val="HTML Typewriter"/>
    <w:autoRedefine/>
    <w:qFormat/>
    <w:uiPriority w:val="0"/>
    <w:rPr>
      <w:rFonts w:hint="default" w:ascii="monospace" w:hAnsi="monospace" w:eastAsia="monospace" w:cs="monospace"/>
      <w:sz w:val="20"/>
    </w:rPr>
  </w:style>
  <w:style w:type="character" w:styleId="51">
    <w:name w:val="HTML Acronym"/>
    <w:basedOn w:val="44"/>
    <w:autoRedefine/>
    <w:qFormat/>
    <w:uiPriority w:val="0"/>
  </w:style>
  <w:style w:type="character" w:styleId="52">
    <w:name w:val="HTML Variable"/>
    <w:autoRedefine/>
    <w:qFormat/>
    <w:uiPriority w:val="0"/>
  </w:style>
  <w:style w:type="character" w:styleId="53">
    <w:name w:val="Hyperlink"/>
    <w:autoRedefine/>
    <w:qFormat/>
    <w:uiPriority w:val="99"/>
    <w:rPr>
      <w:color w:val="333333"/>
      <w:u w:val="none"/>
    </w:rPr>
  </w:style>
  <w:style w:type="character" w:styleId="54">
    <w:name w:val="HTML Code"/>
    <w:autoRedefine/>
    <w:qFormat/>
    <w:uiPriority w:val="0"/>
    <w:rPr>
      <w:rFonts w:ascii="monospace" w:hAnsi="monospace" w:eastAsia="monospace" w:cs="monospace"/>
      <w:sz w:val="20"/>
    </w:rPr>
  </w:style>
  <w:style w:type="character" w:styleId="55">
    <w:name w:val="annotation reference"/>
    <w:autoRedefine/>
    <w:qFormat/>
    <w:uiPriority w:val="0"/>
    <w:rPr>
      <w:rFonts w:ascii="Tahoma" w:hAnsi="Tahoma"/>
      <w:sz w:val="21"/>
      <w:szCs w:val="21"/>
    </w:rPr>
  </w:style>
  <w:style w:type="character" w:styleId="56">
    <w:name w:val="HTML Cite"/>
    <w:autoRedefine/>
    <w:qFormat/>
    <w:uiPriority w:val="0"/>
  </w:style>
  <w:style w:type="character" w:styleId="57">
    <w:name w:val="HTML Keyboard"/>
    <w:autoRedefine/>
    <w:qFormat/>
    <w:uiPriority w:val="0"/>
    <w:rPr>
      <w:rFonts w:hint="default" w:ascii="monospace" w:hAnsi="monospace" w:eastAsia="monospace" w:cs="monospace"/>
      <w:sz w:val="20"/>
    </w:rPr>
  </w:style>
  <w:style w:type="character" w:styleId="58">
    <w:name w:val="HTML Sample"/>
    <w:autoRedefine/>
    <w:qFormat/>
    <w:uiPriority w:val="0"/>
    <w:rPr>
      <w:rFonts w:hint="default" w:ascii="monospace" w:hAnsi="monospace" w:eastAsia="monospace" w:cs="monospace"/>
    </w:rPr>
  </w:style>
  <w:style w:type="paragraph" w:customStyle="1" w:styleId="59">
    <w:name w:val="正文首行缩进2字符"/>
    <w:basedOn w:val="1"/>
    <w:autoRedefine/>
    <w:qFormat/>
    <w:uiPriority w:val="0"/>
    <w:pPr>
      <w:widowControl/>
      <w:adjustRightInd w:val="0"/>
    </w:pPr>
  </w:style>
  <w:style w:type="paragraph" w:customStyle="1" w:styleId="60">
    <w:name w:val="目录 44"/>
    <w:next w:val="1"/>
    <w:autoRedefine/>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61">
    <w:name w:val="DAS正文"/>
    <w:basedOn w:val="1"/>
    <w:autoRedefine/>
    <w:qFormat/>
    <w:uiPriority w:val="0"/>
    <w:pPr>
      <w:spacing w:line="360" w:lineRule="auto"/>
      <w:ind w:right="181" w:firstLine="480" w:firstLineChars="200"/>
    </w:pPr>
    <w:rPr>
      <w:rFonts w:ascii="Verdana" w:hAnsi="Verdana"/>
    </w:rPr>
  </w:style>
  <w:style w:type="paragraph" w:customStyle="1" w:styleId="62">
    <w:name w:val="_Style 1"/>
    <w:autoRedefine/>
    <w:qFormat/>
    <w:uiPriority w:val="0"/>
    <w:rPr>
      <w:rFonts w:ascii="Times New Roman" w:hAnsi="Times New Roman" w:eastAsia="宋体" w:cs="Times New Roman"/>
      <w:kern w:val="2"/>
      <w:sz w:val="28"/>
      <w:szCs w:val="22"/>
      <w:lang w:val="en-US" w:eastAsia="zh-CN" w:bidi="ar-SA"/>
    </w:rPr>
  </w:style>
  <w:style w:type="paragraph" w:customStyle="1" w:styleId="63">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64">
    <w:name w:val="font3"/>
    <w:basedOn w:val="44"/>
    <w:autoRedefine/>
    <w:qFormat/>
    <w:uiPriority w:val="0"/>
  </w:style>
  <w:style w:type="character" w:customStyle="1" w:styleId="65">
    <w:name w:val="style1"/>
    <w:basedOn w:val="44"/>
    <w:autoRedefine/>
    <w:qFormat/>
    <w:uiPriority w:val="0"/>
  </w:style>
  <w:style w:type="character" w:customStyle="1" w:styleId="66">
    <w:name w:val="节标题 1.1 Char Char"/>
    <w:autoRedefine/>
    <w:qFormat/>
    <w:uiPriority w:val="0"/>
    <w:rPr>
      <w:rFonts w:ascii="Arial" w:hAnsi="Arial" w:eastAsia="黑体"/>
      <w:b/>
      <w:bCs/>
      <w:kern w:val="2"/>
      <w:sz w:val="32"/>
      <w:szCs w:val="32"/>
      <w:lang w:val="en-US" w:eastAsia="zh-CN" w:bidi="ar-SA"/>
    </w:rPr>
  </w:style>
  <w:style w:type="character" w:customStyle="1" w:styleId="67">
    <w:name w:val="141"/>
    <w:autoRedefine/>
    <w:qFormat/>
    <w:uiPriority w:val="0"/>
    <w:rPr>
      <w:color w:val="333333"/>
      <w:sz w:val="21"/>
      <w:szCs w:val="21"/>
      <w:u w:val="none"/>
    </w:rPr>
  </w:style>
  <w:style w:type="character" w:customStyle="1" w:styleId="68">
    <w:name w:val="正文（首行缩进两字） Char Char Char Char1"/>
    <w:autoRedefine/>
    <w:qFormat/>
    <w:uiPriority w:val="0"/>
    <w:rPr>
      <w:rFonts w:eastAsia="宋体"/>
      <w:kern w:val="2"/>
      <w:sz w:val="21"/>
      <w:lang w:val="en-US" w:eastAsia="zh-CN" w:bidi="ar-SA"/>
    </w:rPr>
  </w:style>
  <w:style w:type="character" w:customStyle="1" w:styleId="69">
    <w:name w:val="页眉 Char"/>
    <w:link w:val="32"/>
    <w:autoRedefine/>
    <w:semiHidden/>
    <w:qFormat/>
    <w:uiPriority w:val="0"/>
    <w:rPr>
      <w:rFonts w:eastAsia="宋体"/>
      <w:kern w:val="2"/>
      <w:sz w:val="18"/>
      <w:szCs w:val="18"/>
      <w:lang w:val="en-US" w:eastAsia="zh-CN" w:bidi="ar-SA"/>
    </w:rPr>
  </w:style>
  <w:style w:type="character" w:customStyle="1" w:styleId="70">
    <w:name w:val="sdtype"/>
    <w:autoRedefine/>
    <w:qFormat/>
    <w:uiPriority w:val="0"/>
  </w:style>
  <w:style w:type="character" w:customStyle="1" w:styleId="71">
    <w:name w:val="ptb181"/>
    <w:autoRedefine/>
    <w:qFormat/>
    <w:uiPriority w:val="0"/>
    <w:rPr>
      <w:rFonts w:hint="default" w:ascii="Verdana" w:hAnsi="Verdana"/>
      <w:b/>
      <w:bCs/>
      <w:color w:val="000000"/>
      <w:sz w:val="26"/>
      <w:szCs w:val="26"/>
    </w:rPr>
  </w:style>
  <w:style w:type="character" w:customStyle="1" w:styleId="72">
    <w:name w:val="style5"/>
    <w:basedOn w:val="44"/>
    <w:autoRedefine/>
    <w:qFormat/>
    <w:uiPriority w:val="0"/>
  </w:style>
  <w:style w:type="character" w:customStyle="1" w:styleId="73">
    <w:name w:val="Char Char1"/>
    <w:autoRedefine/>
    <w:qFormat/>
    <w:uiPriority w:val="0"/>
    <w:rPr>
      <w:kern w:val="2"/>
      <w:sz w:val="18"/>
      <w:szCs w:val="18"/>
    </w:rPr>
  </w:style>
  <w:style w:type="character" w:customStyle="1" w:styleId="74">
    <w:name w:val="style51"/>
    <w:autoRedefine/>
    <w:qFormat/>
    <w:uiPriority w:val="0"/>
    <w:rPr>
      <w:sz w:val="18"/>
      <w:szCs w:val="18"/>
    </w:rPr>
  </w:style>
  <w:style w:type="character" w:customStyle="1" w:styleId="75">
    <w:name w:val="页脚 Char1"/>
    <w:autoRedefine/>
    <w:qFormat/>
    <w:locked/>
    <w:uiPriority w:val="99"/>
    <w:rPr>
      <w:rFonts w:ascii="Tahoma" w:hAnsi="Tahoma" w:eastAsia="黑体"/>
      <w:snapToGrid w:val="0"/>
      <w:sz w:val="18"/>
      <w:szCs w:val="18"/>
      <w:lang w:val="en-US" w:eastAsia="zh-CN" w:bidi="ar-SA"/>
    </w:rPr>
  </w:style>
  <w:style w:type="character" w:customStyle="1" w:styleId="76">
    <w:name w:val="flname7"/>
    <w:basedOn w:val="44"/>
    <w:autoRedefine/>
    <w:qFormat/>
    <w:uiPriority w:val="0"/>
  </w:style>
  <w:style w:type="character" w:customStyle="1" w:styleId="77">
    <w:name w:val="标题 1 Char Char"/>
    <w:autoRedefine/>
    <w:qFormat/>
    <w:uiPriority w:val="0"/>
    <w:rPr>
      <w:rFonts w:eastAsia="宋体"/>
      <w:b/>
      <w:spacing w:val="-2"/>
      <w:sz w:val="24"/>
      <w:lang w:val="en-US" w:eastAsia="zh-CN" w:bidi="ar-SA"/>
    </w:rPr>
  </w:style>
  <w:style w:type="character" w:customStyle="1" w:styleId="78">
    <w:name w:val="页码1"/>
    <w:basedOn w:val="44"/>
    <w:autoRedefine/>
    <w:qFormat/>
    <w:uiPriority w:val="0"/>
  </w:style>
  <w:style w:type="character" w:customStyle="1" w:styleId="79">
    <w:name w:val="纯文本 Char"/>
    <w:link w:val="26"/>
    <w:autoRedefine/>
    <w:qFormat/>
    <w:uiPriority w:val="0"/>
    <w:rPr>
      <w:rFonts w:ascii="宋体" w:hAnsi="Courier New" w:eastAsia="宋体" w:cs="Courier New"/>
      <w:kern w:val="2"/>
      <w:sz w:val="21"/>
      <w:szCs w:val="21"/>
      <w:lang w:val="en-US" w:eastAsia="zh-CN" w:bidi="ar-SA"/>
    </w:rPr>
  </w:style>
  <w:style w:type="character" w:customStyle="1" w:styleId="80">
    <w:name w:val="Char Char6"/>
    <w:autoRedefine/>
    <w:qFormat/>
    <w:uiPriority w:val="0"/>
    <w:rPr>
      <w:rFonts w:eastAsia="宋体"/>
      <w:kern w:val="2"/>
      <w:sz w:val="18"/>
      <w:szCs w:val="18"/>
      <w:lang w:val="en-US" w:eastAsia="zh-CN" w:bidi="ar-SA"/>
    </w:rPr>
  </w:style>
  <w:style w:type="character" w:customStyle="1" w:styleId="81">
    <w:name w:val="a Char"/>
    <w:link w:val="82"/>
    <w:autoRedefine/>
    <w:qFormat/>
    <w:uiPriority w:val="0"/>
    <w:rPr>
      <w:rFonts w:ascii="宋体" w:hAnsi="宋体" w:eastAsia="仿宋_GB2312"/>
      <w:sz w:val="24"/>
      <w:lang w:val="en-US" w:eastAsia="zh-CN" w:bidi="ar-SA"/>
    </w:rPr>
  </w:style>
  <w:style w:type="paragraph" w:customStyle="1" w:styleId="82">
    <w:name w:val="a"/>
    <w:basedOn w:val="1"/>
    <w:link w:val="81"/>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83">
    <w:name w:val="纯文本 Char2"/>
    <w:autoRedefine/>
    <w:qFormat/>
    <w:uiPriority w:val="0"/>
    <w:rPr>
      <w:rFonts w:ascii="宋体" w:hAnsi="Courier New" w:eastAsia="宋体"/>
      <w:kern w:val="2"/>
      <w:sz w:val="24"/>
      <w:szCs w:val="24"/>
      <w:lang w:val="en-US" w:eastAsia="zh-CN" w:bidi="ar-SA"/>
    </w:rPr>
  </w:style>
  <w:style w:type="character" w:customStyle="1" w:styleId="84">
    <w:name w:val="页脚 Char"/>
    <w:link w:val="30"/>
    <w:autoRedefine/>
    <w:semiHidden/>
    <w:qFormat/>
    <w:uiPriority w:val="0"/>
    <w:rPr>
      <w:rFonts w:eastAsia="宋体"/>
      <w:kern w:val="2"/>
      <w:sz w:val="18"/>
      <w:szCs w:val="18"/>
      <w:lang w:val="en-US" w:eastAsia="zh-CN" w:bidi="ar-SA"/>
    </w:rPr>
  </w:style>
  <w:style w:type="character" w:customStyle="1" w:styleId="85">
    <w:name w:val="Char Char2"/>
    <w:autoRedefine/>
    <w:qFormat/>
    <w:uiPriority w:val="0"/>
    <w:rPr>
      <w:rFonts w:ascii="宋体" w:hAnsi="Courier New" w:eastAsia="宋体"/>
      <w:sz w:val="21"/>
      <w:lang w:val="en-US" w:eastAsia="zh-CN" w:bidi="ar-SA"/>
    </w:rPr>
  </w:style>
  <w:style w:type="character" w:customStyle="1" w:styleId="86">
    <w:name w:val="标题 2 Char"/>
    <w:link w:val="3"/>
    <w:autoRedefine/>
    <w:qFormat/>
    <w:uiPriority w:val="0"/>
    <w:rPr>
      <w:rFonts w:ascii="Arial" w:hAnsi="Arial" w:eastAsia="黑体"/>
      <w:b/>
      <w:bCs/>
      <w:kern w:val="2"/>
      <w:sz w:val="32"/>
      <w:szCs w:val="32"/>
      <w:lang w:val="en-US" w:eastAsia="zh-CN" w:bidi="ar-SA"/>
    </w:rPr>
  </w:style>
  <w:style w:type="character" w:customStyle="1" w:styleId="87">
    <w:name w:val="正文缩进 Char"/>
    <w:link w:val="5"/>
    <w:autoRedefine/>
    <w:qFormat/>
    <w:uiPriority w:val="0"/>
    <w:rPr>
      <w:rFonts w:eastAsia="宋体"/>
      <w:kern w:val="2"/>
      <w:sz w:val="21"/>
      <w:lang w:val="en-US" w:eastAsia="zh-CN" w:bidi="ar-SA"/>
    </w:rPr>
  </w:style>
  <w:style w:type="character" w:customStyle="1" w:styleId="88">
    <w:name w:val="title14"/>
    <w:basedOn w:val="44"/>
    <w:autoRedefine/>
    <w:qFormat/>
    <w:uiPriority w:val="0"/>
  </w:style>
  <w:style w:type="character" w:customStyle="1" w:styleId="89">
    <w:name w:val="正文缩进 Char2"/>
    <w:autoRedefine/>
    <w:qFormat/>
    <w:uiPriority w:val="0"/>
    <w:rPr>
      <w:rFonts w:ascii="Tahoma" w:hAnsi="Tahoma" w:eastAsia="宋体"/>
      <w:kern w:val="2"/>
      <w:sz w:val="21"/>
      <w:lang w:val="en-US" w:eastAsia="zh-CN" w:bidi="ar-SA"/>
    </w:rPr>
  </w:style>
  <w:style w:type="character" w:customStyle="1" w:styleId="90">
    <w:name w:val="b titlename wangputoptitle"/>
    <w:basedOn w:val="44"/>
    <w:autoRedefine/>
    <w:qFormat/>
    <w:uiPriority w:val="0"/>
  </w:style>
  <w:style w:type="character" w:customStyle="1" w:styleId="91">
    <w:name w:val="Char Char10"/>
    <w:autoRedefine/>
    <w:qFormat/>
    <w:uiPriority w:val="0"/>
    <w:rPr>
      <w:rFonts w:ascii="宋体" w:hAnsi="Courier New" w:eastAsia="宋体"/>
      <w:kern w:val="2"/>
      <w:sz w:val="24"/>
      <w:szCs w:val="24"/>
      <w:lang w:val="en-US" w:eastAsia="zh-CN" w:bidi="ar-SA"/>
    </w:rPr>
  </w:style>
  <w:style w:type="character" w:customStyle="1" w:styleId="92">
    <w:name w:val="maywed421"/>
    <w:autoRedefine/>
    <w:qFormat/>
    <w:uiPriority w:val="0"/>
    <w:rPr>
      <w:color w:val="366FB6"/>
      <w:u w:val="none"/>
    </w:rPr>
  </w:style>
  <w:style w:type="character" w:customStyle="1" w:styleId="93">
    <w:name w:val="style2"/>
    <w:basedOn w:val="44"/>
    <w:autoRedefine/>
    <w:qFormat/>
    <w:uiPriority w:val="0"/>
  </w:style>
  <w:style w:type="character" w:customStyle="1" w:styleId="94">
    <w:name w:val="para"/>
    <w:basedOn w:val="44"/>
    <w:autoRedefine/>
    <w:qFormat/>
    <w:uiPriority w:val="0"/>
  </w:style>
  <w:style w:type="character" w:customStyle="1" w:styleId="95">
    <w:name w:val="标题 3 Char"/>
    <w:link w:val="4"/>
    <w:autoRedefine/>
    <w:qFormat/>
    <w:uiPriority w:val="0"/>
    <w:rPr>
      <w:rFonts w:eastAsia="宋体"/>
      <w:b/>
      <w:sz w:val="32"/>
      <w:lang w:val="en-US" w:eastAsia="zh-CN" w:bidi="ar-SA"/>
    </w:rPr>
  </w:style>
  <w:style w:type="paragraph" w:customStyle="1" w:styleId="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8">
    <w:name w:val="+正文"/>
    <w:basedOn w:val="1"/>
    <w:autoRedefine/>
    <w:qFormat/>
    <w:uiPriority w:val="0"/>
    <w:pPr>
      <w:spacing w:line="360" w:lineRule="auto"/>
      <w:ind w:firstLine="200" w:firstLineChars="200"/>
    </w:pPr>
    <w:rPr>
      <w:sz w:val="24"/>
      <w:szCs w:val="28"/>
    </w:rPr>
  </w:style>
  <w:style w:type="paragraph" w:customStyle="1" w:styleId="99">
    <w:name w:val="Char Char24 Char Char Char Char"/>
    <w:basedOn w:val="1"/>
    <w:autoRedefine/>
    <w:qFormat/>
    <w:uiPriority w:val="0"/>
    <w:pPr>
      <w:widowControl/>
      <w:spacing w:after="160" w:line="240" w:lineRule="exact"/>
      <w:jc w:val="left"/>
    </w:pPr>
    <w:rPr>
      <w:rFonts w:ascii="仿宋_GB2312" w:eastAsia="仿宋_GB2312"/>
      <w:spacing w:val="20"/>
    </w:rPr>
  </w:style>
  <w:style w:type="paragraph" w:customStyle="1" w:styleId="100">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Table Paragraph"/>
    <w:basedOn w:val="1"/>
    <w:autoRedefine/>
    <w:qFormat/>
    <w:uiPriority w:val="1"/>
    <w:rPr>
      <w:rFonts w:ascii="宋体" w:hAnsi="宋体" w:cs="宋体"/>
      <w:lang w:val="zh-CN" w:bidi="zh-CN"/>
    </w:rPr>
  </w:style>
  <w:style w:type="paragraph" w:customStyle="1" w:styleId="102">
    <w:name w:val="_Style 3"/>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正文段"/>
    <w:basedOn w:val="1"/>
    <w:autoRedefine/>
    <w:qFormat/>
    <w:uiPriority w:val="0"/>
    <w:pPr>
      <w:widowControl/>
      <w:snapToGrid w:val="0"/>
      <w:spacing w:afterLines="50"/>
      <w:ind w:firstLine="200" w:firstLineChars="200"/>
    </w:pPr>
    <w:rPr>
      <w:kern w:val="0"/>
      <w:sz w:val="24"/>
      <w:szCs w:val="20"/>
    </w:rPr>
  </w:style>
  <w:style w:type="paragraph" w:customStyle="1" w:styleId="104">
    <w:name w:val="unnamed5"/>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5">
    <w:name w:val="z-窗体底端1"/>
    <w:basedOn w:val="1"/>
    <w:next w:val="1"/>
    <w:autoRedefine/>
    <w:qFormat/>
    <w:uiPriority w:val="0"/>
    <w:pPr>
      <w:widowControl/>
      <w:pBdr>
        <w:top w:val="single" w:color="auto" w:sz="6" w:space="1"/>
      </w:pBdr>
      <w:jc w:val="center"/>
    </w:pPr>
    <w:rPr>
      <w:rFonts w:ascii="Arial" w:hAnsi="Arial" w:cs="Arial"/>
      <w:vanish/>
      <w:kern w:val="0"/>
      <w:sz w:val="16"/>
      <w:szCs w:val="16"/>
    </w:rPr>
  </w:style>
  <w:style w:type="paragraph" w:customStyle="1" w:styleId="106">
    <w:name w:val="tableheadin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7">
    <w:name w:val="Char"/>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108">
    <w:name w:val="Normal Indent1"/>
    <w:basedOn w:val="1"/>
    <w:autoRedefine/>
    <w:qFormat/>
    <w:uiPriority w:val="0"/>
    <w:pPr>
      <w:ind w:firstLine="420"/>
    </w:pPr>
    <w:rPr>
      <w:szCs w:val="20"/>
    </w:rPr>
  </w:style>
  <w:style w:type="paragraph" w:customStyle="1" w:styleId="109">
    <w:name w:val="Char Char Char"/>
    <w:basedOn w:val="14"/>
    <w:autoRedefine/>
    <w:qFormat/>
    <w:uiPriority w:val="0"/>
    <w:rPr>
      <w:rFonts w:ascii="Tahoma" w:hAnsi="Tahoma"/>
      <w:sz w:val="24"/>
    </w:rPr>
  </w:style>
  <w:style w:type="paragraph" w:customStyle="1" w:styleId="110">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111">
    <w:name w:val="Char Char Char 字元 字元"/>
    <w:basedOn w:val="1"/>
    <w:autoRedefine/>
    <w:qFormat/>
    <w:uiPriority w:val="0"/>
    <w:pPr>
      <w:spacing w:line="360" w:lineRule="auto"/>
      <w:ind w:firstLine="200" w:firstLineChars="200"/>
    </w:pPr>
    <w:rPr>
      <w:rFonts w:ascii="宋体" w:hAnsi="宋体" w:cs="宋体"/>
      <w:sz w:val="24"/>
    </w:rPr>
  </w:style>
  <w:style w:type="paragraph" w:customStyle="1" w:styleId="112">
    <w:name w:val="table_1stline"/>
    <w:basedOn w:val="1"/>
    <w:autoRedefine/>
    <w:qFormat/>
    <w:uiPriority w:val="0"/>
    <w:pPr>
      <w:widowControl/>
      <w:spacing w:before="120"/>
      <w:jc w:val="left"/>
    </w:pPr>
    <w:rPr>
      <w:bCs/>
      <w:kern w:val="0"/>
      <w:sz w:val="20"/>
      <w:szCs w:val="20"/>
      <w:lang w:val="de-DE" w:eastAsia="de-DE"/>
    </w:rPr>
  </w:style>
  <w:style w:type="paragraph" w:customStyle="1" w:styleId="113">
    <w:name w:val="Char1 Char Char Char"/>
    <w:basedOn w:val="1"/>
    <w:autoRedefine/>
    <w:qFormat/>
    <w:uiPriority w:val="0"/>
    <w:rPr>
      <w:rFonts w:ascii="Tahoma" w:hAnsi="Tahoma"/>
      <w:sz w:val="24"/>
      <w:szCs w:val="20"/>
    </w:rPr>
  </w:style>
  <w:style w:type="paragraph" w:customStyle="1" w:styleId="114">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5">
    <w:name w:val="正文2"/>
    <w:basedOn w:val="1"/>
    <w:autoRedefine/>
    <w:qFormat/>
    <w:uiPriority w:val="0"/>
    <w:pPr>
      <w:spacing w:before="156" w:line="360" w:lineRule="auto"/>
      <w:ind w:firstLine="510" w:firstLineChars="200"/>
    </w:pPr>
    <w:rPr>
      <w:sz w:val="24"/>
      <w:szCs w:val="20"/>
    </w:rPr>
  </w:style>
  <w:style w:type="paragraph" w:styleId="116">
    <w:name w:val="Quote"/>
    <w:basedOn w:val="1"/>
    <w:next w:val="1"/>
    <w:autoRedefine/>
    <w:qFormat/>
    <w:uiPriority w:val="99"/>
    <w:pPr>
      <w:spacing w:before="200" w:after="160"/>
      <w:ind w:left="864" w:right="864"/>
      <w:jc w:val="center"/>
    </w:pPr>
    <w:rPr>
      <w:i/>
      <w:iCs/>
      <w:color w:val="404040"/>
    </w:rPr>
  </w:style>
  <w:style w:type="paragraph" w:customStyle="1" w:styleId="117">
    <w:name w:val="Char Char7 Char"/>
    <w:basedOn w:val="1"/>
    <w:autoRedefine/>
    <w:qFormat/>
    <w:uiPriority w:val="0"/>
    <w:pPr>
      <w:tabs>
        <w:tab w:val="left" w:pos="425"/>
      </w:tabs>
      <w:ind w:left="420" w:leftChars="200" w:firstLine="270" w:firstLineChars="150"/>
    </w:pPr>
    <w:rPr>
      <w:sz w:val="21"/>
    </w:rPr>
  </w:style>
  <w:style w:type="paragraph" w:customStyle="1" w:styleId="118">
    <w:name w:val="tabletex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19">
    <w:name w:val="paragraph1"/>
    <w:basedOn w:val="1"/>
    <w:autoRedefine/>
    <w:qFormat/>
    <w:uiPriority w:val="0"/>
    <w:pPr>
      <w:spacing w:afterLines="30" w:line="360" w:lineRule="auto"/>
      <w:ind w:firstLine="420" w:firstLineChars="200"/>
    </w:pPr>
    <w:rPr>
      <w:rFonts w:eastAsia="楷体_GB2312"/>
      <w:sz w:val="24"/>
      <w:szCs w:val="20"/>
    </w:rPr>
  </w:style>
  <w:style w:type="paragraph" w:customStyle="1" w:styleId="12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21">
    <w:name w:val="table_lines"/>
    <w:basedOn w:val="1"/>
    <w:autoRedefine/>
    <w:qFormat/>
    <w:uiPriority w:val="0"/>
    <w:pPr>
      <w:widowControl/>
      <w:jc w:val="left"/>
    </w:pPr>
    <w:rPr>
      <w:kern w:val="0"/>
      <w:sz w:val="20"/>
      <w:szCs w:val="20"/>
      <w:lang w:val="de-DE" w:eastAsia="de-DE"/>
    </w:rPr>
  </w:style>
  <w:style w:type="paragraph" w:customStyle="1" w:styleId="122">
    <w:name w:val="Plain Text1"/>
    <w:basedOn w:val="1"/>
    <w:autoRedefine/>
    <w:qFormat/>
    <w:uiPriority w:val="0"/>
    <w:pPr>
      <w:spacing w:beforeLines="50" w:afterLines="50" w:line="400" w:lineRule="exact"/>
    </w:pPr>
    <w:rPr>
      <w:rFonts w:ascii="宋体" w:hAnsi="Courier New"/>
      <w:sz w:val="24"/>
    </w:rPr>
  </w:style>
  <w:style w:type="paragraph" w:customStyle="1" w:styleId="123">
    <w:name w:val="_Style 9"/>
    <w:basedOn w:val="1"/>
    <w:autoRedefine/>
    <w:qFormat/>
    <w:uiPriority w:val="0"/>
  </w:style>
  <w:style w:type="paragraph" w:customStyle="1" w:styleId="124">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125">
    <w:name w:val="列表编号 3 New"/>
    <w:basedOn w:val="1"/>
    <w:autoRedefine/>
    <w:qFormat/>
    <w:uiPriority w:val="0"/>
    <w:pPr>
      <w:widowControl/>
      <w:tabs>
        <w:tab w:val="left" w:pos="482"/>
      </w:tabs>
      <w:spacing w:afterLines="50"/>
      <w:ind w:left="432" w:hanging="432"/>
      <w:jc w:val="left"/>
    </w:pPr>
    <w:rPr>
      <w:kern w:val="0"/>
      <w:sz w:val="24"/>
      <w:szCs w:val="20"/>
    </w:rPr>
  </w:style>
  <w:style w:type="paragraph" w:styleId="126">
    <w:name w:val="List Paragraph"/>
    <w:basedOn w:val="1"/>
    <w:autoRedefine/>
    <w:qFormat/>
    <w:uiPriority w:val="0"/>
    <w:pPr>
      <w:ind w:firstLine="420" w:firstLineChars="200"/>
    </w:pPr>
    <w:rPr>
      <w:rFonts w:ascii="Calibri" w:hAnsi="Calibri"/>
      <w:sz w:val="21"/>
      <w:szCs w:val="22"/>
    </w:rPr>
  </w:style>
  <w:style w:type="paragraph" w:customStyle="1" w:styleId="127">
    <w:name w:val="样式 表格正文 + 两端对齐"/>
    <w:basedOn w:val="1"/>
    <w:autoRedefine/>
    <w:qFormat/>
    <w:uiPriority w:val="0"/>
    <w:pPr>
      <w:spacing w:line="300" w:lineRule="auto"/>
    </w:pPr>
    <w:rPr>
      <w:sz w:val="24"/>
      <w:szCs w:val="20"/>
    </w:rPr>
  </w:style>
  <w:style w:type="paragraph" w:customStyle="1" w:styleId="128">
    <w:name w:val="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9">
    <w:name w:val="默认段落字体 Para Char Char Char Char Char Char Char Char Char1 Char Char Char Char"/>
    <w:basedOn w:val="1"/>
    <w:autoRedefine/>
    <w:qFormat/>
    <w:uiPriority w:val="0"/>
    <w:rPr>
      <w:rFonts w:ascii="Tahoma" w:hAnsi="Tahoma"/>
      <w:sz w:val="24"/>
      <w:szCs w:val="20"/>
    </w:rPr>
  </w:style>
  <w:style w:type="paragraph" w:customStyle="1" w:styleId="130">
    <w:name w:val="首行缩进"/>
    <w:basedOn w:val="1"/>
    <w:autoRedefine/>
    <w:qFormat/>
    <w:uiPriority w:val="0"/>
    <w:pPr>
      <w:ind w:firstLine="480" w:firstLineChars="200"/>
    </w:pPr>
    <w:rPr>
      <w:lang w:val="zh-CN"/>
    </w:rPr>
  </w:style>
  <w:style w:type="paragraph" w:customStyle="1" w:styleId="131">
    <w:name w:val="Char1"/>
    <w:basedOn w:val="1"/>
    <w:autoRedefine/>
    <w:qFormat/>
    <w:uiPriority w:val="0"/>
    <w:rPr>
      <w:rFonts w:ascii="仿宋_GB2312" w:eastAsia="仿宋_GB2312"/>
      <w:b/>
      <w:sz w:val="32"/>
      <w:szCs w:val="32"/>
    </w:rPr>
  </w:style>
  <w:style w:type="paragraph" w:customStyle="1" w:styleId="13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3">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34">
    <w:name w:val="文档正文"/>
    <w:basedOn w:val="1"/>
    <w:autoRedefine/>
    <w:qFormat/>
    <w:uiPriority w:val="0"/>
    <w:pPr>
      <w:adjustRightInd w:val="0"/>
      <w:spacing w:line="312" w:lineRule="atLeast"/>
      <w:ind w:firstLine="567"/>
      <w:textAlignment w:val="baseline"/>
    </w:pPr>
    <w:rPr>
      <w:rFonts w:ascii="长城仿宋" w:eastAsia="长城仿宋"/>
      <w:kern w:val="0"/>
      <w:szCs w:val="20"/>
    </w:rPr>
  </w:style>
  <w:style w:type="paragraph" w:customStyle="1" w:styleId="135">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character" w:customStyle="1" w:styleId="136">
    <w:name w:val="font41"/>
    <w:basedOn w:val="44"/>
    <w:autoRedefine/>
    <w:qFormat/>
    <w:uiPriority w:val="0"/>
    <w:rPr>
      <w:rFonts w:hint="eastAsia" w:ascii="等线" w:hAnsi="等线" w:eastAsia="等线" w:cs="等线"/>
      <w:color w:val="000000"/>
      <w:sz w:val="20"/>
      <w:szCs w:val="20"/>
      <w:u w:val="none"/>
    </w:rPr>
  </w:style>
  <w:style w:type="character" w:customStyle="1" w:styleId="137">
    <w:name w:val="font31"/>
    <w:basedOn w:val="44"/>
    <w:autoRedefine/>
    <w:qFormat/>
    <w:uiPriority w:val="0"/>
    <w:rPr>
      <w:rFonts w:hint="eastAsia" w:ascii="等线" w:hAnsi="等线" w:eastAsia="等线" w:cs="等线"/>
      <w:b/>
      <w:color w:val="000000"/>
      <w:sz w:val="20"/>
      <w:szCs w:val="20"/>
      <w:u w:val="none"/>
    </w:rPr>
  </w:style>
  <w:style w:type="character" w:customStyle="1" w:styleId="138">
    <w:name w:val="font21"/>
    <w:basedOn w:val="44"/>
    <w:autoRedefine/>
    <w:qFormat/>
    <w:uiPriority w:val="0"/>
    <w:rPr>
      <w:rFonts w:hint="eastAsia" w:ascii="等线" w:hAnsi="等线" w:eastAsia="等线" w:cs="等线"/>
      <w:color w:val="000000"/>
      <w:sz w:val="20"/>
      <w:szCs w:val="20"/>
      <w:u w:val="none"/>
    </w:rPr>
  </w:style>
  <w:style w:type="character" w:customStyle="1" w:styleId="139">
    <w:name w:val="font01"/>
    <w:basedOn w:val="44"/>
    <w:autoRedefine/>
    <w:qFormat/>
    <w:uiPriority w:val="0"/>
    <w:rPr>
      <w:rFonts w:hint="eastAsia" w:ascii="等线" w:hAnsi="等线" w:eastAsia="等线" w:cs="等线"/>
      <w:b/>
      <w:color w:val="000000"/>
      <w:sz w:val="20"/>
      <w:szCs w:val="20"/>
      <w:u w:val="none"/>
    </w:rPr>
  </w:style>
  <w:style w:type="character" w:customStyle="1" w:styleId="140">
    <w:name w:val="font11"/>
    <w:basedOn w:val="44"/>
    <w:autoRedefine/>
    <w:qFormat/>
    <w:uiPriority w:val="0"/>
    <w:rPr>
      <w:rFonts w:hint="eastAsia" w:ascii="宋体" w:hAnsi="宋体" w:eastAsia="宋体" w:cs="宋体"/>
      <w:b/>
      <w:color w:val="000000"/>
      <w:sz w:val="20"/>
      <w:szCs w:val="20"/>
      <w:u w:val="none"/>
    </w:rPr>
  </w:style>
  <w:style w:type="paragraph" w:customStyle="1" w:styleId="141">
    <w:name w:val="Title1"/>
    <w:basedOn w:val="2"/>
    <w:next w:val="142"/>
    <w:autoRedefine/>
    <w:qFormat/>
    <w:uiPriority w:val="0"/>
    <w:pPr>
      <w:spacing w:before="240" w:after="240" w:line="360" w:lineRule="auto"/>
      <w:ind w:left="629" w:hanging="629"/>
    </w:pPr>
    <w:rPr>
      <w:sz w:val="36"/>
    </w:rPr>
  </w:style>
  <w:style w:type="paragraph" w:customStyle="1" w:styleId="142">
    <w:name w:val="Title2"/>
    <w:basedOn w:val="3"/>
    <w:next w:val="26"/>
    <w:autoRedefine/>
    <w:qFormat/>
    <w:uiPriority w:val="0"/>
    <w:pPr>
      <w:spacing w:before="200" w:after="200" w:line="360" w:lineRule="auto"/>
      <w:ind w:left="629" w:hanging="629"/>
      <w:jc w:val="left"/>
    </w:pPr>
    <w:rPr>
      <w:rFonts w:ascii="Times New Roman" w:hAnsi="Times New Roman" w:eastAsia="宋体"/>
    </w:rPr>
  </w:style>
  <w:style w:type="paragraph" w:customStyle="1" w:styleId="143">
    <w:name w:val="p0"/>
    <w:basedOn w:val="1"/>
    <w:autoRedefine/>
    <w:qFormat/>
    <w:uiPriority w:val="0"/>
    <w:pPr>
      <w:widowControl/>
    </w:pPr>
    <w:rPr>
      <w:kern w:val="0"/>
      <w:szCs w:val="20"/>
    </w:rPr>
  </w:style>
  <w:style w:type="paragraph" w:customStyle="1" w:styleId="144">
    <w:name w:val="彩色列表 - 着色 12"/>
    <w:basedOn w:val="1"/>
    <w:autoRedefine/>
    <w:qFormat/>
    <w:uiPriority w:val="34"/>
    <w:pPr>
      <w:ind w:firstLine="420" w:firstLineChars="200"/>
    </w:pPr>
  </w:style>
  <w:style w:type="character" w:customStyle="1" w:styleId="145">
    <w:name w:val="map_taglist"/>
    <w:basedOn w:val="44"/>
    <w:autoRedefine/>
    <w:qFormat/>
    <w:uiPriority w:val="0"/>
    <w:rPr>
      <w:color w:val="666666"/>
    </w:rPr>
  </w:style>
  <w:style w:type="character" w:customStyle="1" w:styleId="146">
    <w:name w:val="ts_tip_2"/>
    <w:basedOn w:val="44"/>
    <w:autoRedefine/>
    <w:qFormat/>
    <w:uiPriority w:val="0"/>
    <w:rPr>
      <w:color w:val="E43023"/>
    </w:rPr>
  </w:style>
  <w:style w:type="character" w:customStyle="1" w:styleId="147">
    <w:name w:val="bus_type_tip"/>
    <w:basedOn w:val="44"/>
    <w:autoRedefine/>
    <w:qFormat/>
    <w:uiPriority w:val="0"/>
    <w:rPr>
      <w:color w:val="FFFFFF"/>
      <w:sz w:val="18"/>
      <w:szCs w:val="18"/>
    </w:rPr>
  </w:style>
  <w:style w:type="character" w:customStyle="1" w:styleId="148">
    <w:name w:val="bus_type_4"/>
    <w:basedOn w:val="44"/>
    <w:autoRedefine/>
    <w:qFormat/>
    <w:uiPriority w:val="0"/>
    <w:rPr>
      <w:shd w:val="clear" w:color="auto" w:fill="333F89"/>
    </w:rPr>
  </w:style>
  <w:style w:type="character" w:customStyle="1" w:styleId="149">
    <w:name w:val="active1"/>
    <w:basedOn w:val="44"/>
    <w:autoRedefine/>
    <w:qFormat/>
    <w:uiPriority w:val="0"/>
    <w:rPr>
      <w:shd w:val="clear" w:color="auto" w:fill="3385FF"/>
    </w:rPr>
  </w:style>
  <w:style w:type="character" w:customStyle="1" w:styleId="150">
    <w:name w:val="active2"/>
    <w:basedOn w:val="44"/>
    <w:autoRedefine/>
    <w:qFormat/>
    <w:uiPriority w:val="0"/>
    <w:rPr>
      <w:shd w:val="clear" w:color="auto" w:fill="3385FF"/>
    </w:rPr>
  </w:style>
  <w:style w:type="character" w:customStyle="1" w:styleId="151">
    <w:name w:val="linebg_on"/>
    <w:basedOn w:val="44"/>
    <w:autoRedefine/>
    <w:qFormat/>
    <w:uiPriority w:val="0"/>
  </w:style>
  <w:style w:type="character" w:customStyle="1" w:styleId="152">
    <w:name w:val="linebg_on1"/>
    <w:basedOn w:val="44"/>
    <w:autoRedefine/>
    <w:qFormat/>
    <w:uiPriority w:val="0"/>
  </w:style>
  <w:style w:type="character" w:customStyle="1" w:styleId="153">
    <w:name w:val="bs_tm"/>
    <w:basedOn w:val="44"/>
    <w:autoRedefine/>
    <w:qFormat/>
    <w:uiPriority w:val="0"/>
  </w:style>
  <w:style w:type="character" w:customStyle="1" w:styleId="154">
    <w:name w:val="bs_tm1"/>
    <w:basedOn w:val="44"/>
    <w:autoRedefine/>
    <w:qFormat/>
    <w:uiPriority w:val="0"/>
  </w:style>
  <w:style w:type="character" w:customStyle="1" w:styleId="155">
    <w:name w:val="input_span11"/>
    <w:basedOn w:val="44"/>
    <w:autoRedefine/>
    <w:qFormat/>
    <w:uiPriority w:val="0"/>
  </w:style>
  <w:style w:type="character" w:customStyle="1" w:styleId="156">
    <w:name w:val="bus_type_0"/>
    <w:basedOn w:val="44"/>
    <w:autoRedefine/>
    <w:qFormat/>
    <w:uiPriority w:val="0"/>
    <w:rPr>
      <w:shd w:val="clear" w:color="auto" w:fill="FF8853"/>
    </w:rPr>
  </w:style>
  <w:style w:type="character" w:customStyle="1" w:styleId="157">
    <w:name w:val="bs_clc"/>
    <w:basedOn w:val="44"/>
    <w:autoRedefine/>
    <w:qFormat/>
    <w:uiPriority w:val="0"/>
  </w:style>
  <w:style w:type="character" w:customStyle="1" w:styleId="158">
    <w:name w:val="bus_type_3"/>
    <w:basedOn w:val="44"/>
    <w:autoRedefine/>
    <w:qFormat/>
    <w:uiPriority w:val="0"/>
    <w:rPr>
      <w:shd w:val="clear" w:color="auto" w:fill="43CC8D"/>
    </w:rPr>
  </w:style>
  <w:style w:type="character" w:customStyle="1" w:styleId="159">
    <w:name w:val="bus_type_2"/>
    <w:basedOn w:val="44"/>
    <w:autoRedefine/>
    <w:qFormat/>
    <w:uiPriority w:val="0"/>
    <w:rPr>
      <w:shd w:val="clear" w:color="auto" w:fill="FF4141"/>
    </w:rPr>
  </w:style>
  <w:style w:type="character" w:customStyle="1" w:styleId="160">
    <w:name w:val="hover42"/>
    <w:basedOn w:val="44"/>
    <w:autoRedefine/>
    <w:qFormat/>
    <w:uiPriority w:val="0"/>
    <w:rPr>
      <w:bdr w:val="single" w:color="999999" w:sz="6" w:space="0"/>
    </w:rPr>
  </w:style>
  <w:style w:type="character" w:customStyle="1" w:styleId="161">
    <w:name w:val="linebg"/>
    <w:basedOn w:val="44"/>
    <w:autoRedefine/>
    <w:qFormat/>
    <w:uiPriority w:val="0"/>
  </w:style>
  <w:style w:type="character" w:customStyle="1" w:styleId="162">
    <w:name w:val="linebg1"/>
    <w:basedOn w:val="44"/>
    <w:autoRedefine/>
    <w:qFormat/>
    <w:uiPriority w:val="0"/>
  </w:style>
  <w:style w:type="character" w:customStyle="1" w:styleId="163">
    <w:name w:val="time_dis"/>
    <w:basedOn w:val="44"/>
    <w:autoRedefine/>
    <w:qFormat/>
    <w:uiPriority w:val="0"/>
  </w:style>
  <w:style w:type="character" w:customStyle="1" w:styleId="164">
    <w:name w:val="bs_cal"/>
    <w:basedOn w:val="44"/>
    <w:autoRedefine/>
    <w:qFormat/>
    <w:uiPriority w:val="0"/>
  </w:style>
  <w:style w:type="character" w:customStyle="1" w:styleId="165">
    <w:name w:val="ts_tip_1"/>
    <w:basedOn w:val="44"/>
    <w:autoRedefine/>
    <w:qFormat/>
    <w:uiPriority w:val="0"/>
    <w:rPr>
      <w:color w:val="468B02"/>
    </w:rPr>
  </w:style>
  <w:style w:type="paragraph" w:customStyle="1" w:styleId="166">
    <w:name w:val="样式 样式 样式 标题 2 + 两端对齐 段前: 18 磅 + 首行缩进:  2 字符 + 首行缩进:  2 字符 段后: 0..."/>
    <w:basedOn w:val="1"/>
    <w:autoRedefine/>
    <w:qFormat/>
    <w:uiPriority w:val="99"/>
    <w:pPr>
      <w:spacing w:afterLines="50" w:line="360" w:lineRule="auto"/>
    </w:pPr>
    <w:rPr>
      <w:rFonts w:cs="宋体"/>
      <w:b/>
      <w:bCs/>
      <w:sz w:val="24"/>
      <w:szCs w:val="20"/>
    </w:rPr>
  </w:style>
  <w:style w:type="character" w:customStyle="1" w:styleId="167">
    <w:name w:val="NormalCharacter"/>
    <w:autoRedefine/>
    <w:semiHidden/>
    <w:qFormat/>
    <w:uiPriority w:val="0"/>
    <w:rPr>
      <w:kern w:val="2"/>
      <w:sz w:val="28"/>
      <w:szCs w:val="24"/>
      <w:lang w:val="en-US" w:eastAsia="zh-CN" w:bidi="ar-SA"/>
    </w:rPr>
  </w:style>
  <w:style w:type="paragraph" w:customStyle="1" w:styleId="168">
    <w:name w:val="表格文字"/>
    <w:basedOn w:val="1"/>
    <w:next w:val="18"/>
    <w:autoRedefine/>
    <w:qFormat/>
    <w:uiPriority w:val="0"/>
    <w:pPr>
      <w:adjustRightInd w:val="0"/>
      <w:spacing w:line="420" w:lineRule="atLeast"/>
      <w:jc w:val="left"/>
      <w:textAlignment w:val="baseline"/>
    </w:pPr>
    <w:rPr>
      <w:kern w:val="0"/>
    </w:rPr>
  </w:style>
  <w:style w:type="paragraph" w:customStyle="1" w:styleId="169">
    <w:name w:val="段"/>
    <w:autoRedefine/>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70">
    <w:name w:val="章正文"/>
    <w:basedOn w:val="1"/>
    <w:autoRedefine/>
    <w:qFormat/>
    <w:uiPriority w:val="0"/>
    <w:pPr>
      <w:spacing w:beforeLines="50" w:line="300" w:lineRule="auto"/>
      <w:ind w:firstLine="480"/>
    </w:pPr>
    <w:rPr>
      <w:rFonts w:ascii="Helvetica" w:hAnsi="Helvetica"/>
      <w:kern w:val="0"/>
      <w:sz w:val="24"/>
    </w:rPr>
  </w:style>
  <w:style w:type="paragraph" w:customStyle="1" w:styleId="171">
    <w:name w:val="_Style 49"/>
    <w:basedOn w:val="1"/>
    <w:next w:val="26"/>
    <w:autoRedefine/>
    <w:qFormat/>
    <w:uiPriority w:val="0"/>
    <w:rPr>
      <w:rFonts w:ascii="宋体" w:hAnsi="Courier New"/>
      <w:kern w:val="0"/>
      <w:sz w:val="24"/>
    </w:rPr>
  </w:style>
  <w:style w:type="paragraph" w:customStyle="1" w:styleId="172">
    <w:name w:val="正文文本1"/>
    <w:basedOn w:val="1"/>
    <w:next w:val="100"/>
    <w:autoRedefine/>
    <w:qFormat/>
    <w:uiPriority w:val="0"/>
    <w:rPr>
      <w:rFonts w:eastAsia="仿宋_GB2312"/>
      <w:sz w:val="24"/>
    </w:rPr>
  </w:style>
  <w:style w:type="paragraph" w:customStyle="1" w:styleId="173">
    <w:name w:val="签发人"/>
    <w:basedOn w:val="1"/>
    <w:autoRedefine/>
    <w:qFormat/>
    <w:uiPriority w:val="0"/>
    <w:rPr>
      <w:rFonts w:eastAsia="楷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31938</Words>
  <Characters>33663</Characters>
  <Lines>263</Lines>
  <Paragraphs>74</Paragraphs>
  <TotalTime>22</TotalTime>
  <ScaleCrop>false</ScaleCrop>
  <LinksUpToDate>false</LinksUpToDate>
  <CharactersWithSpaces>34698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2023-05-30T02:48:00Z</dcterms:created>
  <dc:creator>xueyong</dc:creator>
  <cp:lastModifiedBy>Administrator</cp:lastModifiedBy>
  <cp:lastPrinted>2020-05-12T03:21:00Z</cp:lastPrinted>
  <dcterms:modified xsi:type="dcterms:W3CDTF">2024-04-03T03:07:26Z</dcterms:modified>
  <dc:title>目         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8448BC8CB99D4DFF840656A47B8396E2</vt:lpwstr>
  </property>
</Properties>
</file>