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50" w:afterLines="50"/>
        <w:ind w:left="840" w:leftChars="400" w:right="840" w:rightChars="400"/>
        <w:rPr>
          <w:rFonts w:ascii="微软雅黑" w:hAnsi="微软雅黑" w:eastAsia="微软雅黑"/>
          <w:bCs/>
          <w:color w:val="000000" w:themeColor="text1"/>
          <w:spacing w:val="17"/>
          <w:sz w:val="44"/>
          <w:szCs w:val="44"/>
          <w:highlight w:val="none"/>
          <w14:textFill>
            <w14:solidFill>
              <w14:schemeClr w14:val="tx1"/>
            </w14:solidFill>
          </w14:textFill>
        </w:rPr>
      </w:pPr>
      <w:r>
        <w:rPr>
          <w:rFonts w:hint="eastAsia" w:ascii="微软雅黑" w:hAnsi="微软雅黑" w:eastAsia="微软雅黑"/>
          <w:bCs/>
          <w:color w:val="000000" w:themeColor="text1"/>
          <w:spacing w:val="17"/>
          <w:sz w:val="44"/>
          <w:szCs w:val="44"/>
          <w:highlight w:val="none"/>
          <w14:textFill>
            <w14:solidFill>
              <w14:schemeClr w14:val="tx1"/>
            </w14:solidFill>
          </w14:textFill>
        </w:rPr>
        <w:t>嘉兴经济技术开发区燃气管家服务采购项目</w:t>
      </w:r>
    </w:p>
    <w:p>
      <w:pPr>
        <w:pStyle w:val="168"/>
        <w:rPr>
          <w:color w:val="000000" w:themeColor="text1"/>
          <w:highlight w:val="none"/>
          <w14:textFill>
            <w14:solidFill>
              <w14:schemeClr w14:val="tx1"/>
            </w14:solidFill>
          </w14:textFill>
        </w:rPr>
      </w:pPr>
    </w:p>
    <w:p>
      <w:pPr>
        <w:pStyle w:val="31"/>
        <w:spacing w:after="0" w:line="360" w:lineRule="auto"/>
        <w:jc w:val="center"/>
        <w:rPr>
          <w:rFonts w:ascii="微软雅黑" w:hAnsi="微软雅黑"/>
          <w:b/>
          <w:color w:val="000000" w:themeColor="text1"/>
          <w:sz w:val="48"/>
          <w:szCs w:val="48"/>
          <w:highlight w:val="none"/>
          <w14:textFill>
            <w14:solidFill>
              <w14:schemeClr w14:val="tx1"/>
            </w14:solidFill>
          </w14:textFill>
        </w:rPr>
      </w:pPr>
    </w:p>
    <w:p>
      <w:pPr>
        <w:pStyle w:val="31"/>
        <w:spacing w:after="0" w:line="360" w:lineRule="auto"/>
        <w:jc w:val="center"/>
        <w:outlineLvl w:val="0"/>
        <w:rPr>
          <w:rFonts w:ascii="微软雅黑" w:hAnsi="微软雅黑"/>
          <w:b/>
          <w:color w:val="000000" w:themeColor="text1"/>
          <w:sz w:val="48"/>
          <w:szCs w:val="48"/>
          <w:highlight w:val="none"/>
          <w14:textFill>
            <w14:solidFill>
              <w14:schemeClr w14:val="tx1"/>
            </w14:solidFill>
          </w14:textFill>
        </w:rPr>
      </w:pPr>
      <w:bookmarkStart w:id="0" w:name="_Toc3683"/>
      <w:bookmarkStart w:id="1" w:name="_Toc1730"/>
    </w:p>
    <w:p>
      <w:pPr>
        <w:pStyle w:val="31"/>
        <w:spacing w:after="0" w:line="360" w:lineRule="auto"/>
        <w:jc w:val="center"/>
        <w:outlineLvl w:val="0"/>
        <w:rPr>
          <w:rFonts w:ascii="微软雅黑" w:hAnsi="微软雅黑"/>
          <w:b/>
          <w:color w:val="000000" w:themeColor="text1"/>
          <w:sz w:val="48"/>
          <w:szCs w:val="48"/>
          <w:highlight w:val="none"/>
          <w14:textFill>
            <w14:solidFill>
              <w14:schemeClr w14:val="tx1"/>
            </w14:solidFill>
          </w14:textFill>
        </w:rPr>
      </w:pPr>
      <w:r>
        <w:rPr>
          <w:rFonts w:hint="eastAsia" w:ascii="微软雅黑" w:hAnsi="微软雅黑"/>
          <w:b/>
          <w:color w:val="000000" w:themeColor="text1"/>
          <w:sz w:val="48"/>
          <w:szCs w:val="48"/>
          <w:highlight w:val="none"/>
          <w14:textFill>
            <w14:solidFill>
              <w14:schemeClr w14:val="tx1"/>
            </w14:solidFill>
          </w14:textFill>
        </w:rPr>
        <w:t>竞争性磋商文件</w:t>
      </w:r>
      <w:bookmarkEnd w:id="0"/>
      <w:bookmarkEnd w:id="1"/>
    </w:p>
    <w:p>
      <w:pPr>
        <w:pStyle w:val="5"/>
        <w:spacing w:line="240" w:lineRule="auto"/>
        <w:rPr>
          <w:rFonts w:ascii="微软雅黑" w:hAnsi="微软雅黑" w:eastAsia="微软雅黑"/>
          <w:b w:val="0"/>
          <w:bCs/>
          <w:color w:val="000000" w:themeColor="text1"/>
          <w:sz w:val="28"/>
          <w:szCs w:val="28"/>
          <w:highlight w:val="none"/>
          <w14:textFill>
            <w14:solidFill>
              <w14:schemeClr w14:val="tx1"/>
            </w14:solidFill>
          </w14:textFill>
        </w:rPr>
      </w:pPr>
      <w:bookmarkStart w:id="2" w:name="_Toc13803"/>
      <w:bookmarkStart w:id="3" w:name="_Toc28543"/>
      <w:r>
        <w:rPr>
          <w:rFonts w:hint="eastAsia" w:ascii="微软雅黑" w:hAnsi="微软雅黑" w:eastAsia="微软雅黑"/>
          <w:color w:val="000000" w:themeColor="text1"/>
          <w:sz w:val="28"/>
          <w:szCs w:val="28"/>
          <w:highlight w:val="none"/>
          <w14:textFill>
            <w14:solidFill>
              <w14:schemeClr w14:val="tx1"/>
            </w14:solidFill>
          </w14:textFill>
        </w:rPr>
        <w:t>（线上电子招投标）</w:t>
      </w:r>
      <w:bookmarkEnd w:id="2"/>
      <w:bookmarkEnd w:id="3"/>
    </w:p>
    <w:p>
      <w:pPr>
        <w:pStyle w:val="31"/>
        <w:spacing w:line="240" w:lineRule="auto"/>
        <w:ind w:firstLine="840" w:firstLineChars="300"/>
        <w:rPr>
          <w:rFonts w:ascii="微软雅黑" w:hAnsi="微软雅黑"/>
          <w:b/>
          <w:bCs/>
          <w:color w:val="000000" w:themeColor="text1"/>
          <w:sz w:val="28"/>
          <w:szCs w:val="28"/>
          <w:highlight w:val="none"/>
          <w14:textFill>
            <w14:solidFill>
              <w14:schemeClr w14:val="tx1"/>
            </w14:solidFill>
          </w14:textFill>
        </w:rPr>
      </w:pPr>
    </w:p>
    <w:p>
      <w:pPr>
        <w:pStyle w:val="31"/>
        <w:spacing w:line="240" w:lineRule="auto"/>
        <w:ind w:firstLine="840" w:firstLineChars="300"/>
        <w:rPr>
          <w:rFonts w:ascii="微软雅黑" w:hAnsi="微软雅黑"/>
          <w:b/>
          <w:bCs/>
          <w:color w:val="000000" w:themeColor="text1"/>
          <w:sz w:val="28"/>
          <w:szCs w:val="28"/>
          <w:highlight w:val="none"/>
          <w14:textFill>
            <w14:solidFill>
              <w14:schemeClr w14:val="tx1"/>
            </w14:solidFill>
          </w14:textFill>
        </w:rPr>
      </w:pPr>
    </w:p>
    <w:p>
      <w:pPr>
        <w:pStyle w:val="31"/>
        <w:spacing w:line="240" w:lineRule="auto"/>
        <w:ind w:firstLine="840" w:firstLineChars="300"/>
        <w:rPr>
          <w:rFonts w:ascii="微软雅黑" w:hAnsi="微软雅黑"/>
          <w:b/>
          <w:bCs/>
          <w:color w:val="000000" w:themeColor="text1"/>
          <w:sz w:val="28"/>
          <w:szCs w:val="28"/>
          <w:highlight w:val="none"/>
          <w14:textFill>
            <w14:solidFill>
              <w14:schemeClr w14:val="tx1"/>
            </w14:solidFill>
          </w14:textFill>
        </w:rPr>
      </w:pPr>
    </w:p>
    <w:p>
      <w:pPr>
        <w:pStyle w:val="31"/>
        <w:spacing w:line="240" w:lineRule="auto"/>
        <w:ind w:firstLine="840" w:firstLineChars="300"/>
        <w:rPr>
          <w:rFonts w:ascii="微软雅黑" w:hAnsi="微软雅黑"/>
          <w:b/>
          <w:bCs/>
          <w:color w:val="000000" w:themeColor="text1"/>
          <w:sz w:val="28"/>
          <w:szCs w:val="28"/>
          <w:highlight w:val="none"/>
          <w14:textFill>
            <w14:solidFill>
              <w14:schemeClr w14:val="tx1"/>
            </w14:solidFill>
          </w14:textFill>
        </w:rPr>
      </w:pPr>
    </w:p>
    <w:p>
      <w:pPr>
        <w:pStyle w:val="31"/>
        <w:spacing w:line="240" w:lineRule="auto"/>
        <w:ind w:firstLine="840" w:firstLineChars="300"/>
        <w:rPr>
          <w:rFonts w:ascii="微软雅黑" w:hAnsi="微软雅黑"/>
          <w:b/>
          <w:bCs/>
          <w:color w:val="000000" w:themeColor="text1"/>
          <w:sz w:val="28"/>
          <w:szCs w:val="28"/>
          <w:highlight w:val="none"/>
          <w14:textFill>
            <w14:solidFill>
              <w14:schemeClr w14:val="tx1"/>
            </w14:solidFill>
          </w14:textFill>
        </w:rPr>
      </w:pPr>
    </w:p>
    <w:p>
      <w:pPr>
        <w:pStyle w:val="31"/>
        <w:spacing w:line="240" w:lineRule="auto"/>
        <w:ind w:firstLine="840" w:firstLineChars="300"/>
        <w:outlineLvl w:val="0"/>
        <w:rPr>
          <w:rFonts w:ascii="微软雅黑" w:hAnsi="微软雅黑"/>
          <w:b/>
          <w:bCs/>
          <w:color w:val="000000" w:themeColor="text1"/>
          <w:sz w:val="28"/>
          <w:szCs w:val="28"/>
          <w:highlight w:val="none"/>
          <w14:textFill>
            <w14:solidFill>
              <w14:schemeClr w14:val="tx1"/>
            </w14:solidFill>
          </w14:textFill>
        </w:rPr>
      </w:pPr>
      <w:bookmarkStart w:id="4" w:name="_Toc12381"/>
      <w:bookmarkStart w:id="5" w:name="_Toc14708"/>
    </w:p>
    <w:p>
      <w:pPr>
        <w:pStyle w:val="31"/>
        <w:spacing w:line="240" w:lineRule="auto"/>
        <w:ind w:firstLine="840" w:firstLineChars="300"/>
        <w:outlineLvl w:val="0"/>
        <w:rPr>
          <w:rFonts w:hint="eastAsia" w:ascii="微软雅黑" w:hAnsi="微软雅黑" w:eastAsia="微软雅黑"/>
          <w:b/>
          <w:bCs/>
          <w:color w:val="000000" w:themeColor="text1"/>
          <w:sz w:val="28"/>
          <w:szCs w:val="28"/>
          <w:highlight w:val="none"/>
          <w:lang w:eastAsia="zh-CN"/>
          <w14:textFill>
            <w14:solidFill>
              <w14:schemeClr w14:val="tx1"/>
            </w14:solidFill>
          </w14:textFill>
        </w:rPr>
      </w:pPr>
      <w:r>
        <w:rPr>
          <w:rFonts w:ascii="微软雅黑" w:hAnsi="微软雅黑"/>
          <w:b/>
          <w:bCs/>
          <w:color w:val="000000" w:themeColor="text1"/>
          <w:sz w:val="28"/>
          <w:szCs w:val="28"/>
          <w:highlight w:val="none"/>
          <w14:textFill>
            <w14:solidFill>
              <w14:schemeClr w14:val="tx1"/>
            </w14:solidFill>
          </w14:textFill>
        </w:rPr>
        <w:t>项目编号：</w:t>
      </w:r>
      <w:bookmarkEnd w:id="4"/>
      <w:bookmarkEnd w:id="5"/>
      <w:r>
        <w:rPr>
          <w:rFonts w:hint="eastAsia" w:ascii="微软雅黑" w:hAnsi="微软雅黑"/>
          <w:b/>
          <w:bCs/>
          <w:color w:val="000000" w:themeColor="text1"/>
          <w:sz w:val="28"/>
          <w:szCs w:val="28"/>
          <w:highlight w:val="none"/>
          <w:lang w:eastAsia="zh-CN"/>
          <w14:textFill>
            <w14:solidFill>
              <w14:schemeClr w14:val="tx1"/>
            </w14:solidFill>
          </w14:textFill>
        </w:rPr>
        <w:t>SHHR-2022-053</w:t>
      </w:r>
    </w:p>
    <w:p>
      <w:pPr>
        <w:pStyle w:val="31"/>
        <w:spacing w:line="240" w:lineRule="auto"/>
        <w:ind w:firstLine="840" w:firstLineChars="300"/>
        <w:rPr>
          <w:rFonts w:ascii="微软雅黑" w:hAnsi="微软雅黑"/>
          <w:b/>
          <w:bCs/>
          <w:color w:val="000000" w:themeColor="text1"/>
          <w:sz w:val="28"/>
          <w:szCs w:val="28"/>
          <w:highlight w:val="none"/>
          <w14:textFill>
            <w14:solidFill>
              <w14:schemeClr w14:val="tx1"/>
            </w14:solidFill>
          </w14:textFill>
        </w:rPr>
      </w:pPr>
      <w:r>
        <w:rPr>
          <w:rFonts w:hint="eastAsia" w:ascii="微软雅黑" w:hAnsi="微软雅黑"/>
          <w:b/>
          <w:bCs/>
          <w:color w:val="000000" w:themeColor="text1"/>
          <w:sz w:val="28"/>
          <w:szCs w:val="28"/>
          <w:highlight w:val="none"/>
          <w14:textFill>
            <w14:solidFill>
              <w14:schemeClr w14:val="tx1"/>
            </w14:solidFill>
          </w14:textFill>
        </w:rPr>
        <w:t>采购单位：嘉兴经济技术开发区建设交通局</w:t>
      </w:r>
    </w:p>
    <w:p>
      <w:pPr>
        <w:pStyle w:val="31"/>
        <w:spacing w:line="240" w:lineRule="auto"/>
        <w:ind w:firstLine="790" w:firstLineChars="282"/>
        <w:rPr>
          <w:rFonts w:ascii="微软雅黑" w:hAnsi="微软雅黑"/>
          <w:b/>
          <w:bCs/>
          <w:color w:val="000000" w:themeColor="text1"/>
          <w:sz w:val="28"/>
          <w:szCs w:val="28"/>
          <w:highlight w:val="none"/>
          <w14:textFill>
            <w14:solidFill>
              <w14:schemeClr w14:val="tx1"/>
            </w14:solidFill>
          </w14:textFill>
        </w:rPr>
      </w:pPr>
      <w:r>
        <w:rPr>
          <w:rFonts w:hint="eastAsia" w:ascii="微软雅黑" w:hAnsi="微软雅黑"/>
          <w:b/>
          <w:bCs/>
          <w:color w:val="000000" w:themeColor="text1"/>
          <w:sz w:val="28"/>
          <w:szCs w:val="28"/>
          <w:highlight w:val="none"/>
          <w14:textFill>
            <w14:solidFill>
              <w14:schemeClr w14:val="tx1"/>
            </w14:solidFill>
          </w14:textFill>
        </w:rPr>
        <w:t>代理</w:t>
      </w:r>
      <w:r>
        <w:rPr>
          <w:rFonts w:ascii="微软雅黑" w:hAnsi="微软雅黑"/>
          <w:b/>
          <w:bCs/>
          <w:color w:val="000000" w:themeColor="text1"/>
          <w:sz w:val="28"/>
          <w:szCs w:val="28"/>
          <w:highlight w:val="none"/>
          <w14:textFill>
            <w14:solidFill>
              <w14:schemeClr w14:val="tx1"/>
            </w14:solidFill>
          </w14:textFill>
        </w:rPr>
        <w:t>机构：</w:t>
      </w:r>
      <w:r>
        <w:rPr>
          <w:rFonts w:hint="eastAsia" w:ascii="微软雅黑" w:hAnsi="微软雅黑"/>
          <w:b/>
          <w:bCs/>
          <w:color w:val="000000" w:themeColor="text1"/>
          <w:sz w:val="28"/>
          <w:szCs w:val="28"/>
          <w:highlight w:val="none"/>
          <w14:textFill>
            <w14:solidFill>
              <w14:schemeClr w14:val="tx1"/>
            </w14:solidFill>
          </w14:textFill>
        </w:rPr>
        <w:t>上海华瑞建设经济咨询有限公司</w:t>
      </w:r>
    </w:p>
    <w:p>
      <w:pPr>
        <w:snapToGrid w:val="0"/>
        <w:spacing w:line="240" w:lineRule="auto"/>
        <w:ind w:left="1692" w:leftChars="-135" w:hanging="1975" w:hangingChars="705"/>
        <w:jc w:val="center"/>
        <w:rPr>
          <w:rFonts w:ascii="微软雅黑" w:hAnsi="微软雅黑"/>
          <w:color w:val="000000" w:themeColor="text1"/>
          <w:sz w:val="28"/>
          <w:szCs w:val="28"/>
          <w:highlight w:val="none"/>
          <w14:textFill>
            <w14:solidFill>
              <w14:schemeClr w14:val="tx1"/>
            </w14:solidFill>
          </w14:textFill>
        </w:rPr>
        <w:sectPr>
          <w:footerReference r:id="rId8" w:type="first"/>
          <w:headerReference r:id="rId5" w:type="default"/>
          <w:footerReference r:id="rId6" w:type="default"/>
          <w:footerReference r:id="rId7" w:type="even"/>
          <w:pgSz w:w="11906" w:h="16838"/>
          <w:pgMar w:top="1134" w:right="1474" w:bottom="1134" w:left="1474" w:header="851" w:footer="510" w:gutter="0"/>
          <w:cols w:space="0" w:num="1"/>
          <w:docGrid w:linePitch="312" w:charSpace="0"/>
        </w:sectPr>
      </w:pPr>
      <w:r>
        <w:rPr>
          <w:rFonts w:hint="eastAsia" w:ascii="微软雅黑" w:hAnsi="微软雅黑"/>
          <w:b/>
          <w:bCs/>
          <w:color w:val="000000" w:themeColor="text1"/>
          <w:sz w:val="28"/>
          <w:szCs w:val="28"/>
          <w:highlight w:val="none"/>
          <w14:textFill>
            <w14:solidFill>
              <w14:schemeClr w14:val="tx1"/>
            </w14:solidFill>
          </w14:textFill>
        </w:rPr>
        <w:t>2022年1</w:t>
      </w:r>
      <w:r>
        <w:rPr>
          <w:rFonts w:hint="eastAsia" w:ascii="微软雅黑" w:hAnsi="微软雅黑"/>
          <w:b/>
          <w:bCs/>
          <w:color w:val="000000" w:themeColor="text1"/>
          <w:sz w:val="28"/>
          <w:szCs w:val="28"/>
          <w:highlight w:val="none"/>
          <w:lang w:val="en-US" w:eastAsia="zh-CN"/>
          <w14:textFill>
            <w14:solidFill>
              <w14:schemeClr w14:val="tx1"/>
            </w14:solidFill>
          </w14:textFill>
        </w:rPr>
        <w:t>2</w:t>
      </w:r>
      <w:r>
        <w:rPr>
          <w:rFonts w:hint="eastAsia" w:ascii="微软雅黑" w:hAnsi="微软雅黑"/>
          <w:b/>
          <w:bCs/>
          <w:color w:val="000000" w:themeColor="text1"/>
          <w:sz w:val="28"/>
          <w:szCs w:val="28"/>
          <w:highlight w:val="none"/>
          <w14:textFill>
            <w14:solidFill>
              <w14:schemeClr w14:val="tx1"/>
            </w14:solidFill>
          </w14:textFill>
        </w:rPr>
        <w:t>月</w:t>
      </w:r>
    </w:p>
    <w:sdt>
      <w:sdtPr>
        <w:rPr>
          <w:rFonts w:hint="eastAsia" w:ascii="微软雅黑" w:hAnsi="微软雅黑"/>
          <w:b/>
          <w:bCs/>
          <w:color w:val="000000" w:themeColor="text1"/>
          <w:kern w:val="2"/>
          <w:sz w:val="32"/>
          <w:szCs w:val="32"/>
          <w:highlight w:val="none"/>
          <w14:textFill>
            <w14:solidFill>
              <w14:schemeClr w14:val="tx1"/>
            </w14:solidFill>
          </w14:textFill>
        </w:rPr>
        <w:id w:val="147469923"/>
        <w:docPartObj>
          <w:docPartGallery w:val="Table of Contents"/>
          <w:docPartUnique/>
        </w:docPartObj>
      </w:sdtPr>
      <w:sdtEndPr>
        <w:rPr>
          <w:rFonts w:hint="eastAsia" w:ascii="微软雅黑" w:hAnsi="微软雅黑"/>
          <w:b/>
          <w:bCs/>
          <w:color w:val="000000" w:themeColor="text1"/>
          <w:kern w:val="2"/>
          <w:sz w:val="21"/>
          <w:szCs w:val="28"/>
          <w:highlight w:val="none"/>
          <w14:textFill>
            <w14:solidFill>
              <w14:schemeClr w14:val="tx1"/>
            </w14:solidFill>
          </w14:textFill>
        </w:rPr>
      </w:sdtEndPr>
      <w:sdtContent>
        <w:p>
          <w:pPr>
            <w:spacing w:before="360" w:beforeLines="150" w:after="120" w:afterLines="50" w:line="240" w:lineRule="auto"/>
            <w:jc w:val="center"/>
            <w:rPr>
              <w:rFonts w:ascii="微软雅黑" w:hAnsi="微软雅黑"/>
              <w:b/>
              <w:bCs/>
              <w:color w:val="000000" w:themeColor="text1"/>
              <w:sz w:val="32"/>
              <w:szCs w:val="32"/>
              <w:highlight w:val="none"/>
              <w14:textFill>
                <w14:solidFill>
                  <w14:schemeClr w14:val="tx1"/>
                </w14:solidFill>
              </w14:textFill>
            </w:rPr>
          </w:pPr>
          <w:r>
            <w:rPr>
              <w:rFonts w:hint="eastAsia" w:ascii="微软雅黑" w:hAnsi="微软雅黑"/>
              <w:b/>
              <w:bCs/>
              <w:color w:val="000000" w:themeColor="text1"/>
              <w:sz w:val="32"/>
              <w:szCs w:val="32"/>
              <w:highlight w:val="none"/>
              <w14:textFill>
                <w14:solidFill>
                  <w14:schemeClr w14:val="tx1"/>
                </w14:solidFill>
              </w14:textFill>
            </w:rPr>
            <w:t>目录</w:t>
          </w:r>
        </w:p>
        <w:p>
          <w:pPr>
            <w:pStyle w:val="38"/>
            <w:tabs>
              <w:tab w:val="right" w:leader="dot" w:pos="8958"/>
              <w:tab w:val="clear" w:pos="8296"/>
            </w:tabs>
            <w:spacing w:before="120" w:after="120"/>
            <w:ind w:firstLine="56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sz w:val="28"/>
              <w:szCs w:val="28"/>
              <w:highlight w:val="none"/>
              <w14:textFill>
                <w14:solidFill>
                  <w14:schemeClr w14:val="tx1"/>
                </w14:solidFill>
              </w14:textFill>
            </w:rPr>
            <w:fldChar w:fldCharType="begin"/>
          </w:r>
          <w:r>
            <w:rPr>
              <w:rFonts w:hint="eastAsia" w:ascii="微软雅黑" w:hAnsi="微软雅黑"/>
              <w:color w:val="000000" w:themeColor="text1"/>
              <w:sz w:val="28"/>
              <w:szCs w:val="28"/>
              <w:highlight w:val="none"/>
              <w14:textFill>
                <w14:solidFill>
                  <w14:schemeClr w14:val="tx1"/>
                </w14:solidFill>
              </w14:textFill>
            </w:rPr>
            <w:instrText xml:space="preserve">TOC \o "1-1" \h \u </w:instrText>
          </w:r>
          <w:r>
            <w:rPr>
              <w:rFonts w:hint="eastAsia" w:ascii="微软雅黑" w:hAnsi="微软雅黑"/>
              <w:color w:val="000000" w:themeColor="text1"/>
              <w:sz w:val="28"/>
              <w:szCs w:val="28"/>
              <w:highlight w:val="none"/>
              <w14:textFill>
                <w14:solidFill>
                  <w14:schemeClr w14:val="tx1"/>
                </w14:solidFill>
              </w14:textFill>
            </w:rPr>
            <w:fldChar w:fldCharType="separate"/>
          </w:r>
        </w:p>
        <w:p>
          <w:pPr>
            <w:pStyle w:val="38"/>
            <w:tabs>
              <w:tab w:val="right" w:leader="dot" w:pos="8958"/>
              <w:tab w:val="clear" w:pos="8296"/>
            </w:tabs>
            <w:spacing w:before="120" w:after="120" w:line="480" w:lineRule="auto"/>
            <w:rPr>
              <w:rFonts w:ascii="微软雅黑" w:hAnsi="微软雅黑"/>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"_Toc27881" </w:instrText>
          </w:r>
          <w:r>
            <w:rPr>
              <w:color w:val="000000" w:themeColor="text1"/>
              <w:highlight w:val="none"/>
              <w14:textFill>
                <w14:solidFill>
                  <w14:schemeClr w14:val="tx1"/>
                </w14:solidFill>
              </w14:textFill>
            </w:rPr>
            <w:fldChar w:fldCharType="separate"/>
          </w:r>
          <w:r>
            <w:rPr>
              <w:rFonts w:hint="eastAsia" w:ascii="微软雅黑" w:hAnsi="微软雅黑"/>
              <w:color w:val="000000" w:themeColor="text1"/>
              <w:sz w:val="28"/>
              <w:szCs w:val="28"/>
              <w:highlight w:val="none"/>
              <w14:textFill>
                <w14:solidFill>
                  <w14:schemeClr w14:val="tx1"/>
                </w14:solidFill>
              </w14:textFill>
            </w:rPr>
            <w:t>第一章  竞争性磋商采购公告</w:t>
          </w:r>
          <w:r>
            <w:rPr>
              <w:rFonts w:hint="eastAsia" w:ascii="微软雅黑" w:hAnsi="微软雅黑"/>
              <w:color w:val="000000" w:themeColor="text1"/>
              <w:sz w:val="28"/>
              <w:szCs w:val="28"/>
              <w:highlight w:val="none"/>
              <w14:textFill>
                <w14:solidFill>
                  <w14:schemeClr w14:val="tx1"/>
                </w14:solidFill>
              </w14:textFill>
            </w:rPr>
            <w:tab/>
          </w:r>
          <w:r>
            <w:rPr>
              <w:rFonts w:hint="eastAsia" w:ascii="微软雅黑" w:hAnsi="微软雅黑"/>
              <w:color w:val="000000" w:themeColor="text1"/>
              <w:sz w:val="28"/>
              <w:szCs w:val="28"/>
              <w:highlight w:val="none"/>
              <w14:textFill>
                <w14:solidFill>
                  <w14:schemeClr w14:val="tx1"/>
                </w14:solidFill>
              </w14:textFill>
            </w:rPr>
            <w:fldChar w:fldCharType="begin"/>
          </w:r>
          <w:r>
            <w:rPr>
              <w:rFonts w:hint="eastAsia" w:ascii="微软雅黑" w:hAnsi="微软雅黑"/>
              <w:color w:val="000000" w:themeColor="text1"/>
              <w:sz w:val="28"/>
              <w:szCs w:val="28"/>
              <w:highlight w:val="none"/>
              <w14:textFill>
                <w14:solidFill>
                  <w14:schemeClr w14:val="tx1"/>
                </w14:solidFill>
              </w14:textFill>
            </w:rPr>
            <w:instrText xml:space="preserve"> PAGEREF _Toc27881 \h </w:instrText>
          </w:r>
          <w:r>
            <w:rPr>
              <w:rFonts w:hint="eastAsia" w:ascii="微软雅黑" w:hAnsi="微软雅黑"/>
              <w:color w:val="000000" w:themeColor="text1"/>
              <w:sz w:val="28"/>
              <w:szCs w:val="28"/>
              <w:highlight w:val="none"/>
              <w14:textFill>
                <w14:solidFill>
                  <w14:schemeClr w14:val="tx1"/>
                </w14:solidFill>
              </w14:textFill>
            </w:rPr>
            <w:fldChar w:fldCharType="separate"/>
          </w:r>
          <w:r>
            <w:rPr>
              <w:rFonts w:hint="eastAsia" w:ascii="微软雅黑" w:hAnsi="微软雅黑"/>
              <w:color w:val="000000" w:themeColor="text1"/>
              <w:sz w:val="28"/>
              <w:szCs w:val="28"/>
              <w:highlight w:val="none"/>
              <w14:textFill>
                <w14:solidFill>
                  <w14:schemeClr w14:val="tx1"/>
                </w14:solidFill>
              </w14:textFill>
            </w:rPr>
            <w:t>2</w:t>
          </w:r>
          <w:r>
            <w:rPr>
              <w:rFonts w:hint="eastAsia" w:ascii="微软雅黑" w:hAnsi="微软雅黑"/>
              <w:color w:val="000000" w:themeColor="text1"/>
              <w:sz w:val="28"/>
              <w:szCs w:val="28"/>
              <w:highlight w:val="none"/>
              <w14:textFill>
                <w14:solidFill>
                  <w14:schemeClr w14:val="tx1"/>
                </w14:solidFill>
              </w14:textFill>
            </w:rPr>
            <w:fldChar w:fldCharType="end"/>
          </w:r>
          <w:r>
            <w:rPr>
              <w:rFonts w:hint="eastAsia" w:ascii="微软雅黑" w:hAnsi="微软雅黑"/>
              <w:color w:val="000000" w:themeColor="text1"/>
              <w:sz w:val="28"/>
              <w:szCs w:val="28"/>
              <w:highlight w:val="none"/>
              <w14:textFill>
                <w14:solidFill>
                  <w14:schemeClr w14:val="tx1"/>
                </w14:solidFill>
              </w14:textFill>
            </w:rPr>
            <w:fldChar w:fldCharType="end"/>
          </w:r>
        </w:p>
        <w:p>
          <w:pPr>
            <w:pStyle w:val="38"/>
            <w:tabs>
              <w:tab w:val="right" w:leader="dot" w:pos="8958"/>
              <w:tab w:val="clear" w:pos="8296"/>
            </w:tabs>
            <w:spacing w:before="120" w:after="120" w:line="480" w:lineRule="auto"/>
            <w:rPr>
              <w:rFonts w:ascii="微软雅黑" w:hAnsi="微软雅黑"/>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"_Toc21260" </w:instrText>
          </w:r>
          <w:r>
            <w:rPr>
              <w:color w:val="000000" w:themeColor="text1"/>
              <w:highlight w:val="none"/>
              <w14:textFill>
                <w14:solidFill>
                  <w14:schemeClr w14:val="tx1"/>
                </w14:solidFill>
              </w14:textFill>
            </w:rPr>
            <w:fldChar w:fldCharType="separate"/>
          </w:r>
          <w:r>
            <w:rPr>
              <w:rFonts w:hint="eastAsia" w:ascii="微软雅黑" w:hAnsi="微软雅黑"/>
              <w:color w:val="000000" w:themeColor="text1"/>
              <w:sz w:val="28"/>
              <w:szCs w:val="28"/>
              <w:highlight w:val="none"/>
              <w14:textFill>
                <w14:solidFill>
                  <w14:schemeClr w14:val="tx1"/>
                </w14:solidFill>
              </w14:textFill>
            </w:rPr>
            <w:t>第二章  供应商须知</w:t>
          </w:r>
          <w:r>
            <w:rPr>
              <w:rFonts w:hint="eastAsia" w:ascii="微软雅黑" w:hAnsi="微软雅黑"/>
              <w:color w:val="000000" w:themeColor="text1"/>
              <w:sz w:val="28"/>
              <w:szCs w:val="28"/>
              <w:highlight w:val="none"/>
              <w14:textFill>
                <w14:solidFill>
                  <w14:schemeClr w14:val="tx1"/>
                </w14:solidFill>
              </w14:textFill>
            </w:rPr>
            <w:tab/>
          </w:r>
          <w:r>
            <w:rPr>
              <w:rFonts w:hint="eastAsia" w:ascii="微软雅黑" w:hAnsi="微软雅黑"/>
              <w:color w:val="000000" w:themeColor="text1"/>
              <w:sz w:val="28"/>
              <w:szCs w:val="28"/>
              <w:highlight w:val="none"/>
              <w14:textFill>
                <w14:solidFill>
                  <w14:schemeClr w14:val="tx1"/>
                </w14:solidFill>
              </w14:textFill>
            </w:rPr>
            <w:fldChar w:fldCharType="begin"/>
          </w:r>
          <w:r>
            <w:rPr>
              <w:rFonts w:hint="eastAsia" w:ascii="微软雅黑" w:hAnsi="微软雅黑"/>
              <w:color w:val="000000" w:themeColor="text1"/>
              <w:sz w:val="28"/>
              <w:szCs w:val="28"/>
              <w:highlight w:val="none"/>
              <w14:textFill>
                <w14:solidFill>
                  <w14:schemeClr w14:val="tx1"/>
                </w14:solidFill>
              </w14:textFill>
            </w:rPr>
            <w:instrText xml:space="preserve"> PAGEREF _Toc21260 \h </w:instrText>
          </w:r>
          <w:r>
            <w:rPr>
              <w:rFonts w:hint="eastAsia" w:ascii="微软雅黑" w:hAnsi="微软雅黑"/>
              <w:color w:val="000000" w:themeColor="text1"/>
              <w:sz w:val="28"/>
              <w:szCs w:val="28"/>
              <w:highlight w:val="none"/>
              <w14:textFill>
                <w14:solidFill>
                  <w14:schemeClr w14:val="tx1"/>
                </w14:solidFill>
              </w14:textFill>
            </w:rPr>
            <w:fldChar w:fldCharType="separate"/>
          </w:r>
          <w:r>
            <w:rPr>
              <w:rFonts w:hint="eastAsia" w:ascii="微软雅黑" w:hAnsi="微软雅黑"/>
              <w:color w:val="000000" w:themeColor="text1"/>
              <w:sz w:val="28"/>
              <w:szCs w:val="28"/>
              <w:highlight w:val="none"/>
              <w14:textFill>
                <w14:solidFill>
                  <w14:schemeClr w14:val="tx1"/>
                </w14:solidFill>
              </w14:textFill>
            </w:rPr>
            <w:t>5</w:t>
          </w:r>
          <w:r>
            <w:rPr>
              <w:rFonts w:hint="eastAsia" w:ascii="微软雅黑" w:hAnsi="微软雅黑"/>
              <w:color w:val="000000" w:themeColor="text1"/>
              <w:sz w:val="28"/>
              <w:szCs w:val="28"/>
              <w:highlight w:val="none"/>
              <w14:textFill>
                <w14:solidFill>
                  <w14:schemeClr w14:val="tx1"/>
                </w14:solidFill>
              </w14:textFill>
            </w:rPr>
            <w:fldChar w:fldCharType="end"/>
          </w:r>
          <w:r>
            <w:rPr>
              <w:rFonts w:hint="eastAsia" w:ascii="微软雅黑" w:hAnsi="微软雅黑"/>
              <w:color w:val="000000" w:themeColor="text1"/>
              <w:sz w:val="28"/>
              <w:szCs w:val="28"/>
              <w:highlight w:val="none"/>
              <w14:textFill>
                <w14:solidFill>
                  <w14:schemeClr w14:val="tx1"/>
                </w14:solidFill>
              </w14:textFill>
            </w:rPr>
            <w:fldChar w:fldCharType="end"/>
          </w:r>
        </w:p>
        <w:p>
          <w:pPr>
            <w:pStyle w:val="38"/>
            <w:tabs>
              <w:tab w:val="right" w:leader="dot" w:pos="8958"/>
              <w:tab w:val="clear" w:pos="8296"/>
            </w:tabs>
            <w:spacing w:before="120" w:after="120" w:line="480" w:lineRule="auto"/>
            <w:rPr>
              <w:rFonts w:ascii="微软雅黑" w:hAnsi="微软雅黑"/>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"_Toc12042" </w:instrText>
          </w:r>
          <w:r>
            <w:rPr>
              <w:color w:val="000000" w:themeColor="text1"/>
              <w:highlight w:val="none"/>
              <w14:textFill>
                <w14:solidFill>
                  <w14:schemeClr w14:val="tx1"/>
                </w14:solidFill>
              </w14:textFill>
            </w:rPr>
            <w:fldChar w:fldCharType="separate"/>
          </w:r>
          <w:r>
            <w:rPr>
              <w:rFonts w:hint="eastAsia" w:ascii="微软雅黑" w:hAnsi="微软雅黑"/>
              <w:color w:val="000000" w:themeColor="text1"/>
              <w:sz w:val="28"/>
              <w:szCs w:val="28"/>
              <w:highlight w:val="none"/>
              <w14:textFill>
                <w14:solidFill>
                  <w14:schemeClr w14:val="tx1"/>
                </w14:solidFill>
              </w14:textFill>
            </w:rPr>
            <w:t>第三章  磋商项目要求</w:t>
          </w:r>
          <w:r>
            <w:rPr>
              <w:rFonts w:hint="eastAsia" w:ascii="微软雅黑" w:hAnsi="微软雅黑"/>
              <w:color w:val="000000" w:themeColor="text1"/>
              <w:sz w:val="28"/>
              <w:szCs w:val="28"/>
              <w:highlight w:val="none"/>
              <w14:textFill>
                <w14:solidFill>
                  <w14:schemeClr w14:val="tx1"/>
                </w14:solidFill>
              </w14:textFill>
            </w:rPr>
            <w:tab/>
          </w:r>
          <w:r>
            <w:rPr>
              <w:rFonts w:hint="eastAsia" w:ascii="微软雅黑" w:hAnsi="微软雅黑"/>
              <w:color w:val="000000" w:themeColor="text1"/>
              <w:sz w:val="28"/>
              <w:szCs w:val="28"/>
              <w:highlight w:val="none"/>
              <w14:textFill>
                <w14:solidFill>
                  <w14:schemeClr w14:val="tx1"/>
                </w14:solidFill>
              </w14:textFill>
            </w:rPr>
            <w:fldChar w:fldCharType="begin"/>
          </w:r>
          <w:r>
            <w:rPr>
              <w:rFonts w:hint="eastAsia" w:ascii="微软雅黑" w:hAnsi="微软雅黑"/>
              <w:color w:val="000000" w:themeColor="text1"/>
              <w:sz w:val="28"/>
              <w:szCs w:val="28"/>
              <w:highlight w:val="none"/>
              <w14:textFill>
                <w14:solidFill>
                  <w14:schemeClr w14:val="tx1"/>
                </w14:solidFill>
              </w14:textFill>
            </w:rPr>
            <w:instrText xml:space="preserve"> PAGEREF _Toc12042 \h </w:instrText>
          </w:r>
          <w:r>
            <w:rPr>
              <w:rFonts w:hint="eastAsia" w:ascii="微软雅黑" w:hAnsi="微软雅黑"/>
              <w:color w:val="000000" w:themeColor="text1"/>
              <w:sz w:val="28"/>
              <w:szCs w:val="28"/>
              <w:highlight w:val="none"/>
              <w14:textFill>
                <w14:solidFill>
                  <w14:schemeClr w14:val="tx1"/>
                </w14:solidFill>
              </w14:textFill>
            </w:rPr>
            <w:fldChar w:fldCharType="separate"/>
          </w:r>
          <w:r>
            <w:rPr>
              <w:rFonts w:hint="eastAsia" w:ascii="微软雅黑" w:hAnsi="微软雅黑"/>
              <w:color w:val="000000" w:themeColor="text1"/>
              <w:sz w:val="28"/>
              <w:szCs w:val="28"/>
              <w:highlight w:val="none"/>
              <w14:textFill>
                <w14:solidFill>
                  <w14:schemeClr w14:val="tx1"/>
                </w14:solidFill>
              </w14:textFill>
            </w:rPr>
            <w:t>20</w:t>
          </w:r>
          <w:r>
            <w:rPr>
              <w:rFonts w:hint="eastAsia" w:ascii="微软雅黑" w:hAnsi="微软雅黑"/>
              <w:color w:val="000000" w:themeColor="text1"/>
              <w:sz w:val="28"/>
              <w:szCs w:val="28"/>
              <w:highlight w:val="none"/>
              <w14:textFill>
                <w14:solidFill>
                  <w14:schemeClr w14:val="tx1"/>
                </w14:solidFill>
              </w14:textFill>
            </w:rPr>
            <w:fldChar w:fldCharType="end"/>
          </w:r>
          <w:r>
            <w:rPr>
              <w:rFonts w:hint="eastAsia" w:ascii="微软雅黑" w:hAnsi="微软雅黑"/>
              <w:color w:val="000000" w:themeColor="text1"/>
              <w:sz w:val="28"/>
              <w:szCs w:val="28"/>
              <w:highlight w:val="none"/>
              <w14:textFill>
                <w14:solidFill>
                  <w14:schemeClr w14:val="tx1"/>
                </w14:solidFill>
              </w14:textFill>
            </w:rPr>
            <w:fldChar w:fldCharType="end"/>
          </w:r>
        </w:p>
        <w:p>
          <w:pPr>
            <w:pStyle w:val="38"/>
            <w:tabs>
              <w:tab w:val="right" w:leader="dot" w:pos="8958"/>
              <w:tab w:val="clear" w:pos="8296"/>
            </w:tabs>
            <w:spacing w:before="120" w:after="120" w:line="480" w:lineRule="auto"/>
            <w:rPr>
              <w:rFonts w:ascii="微软雅黑" w:hAnsi="微软雅黑"/>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 </w:instrText>
          </w:r>
          <w:r>
            <w:rPr>
              <w:color w:val="000000" w:themeColor="text1"/>
              <w:highlight w:val="none"/>
              <w14:textFill>
                <w14:solidFill>
                  <w14:schemeClr w14:val="tx1"/>
                </w14:solidFill>
              </w14:textFill>
            </w:rPr>
            <w:fldChar w:fldCharType="separate"/>
          </w:r>
          <w:r>
            <w:rPr>
              <w:rFonts w:hint="eastAsia" w:ascii="微软雅黑" w:hAnsi="微软雅黑"/>
              <w:color w:val="000000" w:themeColor="text1"/>
              <w:sz w:val="28"/>
              <w:szCs w:val="28"/>
              <w:highlight w:val="none"/>
              <w14:textFill>
                <w14:solidFill>
                  <w14:schemeClr w14:val="tx1"/>
                </w14:solidFill>
              </w14:textFill>
            </w:rPr>
            <w:t>第四章  嘉兴市政府采购合同（指引）</w:t>
          </w:r>
          <w:r>
            <w:rPr>
              <w:rFonts w:hint="eastAsia" w:ascii="微软雅黑" w:hAnsi="微软雅黑"/>
              <w:color w:val="000000" w:themeColor="text1"/>
              <w:sz w:val="28"/>
              <w:szCs w:val="28"/>
              <w:highlight w:val="none"/>
              <w14:textFill>
                <w14:solidFill>
                  <w14:schemeClr w14:val="tx1"/>
                </w14:solidFill>
              </w14:textFill>
            </w:rPr>
            <w:tab/>
          </w:r>
          <w:r>
            <w:rPr>
              <w:rFonts w:hint="eastAsia" w:ascii="微软雅黑" w:hAnsi="微软雅黑"/>
              <w:color w:val="000000" w:themeColor="text1"/>
              <w:sz w:val="28"/>
              <w:szCs w:val="28"/>
              <w:highlight w:val="none"/>
              <w14:textFill>
                <w14:solidFill>
                  <w14:schemeClr w14:val="tx1"/>
                </w14:solidFill>
              </w14:textFill>
            </w:rPr>
            <w:fldChar w:fldCharType="begin"/>
          </w:r>
          <w:r>
            <w:rPr>
              <w:rFonts w:hint="eastAsia" w:ascii="微软雅黑" w:hAnsi="微软雅黑"/>
              <w:color w:val="000000" w:themeColor="text1"/>
              <w:sz w:val="28"/>
              <w:szCs w:val="28"/>
              <w:highlight w:val="none"/>
              <w14:textFill>
                <w14:solidFill>
                  <w14:schemeClr w14:val="tx1"/>
                </w14:solidFill>
              </w14:textFill>
            </w:rPr>
            <w:instrText xml:space="preserve"> PAGEREF _Toc14 \h </w:instrText>
          </w:r>
          <w:r>
            <w:rPr>
              <w:rFonts w:hint="eastAsia" w:ascii="微软雅黑" w:hAnsi="微软雅黑"/>
              <w:color w:val="000000" w:themeColor="text1"/>
              <w:sz w:val="28"/>
              <w:szCs w:val="28"/>
              <w:highlight w:val="none"/>
              <w14:textFill>
                <w14:solidFill>
                  <w14:schemeClr w14:val="tx1"/>
                </w14:solidFill>
              </w14:textFill>
            </w:rPr>
            <w:fldChar w:fldCharType="separate"/>
          </w:r>
          <w:r>
            <w:rPr>
              <w:rFonts w:hint="eastAsia" w:ascii="微软雅黑" w:hAnsi="微软雅黑"/>
              <w:color w:val="000000" w:themeColor="text1"/>
              <w:sz w:val="28"/>
              <w:szCs w:val="28"/>
              <w:highlight w:val="none"/>
              <w14:textFill>
                <w14:solidFill>
                  <w14:schemeClr w14:val="tx1"/>
                </w14:solidFill>
              </w14:textFill>
            </w:rPr>
            <w:t>26</w:t>
          </w:r>
          <w:r>
            <w:rPr>
              <w:rFonts w:hint="eastAsia" w:ascii="微软雅黑" w:hAnsi="微软雅黑"/>
              <w:color w:val="000000" w:themeColor="text1"/>
              <w:sz w:val="28"/>
              <w:szCs w:val="28"/>
              <w:highlight w:val="none"/>
              <w14:textFill>
                <w14:solidFill>
                  <w14:schemeClr w14:val="tx1"/>
                </w14:solidFill>
              </w14:textFill>
            </w:rPr>
            <w:fldChar w:fldCharType="end"/>
          </w:r>
          <w:r>
            <w:rPr>
              <w:rFonts w:hint="eastAsia" w:ascii="微软雅黑" w:hAnsi="微软雅黑"/>
              <w:color w:val="000000" w:themeColor="text1"/>
              <w:sz w:val="28"/>
              <w:szCs w:val="28"/>
              <w:highlight w:val="none"/>
              <w14:textFill>
                <w14:solidFill>
                  <w14:schemeClr w14:val="tx1"/>
                </w14:solidFill>
              </w14:textFill>
            </w:rPr>
            <w:fldChar w:fldCharType="end"/>
          </w:r>
        </w:p>
        <w:p>
          <w:pPr>
            <w:pStyle w:val="38"/>
            <w:tabs>
              <w:tab w:val="right" w:leader="dot" w:pos="8958"/>
              <w:tab w:val="clear" w:pos="8296"/>
            </w:tabs>
            <w:spacing w:before="120" w:after="120" w:line="480" w:lineRule="auto"/>
            <w:rPr>
              <w:rFonts w:ascii="微软雅黑" w:hAnsi="微软雅黑"/>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"_Toc28025" </w:instrText>
          </w:r>
          <w:r>
            <w:rPr>
              <w:color w:val="000000" w:themeColor="text1"/>
              <w:highlight w:val="none"/>
              <w14:textFill>
                <w14:solidFill>
                  <w14:schemeClr w14:val="tx1"/>
                </w14:solidFill>
              </w14:textFill>
            </w:rPr>
            <w:fldChar w:fldCharType="separate"/>
          </w:r>
          <w:r>
            <w:rPr>
              <w:rFonts w:hint="eastAsia" w:ascii="微软雅黑" w:hAnsi="微软雅黑"/>
              <w:color w:val="000000" w:themeColor="text1"/>
              <w:sz w:val="28"/>
              <w:szCs w:val="28"/>
              <w:highlight w:val="none"/>
              <w14:textFill>
                <w14:solidFill>
                  <w14:schemeClr w14:val="tx1"/>
                </w14:solidFill>
              </w14:textFill>
            </w:rPr>
            <w:t>第五章  评标办法及评分标准</w:t>
          </w:r>
          <w:r>
            <w:rPr>
              <w:rFonts w:hint="eastAsia" w:ascii="微软雅黑" w:hAnsi="微软雅黑"/>
              <w:color w:val="000000" w:themeColor="text1"/>
              <w:sz w:val="28"/>
              <w:szCs w:val="28"/>
              <w:highlight w:val="none"/>
              <w14:textFill>
                <w14:solidFill>
                  <w14:schemeClr w14:val="tx1"/>
                </w14:solidFill>
              </w14:textFill>
            </w:rPr>
            <w:tab/>
          </w:r>
          <w:r>
            <w:rPr>
              <w:rFonts w:hint="eastAsia" w:ascii="微软雅黑" w:hAnsi="微软雅黑"/>
              <w:color w:val="000000" w:themeColor="text1"/>
              <w:sz w:val="28"/>
              <w:szCs w:val="28"/>
              <w:highlight w:val="none"/>
              <w14:textFill>
                <w14:solidFill>
                  <w14:schemeClr w14:val="tx1"/>
                </w14:solidFill>
              </w14:textFill>
            </w:rPr>
            <w:fldChar w:fldCharType="begin"/>
          </w:r>
          <w:r>
            <w:rPr>
              <w:rFonts w:hint="eastAsia" w:ascii="微软雅黑" w:hAnsi="微软雅黑"/>
              <w:color w:val="000000" w:themeColor="text1"/>
              <w:sz w:val="28"/>
              <w:szCs w:val="28"/>
              <w:highlight w:val="none"/>
              <w14:textFill>
                <w14:solidFill>
                  <w14:schemeClr w14:val="tx1"/>
                </w14:solidFill>
              </w14:textFill>
            </w:rPr>
            <w:instrText xml:space="preserve"> PAGEREF _Toc28025 \h </w:instrText>
          </w:r>
          <w:r>
            <w:rPr>
              <w:rFonts w:hint="eastAsia" w:ascii="微软雅黑" w:hAnsi="微软雅黑"/>
              <w:color w:val="000000" w:themeColor="text1"/>
              <w:sz w:val="28"/>
              <w:szCs w:val="28"/>
              <w:highlight w:val="none"/>
              <w14:textFill>
                <w14:solidFill>
                  <w14:schemeClr w14:val="tx1"/>
                </w14:solidFill>
              </w14:textFill>
            </w:rPr>
            <w:fldChar w:fldCharType="separate"/>
          </w:r>
          <w:r>
            <w:rPr>
              <w:rFonts w:hint="eastAsia" w:ascii="微软雅黑" w:hAnsi="微软雅黑"/>
              <w:color w:val="000000" w:themeColor="text1"/>
              <w:sz w:val="28"/>
              <w:szCs w:val="28"/>
              <w:highlight w:val="none"/>
              <w14:textFill>
                <w14:solidFill>
                  <w14:schemeClr w14:val="tx1"/>
                </w14:solidFill>
              </w14:textFill>
            </w:rPr>
            <w:t>31</w:t>
          </w:r>
          <w:r>
            <w:rPr>
              <w:rFonts w:hint="eastAsia" w:ascii="微软雅黑" w:hAnsi="微软雅黑"/>
              <w:color w:val="000000" w:themeColor="text1"/>
              <w:sz w:val="28"/>
              <w:szCs w:val="28"/>
              <w:highlight w:val="none"/>
              <w14:textFill>
                <w14:solidFill>
                  <w14:schemeClr w14:val="tx1"/>
                </w14:solidFill>
              </w14:textFill>
            </w:rPr>
            <w:fldChar w:fldCharType="end"/>
          </w:r>
          <w:r>
            <w:rPr>
              <w:rFonts w:hint="eastAsia" w:ascii="微软雅黑" w:hAnsi="微软雅黑"/>
              <w:color w:val="000000" w:themeColor="text1"/>
              <w:sz w:val="28"/>
              <w:szCs w:val="28"/>
              <w:highlight w:val="none"/>
              <w14:textFill>
                <w14:solidFill>
                  <w14:schemeClr w14:val="tx1"/>
                </w14:solidFill>
              </w14:textFill>
            </w:rPr>
            <w:fldChar w:fldCharType="end"/>
          </w:r>
        </w:p>
        <w:p>
          <w:pPr>
            <w:pStyle w:val="38"/>
            <w:tabs>
              <w:tab w:val="right" w:leader="dot" w:pos="8958"/>
              <w:tab w:val="clear" w:pos="8296"/>
            </w:tabs>
            <w:spacing w:before="120" w:after="120" w:line="480" w:lineRule="auto"/>
            <w:rPr>
              <w:rFonts w:ascii="微软雅黑" w:hAnsi="微软雅黑"/>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"_Toc5502" </w:instrText>
          </w:r>
          <w:r>
            <w:rPr>
              <w:color w:val="000000" w:themeColor="text1"/>
              <w:highlight w:val="none"/>
              <w14:textFill>
                <w14:solidFill>
                  <w14:schemeClr w14:val="tx1"/>
                </w14:solidFill>
              </w14:textFill>
            </w:rPr>
            <w:fldChar w:fldCharType="separate"/>
          </w:r>
          <w:r>
            <w:rPr>
              <w:rFonts w:hint="eastAsia" w:ascii="微软雅黑" w:hAnsi="微软雅黑"/>
              <w:color w:val="000000" w:themeColor="text1"/>
              <w:sz w:val="28"/>
              <w:szCs w:val="28"/>
              <w:highlight w:val="none"/>
              <w14:textFill>
                <w14:solidFill>
                  <w14:schemeClr w14:val="tx1"/>
                </w14:solidFill>
              </w14:textFill>
            </w:rPr>
            <w:t>第六章  磋商相关文件格式</w:t>
          </w:r>
          <w:r>
            <w:rPr>
              <w:rFonts w:hint="eastAsia" w:ascii="微软雅黑" w:hAnsi="微软雅黑"/>
              <w:color w:val="000000" w:themeColor="text1"/>
              <w:sz w:val="28"/>
              <w:szCs w:val="28"/>
              <w:highlight w:val="none"/>
              <w14:textFill>
                <w14:solidFill>
                  <w14:schemeClr w14:val="tx1"/>
                </w14:solidFill>
              </w14:textFill>
            </w:rPr>
            <w:tab/>
          </w:r>
          <w:r>
            <w:rPr>
              <w:rFonts w:hint="eastAsia" w:ascii="微软雅黑" w:hAnsi="微软雅黑"/>
              <w:color w:val="000000" w:themeColor="text1"/>
              <w:sz w:val="28"/>
              <w:szCs w:val="28"/>
              <w:highlight w:val="none"/>
              <w14:textFill>
                <w14:solidFill>
                  <w14:schemeClr w14:val="tx1"/>
                </w14:solidFill>
              </w14:textFill>
            </w:rPr>
            <w:fldChar w:fldCharType="begin"/>
          </w:r>
          <w:r>
            <w:rPr>
              <w:rFonts w:hint="eastAsia" w:ascii="微软雅黑" w:hAnsi="微软雅黑"/>
              <w:color w:val="000000" w:themeColor="text1"/>
              <w:sz w:val="28"/>
              <w:szCs w:val="28"/>
              <w:highlight w:val="none"/>
              <w14:textFill>
                <w14:solidFill>
                  <w14:schemeClr w14:val="tx1"/>
                </w14:solidFill>
              </w14:textFill>
            </w:rPr>
            <w:instrText xml:space="preserve"> PAGEREF _Toc5502 \h </w:instrText>
          </w:r>
          <w:r>
            <w:rPr>
              <w:rFonts w:hint="eastAsia" w:ascii="微软雅黑" w:hAnsi="微软雅黑"/>
              <w:color w:val="000000" w:themeColor="text1"/>
              <w:sz w:val="28"/>
              <w:szCs w:val="28"/>
              <w:highlight w:val="none"/>
              <w14:textFill>
                <w14:solidFill>
                  <w14:schemeClr w14:val="tx1"/>
                </w14:solidFill>
              </w14:textFill>
            </w:rPr>
            <w:fldChar w:fldCharType="separate"/>
          </w:r>
          <w:r>
            <w:rPr>
              <w:rFonts w:hint="eastAsia" w:ascii="微软雅黑" w:hAnsi="微软雅黑"/>
              <w:color w:val="000000" w:themeColor="text1"/>
              <w:sz w:val="28"/>
              <w:szCs w:val="28"/>
              <w:highlight w:val="none"/>
              <w14:textFill>
                <w14:solidFill>
                  <w14:schemeClr w14:val="tx1"/>
                </w14:solidFill>
              </w14:textFill>
            </w:rPr>
            <w:t>34</w:t>
          </w:r>
          <w:r>
            <w:rPr>
              <w:rFonts w:hint="eastAsia" w:ascii="微软雅黑" w:hAnsi="微软雅黑"/>
              <w:color w:val="000000" w:themeColor="text1"/>
              <w:sz w:val="28"/>
              <w:szCs w:val="28"/>
              <w:highlight w:val="none"/>
              <w14:textFill>
                <w14:solidFill>
                  <w14:schemeClr w14:val="tx1"/>
                </w14:solidFill>
              </w14:textFill>
            </w:rPr>
            <w:fldChar w:fldCharType="end"/>
          </w:r>
          <w:r>
            <w:rPr>
              <w:rFonts w:hint="eastAsia" w:ascii="微软雅黑" w:hAnsi="微软雅黑"/>
              <w:color w:val="000000" w:themeColor="text1"/>
              <w:sz w:val="28"/>
              <w:szCs w:val="28"/>
              <w:highlight w:val="none"/>
              <w14:textFill>
                <w14:solidFill>
                  <w14:schemeClr w14:val="tx1"/>
                </w14:solidFill>
              </w14:textFill>
            </w:rPr>
            <w:fldChar w:fldCharType="end"/>
          </w:r>
        </w:p>
        <w:p>
          <w:pPr>
            <w:rPr>
              <w:rFonts w:ascii="微软雅黑" w:hAnsi="微软雅黑"/>
              <w:color w:val="000000" w:themeColor="text1"/>
              <w:sz w:val="28"/>
              <w:szCs w:val="28"/>
              <w:highlight w:val="none"/>
              <w14:textFill>
                <w14:solidFill>
                  <w14:schemeClr w14:val="tx1"/>
                </w14:solidFill>
              </w14:textFill>
            </w:rPr>
          </w:pPr>
          <w:r>
            <w:rPr>
              <w:rFonts w:hint="eastAsia" w:ascii="微软雅黑" w:hAnsi="微软雅黑"/>
              <w:color w:val="000000" w:themeColor="text1"/>
              <w:szCs w:val="28"/>
              <w:highlight w:val="none"/>
              <w14:textFill>
                <w14:solidFill>
                  <w14:schemeClr w14:val="tx1"/>
                </w14:solidFill>
              </w14:textFill>
            </w:rPr>
            <w:fldChar w:fldCharType="end"/>
          </w:r>
        </w:p>
      </w:sdtContent>
    </w:sdt>
    <w:p>
      <w:pPr>
        <w:rPr>
          <w:rFonts w:ascii="微软雅黑" w:hAnsi="微软雅黑"/>
          <w:color w:val="000000" w:themeColor="text1"/>
          <w:sz w:val="28"/>
          <w:szCs w:val="28"/>
          <w:highlight w:val="none"/>
          <w:lang w:val="zh-CN"/>
          <w14:textFill>
            <w14:solidFill>
              <w14:schemeClr w14:val="tx1"/>
            </w14:solidFill>
          </w14:textFill>
        </w:rPr>
      </w:pPr>
    </w:p>
    <w:p>
      <w:pPr>
        <w:pStyle w:val="4"/>
        <w:spacing w:before="360"/>
        <w:ind w:left="720"/>
        <w:rPr>
          <w:rFonts w:ascii="微软雅黑" w:hAnsi="微软雅黑"/>
          <w:color w:val="000000" w:themeColor="text1"/>
          <w:szCs w:val="21"/>
          <w:highlight w:val="none"/>
          <w14:textFill>
            <w14:solidFill>
              <w14:schemeClr w14:val="tx1"/>
            </w14:solidFill>
          </w14:textFill>
        </w:rPr>
      </w:pPr>
      <w:bookmarkStart w:id="620" w:name="_GoBack"/>
      <w:bookmarkEnd w:id="620"/>
    </w:p>
    <w:p>
      <w:pPr>
        <w:pStyle w:val="4"/>
        <w:spacing w:before="360"/>
        <w:ind w:left="720"/>
        <w:rPr>
          <w:rFonts w:ascii="微软雅黑" w:hAnsi="微软雅黑"/>
          <w:color w:val="000000" w:themeColor="text1"/>
          <w:szCs w:val="21"/>
          <w:highlight w:val="none"/>
          <w14:textFill>
            <w14:solidFill>
              <w14:schemeClr w14:val="tx1"/>
            </w14:solidFill>
          </w14:textFill>
        </w:rPr>
      </w:pPr>
    </w:p>
    <w:p>
      <w:pPr>
        <w:pStyle w:val="4"/>
        <w:numPr>
          <w:ilvl w:val="0"/>
          <w:numId w:val="19"/>
        </w:numPr>
        <w:spacing w:before="360"/>
        <w:jc w:val="center"/>
        <w:rPr>
          <w:rFonts w:ascii="微软雅黑" w:hAnsi="微软雅黑"/>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6" w:name="_Toc27881"/>
      <w:bookmarkStart w:id="7" w:name="_Toc493699289"/>
      <w:bookmarkStart w:id="8" w:name="_Toc100764181"/>
      <w:r>
        <w:rPr>
          <w:rFonts w:hint="eastAsia" w:ascii="微软雅黑" w:hAnsi="微软雅黑"/>
          <w:color w:val="000000" w:themeColor="text1"/>
          <w:szCs w:val="21"/>
          <w:highlight w:val="none"/>
          <w14:textFill>
            <w14:solidFill>
              <w14:schemeClr w14:val="tx1"/>
            </w14:solidFill>
          </w14:textFill>
        </w:rPr>
        <w:t>竞争性磋商采购公告</w:t>
      </w:r>
      <w:bookmarkEnd w:id="6"/>
      <w:bookmarkEnd w:id="7"/>
      <w:bookmarkEnd w:id="8"/>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7" w:type="dxa"/>
          </w:tcPr>
          <w:p>
            <w:pPr>
              <w:pStyle w:val="50"/>
              <w:spacing w:before="75" w:beforeAutospacing="0" w:after="150" w:afterAutospacing="0"/>
              <w:ind w:firstLine="400"/>
              <w:rPr>
                <w:rFonts w:ascii="微软雅黑" w:hAnsi="微软雅黑" w:cs="Arial"/>
                <w:color w:val="000000" w:themeColor="text1"/>
                <w:spacing w:val="-6"/>
                <w:kern w:val="2"/>
                <w:sz w:val="21"/>
                <w:highlight w:val="none"/>
                <w14:textFill>
                  <w14:solidFill>
                    <w14:schemeClr w14:val="tx1"/>
                  </w14:solidFill>
                </w14:textFill>
              </w:rPr>
            </w:pPr>
            <w:r>
              <w:rPr>
                <w:rFonts w:hint="eastAsia" w:ascii="微软雅黑" w:hAnsi="微软雅黑" w:cs="Arial"/>
                <w:color w:val="000000" w:themeColor="text1"/>
                <w:spacing w:val="-6"/>
                <w:kern w:val="2"/>
                <w:sz w:val="21"/>
                <w:highlight w:val="none"/>
                <w14:textFill>
                  <w14:solidFill>
                    <w14:schemeClr w14:val="tx1"/>
                  </w14:solidFill>
                </w14:textFill>
              </w:rPr>
              <w:t>项目概况</w:t>
            </w:r>
            <w:r>
              <w:rPr>
                <w:rFonts w:ascii="微软雅黑" w:hAnsi="微软雅黑" w:cs="Calibri"/>
                <w:color w:val="000000" w:themeColor="text1"/>
                <w:spacing w:val="-6"/>
                <w:kern w:val="2"/>
                <w:sz w:val="21"/>
                <w:highlight w:val="none"/>
                <w14:textFill>
                  <w14:solidFill>
                    <w14:schemeClr w14:val="tx1"/>
                  </w14:solidFill>
                </w14:textFill>
              </w:rPr>
              <w:t>                           </w:t>
            </w:r>
          </w:p>
          <w:p>
            <w:pPr>
              <w:pStyle w:val="50"/>
              <w:spacing w:before="75" w:beforeAutospacing="0" w:after="150" w:afterAutospacing="0"/>
              <w:rPr>
                <w:rFonts w:ascii="微软雅黑" w:hAnsi="微软雅黑" w:cs="Arial"/>
                <w:color w:val="000000" w:themeColor="text1"/>
                <w:spacing w:val="-6"/>
                <w:kern w:val="2"/>
                <w:sz w:val="21"/>
                <w:highlight w:val="none"/>
                <w14:textFill>
                  <w14:solidFill>
                    <w14:schemeClr w14:val="tx1"/>
                  </w14:solidFill>
                </w14:textFill>
              </w:rPr>
            </w:pPr>
            <w:r>
              <w:rPr>
                <w:rFonts w:hint="eastAsia" w:ascii="微软雅黑" w:hAnsi="微软雅黑" w:cs="Arial"/>
                <w:color w:val="000000" w:themeColor="text1"/>
                <w:spacing w:val="-6"/>
                <w:kern w:val="2"/>
                <w:sz w:val="21"/>
                <w:highlight w:val="none"/>
                <w:u w:val="single"/>
                <w14:textFill>
                  <w14:solidFill>
                    <w14:schemeClr w14:val="tx1"/>
                  </w14:solidFill>
                </w14:textFill>
              </w:rPr>
              <w:t xml:space="preserve">嘉兴经济技术开发区燃气管家服务采购项目 </w:t>
            </w:r>
            <w:r>
              <w:rPr>
                <w:rFonts w:hint="eastAsia" w:ascii="微软雅黑" w:hAnsi="微软雅黑" w:cs="微软雅黑"/>
                <w:color w:val="000000" w:themeColor="text1"/>
                <w:spacing w:val="-6"/>
                <w:kern w:val="2"/>
                <w:sz w:val="21"/>
                <w:highlight w:val="none"/>
                <w14:textFill>
                  <w14:solidFill>
                    <w14:schemeClr w14:val="tx1"/>
                  </w14:solidFill>
                </w14:textFill>
              </w:rPr>
              <w:t>采购项目的潜在供应商应在</w:t>
            </w:r>
            <w:r>
              <w:rPr>
                <w:rFonts w:hint="eastAsia" w:ascii="微软雅黑" w:hAnsi="微软雅黑" w:cs="Arial"/>
                <w:color w:val="000000" w:themeColor="text1"/>
                <w:spacing w:val="-6"/>
                <w:kern w:val="2"/>
                <w:sz w:val="21"/>
                <w:highlight w:val="none"/>
                <w14:textFill>
                  <w14:solidFill>
                    <w14:schemeClr w14:val="tx1"/>
                  </w14:solidFill>
                </w14:textFill>
              </w:rPr>
              <w:t>https://www.zcygov.cn/</w:t>
            </w:r>
            <w:r>
              <w:rPr>
                <w:rFonts w:hint="eastAsia" w:ascii="微软雅黑" w:hAnsi="微软雅黑" w:cs="微软雅黑"/>
                <w:color w:val="000000" w:themeColor="text1"/>
                <w:spacing w:val="-6"/>
                <w:kern w:val="2"/>
                <w:sz w:val="21"/>
                <w:highlight w:val="none"/>
                <w14:textFill>
                  <w14:solidFill>
                    <w14:schemeClr w14:val="tx1"/>
                  </w14:solidFill>
                </w14:textFill>
              </w:rPr>
              <w:t>获取（下载）采购文件，并于</w:t>
            </w:r>
            <w:r>
              <w:rPr>
                <w:rFonts w:hint="eastAsia" w:ascii="微软雅黑" w:hAnsi="微软雅黑" w:cs="微软雅黑"/>
                <w:color w:val="000000" w:themeColor="text1"/>
                <w:spacing w:val="-6"/>
                <w:kern w:val="2"/>
                <w:sz w:val="21"/>
                <w:highlight w:val="none"/>
                <w:u w:val="single"/>
                <w14:textFill>
                  <w14:solidFill>
                    <w14:schemeClr w14:val="tx1"/>
                  </w14:solidFill>
                </w14:textFill>
              </w:rPr>
              <w:t>2022年1</w:t>
            </w:r>
            <w:r>
              <w:rPr>
                <w:rFonts w:hint="eastAsia" w:ascii="微软雅黑" w:hAnsi="微软雅黑" w:cs="微软雅黑"/>
                <w:color w:val="000000" w:themeColor="text1"/>
                <w:spacing w:val="-6"/>
                <w:kern w:val="2"/>
                <w:sz w:val="21"/>
                <w:highlight w:val="none"/>
                <w:u w:val="single"/>
                <w:lang w:val="en-US" w:eastAsia="zh-CN"/>
                <w14:textFill>
                  <w14:solidFill>
                    <w14:schemeClr w14:val="tx1"/>
                  </w14:solidFill>
                </w14:textFill>
              </w:rPr>
              <w:t>2</w:t>
            </w:r>
            <w:r>
              <w:rPr>
                <w:rFonts w:hint="eastAsia" w:ascii="微软雅黑" w:hAnsi="微软雅黑" w:cs="微软雅黑"/>
                <w:color w:val="000000" w:themeColor="text1"/>
                <w:spacing w:val="-6"/>
                <w:kern w:val="2"/>
                <w:sz w:val="21"/>
                <w:highlight w:val="none"/>
                <w:u w:val="single"/>
                <w14:textFill>
                  <w14:solidFill>
                    <w14:schemeClr w14:val="tx1"/>
                  </w14:solidFill>
                </w14:textFill>
              </w:rPr>
              <w:t>月</w:t>
            </w:r>
            <w:r>
              <w:rPr>
                <w:rFonts w:hint="eastAsia" w:ascii="微软雅黑" w:hAnsi="微软雅黑" w:cs="微软雅黑"/>
                <w:color w:val="000000" w:themeColor="text1"/>
                <w:spacing w:val="-6"/>
                <w:kern w:val="2"/>
                <w:sz w:val="21"/>
                <w:highlight w:val="none"/>
                <w:u w:val="single"/>
                <w:lang w:val="en-US" w:eastAsia="zh-CN"/>
                <w14:textFill>
                  <w14:solidFill>
                    <w14:schemeClr w14:val="tx1"/>
                  </w14:solidFill>
                </w14:textFill>
              </w:rPr>
              <w:t>16</w:t>
            </w:r>
            <w:r>
              <w:rPr>
                <w:rFonts w:hint="eastAsia" w:ascii="微软雅黑" w:hAnsi="微软雅黑" w:cs="微软雅黑"/>
                <w:color w:val="000000" w:themeColor="text1"/>
                <w:spacing w:val="-6"/>
                <w:kern w:val="2"/>
                <w:sz w:val="21"/>
                <w:highlight w:val="none"/>
                <w:u w:val="single"/>
                <w14:textFill>
                  <w14:solidFill>
                    <w14:schemeClr w14:val="tx1"/>
                  </w14:solidFill>
                </w14:textFill>
              </w:rPr>
              <w:t>日1</w:t>
            </w:r>
            <w:r>
              <w:rPr>
                <w:rFonts w:hint="eastAsia" w:ascii="微软雅黑" w:hAnsi="微软雅黑" w:cs="微软雅黑"/>
                <w:color w:val="000000" w:themeColor="text1"/>
                <w:spacing w:val="-6"/>
                <w:kern w:val="2"/>
                <w:sz w:val="21"/>
                <w:highlight w:val="none"/>
                <w:u w:val="single"/>
                <w:lang w:val="en-US" w:eastAsia="zh-CN"/>
                <w14:textFill>
                  <w14:solidFill>
                    <w14:schemeClr w14:val="tx1"/>
                  </w14:solidFill>
                </w14:textFill>
              </w:rPr>
              <w:t>3</w:t>
            </w:r>
            <w:r>
              <w:rPr>
                <w:rFonts w:hint="eastAsia" w:ascii="微软雅黑" w:hAnsi="微软雅黑" w:cs="微软雅黑"/>
                <w:color w:val="000000" w:themeColor="text1"/>
                <w:spacing w:val="-6"/>
                <w:kern w:val="2"/>
                <w:sz w:val="21"/>
                <w:highlight w:val="none"/>
                <w:u w:val="single"/>
                <w14:textFill>
                  <w14:solidFill>
                    <w14:schemeClr w14:val="tx1"/>
                  </w14:solidFill>
                </w14:textFill>
              </w:rPr>
              <w:t>:</w:t>
            </w:r>
            <w:r>
              <w:rPr>
                <w:rFonts w:hint="eastAsia" w:ascii="微软雅黑" w:hAnsi="微软雅黑" w:cs="微软雅黑"/>
                <w:color w:val="000000" w:themeColor="text1"/>
                <w:spacing w:val="-6"/>
                <w:kern w:val="2"/>
                <w:sz w:val="21"/>
                <w:highlight w:val="none"/>
                <w:u w:val="single"/>
                <w:lang w:val="en-US" w:eastAsia="zh-CN"/>
                <w14:textFill>
                  <w14:solidFill>
                    <w14:schemeClr w14:val="tx1"/>
                  </w14:solidFill>
                </w14:textFill>
              </w:rPr>
              <w:t>3</w:t>
            </w:r>
            <w:r>
              <w:rPr>
                <w:rFonts w:hint="eastAsia" w:ascii="微软雅黑" w:hAnsi="微软雅黑" w:cs="微软雅黑"/>
                <w:color w:val="000000" w:themeColor="text1"/>
                <w:spacing w:val="-6"/>
                <w:kern w:val="2"/>
                <w:sz w:val="21"/>
                <w:highlight w:val="none"/>
                <w:u w:val="single"/>
                <w14:textFill>
                  <w14:solidFill>
                    <w14:schemeClr w14:val="tx1"/>
                  </w14:solidFill>
                </w14:textFill>
              </w:rPr>
              <w:t>0</w:t>
            </w:r>
            <w:r>
              <w:rPr>
                <w:rFonts w:hint="eastAsia" w:ascii="微软雅黑" w:hAnsi="微软雅黑" w:cs="微软雅黑"/>
                <w:color w:val="000000" w:themeColor="text1"/>
                <w:spacing w:val="-6"/>
                <w:kern w:val="2"/>
                <w:sz w:val="21"/>
                <w:highlight w:val="none"/>
                <w14:textFill>
                  <w14:solidFill>
                    <w14:schemeClr w14:val="tx1"/>
                  </w14:solidFill>
                </w14:textFill>
              </w:rPr>
              <w:t>（北京时间）前提交（上传）响应文件。</w:t>
            </w:r>
          </w:p>
        </w:tc>
      </w:tr>
    </w:tbl>
    <w:p>
      <w:pPr>
        <w:pStyle w:val="50"/>
        <w:adjustRightInd w:val="0"/>
        <w:snapToGrid w:val="0"/>
        <w:spacing w:before="240" w:beforeLines="100" w:beforeAutospacing="0" w:after="0" w:afterAutospacing="0" w:line="336" w:lineRule="auto"/>
        <w:ind w:firstLine="420" w:firstLineChars="200"/>
        <w:jc w:val="both"/>
        <w:rPr>
          <w:rFonts w:ascii="微软雅黑" w:hAnsi="微软雅黑" w:cs="微软雅黑"/>
          <w:color w:val="000000" w:themeColor="text1"/>
          <w:spacing w:val="0"/>
          <w:sz w:val="21"/>
          <w:highlight w:val="none"/>
          <w14:textFill>
            <w14:solidFill>
              <w14:schemeClr w14:val="tx1"/>
            </w14:solidFill>
          </w14:textFill>
        </w:rPr>
      </w:pPr>
      <w:bookmarkStart w:id="9" w:name="_Toc192313099"/>
      <w:bookmarkStart w:id="10" w:name="_Toc100764192"/>
      <w:bookmarkStart w:id="11" w:name="_Toc493699290"/>
      <w:r>
        <w:rPr>
          <w:rStyle w:val="59"/>
          <w:rFonts w:hint="eastAsia" w:ascii="微软雅黑" w:hAnsi="微软雅黑" w:cs="微软雅黑"/>
          <w:color w:val="000000" w:themeColor="text1"/>
          <w:spacing w:val="0"/>
          <w:sz w:val="21"/>
          <w:highlight w:val="none"/>
          <w14:textFill>
            <w14:solidFill>
              <w14:schemeClr w14:val="tx1"/>
            </w14:solidFill>
          </w14:textFill>
        </w:rPr>
        <w:t>一、项目基本情况</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pacing w:val="0"/>
          <w:sz w:val="21"/>
          <w:highlight w:val="none"/>
          <w14:textFill>
            <w14:solidFill>
              <w14:schemeClr w14:val="tx1"/>
            </w14:solidFill>
          </w14:textFill>
        </w:rPr>
      </w:pPr>
      <w:r>
        <w:rPr>
          <w:rFonts w:hint="eastAsia" w:ascii="微软雅黑" w:hAnsi="微软雅黑" w:cs="微软雅黑"/>
          <w:color w:val="000000" w:themeColor="text1"/>
          <w:spacing w:val="0"/>
          <w:sz w:val="21"/>
          <w:highlight w:val="none"/>
          <w14:textFill>
            <w14:solidFill>
              <w14:schemeClr w14:val="tx1"/>
            </w14:solidFill>
          </w14:textFill>
        </w:rPr>
        <w:t>项目编号：</w:t>
      </w:r>
      <w:r>
        <w:rPr>
          <w:rFonts w:hint="eastAsia" w:ascii="微软雅黑" w:hAnsi="微软雅黑" w:cs="微软雅黑"/>
          <w:color w:val="000000" w:themeColor="text1"/>
          <w:spacing w:val="0"/>
          <w:sz w:val="21"/>
          <w:highlight w:val="none"/>
          <w:lang w:eastAsia="zh-CN"/>
          <w14:textFill>
            <w14:solidFill>
              <w14:schemeClr w14:val="tx1"/>
            </w14:solidFill>
          </w14:textFill>
        </w:rPr>
        <w:t>SHHR-2022-053</w:t>
      </w:r>
      <w:r>
        <w:rPr>
          <w:rFonts w:hint="eastAsia" w:ascii="微软雅黑" w:hAnsi="微软雅黑" w:cs="微软雅黑"/>
          <w:color w:val="000000" w:themeColor="text1"/>
          <w:spacing w:val="0"/>
          <w:sz w:val="21"/>
          <w:highlight w:val="none"/>
          <w14:textFill>
            <w14:solidFill>
              <w14:schemeClr w14:val="tx1"/>
            </w14:solidFill>
          </w14:textFill>
        </w:rPr>
        <w:t>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pacing w:val="0"/>
          <w:sz w:val="21"/>
          <w:highlight w:val="none"/>
          <w14:textFill>
            <w14:solidFill>
              <w14:schemeClr w14:val="tx1"/>
            </w14:solidFill>
          </w14:textFill>
        </w:rPr>
      </w:pPr>
      <w:r>
        <w:rPr>
          <w:rFonts w:hint="eastAsia" w:ascii="微软雅黑" w:hAnsi="微软雅黑" w:cs="微软雅黑"/>
          <w:color w:val="000000" w:themeColor="text1"/>
          <w:spacing w:val="0"/>
          <w:sz w:val="21"/>
          <w:highlight w:val="none"/>
          <w14:textFill>
            <w14:solidFill>
              <w14:schemeClr w14:val="tx1"/>
            </w14:solidFill>
          </w14:textFill>
        </w:rPr>
        <w:t>项目名称：嘉兴经济技术开发区燃气管家服务采购项目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pacing w:val="0"/>
          <w:sz w:val="21"/>
          <w:highlight w:val="none"/>
          <w14:textFill>
            <w14:solidFill>
              <w14:schemeClr w14:val="tx1"/>
            </w14:solidFill>
          </w14:textFill>
        </w:rPr>
      </w:pPr>
      <w:r>
        <w:rPr>
          <w:rFonts w:hint="eastAsia" w:ascii="微软雅黑" w:hAnsi="微软雅黑" w:cs="微软雅黑"/>
          <w:color w:val="000000" w:themeColor="text1"/>
          <w:spacing w:val="0"/>
          <w:sz w:val="21"/>
          <w:highlight w:val="none"/>
          <w14:textFill>
            <w14:solidFill>
              <w14:schemeClr w14:val="tx1"/>
            </w14:solidFill>
          </w14:textFill>
        </w:rPr>
        <w:t>采购方式：竞争性磋商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pacing w:val="0"/>
          <w:sz w:val="21"/>
          <w:highlight w:val="none"/>
          <w14:textFill>
            <w14:solidFill>
              <w14:schemeClr w14:val="tx1"/>
            </w14:solidFill>
          </w14:textFill>
        </w:rPr>
      </w:pPr>
      <w:r>
        <w:rPr>
          <w:rFonts w:hint="eastAsia" w:ascii="微软雅黑" w:hAnsi="微软雅黑" w:cs="微软雅黑"/>
          <w:color w:val="000000" w:themeColor="text1"/>
          <w:spacing w:val="0"/>
          <w:sz w:val="21"/>
          <w:highlight w:val="none"/>
          <w14:textFill>
            <w14:solidFill>
              <w14:schemeClr w14:val="tx1"/>
            </w14:solidFill>
          </w14:textFill>
        </w:rPr>
        <w:t>预算金额：75.00万元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pacing w:val="0"/>
          <w:sz w:val="21"/>
          <w:highlight w:val="none"/>
          <w14:textFill>
            <w14:solidFill>
              <w14:schemeClr w14:val="tx1"/>
            </w14:solidFill>
          </w14:textFill>
        </w:rPr>
      </w:pPr>
      <w:r>
        <w:rPr>
          <w:rFonts w:hint="eastAsia" w:ascii="微软雅黑" w:hAnsi="微软雅黑" w:cs="微软雅黑"/>
          <w:color w:val="000000" w:themeColor="text1"/>
          <w:spacing w:val="0"/>
          <w:sz w:val="21"/>
          <w:highlight w:val="none"/>
          <w14:textFill>
            <w14:solidFill>
              <w14:schemeClr w14:val="tx1"/>
            </w14:solidFill>
          </w14:textFill>
        </w:rPr>
        <w:t>最高限价：75.00万元  </w:t>
      </w:r>
    </w:p>
    <w:p>
      <w:pPr>
        <w:widowControl/>
        <w:adjustRightInd w:val="0"/>
        <w:snapToGrid w:val="0"/>
        <w:spacing w:after="0" w:line="336" w:lineRule="auto"/>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采购需求：详见磋商文件第三章“磋商项目要求”。</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简要规格描述：燃气管家服务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合同履约期限：自合同生效之日起一年。</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本项目不接受联合体投标。  </w:t>
      </w:r>
    </w:p>
    <w:p>
      <w:pPr>
        <w:pStyle w:val="50"/>
        <w:adjustRightInd w:val="0"/>
        <w:snapToGrid w:val="0"/>
        <w:spacing w:before="0" w:beforeAutospacing="0" w:after="0" w:afterAutospacing="0" w:line="336" w:lineRule="auto"/>
        <w:ind w:firstLine="420" w:firstLineChars="200"/>
        <w:jc w:val="both"/>
        <w:rPr>
          <w:rFonts w:ascii="微软雅黑" w:hAnsi="微软雅黑" w:cs="微软雅黑"/>
          <w:color w:val="000000" w:themeColor="text1"/>
          <w:sz w:val="21"/>
          <w:highlight w:val="none"/>
          <w14:textFill>
            <w14:solidFill>
              <w14:schemeClr w14:val="tx1"/>
            </w14:solidFill>
          </w14:textFill>
        </w:rPr>
      </w:pPr>
      <w:r>
        <w:rPr>
          <w:rStyle w:val="59"/>
          <w:rFonts w:hint="eastAsia" w:ascii="微软雅黑" w:hAnsi="微软雅黑" w:cs="微软雅黑"/>
          <w:color w:val="000000" w:themeColor="text1"/>
          <w:sz w:val="21"/>
          <w:highlight w:val="none"/>
          <w14:textFill>
            <w14:solidFill>
              <w14:schemeClr w14:val="tx1"/>
            </w14:solidFill>
          </w14:textFill>
        </w:rPr>
        <w:t>二、申请人的资格要求：</w:t>
      </w:r>
    </w:p>
    <w:p>
      <w:pPr>
        <w:pStyle w:val="50"/>
        <w:numPr>
          <w:ilvl w:val="0"/>
          <w:numId w:val="20"/>
        </w:numPr>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w:t>
      </w:r>
    </w:p>
    <w:p>
      <w:pPr>
        <w:pStyle w:val="50"/>
        <w:numPr>
          <w:ilvl w:val="0"/>
          <w:numId w:val="20"/>
        </w:numPr>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落实政府采购政策需满足的资格要求：根据《政府采购促进中小企业发展管理办》（财库 ﹝2020﹞46号）的规定：</w:t>
      </w:r>
      <w:r>
        <w:rPr>
          <w:rFonts w:hint="eastAsia" w:ascii="微软雅黑" w:hAnsi="微软雅黑" w:cs="微软雅黑"/>
          <w:b/>
          <w:bCs/>
          <w:color w:val="000000" w:themeColor="text1"/>
          <w:sz w:val="21"/>
          <w:highlight w:val="none"/>
          <w:u w:val="single"/>
          <w14:textFill>
            <w14:solidFill>
              <w14:schemeClr w14:val="tx1"/>
            </w14:solidFill>
          </w14:textFill>
        </w:rPr>
        <w:t>本项目为专门面向中小企业,100%预留给中小微企业的采购项目，供应商应为中小微企业（监狱企业及残疾人福利性单位视同小型、微型企业）</w:t>
      </w:r>
      <w:r>
        <w:rPr>
          <w:rFonts w:hint="eastAsia" w:ascii="微软雅黑" w:hAnsi="微软雅黑" w:cs="微软雅黑"/>
          <w:color w:val="000000" w:themeColor="text1"/>
          <w:sz w:val="21"/>
          <w:highlight w:val="none"/>
          <w14:textFill>
            <w14:solidFill>
              <w14:schemeClr w14:val="tx1"/>
            </w14:solidFill>
          </w14:textFill>
        </w:rPr>
        <w:t>。 </w:t>
      </w:r>
    </w:p>
    <w:p>
      <w:pPr>
        <w:pStyle w:val="50"/>
        <w:numPr>
          <w:ilvl w:val="0"/>
          <w:numId w:val="20"/>
        </w:numPr>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本项目的特定资格要求：</w:t>
      </w:r>
      <w:r>
        <w:rPr>
          <w:rFonts w:hint="eastAsia" w:ascii="微软雅黑" w:hAnsi="微软雅黑" w:cs="微软雅黑"/>
          <w:b/>
          <w:bCs/>
          <w:color w:val="000000" w:themeColor="text1"/>
          <w:sz w:val="21"/>
          <w:highlight w:val="none"/>
          <w:u w:val="single"/>
          <w14:textFill>
            <w14:solidFill>
              <w14:schemeClr w14:val="tx1"/>
            </w14:solidFill>
          </w14:textFill>
        </w:rPr>
        <w:t>无 </w:t>
      </w:r>
      <w:r>
        <w:rPr>
          <w:rFonts w:hint="eastAsia" w:ascii="微软雅黑" w:hAnsi="微软雅黑" w:cs="微软雅黑"/>
          <w:color w:val="000000" w:themeColor="text1"/>
          <w:sz w:val="21"/>
          <w:highlight w:val="none"/>
          <w14:textFill>
            <w14:solidFill>
              <w14:schemeClr w14:val="tx1"/>
            </w14:solidFill>
          </w14:textFill>
        </w:rPr>
        <w:t>。</w:t>
      </w:r>
    </w:p>
    <w:p>
      <w:pPr>
        <w:pStyle w:val="50"/>
        <w:adjustRightInd w:val="0"/>
        <w:snapToGrid w:val="0"/>
        <w:spacing w:before="0" w:beforeAutospacing="0" w:after="0" w:afterAutospacing="0" w:line="336" w:lineRule="auto"/>
        <w:ind w:firstLine="420" w:firstLineChars="200"/>
        <w:jc w:val="both"/>
        <w:rPr>
          <w:rFonts w:ascii="微软雅黑" w:hAnsi="微软雅黑" w:cs="微软雅黑"/>
          <w:color w:val="000000" w:themeColor="text1"/>
          <w:sz w:val="21"/>
          <w:highlight w:val="none"/>
          <w14:textFill>
            <w14:solidFill>
              <w14:schemeClr w14:val="tx1"/>
            </w14:solidFill>
          </w14:textFill>
        </w:rPr>
      </w:pPr>
      <w:r>
        <w:rPr>
          <w:rStyle w:val="59"/>
          <w:rFonts w:hint="eastAsia" w:ascii="微软雅黑" w:hAnsi="微软雅黑" w:cs="微软雅黑"/>
          <w:color w:val="000000" w:themeColor="text1"/>
          <w:sz w:val="21"/>
          <w:highlight w:val="none"/>
          <w14:textFill>
            <w14:solidFill>
              <w14:schemeClr w14:val="tx1"/>
            </w14:solidFill>
          </w14:textFill>
        </w:rPr>
        <w:t>三、获取（下载）采购文件</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时间：2022年1</w:t>
      </w:r>
      <w:r>
        <w:rPr>
          <w:rFonts w:hint="eastAsia" w:ascii="微软雅黑" w:hAnsi="微软雅黑" w:cs="微软雅黑"/>
          <w:color w:val="000000" w:themeColor="text1"/>
          <w:sz w:val="21"/>
          <w:highlight w:val="none"/>
          <w:lang w:val="en-US" w:eastAsia="zh-CN"/>
          <w14:textFill>
            <w14:solidFill>
              <w14:schemeClr w14:val="tx1"/>
            </w14:solidFill>
          </w14:textFill>
        </w:rPr>
        <w:t>2</w:t>
      </w:r>
      <w:r>
        <w:rPr>
          <w:rFonts w:hint="eastAsia" w:ascii="微软雅黑" w:hAnsi="微软雅黑" w:cs="微软雅黑"/>
          <w:color w:val="000000" w:themeColor="text1"/>
          <w:sz w:val="21"/>
          <w:highlight w:val="none"/>
          <w14:textFill>
            <w14:solidFill>
              <w14:schemeClr w14:val="tx1"/>
            </w14:solidFill>
          </w14:textFill>
        </w:rPr>
        <w:t>月</w:t>
      </w:r>
      <w:r>
        <w:rPr>
          <w:rFonts w:hint="eastAsia" w:ascii="微软雅黑" w:hAnsi="微软雅黑" w:cs="微软雅黑"/>
          <w:color w:val="000000" w:themeColor="text1"/>
          <w:sz w:val="21"/>
          <w:highlight w:val="none"/>
          <w:lang w:val="en-US" w:eastAsia="zh-CN"/>
          <w14:textFill>
            <w14:solidFill>
              <w14:schemeClr w14:val="tx1"/>
            </w14:solidFill>
          </w14:textFill>
        </w:rPr>
        <w:t>5</w:t>
      </w:r>
      <w:r>
        <w:rPr>
          <w:rFonts w:hint="eastAsia" w:ascii="微软雅黑" w:hAnsi="微软雅黑" w:cs="微软雅黑"/>
          <w:color w:val="000000" w:themeColor="text1"/>
          <w:sz w:val="21"/>
          <w:highlight w:val="none"/>
          <w14:textFill>
            <w14:solidFill>
              <w14:schemeClr w14:val="tx1"/>
            </w14:solidFill>
          </w14:textFill>
        </w:rPr>
        <w:t>日至2022年1</w:t>
      </w:r>
      <w:r>
        <w:rPr>
          <w:rFonts w:hint="eastAsia" w:ascii="微软雅黑" w:hAnsi="微软雅黑" w:cs="微软雅黑"/>
          <w:color w:val="000000" w:themeColor="text1"/>
          <w:sz w:val="21"/>
          <w:highlight w:val="none"/>
          <w:lang w:val="en-US" w:eastAsia="zh-CN"/>
          <w14:textFill>
            <w14:solidFill>
              <w14:schemeClr w14:val="tx1"/>
            </w14:solidFill>
          </w14:textFill>
        </w:rPr>
        <w:t>2</w:t>
      </w:r>
      <w:r>
        <w:rPr>
          <w:rFonts w:hint="eastAsia" w:ascii="微软雅黑" w:hAnsi="微软雅黑" w:cs="微软雅黑"/>
          <w:color w:val="000000" w:themeColor="text1"/>
          <w:sz w:val="21"/>
          <w:highlight w:val="none"/>
          <w14:textFill>
            <w14:solidFill>
              <w14:schemeClr w14:val="tx1"/>
            </w14:solidFill>
          </w14:textFill>
        </w:rPr>
        <w:t>月</w:t>
      </w:r>
      <w:r>
        <w:rPr>
          <w:rFonts w:hint="eastAsia" w:ascii="微软雅黑" w:hAnsi="微软雅黑" w:cs="微软雅黑"/>
          <w:color w:val="000000" w:themeColor="text1"/>
          <w:sz w:val="21"/>
          <w:highlight w:val="none"/>
          <w:lang w:val="en-US" w:eastAsia="zh-CN"/>
          <w14:textFill>
            <w14:solidFill>
              <w14:schemeClr w14:val="tx1"/>
            </w14:solidFill>
          </w14:textFill>
        </w:rPr>
        <w:t>16</w:t>
      </w:r>
      <w:r>
        <w:rPr>
          <w:rFonts w:hint="eastAsia" w:ascii="微软雅黑" w:hAnsi="微软雅黑" w:cs="微软雅黑"/>
          <w:color w:val="000000" w:themeColor="text1"/>
          <w:sz w:val="21"/>
          <w:highlight w:val="none"/>
          <w14:textFill>
            <w14:solidFill>
              <w14:schemeClr w14:val="tx1"/>
            </w14:solidFill>
          </w14:textFill>
        </w:rPr>
        <w:t>日，每天上午00:00至12:00，下午12:00至23:59（北京时间，线上获取法定节假日均可，线下获取文件法定节假日除外）</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地点（网址）：政采云平台线上获取（https://www.zcygov.cn/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方式：供应商登录政采云平台https://www.zcygov.cn/在线申请获取采购文件（进入“项目采购”应用，在获取采购文件菜单中选择项目，申请获取采购文件）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售价（元）：0 </w:t>
      </w:r>
    </w:p>
    <w:p>
      <w:pPr>
        <w:pStyle w:val="50"/>
        <w:adjustRightInd w:val="0"/>
        <w:snapToGrid w:val="0"/>
        <w:spacing w:before="0" w:beforeAutospacing="0" w:after="0" w:afterAutospacing="0" w:line="336" w:lineRule="auto"/>
        <w:ind w:firstLine="420" w:firstLineChars="200"/>
        <w:jc w:val="both"/>
        <w:rPr>
          <w:rFonts w:ascii="微软雅黑" w:hAnsi="微软雅黑" w:cs="微软雅黑"/>
          <w:color w:val="000000" w:themeColor="text1"/>
          <w:sz w:val="21"/>
          <w:highlight w:val="none"/>
          <w14:textFill>
            <w14:solidFill>
              <w14:schemeClr w14:val="tx1"/>
            </w14:solidFill>
          </w14:textFill>
        </w:rPr>
      </w:pPr>
      <w:r>
        <w:rPr>
          <w:rStyle w:val="59"/>
          <w:rFonts w:hint="eastAsia" w:ascii="微软雅黑" w:hAnsi="微软雅黑" w:cs="微软雅黑"/>
          <w:color w:val="000000" w:themeColor="text1"/>
          <w:sz w:val="21"/>
          <w:highlight w:val="none"/>
          <w14:textFill>
            <w14:solidFill>
              <w14:schemeClr w14:val="tx1"/>
            </w14:solidFill>
          </w14:textFill>
        </w:rPr>
        <w:t>四、响应文件提交（上传）</w:t>
      </w:r>
      <w:r>
        <w:rPr>
          <w:rFonts w:hint="eastAsia" w:ascii="微软雅黑" w:hAnsi="微软雅黑" w:cs="微软雅黑"/>
          <w:color w:val="000000" w:themeColor="text1"/>
          <w:sz w:val="21"/>
          <w:highlight w:val="none"/>
          <w14:textFill>
            <w14:solidFill>
              <w14:schemeClr w14:val="tx1"/>
            </w14:solidFill>
          </w14:textFill>
        </w:rPr>
        <w:t> </w:t>
      </w:r>
    </w:p>
    <w:p>
      <w:pPr>
        <w:pStyle w:val="50"/>
        <w:adjustRightInd w:val="0"/>
        <w:snapToGrid w:val="0"/>
        <w:spacing w:before="0" w:beforeAutospacing="0" w:after="0" w:afterAutospacing="0" w:line="336" w:lineRule="auto"/>
        <w:ind w:firstLine="420" w:firstLineChars="200"/>
        <w:rPr>
          <w:rFonts w:ascii="微软雅黑" w:hAnsi="微软雅黑" w:cs="微软雅黑"/>
          <w:b/>
          <w:bCs/>
          <w:color w:val="000000" w:themeColor="text1"/>
          <w:sz w:val="21"/>
          <w:highlight w:val="none"/>
          <w14:textFill>
            <w14:solidFill>
              <w14:schemeClr w14:val="tx1"/>
            </w14:solidFill>
          </w14:textFill>
        </w:rPr>
      </w:pPr>
      <w:r>
        <w:rPr>
          <w:rFonts w:hint="eastAsia" w:ascii="微软雅黑" w:hAnsi="微软雅黑" w:cs="微软雅黑"/>
          <w:b/>
          <w:bCs/>
          <w:color w:val="000000" w:themeColor="text1"/>
          <w:sz w:val="21"/>
          <w:highlight w:val="none"/>
          <w14:textFill>
            <w14:solidFill>
              <w14:schemeClr w14:val="tx1"/>
            </w14:solidFill>
          </w14:textFill>
        </w:rPr>
        <w:t>截止时间：2022年1</w:t>
      </w:r>
      <w:r>
        <w:rPr>
          <w:rFonts w:hint="eastAsia" w:ascii="微软雅黑" w:hAnsi="微软雅黑" w:cs="微软雅黑"/>
          <w:b/>
          <w:bCs/>
          <w:color w:val="000000" w:themeColor="text1"/>
          <w:sz w:val="21"/>
          <w:highlight w:val="none"/>
          <w:lang w:val="en-US" w:eastAsia="zh-CN"/>
          <w14:textFill>
            <w14:solidFill>
              <w14:schemeClr w14:val="tx1"/>
            </w14:solidFill>
          </w14:textFill>
        </w:rPr>
        <w:t>2</w:t>
      </w:r>
      <w:r>
        <w:rPr>
          <w:rFonts w:hint="eastAsia" w:ascii="微软雅黑" w:hAnsi="微软雅黑" w:cs="微软雅黑"/>
          <w:b/>
          <w:bCs/>
          <w:color w:val="000000" w:themeColor="text1"/>
          <w:sz w:val="21"/>
          <w:highlight w:val="none"/>
          <w14:textFill>
            <w14:solidFill>
              <w14:schemeClr w14:val="tx1"/>
            </w14:solidFill>
          </w14:textFill>
        </w:rPr>
        <w:t>月</w:t>
      </w:r>
      <w:r>
        <w:rPr>
          <w:rFonts w:hint="eastAsia" w:ascii="微软雅黑" w:hAnsi="微软雅黑" w:cs="微软雅黑"/>
          <w:b/>
          <w:bCs/>
          <w:color w:val="000000" w:themeColor="text1"/>
          <w:sz w:val="21"/>
          <w:highlight w:val="none"/>
          <w:lang w:val="en-US" w:eastAsia="zh-CN"/>
          <w14:textFill>
            <w14:solidFill>
              <w14:schemeClr w14:val="tx1"/>
            </w14:solidFill>
          </w14:textFill>
        </w:rPr>
        <w:t>16</w:t>
      </w:r>
      <w:r>
        <w:rPr>
          <w:rFonts w:hint="eastAsia" w:ascii="微软雅黑" w:hAnsi="微软雅黑" w:cs="微软雅黑"/>
          <w:b/>
          <w:bCs/>
          <w:color w:val="000000" w:themeColor="text1"/>
          <w:sz w:val="21"/>
          <w:highlight w:val="none"/>
          <w14:textFill>
            <w14:solidFill>
              <w14:schemeClr w14:val="tx1"/>
            </w14:solidFill>
          </w14:textFill>
        </w:rPr>
        <w:t>日1</w:t>
      </w:r>
      <w:r>
        <w:rPr>
          <w:rFonts w:hint="eastAsia" w:ascii="微软雅黑" w:hAnsi="微软雅黑" w:cs="微软雅黑"/>
          <w:b/>
          <w:bCs/>
          <w:color w:val="000000" w:themeColor="text1"/>
          <w:sz w:val="21"/>
          <w:highlight w:val="none"/>
          <w:lang w:val="en-US" w:eastAsia="zh-CN"/>
          <w14:textFill>
            <w14:solidFill>
              <w14:schemeClr w14:val="tx1"/>
            </w14:solidFill>
          </w14:textFill>
        </w:rPr>
        <w:t>3</w:t>
      </w:r>
      <w:r>
        <w:rPr>
          <w:rFonts w:hint="eastAsia" w:ascii="微软雅黑" w:hAnsi="微软雅黑" w:cs="微软雅黑"/>
          <w:b/>
          <w:bCs/>
          <w:color w:val="000000" w:themeColor="text1"/>
          <w:sz w:val="21"/>
          <w:highlight w:val="none"/>
          <w14:textFill>
            <w14:solidFill>
              <w14:schemeClr w14:val="tx1"/>
            </w14:solidFill>
          </w14:textFill>
        </w:rPr>
        <w:t>:</w:t>
      </w:r>
      <w:r>
        <w:rPr>
          <w:rFonts w:hint="eastAsia" w:ascii="微软雅黑" w:hAnsi="微软雅黑" w:cs="微软雅黑"/>
          <w:b/>
          <w:bCs/>
          <w:color w:val="000000" w:themeColor="text1"/>
          <w:sz w:val="21"/>
          <w:highlight w:val="none"/>
          <w:lang w:val="en-US" w:eastAsia="zh-CN"/>
          <w14:textFill>
            <w14:solidFill>
              <w14:schemeClr w14:val="tx1"/>
            </w14:solidFill>
          </w14:textFill>
        </w:rPr>
        <w:t>3</w:t>
      </w:r>
      <w:r>
        <w:rPr>
          <w:rFonts w:hint="eastAsia" w:ascii="微软雅黑" w:hAnsi="微软雅黑" w:cs="微软雅黑"/>
          <w:b/>
          <w:bCs/>
          <w:color w:val="000000" w:themeColor="text1"/>
          <w:sz w:val="21"/>
          <w:highlight w:val="none"/>
          <w14:textFill>
            <w14:solidFill>
              <w14:schemeClr w14:val="tx1"/>
            </w14:solidFill>
          </w14:textFill>
        </w:rPr>
        <w:t>0</w:t>
      </w:r>
      <w:r>
        <w:rPr>
          <w:rFonts w:hint="eastAsia" w:ascii="微软雅黑" w:hAnsi="微软雅黑" w:cs="微软雅黑"/>
          <w:b/>
          <w:bCs/>
          <w:color w:val="000000" w:themeColor="text1"/>
          <w:sz w:val="21"/>
          <w:highlight w:val="none"/>
          <w:lang w:val="en-US" w:eastAsia="zh-CN"/>
          <w14:textFill>
            <w14:solidFill>
              <w14:schemeClr w14:val="tx1"/>
            </w14:solidFill>
          </w14:textFill>
        </w:rPr>
        <w:t>时</w:t>
      </w:r>
      <w:r>
        <w:rPr>
          <w:rFonts w:hint="eastAsia" w:ascii="微软雅黑" w:hAnsi="微软雅黑" w:cs="微软雅黑"/>
          <w:b/>
          <w:bCs/>
          <w:color w:val="000000" w:themeColor="text1"/>
          <w:sz w:val="21"/>
          <w:highlight w:val="none"/>
          <w14:textFill>
            <w14:solidFill>
              <w14:schemeClr w14:val="tx1"/>
            </w14:solidFill>
          </w14:textFill>
        </w:rPr>
        <w:t>（北京时间）</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地点（网址）：请登录政采云投标客户端投标。</w:t>
      </w:r>
    </w:p>
    <w:p>
      <w:pPr>
        <w:pStyle w:val="50"/>
        <w:adjustRightInd w:val="0"/>
        <w:snapToGrid w:val="0"/>
        <w:spacing w:before="0" w:beforeAutospacing="0" w:after="0" w:afterAutospacing="0" w:line="336" w:lineRule="auto"/>
        <w:ind w:firstLine="420" w:firstLineChars="200"/>
        <w:jc w:val="both"/>
        <w:rPr>
          <w:rFonts w:ascii="微软雅黑" w:hAnsi="微软雅黑" w:cs="微软雅黑"/>
          <w:color w:val="000000" w:themeColor="text1"/>
          <w:sz w:val="21"/>
          <w:highlight w:val="none"/>
          <w14:textFill>
            <w14:solidFill>
              <w14:schemeClr w14:val="tx1"/>
            </w14:solidFill>
          </w14:textFill>
        </w:rPr>
      </w:pPr>
      <w:r>
        <w:rPr>
          <w:rStyle w:val="59"/>
          <w:rFonts w:hint="eastAsia" w:ascii="微软雅黑" w:hAnsi="微软雅黑" w:cs="微软雅黑"/>
          <w:color w:val="000000" w:themeColor="text1"/>
          <w:sz w:val="21"/>
          <w:highlight w:val="none"/>
          <w14:textFill>
            <w14:solidFill>
              <w14:schemeClr w14:val="tx1"/>
            </w14:solidFill>
          </w14:textFill>
        </w:rPr>
        <w:t>五、响应文件开启</w:t>
      </w:r>
      <w:r>
        <w:rPr>
          <w:rFonts w:hint="eastAsia" w:ascii="微软雅黑" w:hAnsi="微软雅黑" w:cs="微软雅黑"/>
          <w:color w:val="000000" w:themeColor="text1"/>
          <w:sz w:val="21"/>
          <w:highlight w:val="none"/>
          <w14:textFill>
            <w14:solidFill>
              <w14:schemeClr w14:val="tx1"/>
            </w14:solidFill>
          </w14:textFill>
        </w:rPr>
        <w:t>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开启时间：</w:t>
      </w:r>
      <w:r>
        <w:rPr>
          <w:rFonts w:hint="eastAsia" w:ascii="微软雅黑" w:hAnsi="微软雅黑" w:cs="微软雅黑"/>
          <w:b/>
          <w:bCs/>
          <w:color w:val="000000" w:themeColor="text1"/>
          <w:sz w:val="21"/>
          <w:highlight w:val="none"/>
          <w14:textFill>
            <w14:solidFill>
              <w14:schemeClr w14:val="tx1"/>
            </w14:solidFill>
          </w14:textFill>
        </w:rPr>
        <w:t>2022年1</w:t>
      </w:r>
      <w:r>
        <w:rPr>
          <w:rFonts w:hint="eastAsia" w:ascii="微软雅黑" w:hAnsi="微软雅黑" w:cs="微软雅黑"/>
          <w:b/>
          <w:bCs/>
          <w:color w:val="000000" w:themeColor="text1"/>
          <w:sz w:val="21"/>
          <w:highlight w:val="none"/>
          <w:lang w:val="en-US" w:eastAsia="zh-CN"/>
          <w14:textFill>
            <w14:solidFill>
              <w14:schemeClr w14:val="tx1"/>
            </w14:solidFill>
          </w14:textFill>
        </w:rPr>
        <w:t>2</w:t>
      </w:r>
      <w:r>
        <w:rPr>
          <w:rFonts w:hint="eastAsia" w:ascii="微软雅黑" w:hAnsi="微软雅黑" w:cs="微软雅黑"/>
          <w:b/>
          <w:bCs/>
          <w:color w:val="000000" w:themeColor="text1"/>
          <w:sz w:val="21"/>
          <w:highlight w:val="none"/>
          <w14:textFill>
            <w14:solidFill>
              <w14:schemeClr w14:val="tx1"/>
            </w14:solidFill>
          </w14:textFill>
        </w:rPr>
        <w:t>月</w:t>
      </w:r>
      <w:r>
        <w:rPr>
          <w:rFonts w:hint="eastAsia" w:ascii="微软雅黑" w:hAnsi="微软雅黑" w:cs="微软雅黑"/>
          <w:b/>
          <w:bCs/>
          <w:color w:val="000000" w:themeColor="text1"/>
          <w:sz w:val="21"/>
          <w:highlight w:val="none"/>
          <w:lang w:val="en-US" w:eastAsia="zh-CN"/>
          <w14:textFill>
            <w14:solidFill>
              <w14:schemeClr w14:val="tx1"/>
            </w14:solidFill>
          </w14:textFill>
        </w:rPr>
        <w:t>16</w:t>
      </w:r>
      <w:r>
        <w:rPr>
          <w:rFonts w:hint="eastAsia" w:ascii="微软雅黑" w:hAnsi="微软雅黑" w:cs="微软雅黑"/>
          <w:b/>
          <w:bCs/>
          <w:color w:val="000000" w:themeColor="text1"/>
          <w:sz w:val="21"/>
          <w:highlight w:val="none"/>
          <w14:textFill>
            <w14:solidFill>
              <w14:schemeClr w14:val="tx1"/>
            </w14:solidFill>
          </w14:textFill>
        </w:rPr>
        <w:t>日1</w:t>
      </w:r>
      <w:r>
        <w:rPr>
          <w:rFonts w:hint="eastAsia" w:ascii="微软雅黑" w:hAnsi="微软雅黑" w:cs="微软雅黑"/>
          <w:b/>
          <w:bCs/>
          <w:color w:val="000000" w:themeColor="text1"/>
          <w:sz w:val="21"/>
          <w:highlight w:val="none"/>
          <w:lang w:val="en-US" w:eastAsia="zh-CN"/>
          <w14:textFill>
            <w14:solidFill>
              <w14:schemeClr w14:val="tx1"/>
            </w14:solidFill>
          </w14:textFill>
        </w:rPr>
        <w:t>3</w:t>
      </w:r>
      <w:r>
        <w:rPr>
          <w:rFonts w:hint="eastAsia" w:ascii="微软雅黑" w:hAnsi="微软雅黑" w:cs="微软雅黑"/>
          <w:b/>
          <w:bCs/>
          <w:color w:val="000000" w:themeColor="text1"/>
          <w:sz w:val="21"/>
          <w:highlight w:val="none"/>
          <w14:textFill>
            <w14:solidFill>
              <w14:schemeClr w14:val="tx1"/>
            </w14:solidFill>
          </w14:textFill>
        </w:rPr>
        <w:t>:</w:t>
      </w:r>
      <w:r>
        <w:rPr>
          <w:rFonts w:hint="eastAsia" w:ascii="微软雅黑" w:hAnsi="微软雅黑" w:cs="微软雅黑"/>
          <w:b/>
          <w:bCs/>
          <w:color w:val="000000" w:themeColor="text1"/>
          <w:sz w:val="21"/>
          <w:highlight w:val="none"/>
          <w:lang w:val="en-US" w:eastAsia="zh-CN"/>
          <w14:textFill>
            <w14:solidFill>
              <w14:schemeClr w14:val="tx1"/>
            </w14:solidFill>
          </w14:textFill>
        </w:rPr>
        <w:t>3</w:t>
      </w:r>
      <w:r>
        <w:rPr>
          <w:rFonts w:hint="eastAsia" w:ascii="微软雅黑" w:hAnsi="微软雅黑" w:cs="微软雅黑"/>
          <w:b/>
          <w:bCs/>
          <w:color w:val="000000" w:themeColor="text1"/>
          <w:sz w:val="21"/>
          <w:highlight w:val="none"/>
          <w14:textFill>
            <w14:solidFill>
              <w14:schemeClr w14:val="tx1"/>
            </w14:solidFill>
          </w14:textFill>
        </w:rPr>
        <w:t>0 </w:t>
      </w:r>
      <w:r>
        <w:rPr>
          <w:rFonts w:hint="eastAsia" w:ascii="微软雅黑" w:hAnsi="微软雅黑" w:cs="微软雅黑"/>
          <w:b/>
          <w:bCs/>
          <w:color w:val="000000" w:themeColor="text1"/>
          <w:sz w:val="21"/>
          <w:highlight w:val="none"/>
          <w:lang w:val="en-US" w:eastAsia="zh-CN"/>
          <w14:textFill>
            <w14:solidFill>
              <w14:schemeClr w14:val="tx1"/>
            </w14:solidFill>
          </w14:textFill>
        </w:rPr>
        <w:t>时</w:t>
      </w:r>
      <w:r>
        <w:rPr>
          <w:rFonts w:hint="eastAsia" w:ascii="微软雅黑" w:hAnsi="微软雅黑" w:cs="微软雅黑"/>
          <w:b/>
          <w:bCs/>
          <w:color w:val="000000" w:themeColor="text1"/>
          <w:sz w:val="21"/>
          <w:highlight w:val="none"/>
          <w14:textFill>
            <w14:solidFill>
              <w14:schemeClr w14:val="tx1"/>
            </w14:solidFill>
          </w14:textFill>
        </w:rPr>
        <w:t>（北京时间）</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地点（网址）：上海华瑞建设经济咨询有限公司嘉兴分公司会议室嘉兴市马塘路500号晶晖广场南楼11楼）</w:t>
      </w:r>
    </w:p>
    <w:p>
      <w:pPr>
        <w:pStyle w:val="50"/>
        <w:adjustRightInd w:val="0"/>
        <w:snapToGrid w:val="0"/>
        <w:spacing w:before="0" w:beforeAutospacing="0" w:after="0" w:afterAutospacing="0" w:line="336" w:lineRule="auto"/>
        <w:ind w:firstLine="420" w:firstLineChars="200"/>
        <w:jc w:val="both"/>
        <w:rPr>
          <w:rFonts w:ascii="微软雅黑" w:hAnsi="微软雅黑" w:cs="微软雅黑"/>
          <w:color w:val="000000" w:themeColor="text1"/>
          <w:sz w:val="21"/>
          <w:highlight w:val="none"/>
          <w14:textFill>
            <w14:solidFill>
              <w14:schemeClr w14:val="tx1"/>
            </w14:solidFill>
          </w14:textFill>
        </w:rPr>
      </w:pPr>
      <w:r>
        <w:rPr>
          <w:rStyle w:val="59"/>
          <w:rFonts w:hint="eastAsia" w:ascii="微软雅黑" w:hAnsi="微软雅黑" w:cs="微软雅黑"/>
          <w:color w:val="000000" w:themeColor="text1"/>
          <w:sz w:val="21"/>
          <w:highlight w:val="none"/>
          <w14:textFill>
            <w14:solidFill>
              <w14:schemeClr w14:val="tx1"/>
            </w14:solidFill>
          </w14:textFill>
        </w:rPr>
        <w:t>六、公告期限</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自本公告发布之日起3个工作日。</w:t>
      </w:r>
    </w:p>
    <w:p>
      <w:pPr>
        <w:pStyle w:val="50"/>
        <w:adjustRightInd w:val="0"/>
        <w:snapToGrid w:val="0"/>
        <w:spacing w:before="0" w:beforeAutospacing="0" w:after="0" w:afterAutospacing="0" w:line="336" w:lineRule="auto"/>
        <w:ind w:firstLine="420" w:firstLineChars="200"/>
        <w:jc w:val="both"/>
        <w:rPr>
          <w:rFonts w:ascii="微软雅黑" w:hAnsi="微软雅黑" w:cs="微软雅黑"/>
          <w:color w:val="000000" w:themeColor="text1"/>
          <w:sz w:val="21"/>
          <w:highlight w:val="none"/>
          <w14:textFill>
            <w14:solidFill>
              <w14:schemeClr w14:val="tx1"/>
            </w14:solidFill>
          </w14:textFill>
        </w:rPr>
      </w:pPr>
      <w:r>
        <w:rPr>
          <w:rStyle w:val="59"/>
          <w:rFonts w:hint="eastAsia" w:ascii="微软雅黑" w:hAnsi="微软雅黑" w:cs="微软雅黑"/>
          <w:color w:val="000000" w:themeColor="text1"/>
          <w:sz w:val="21"/>
          <w:highlight w:val="none"/>
          <w14:textFill>
            <w14:solidFill>
              <w14:schemeClr w14:val="tx1"/>
            </w14:solidFill>
          </w14:textFill>
        </w:rPr>
        <w:t>七、其他补充事宜</w:t>
      </w:r>
      <w:r>
        <w:rPr>
          <w:rFonts w:hint="eastAsia" w:ascii="微软雅黑" w:hAnsi="微软雅黑" w:cs="微软雅黑"/>
          <w:color w:val="000000" w:themeColor="text1"/>
          <w:sz w:val="21"/>
          <w:highlight w:val="none"/>
          <w14:textFill>
            <w14:solidFill>
              <w14:schemeClr w14:val="tx1"/>
            </w14:solidFill>
          </w14:textFill>
        </w:rPr>
        <w:t> </w:t>
      </w:r>
    </w:p>
    <w:p>
      <w:pPr>
        <w:pStyle w:val="50"/>
        <w:numPr>
          <w:ilvl w:val="0"/>
          <w:numId w:val="21"/>
        </w:numPr>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w:t>
      </w:r>
      <w:r>
        <w:rPr>
          <w:rFonts w:hint="eastAsia" w:ascii="微软雅黑" w:hAnsi="微软雅黑" w:cs="微软雅黑"/>
          <w:color w:val="000000" w:themeColor="text1"/>
          <w:sz w:val="21"/>
          <w:highlight w:val="none"/>
          <w:shd w:val="clear" w:color="auto" w:fill="FFFFFF"/>
          <w14:textFill>
            <w14:solidFill>
              <w14:schemeClr w14:val="tx1"/>
            </w14:solidFill>
          </w14:textFill>
        </w:rPr>
        <w:t>对采购文件需求的以书面形式向采购人提出质疑，对其他内容的以书面形式向采购人和采购代理机构提出质疑。</w:t>
      </w:r>
      <w:r>
        <w:rPr>
          <w:rFonts w:hint="eastAsia" w:ascii="微软雅黑" w:hAnsi="微软雅黑" w:cs="微软雅黑"/>
          <w:color w:val="000000" w:themeColor="text1"/>
          <w:sz w:val="21"/>
          <w:highlight w:val="none"/>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50"/>
        <w:numPr>
          <w:ilvl w:val="0"/>
          <w:numId w:val="21"/>
        </w:numPr>
        <w:spacing w:before="0" w:beforeAutospacing="0" w:after="0" w:afterAutospacing="0" w:line="348" w:lineRule="auto"/>
        <w:rPr>
          <w:rFonts w:ascii="微软雅黑" w:hAnsi="微软雅黑" w:cs="微软雅黑"/>
          <w:color w:val="000000" w:themeColor="text1"/>
          <w:spacing w:val="-6"/>
          <w:sz w:val="21"/>
          <w:highlight w:val="none"/>
          <w14:textFill>
            <w14:solidFill>
              <w14:schemeClr w14:val="tx1"/>
            </w14:solidFill>
          </w14:textFill>
        </w:rPr>
      </w:pPr>
      <w:r>
        <w:rPr>
          <w:rFonts w:hint="eastAsia" w:ascii="微软雅黑" w:hAnsi="微软雅黑" w:cs="微软雅黑"/>
          <w:color w:val="000000" w:themeColor="text1"/>
          <w:spacing w:val="-6"/>
          <w:sz w:val="21"/>
          <w:highlight w:val="none"/>
          <w14:textFill>
            <w14:solidFill>
              <w14:schemeClr w14:val="tx1"/>
            </w14:solidFill>
          </w14:textFill>
        </w:rPr>
        <w:t>为支持和促进中小企业发展，进一步发挥政府采购政策功能，鼓励供应商使用</w:t>
      </w:r>
      <w:r>
        <w:rPr>
          <w:rFonts w:hint="eastAsia" w:ascii="微软雅黑" w:hAnsi="微软雅黑" w:cs="微软雅黑"/>
          <w:b/>
          <w:bCs/>
          <w:color w:val="000000" w:themeColor="text1"/>
          <w:spacing w:val="-6"/>
          <w:sz w:val="21"/>
          <w:highlight w:val="none"/>
          <w14:textFill>
            <w14:solidFill>
              <w14:schemeClr w14:val="tx1"/>
            </w14:solidFill>
          </w14:textFill>
        </w:rPr>
        <w:t>保险/保函替代保证金及进行预付款增信</w:t>
      </w:r>
      <w:r>
        <w:rPr>
          <w:rFonts w:hint="eastAsia" w:ascii="微软雅黑" w:hAnsi="微软雅黑" w:cs="微软雅黑"/>
          <w:color w:val="000000" w:themeColor="text1"/>
          <w:spacing w:val="-6"/>
          <w:sz w:val="21"/>
          <w:highlight w:val="none"/>
          <w14:textFill>
            <w14:solidFill>
              <w14:schemeClr w14:val="tx1"/>
            </w14:solidFill>
          </w14:textFill>
        </w:rPr>
        <w:t>，支持供应商基于中标项目进行</w:t>
      </w:r>
      <w:r>
        <w:rPr>
          <w:rFonts w:hint="eastAsia" w:ascii="微软雅黑" w:hAnsi="微软雅黑" w:cs="微软雅黑"/>
          <w:b/>
          <w:bCs/>
          <w:color w:val="000000" w:themeColor="text1"/>
          <w:spacing w:val="-6"/>
          <w:sz w:val="21"/>
          <w:highlight w:val="none"/>
          <w14:textFill>
            <w14:solidFill>
              <w14:schemeClr w14:val="tx1"/>
            </w14:solidFill>
          </w14:textFill>
        </w:rPr>
        <w:t>应收账款融资</w:t>
      </w:r>
      <w:r>
        <w:rPr>
          <w:rFonts w:hint="eastAsia" w:ascii="微软雅黑" w:hAnsi="微软雅黑" w:cs="微软雅黑"/>
          <w:color w:val="000000" w:themeColor="text1"/>
          <w:spacing w:val="-6"/>
          <w:sz w:val="21"/>
          <w:highlight w:val="none"/>
          <w14:textFill>
            <w14:solidFill>
              <w14:schemeClr w14:val="tx1"/>
            </w14:solidFill>
          </w14:textFill>
        </w:rPr>
        <w:t>。中标供应商若想了解或使用相关服务，可通过政采云平台或其他渠道进行咨询。</w:t>
      </w:r>
      <w:r>
        <w:rPr>
          <w:rFonts w:hint="eastAsia" w:ascii="微软雅黑" w:hAnsi="微软雅黑" w:cs="微软雅黑"/>
          <w:b/>
          <w:bCs/>
          <w:color w:val="000000" w:themeColor="text1"/>
          <w:spacing w:val="-6"/>
          <w:sz w:val="21"/>
          <w:highlight w:val="none"/>
          <w14:textFill>
            <w14:solidFill>
              <w14:schemeClr w14:val="tx1"/>
            </w14:solidFill>
          </w14:textFill>
        </w:rPr>
        <w:t>政采云金融热线400-903-9583，也可登录政采云平台查看相应政策文件及各相关服务方案∶</w:t>
      </w:r>
      <w:r>
        <w:rPr>
          <w:rFonts w:hint="eastAsia" w:ascii="微软雅黑" w:hAnsi="微软雅黑" w:cs="微软雅黑"/>
          <w:color w:val="000000" w:themeColor="text1"/>
          <w:spacing w:val="-6"/>
          <w:sz w:val="21"/>
          <w:highlight w:val="none"/>
          <w14:textFill>
            <w14:solidFill>
              <w14:schemeClr w14:val="tx1"/>
            </w14:solidFill>
          </w14:textFill>
        </w:rPr>
        <w:t xml:space="preserve"> https://jinrong.zcygov.cn/finance-service/#/home。  </w:t>
      </w:r>
    </w:p>
    <w:p>
      <w:pPr>
        <w:pStyle w:val="50"/>
        <w:numPr>
          <w:ilvl w:val="0"/>
          <w:numId w:val="21"/>
        </w:numPr>
        <w:spacing w:before="0" w:beforeAutospacing="0" w:after="0" w:afterAutospacing="0" w:line="348" w:lineRule="auto"/>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根据《浙江省财政厅关于进一步加大政府采购支持中小企业力度 助力扎实稳住经济的通知》（浙财采监（2022）8号）精神，简化对政府采购供应商资格条件的形式审查，供应商书面承诺符合参与政府采购活动资格条件的，不需要提供财务状况报告、依法缴纳税收和社会保障资金记录、无重大违法记录等证明材料。  </w:t>
      </w:r>
    </w:p>
    <w:p>
      <w:pPr>
        <w:pStyle w:val="50"/>
        <w:adjustRightInd w:val="0"/>
        <w:snapToGrid w:val="0"/>
        <w:spacing w:before="0" w:beforeAutospacing="0" w:after="0" w:afterAutospacing="0" w:line="336" w:lineRule="auto"/>
        <w:ind w:firstLine="420" w:firstLineChars="200"/>
        <w:jc w:val="both"/>
        <w:rPr>
          <w:rFonts w:ascii="微软雅黑" w:hAnsi="微软雅黑" w:cs="微软雅黑"/>
          <w:color w:val="000000" w:themeColor="text1"/>
          <w:sz w:val="21"/>
          <w:highlight w:val="none"/>
          <w14:textFill>
            <w14:solidFill>
              <w14:schemeClr w14:val="tx1"/>
            </w14:solidFill>
          </w14:textFill>
        </w:rPr>
      </w:pPr>
      <w:r>
        <w:rPr>
          <w:rStyle w:val="59"/>
          <w:rFonts w:hint="eastAsia" w:ascii="微软雅黑" w:hAnsi="微软雅黑" w:cs="微软雅黑"/>
          <w:color w:val="000000" w:themeColor="text1"/>
          <w:sz w:val="21"/>
          <w:highlight w:val="none"/>
          <w14:textFill>
            <w14:solidFill>
              <w14:schemeClr w14:val="tx1"/>
            </w14:solidFill>
          </w14:textFill>
        </w:rPr>
        <w:t>八、凡对本次招标提出询问、质疑、投诉，请按以下方式联系</w:t>
      </w:r>
    </w:p>
    <w:p>
      <w:pPr>
        <w:pStyle w:val="50"/>
        <w:numPr>
          <w:ilvl w:val="0"/>
          <w:numId w:val="22"/>
        </w:numPr>
        <w:adjustRightInd w:val="0"/>
        <w:snapToGrid w:val="0"/>
        <w:spacing w:before="120" w:beforeLines="5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采购人信息</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名    称：嘉兴经济技术开发区建设交通局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地    址：嘉兴市展望路1号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项目联系人（询问）：潘伟杰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项目联系方式（询问）：0573-83682372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质疑联系人：王清卿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质疑联系方式：0573-83682372  </w:t>
      </w:r>
    </w:p>
    <w:p>
      <w:pPr>
        <w:pStyle w:val="50"/>
        <w:numPr>
          <w:ilvl w:val="0"/>
          <w:numId w:val="22"/>
        </w:numPr>
        <w:adjustRightInd w:val="0"/>
        <w:snapToGrid w:val="0"/>
        <w:spacing w:before="120" w:beforeLines="5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采购代理机构信息</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名    称：上海华瑞建设经济咨询有限公司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地    址：嘉兴市马塘路500号晶晖广场南楼11楼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传    真：0573-82210980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项目联系人（询问）：上海华瑞建设经济咨询有限公司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项目联系方式（询问）：0573-82211997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质疑联系人： 戴文娥</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质疑联系方式：13732576230 </w:t>
      </w:r>
    </w:p>
    <w:p>
      <w:pPr>
        <w:pStyle w:val="50"/>
        <w:numPr>
          <w:ilvl w:val="0"/>
          <w:numId w:val="22"/>
        </w:numPr>
        <w:adjustRightInd w:val="0"/>
        <w:snapToGrid w:val="0"/>
        <w:spacing w:before="120" w:beforeLines="5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同级政府采购监督管理部门</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名    称：嘉兴经济技术开发区财政局 </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地    址：嘉兴市展望路1号</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联系人 ： 嘉兴经济技术开发区财政金融部</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监督投诉电话：0573-83689235</w:t>
      </w:r>
    </w:p>
    <w:p>
      <w:pPr>
        <w:pStyle w:val="50"/>
        <w:adjustRightInd w:val="0"/>
        <w:snapToGrid w:val="0"/>
        <w:spacing w:before="0" w:beforeAutospacing="0" w:after="0" w:afterAutospacing="0" w:line="336" w:lineRule="auto"/>
        <w:ind w:firstLine="420" w:firstLineChars="200"/>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pStyle w:val="50"/>
        <w:adjustRightInd w:val="0"/>
        <w:snapToGrid w:val="0"/>
        <w:spacing w:before="0" w:beforeAutospacing="0" w:after="0" w:afterAutospacing="0" w:line="336" w:lineRule="auto"/>
        <w:ind w:firstLine="420" w:firstLineChars="200"/>
        <w:rPr>
          <w:rFonts w:ascii="仿宋" w:hAnsi="仿宋" w:eastAsia="仿宋" w:cs="仿宋"/>
          <w:color w:val="000000" w:themeColor="text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CA问题联系电话（人工）：汇信CA 400-888-4636；天谷CA 400-087-8198。</w:t>
      </w:r>
      <w:r>
        <w:rPr>
          <w:rFonts w:hint="eastAsia" w:ascii="仿宋" w:hAnsi="仿宋" w:eastAsia="仿宋" w:cs="仿宋"/>
          <w:color w:val="000000" w:themeColor="text1"/>
          <w:highlight w:val="none"/>
          <w14:textFill>
            <w14:solidFill>
              <w14:schemeClr w14:val="tx1"/>
            </w14:solidFill>
          </w14:textFill>
        </w:rPr>
        <w:br w:type="textWrapping"/>
      </w:r>
    </w:p>
    <w:p>
      <w:pPr>
        <w:adjustRightInd w:val="0"/>
        <w:snapToGrid w:val="0"/>
        <w:spacing w:after="0" w:line="336" w:lineRule="auto"/>
        <w:ind w:firstLine="420" w:firstLineChars="200"/>
        <w:jc w:val="righ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 嘉兴经济技术开发区建设交通局</w:t>
      </w:r>
    </w:p>
    <w:p>
      <w:pPr>
        <w:adjustRightInd w:val="0"/>
        <w:snapToGrid w:val="0"/>
        <w:spacing w:after="0" w:line="336" w:lineRule="auto"/>
        <w:ind w:firstLine="420" w:firstLineChars="200"/>
        <w:jc w:val="righ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　　　　　　　　　　　上海华瑞建设经济咨询有限公司</w:t>
      </w:r>
    </w:p>
    <w:p>
      <w:pPr>
        <w:pStyle w:val="50"/>
        <w:adjustRightInd w:val="0"/>
        <w:snapToGrid w:val="0"/>
        <w:spacing w:before="0" w:beforeAutospacing="0" w:after="0" w:afterAutospacing="0" w:line="336" w:lineRule="auto"/>
        <w:ind w:firstLine="420" w:firstLineChars="200"/>
        <w:jc w:val="right"/>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　　　　　　　　　　　2022年1</w:t>
      </w:r>
      <w:r>
        <w:rPr>
          <w:rFonts w:hint="eastAsia" w:ascii="微软雅黑" w:hAnsi="微软雅黑" w:cs="微软雅黑"/>
          <w:color w:val="000000" w:themeColor="text1"/>
          <w:sz w:val="21"/>
          <w:highlight w:val="none"/>
          <w:lang w:val="en-US" w:eastAsia="zh-CN"/>
          <w14:textFill>
            <w14:solidFill>
              <w14:schemeClr w14:val="tx1"/>
            </w14:solidFill>
          </w14:textFill>
        </w:rPr>
        <w:t>2</w:t>
      </w:r>
      <w:r>
        <w:rPr>
          <w:rFonts w:hint="eastAsia" w:ascii="微软雅黑" w:hAnsi="微软雅黑" w:cs="微软雅黑"/>
          <w:color w:val="000000" w:themeColor="text1"/>
          <w:sz w:val="21"/>
          <w:highlight w:val="none"/>
          <w14:textFill>
            <w14:solidFill>
              <w14:schemeClr w14:val="tx1"/>
            </w14:solidFill>
          </w14:textFill>
        </w:rPr>
        <w:t>月</w:t>
      </w:r>
      <w:r>
        <w:rPr>
          <w:rFonts w:hint="eastAsia" w:ascii="微软雅黑" w:hAnsi="微软雅黑" w:cs="微软雅黑"/>
          <w:color w:val="000000" w:themeColor="text1"/>
          <w:sz w:val="21"/>
          <w:highlight w:val="none"/>
          <w:lang w:val="en-US" w:eastAsia="zh-CN"/>
          <w14:textFill>
            <w14:solidFill>
              <w14:schemeClr w14:val="tx1"/>
            </w14:solidFill>
          </w14:textFill>
        </w:rPr>
        <w:t>5</w:t>
      </w:r>
      <w:r>
        <w:rPr>
          <w:rFonts w:hint="eastAsia" w:ascii="微软雅黑" w:hAnsi="微软雅黑" w:cs="微软雅黑"/>
          <w:color w:val="000000" w:themeColor="text1"/>
          <w:sz w:val="21"/>
          <w:highlight w:val="none"/>
          <w14:textFill>
            <w14:solidFill>
              <w14:schemeClr w14:val="tx1"/>
            </w14:solidFill>
          </w14:textFill>
        </w:rPr>
        <w:t>日</w:t>
      </w:r>
    </w:p>
    <w:p>
      <w:pP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br w:type="page"/>
      </w:r>
    </w:p>
    <w:p>
      <w:pPr>
        <w:pStyle w:val="4"/>
        <w:numPr>
          <w:ilvl w:val="0"/>
          <w:numId w:val="19"/>
        </w:numPr>
        <w:spacing w:before="360"/>
        <w:jc w:val="center"/>
        <w:rPr>
          <w:rFonts w:ascii="微软雅黑" w:hAnsi="微软雅黑"/>
          <w:color w:val="000000" w:themeColor="text1"/>
          <w:szCs w:val="21"/>
          <w:highlight w:val="none"/>
          <w14:textFill>
            <w14:solidFill>
              <w14:schemeClr w14:val="tx1"/>
            </w14:solidFill>
          </w14:textFill>
        </w:rPr>
      </w:pPr>
      <w:bookmarkStart w:id="12" w:name="_Toc21260"/>
      <w:r>
        <w:rPr>
          <w:rFonts w:hint="eastAsia" w:ascii="微软雅黑" w:hAnsi="微软雅黑"/>
          <w:color w:val="000000" w:themeColor="text1"/>
          <w:szCs w:val="21"/>
          <w:highlight w:val="none"/>
          <w14:textFill>
            <w14:solidFill>
              <w14:schemeClr w14:val="tx1"/>
            </w14:solidFill>
          </w14:textFill>
        </w:rPr>
        <w:t>供应商须知</w:t>
      </w:r>
      <w:bookmarkEnd w:id="9"/>
      <w:bookmarkEnd w:id="10"/>
      <w:bookmarkEnd w:id="11"/>
      <w:bookmarkEnd w:id="12"/>
    </w:p>
    <w:p>
      <w:pPr>
        <w:pStyle w:val="5"/>
        <w:spacing w:before="0" w:after="0" w:line="240" w:lineRule="auto"/>
        <w:rPr>
          <w:rFonts w:ascii="微软雅黑" w:hAnsi="微软雅黑" w:eastAsia="微软雅黑"/>
          <w:b w:val="0"/>
          <w:bCs/>
          <w:color w:val="000000" w:themeColor="text1"/>
          <w:sz w:val="28"/>
          <w:szCs w:val="28"/>
          <w:highlight w:val="none"/>
          <w14:textFill>
            <w14:solidFill>
              <w14:schemeClr w14:val="tx1"/>
            </w14:solidFill>
          </w14:textFill>
        </w:rPr>
      </w:pPr>
      <w:bookmarkStart w:id="13" w:name="_Toc89266796"/>
      <w:bookmarkStart w:id="14" w:name="_Toc100764193"/>
      <w:bookmarkStart w:id="15" w:name="_Toc493699291"/>
      <w:bookmarkStart w:id="16" w:name="_Toc40788009"/>
      <w:bookmarkStart w:id="17" w:name="_Toc53062671"/>
      <w:r>
        <w:rPr>
          <w:rFonts w:hint="eastAsia" w:ascii="微软雅黑" w:hAnsi="微软雅黑" w:eastAsia="微软雅黑"/>
          <w:bCs/>
          <w:color w:val="000000" w:themeColor="text1"/>
          <w:sz w:val="28"/>
          <w:szCs w:val="28"/>
          <w:highlight w:val="none"/>
          <w14:textFill>
            <w14:solidFill>
              <w14:schemeClr w14:val="tx1"/>
            </w14:solidFill>
          </w14:textFill>
        </w:rPr>
        <w:t>电子交易注意事项</w:t>
      </w:r>
      <w:bookmarkEnd w:id="13"/>
      <w:bookmarkEnd w:id="14"/>
    </w:p>
    <w:p>
      <w:pPr>
        <w:spacing w:before="240" w:beforeLines="100" w:after="0" w:line="360" w:lineRule="auto"/>
        <w:ind w:firstLine="420" w:firstLineChars="200"/>
        <w:jc w:val="left"/>
        <w:rPr>
          <w:rFonts w:ascii="微软雅黑" w:hAnsi="微软雅黑"/>
          <w:color w:val="000000" w:themeColor="text1"/>
          <w:highlight w:val="none"/>
          <w:shd w:val="clear" w:color="auto" w:fill="FFFFFF"/>
          <w14:textFill>
            <w14:solidFill>
              <w14:schemeClr w14:val="tx1"/>
            </w14:solidFill>
          </w14:textFill>
        </w:rPr>
      </w:pPr>
      <w:r>
        <w:rPr>
          <w:rFonts w:hint="eastAsia" w:ascii="微软雅黑" w:hAnsi="微软雅黑"/>
          <w:color w:val="000000" w:themeColor="text1"/>
          <w:highlight w:val="none"/>
          <w:shd w:val="clear" w:color="auto" w:fill="FFFFFF"/>
          <w14:textFill>
            <w14:solidFill>
              <w14:schemeClr w14:val="tx1"/>
            </w14:solidFill>
          </w14:textFill>
        </w:rPr>
        <w:t>政府采购项目电子交易活动适用《浙江省政府采购项目电子交易管理暂行办法》，现将相关注意事项告知如下：</w:t>
      </w:r>
    </w:p>
    <w:p>
      <w:pPr>
        <w:numPr>
          <w:ilvl w:val="0"/>
          <w:numId w:val="23"/>
        </w:numPr>
        <w:spacing w:after="0" w:line="360" w:lineRule="auto"/>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代理机构按照竞争性磋商文件规定的时间通过电子交易平台组织开标、开启竞争性磋商响应文件，所有供应商均应当准时在线参加，直至评审结束。</w:t>
      </w:r>
    </w:p>
    <w:p>
      <w:pPr>
        <w:pStyle w:val="50"/>
        <w:numPr>
          <w:ilvl w:val="0"/>
          <w:numId w:val="23"/>
        </w:numPr>
        <w:spacing w:before="0" w:beforeAutospacing="0" w:after="0" w:afterAutospacing="0" w:line="360" w:lineRule="auto"/>
        <w:rPr>
          <w:rFonts w:ascii="微软雅黑" w:hAnsi="微软雅黑" w:cs="微软雅黑"/>
          <w:color w:val="000000" w:themeColor="text1"/>
          <w:kern w:val="2"/>
          <w:sz w:val="21"/>
          <w:highlight w:val="none"/>
          <w14:textFill>
            <w14:solidFill>
              <w14:schemeClr w14:val="tx1"/>
            </w14:solidFill>
          </w14:textFill>
        </w:rPr>
      </w:pPr>
      <w:r>
        <w:rPr>
          <w:rFonts w:hint="eastAsia" w:ascii="微软雅黑" w:hAnsi="微软雅黑" w:cs="微软雅黑"/>
          <w:color w:val="000000" w:themeColor="text1"/>
          <w:kern w:val="2"/>
          <w:sz w:val="21"/>
          <w:highlight w:val="none"/>
          <w14:textFill>
            <w14:solidFill>
              <w14:schemeClr w14:val="tx1"/>
            </w14:solidFill>
          </w14:textFill>
        </w:rPr>
        <w:t>竞争性磋商响应文件未按时解密，供应商如提供备份竞争性磋商响应文件的，以符合要求的备份竞争性磋商响应文件作为依据，否则视为竞争性磋商响应文件撤回。竞争性磋商响应文件已按时解密的，备份竞争性磋商响应文件自动失效。</w:t>
      </w:r>
    </w:p>
    <w:p>
      <w:pPr>
        <w:pStyle w:val="50"/>
        <w:numPr>
          <w:ilvl w:val="0"/>
          <w:numId w:val="23"/>
        </w:numPr>
        <w:spacing w:before="0" w:beforeAutospacing="0" w:after="0" w:afterAutospacing="0" w:line="360" w:lineRule="auto"/>
        <w:rPr>
          <w:rFonts w:ascii="微软雅黑" w:hAnsi="微软雅黑" w:cs="微软雅黑"/>
          <w:color w:val="000000" w:themeColor="text1"/>
          <w:kern w:val="2"/>
          <w:sz w:val="21"/>
          <w:highlight w:val="none"/>
          <w14:textFill>
            <w14:solidFill>
              <w14:schemeClr w14:val="tx1"/>
            </w14:solidFill>
          </w14:textFill>
        </w:rPr>
      </w:pPr>
      <w:r>
        <w:rPr>
          <w:rFonts w:hint="eastAsia" w:ascii="微软雅黑" w:hAnsi="微软雅黑" w:cs="微软雅黑"/>
          <w:color w:val="000000" w:themeColor="text1"/>
          <w:kern w:val="2"/>
          <w:sz w:val="21"/>
          <w:highlight w:val="none"/>
          <w14:textFill>
            <w14:solidFill>
              <w14:schemeClr w14:val="tx1"/>
            </w14:solidFill>
          </w14:textFill>
        </w:rPr>
        <w:t>采购过程中出现以下情形，导致电子交易平台无法正常运行，或者无法保证电子交易的公平、公正和安全时，代理机构可中止电子交易活动：</w:t>
      </w:r>
    </w:p>
    <w:p>
      <w:pPr>
        <w:pStyle w:val="50"/>
        <w:spacing w:before="0" w:beforeAutospacing="0" w:after="0" w:afterAutospacing="0" w:line="360" w:lineRule="auto"/>
        <w:ind w:firstLine="420" w:firstLineChars="200"/>
        <w:rPr>
          <w:rFonts w:ascii="微软雅黑" w:hAnsi="微软雅黑" w:cs="微软雅黑"/>
          <w:color w:val="000000" w:themeColor="text1"/>
          <w:kern w:val="2"/>
          <w:sz w:val="21"/>
          <w:highlight w:val="none"/>
          <w14:textFill>
            <w14:solidFill>
              <w14:schemeClr w14:val="tx1"/>
            </w14:solidFill>
          </w14:textFill>
        </w:rPr>
      </w:pPr>
      <w:r>
        <w:rPr>
          <w:rFonts w:hint="eastAsia" w:ascii="微软雅黑" w:hAnsi="微软雅黑" w:cs="微软雅黑"/>
          <w:color w:val="000000" w:themeColor="text1"/>
          <w:kern w:val="2"/>
          <w:sz w:val="21"/>
          <w:highlight w:val="none"/>
          <w14:textFill>
            <w14:solidFill>
              <w14:schemeClr w14:val="tx1"/>
            </w14:solidFill>
          </w14:textFill>
        </w:rPr>
        <w:t>（一）电子交易平台发生故障而无法登录访问的； </w:t>
      </w:r>
    </w:p>
    <w:p>
      <w:pPr>
        <w:pStyle w:val="50"/>
        <w:spacing w:before="0" w:beforeAutospacing="0" w:after="0" w:afterAutospacing="0" w:line="360" w:lineRule="auto"/>
        <w:ind w:firstLine="420" w:firstLineChars="200"/>
        <w:rPr>
          <w:rFonts w:ascii="微软雅黑" w:hAnsi="微软雅黑" w:cs="微软雅黑"/>
          <w:color w:val="000000" w:themeColor="text1"/>
          <w:kern w:val="2"/>
          <w:sz w:val="21"/>
          <w:highlight w:val="none"/>
          <w14:textFill>
            <w14:solidFill>
              <w14:schemeClr w14:val="tx1"/>
            </w14:solidFill>
          </w14:textFill>
        </w:rPr>
      </w:pPr>
      <w:r>
        <w:rPr>
          <w:rFonts w:hint="eastAsia" w:ascii="微软雅黑" w:hAnsi="微软雅黑" w:cs="微软雅黑"/>
          <w:color w:val="000000" w:themeColor="text1"/>
          <w:kern w:val="2"/>
          <w:sz w:val="21"/>
          <w:highlight w:val="none"/>
          <w14:textFill>
            <w14:solidFill>
              <w14:schemeClr w14:val="tx1"/>
            </w14:solidFill>
          </w14:textFill>
        </w:rPr>
        <w:t>（二）电子交易平台应用或数据库出现错误，不能进行正常操作的；</w:t>
      </w:r>
    </w:p>
    <w:p>
      <w:pPr>
        <w:pStyle w:val="50"/>
        <w:spacing w:before="0" w:beforeAutospacing="0" w:after="0" w:afterAutospacing="0" w:line="360" w:lineRule="auto"/>
        <w:ind w:firstLine="420" w:firstLineChars="200"/>
        <w:rPr>
          <w:rFonts w:ascii="微软雅黑" w:hAnsi="微软雅黑" w:cs="微软雅黑"/>
          <w:color w:val="000000" w:themeColor="text1"/>
          <w:kern w:val="2"/>
          <w:sz w:val="21"/>
          <w:highlight w:val="none"/>
          <w14:textFill>
            <w14:solidFill>
              <w14:schemeClr w14:val="tx1"/>
            </w14:solidFill>
          </w14:textFill>
        </w:rPr>
      </w:pPr>
      <w:r>
        <w:rPr>
          <w:rFonts w:hint="eastAsia" w:ascii="微软雅黑" w:hAnsi="微软雅黑" w:cs="微软雅黑"/>
          <w:color w:val="000000" w:themeColor="text1"/>
          <w:kern w:val="2"/>
          <w:sz w:val="21"/>
          <w:highlight w:val="none"/>
          <w14:textFill>
            <w14:solidFill>
              <w14:schemeClr w14:val="tx1"/>
            </w14:solidFill>
          </w14:textFill>
        </w:rPr>
        <w:t>（三）电子交易平台发现严重安全漏洞，有潜在泄密危险的；</w:t>
      </w:r>
    </w:p>
    <w:p>
      <w:pPr>
        <w:pStyle w:val="50"/>
        <w:spacing w:before="0" w:beforeAutospacing="0" w:after="0" w:afterAutospacing="0" w:line="360" w:lineRule="auto"/>
        <w:ind w:firstLine="420" w:firstLineChars="200"/>
        <w:rPr>
          <w:rFonts w:ascii="微软雅黑" w:hAnsi="微软雅黑" w:cs="微软雅黑"/>
          <w:color w:val="000000" w:themeColor="text1"/>
          <w:kern w:val="2"/>
          <w:sz w:val="21"/>
          <w:highlight w:val="none"/>
          <w14:textFill>
            <w14:solidFill>
              <w14:schemeClr w14:val="tx1"/>
            </w14:solidFill>
          </w14:textFill>
        </w:rPr>
      </w:pPr>
      <w:r>
        <w:rPr>
          <w:rFonts w:hint="eastAsia" w:ascii="微软雅黑" w:hAnsi="微软雅黑" w:cs="微软雅黑"/>
          <w:color w:val="000000" w:themeColor="text1"/>
          <w:kern w:val="2"/>
          <w:sz w:val="21"/>
          <w:highlight w:val="none"/>
          <w14:textFill>
            <w14:solidFill>
              <w14:schemeClr w14:val="tx1"/>
            </w14:solidFill>
          </w14:textFill>
        </w:rPr>
        <w:t>（四）病毒发作导致不能进行正常操作的； </w:t>
      </w:r>
    </w:p>
    <w:p>
      <w:pPr>
        <w:pStyle w:val="50"/>
        <w:spacing w:before="0" w:beforeAutospacing="0" w:after="0" w:afterAutospacing="0" w:line="360" w:lineRule="auto"/>
        <w:ind w:firstLine="420" w:firstLineChars="200"/>
        <w:rPr>
          <w:rFonts w:ascii="微软雅黑" w:hAnsi="微软雅黑" w:cs="微软雅黑"/>
          <w:color w:val="000000" w:themeColor="text1"/>
          <w:kern w:val="2"/>
          <w:sz w:val="21"/>
          <w:highlight w:val="none"/>
          <w14:textFill>
            <w14:solidFill>
              <w14:schemeClr w14:val="tx1"/>
            </w14:solidFill>
          </w14:textFill>
        </w:rPr>
      </w:pPr>
      <w:r>
        <w:rPr>
          <w:rFonts w:hint="eastAsia" w:ascii="微软雅黑" w:hAnsi="微软雅黑" w:cs="微软雅黑"/>
          <w:color w:val="000000" w:themeColor="text1"/>
          <w:kern w:val="2"/>
          <w:sz w:val="21"/>
          <w:highlight w:val="none"/>
          <w14:textFill>
            <w14:solidFill>
              <w14:schemeClr w14:val="tx1"/>
            </w14:solidFill>
          </w14:textFill>
        </w:rPr>
        <w:t>（五）其他无法保证电子交易的公平、公正和安全的情况。</w:t>
      </w:r>
    </w:p>
    <w:p>
      <w:pPr>
        <w:pStyle w:val="50"/>
        <w:spacing w:before="0" w:beforeAutospacing="0" w:after="0" w:afterAutospacing="0" w:line="360" w:lineRule="auto"/>
        <w:ind w:firstLine="420" w:firstLineChars="200"/>
        <w:rPr>
          <w:rFonts w:ascii="微软雅黑" w:hAnsi="微软雅黑" w:cs="微软雅黑"/>
          <w:color w:val="000000" w:themeColor="text1"/>
          <w:kern w:val="2"/>
          <w:sz w:val="21"/>
          <w:highlight w:val="none"/>
          <w14:textFill>
            <w14:solidFill>
              <w14:schemeClr w14:val="tx1"/>
            </w14:solidFill>
          </w14:textFill>
        </w:rPr>
      </w:pPr>
      <w:r>
        <w:rPr>
          <w:rFonts w:hint="eastAsia" w:ascii="微软雅黑" w:hAnsi="微软雅黑" w:cs="微软雅黑"/>
          <w:color w:val="000000" w:themeColor="text1"/>
          <w:kern w:val="2"/>
          <w:sz w:val="21"/>
          <w:highlight w:val="none"/>
          <w14:textFill>
            <w14:solidFill>
              <w14:schemeClr w14:val="tx1"/>
            </w14:solidFill>
          </w14:textFill>
        </w:rPr>
        <w:t>出现前款规定情形，不影响采购公平、公正性的，代理机构可以待上述情形消除后继续组织电子交易活动，也可以决定某些环节以纸质形式进行；影响或可能影响采购公平、公正性的，应当重新采购。</w:t>
      </w:r>
    </w:p>
    <w:p>
      <w:pPr>
        <w:numPr>
          <w:ilvl w:val="0"/>
          <w:numId w:val="23"/>
        </w:numPr>
        <w:spacing w:after="0" w:line="360" w:lineRule="auto"/>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评审中需要供应商对竞争性磋商响应文件作出澄清、说明或者补正的，评审小组和供应商应当通过电子交易平台交换数据电文。供应商需在半小时内提交澄清说明或补正，供应商已经明确表示澄清说明或补正完毕的除外。</w:t>
      </w:r>
    </w:p>
    <w:p>
      <w:pPr>
        <w:numPr>
          <w:ilvl w:val="0"/>
          <w:numId w:val="23"/>
        </w:numPr>
        <w:spacing w:after="0" w:line="360" w:lineRule="auto"/>
        <w:jc w:val="left"/>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供应商须在代理机构宣布评审结束、产生中标候选人期间时刻关注项目政采云，配合专家组工作，如有询标（澄清、质疑），在30分钟内（具体时间以询标函上规定的时间为准备）通过ＣＡ进行回复。过期不按要求回复，视为默认原竞争性磋商响应文件内容。</w:t>
      </w:r>
    </w:p>
    <w:p>
      <w:pPr>
        <w:snapToGrid w:val="0"/>
        <w:spacing w:line="460" w:lineRule="exact"/>
        <w:ind w:left="238"/>
        <w:jc w:val="center"/>
        <w:outlineLvl w:val="1"/>
        <w:rPr>
          <w:rFonts w:ascii="微软雅黑" w:hAnsi="微软雅黑"/>
          <w:b/>
          <w:color w:val="000000" w:themeColor="text1"/>
          <w:highlight w:val="none"/>
          <w14:textFill>
            <w14:solidFill>
              <w14:schemeClr w14:val="tx1"/>
            </w14:solidFill>
          </w14:textFill>
        </w:rPr>
      </w:pPr>
      <w:bookmarkStart w:id="18" w:name="_Toc100764194"/>
      <w:bookmarkStart w:id="19" w:name="_Toc89266797"/>
      <w:r>
        <w:rPr>
          <w:rFonts w:hint="eastAsia" w:ascii="微软雅黑" w:hAnsi="微软雅黑"/>
          <w:b/>
          <w:color w:val="000000" w:themeColor="text1"/>
          <w:sz w:val="28"/>
          <w:szCs w:val="28"/>
          <w:highlight w:val="none"/>
          <w14:textFill>
            <w14:solidFill>
              <w14:schemeClr w14:val="tx1"/>
            </w14:solidFill>
          </w14:textFill>
        </w:rPr>
        <w:t>供应商须知前附表</w:t>
      </w:r>
      <w:bookmarkEnd w:id="15"/>
      <w:bookmarkEnd w:id="16"/>
      <w:bookmarkEnd w:id="17"/>
      <w:bookmarkEnd w:id="18"/>
      <w:bookmarkEnd w:id="19"/>
    </w:p>
    <w:tbl>
      <w:tblPr>
        <w:tblStyle w:val="55"/>
        <w:tblW w:w="94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
      <w:tblGrid>
        <w:gridCol w:w="890"/>
        <w:gridCol w:w="85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序号</w:t>
            </w:r>
          </w:p>
        </w:tc>
        <w:tc>
          <w:tcPr>
            <w:tcW w:w="8555"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ind w:firstLine="2626" w:firstLineChars="1250"/>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w:t>
            </w:r>
          </w:p>
        </w:tc>
        <w:tc>
          <w:tcPr>
            <w:tcW w:w="8555"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项目名称：嘉兴经济技术开发区燃气管家服务采购项目</w:t>
            </w:r>
          </w:p>
          <w:p>
            <w:pPr>
              <w:snapToGrid w:val="0"/>
              <w:spacing w:after="0" w:line="460" w:lineRule="exac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采购计划文号：</w:t>
            </w:r>
            <w:r>
              <w:rPr>
                <w:rFonts w:hint="eastAsia" w:ascii="微软雅黑" w:hAnsi="微软雅黑"/>
                <w:color w:val="000000" w:themeColor="text1"/>
                <w:highlight w:val="none"/>
                <w:u w:val="none"/>
                <w:lang w:val="en-US" w:eastAsia="zh-CN"/>
                <w14:textFill>
                  <w14:solidFill>
                    <w14:schemeClr w14:val="tx1"/>
                  </w14:solidFill>
                </w14:textFill>
              </w:rPr>
              <w:t>嘉兴开发区临[2022]2096号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w:t>
            </w:r>
          </w:p>
        </w:tc>
        <w:tc>
          <w:tcPr>
            <w:tcW w:w="8555"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rPr>
                <w:rFonts w:ascii="微软雅黑" w:hAnsi="微软雅黑"/>
                <w:bCs/>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采购内容：</w:t>
            </w:r>
            <w:r>
              <w:rPr>
                <w:rFonts w:hint="eastAsia" w:ascii="微软雅黑" w:hAnsi="微软雅黑"/>
                <w:bCs/>
                <w:color w:val="000000" w:themeColor="text1"/>
                <w:highlight w:val="none"/>
                <w14:textFill>
                  <w14:solidFill>
                    <w14:schemeClr w14:val="tx1"/>
                  </w14:solidFill>
                </w14:textFill>
              </w:rPr>
              <w:t>详见第三章项目需求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3</w:t>
            </w:r>
          </w:p>
        </w:tc>
        <w:tc>
          <w:tcPr>
            <w:tcW w:w="8555"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投标报价及费用：</w:t>
            </w:r>
          </w:p>
          <w:p>
            <w:pPr>
              <w:snapToGrid w:val="0"/>
              <w:spacing w:after="0" w:line="460" w:lineRule="exac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1、本项目投标应以人民币报价；</w:t>
            </w:r>
          </w:p>
          <w:p>
            <w:pPr>
              <w:snapToGrid w:val="0"/>
              <w:spacing w:after="0" w:line="460" w:lineRule="exac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4</w:t>
            </w:r>
          </w:p>
        </w:tc>
        <w:tc>
          <w:tcPr>
            <w:tcW w:w="8555"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预算金额：</w:t>
            </w:r>
            <w:r>
              <w:rPr>
                <w:rFonts w:hint="eastAsia" w:ascii="微软雅黑" w:hAnsi="微软雅黑"/>
                <w:color w:val="000000" w:themeColor="text1"/>
                <w:highlight w:val="none"/>
                <w14:textFill>
                  <w14:solidFill>
                    <w14:schemeClr w14:val="tx1"/>
                  </w14:solidFill>
                </w14:textFill>
              </w:rPr>
              <w:t>75.00万元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5</w:t>
            </w:r>
          </w:p>
        </w:tc>
        <w:tc>
          <w:tcPr>
            <w:tcW w:w="8555"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6</w:t>
            </w:r>
          </w:p>
        </w:tc>
        <w:tc>
          <w:tcPr>
            <w:tcW w:w="8555" w:type="dxa"/>
            <w:tcBorders>
              <w:top w:val="single" w:color="auto" w:sz="4" w:space="0"/>
              <w:left w:val="single" w:color="auto" w:sz="4" w:space="0"/>
              <w:bottom w:val="single" w:color="auto" w:sz="4" w:space="0"/>
              <w:right w:val="single" w:color="auto" w:sz="4" w:space="0"/>
            </w:tcBorders>
            <w:vAlign w:val="center"/>
          </w:tcPr>
          <w:p>
            <w:pPr>
              <w:pStyle w:val="50"/>
              <w:spacing w:before="0" w:beforeAutospacing="0" w:after="0" w:afterAutospacing="0" w:line="500" w:lineRule="exact"/>
              <w:rPr>
                <w:rFonts w:ascii="微软雅黑" w:hAnsi="微软雅黑" w:cs="微软雅黑"/>
                <w:color w:val="000000" w:themeColor="text1"/>
                <w:sz w:val="21"/>
                <w:highlight w:val="none"/>
                <w14:textFill>
                  <w14:solidFill>
                    <w14:schemeClr w14:val="tx1"/>
                  </w14:solidFill>
                </w14:textFill>
              </w:rPr>
            </w:pPr>
            <w:r>
              <w:rPr>
                <w:rFonts w:hint="eastAsia" w:ascii="微软雅黑" w:hAnsi="微软雅黑" w:cs="微软雅黑"/>
                <w:color w:val="000000" w:themeColor="text1"/>
                <w:sz w:val="21"/>
                <w:highlight w:val="none"/>
                <w14:textFill>
                  <w14:solidFill>
                    <w14:schemeClr w14:val="tx1"/>
                  </w14:solidFill>
                </w14:textFill>
              </w:rPr>
              <w:t>现场踏勘：无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7</w:t>
            </w:r>
          </w:p>
        </w:tc>
        <w:tc>
          <w:tcPr>
            <w:tcW w:w="855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0" w:line="460" w:lineRule="exact"/>
              <w:textAlignment w:val="bottom"/>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竞争性磋商响应文件组成：</w:t>
            </w:r>
            <w:r>
              <w:rPr>
                <w:rFonts w:hint="eastAsia" w:ascii="微软雅黑" w:hAnsi="微软雅黑"/>
                <w:bCs/>
                <w:color w:val="000000" w:themeColor="text1"/>
                <w:highlight w:val="none"/>
                <w14:textFill>
                  <w14:solidFill>
                    <w14:schemeClr w14:val="tx1"/>
                  </w14:solidFill>
                </w14:textFill>
              </w:rPr>
              <w:t>完整的《竞争性磋商响应文件》由资格文件、资信技术文件及商务报价文件三部份组成。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8</w:t>
            </w:r>
          </w:p>
        </w:tc>
        <w:tc>
          <w:tcPr>
            <w:tcW w:w="8555" w:type="dxa"/>
            <w:tcBorders>
              <w:top w:val="single" w:color="auto" w:sz="4" w:space="0"/>
              <w:left w:val="single" w:color="auto" w:sz="4" w:space="0"/>
              <w:bottom w:val="single" w:color="auto" w:sz="4" w:space="0"/>
              <w:right w:val="single" w:color="auto" w:sz="4" w:space="0"/>
            </w:tcBorders>
            <w:vAlign w:val="center"/>
          </w:tcPr>
          <w:p>
            <w:pPr>
              <w:spacing w:after="0" w:line="460" w:lineRule="exact"/>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竞争性磋商响应文件的编制：供应商应先安装“政采云电子交易客户端”，并按照本竞争性磋商文件和“政府采购云平台”的要求，通过“政采云电子交易客户端”编制并加密竞争性磋商响应文件。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9</w:t>
            </w:r>
          </w:p>
        </w:tc>
        <w:tc>
          <w:tcPr>
            <w:tcW w:w="8555" w:type="dxa"/>
            <w:tcBorders>
              <w:top w:val="single" w:color="auto" w:sz="4" w:space="0"/>
              <w:left w:val="single" w:color="auto" w:sz="4" w:space="0"/>
              <w:bottom w:val="single" w:color="auto" w:sz="4" w:space="0"/>
              <w:right w:val="single" w:color="auto" w:sz="4" w:space="0"/>
            </w:tcBorders>
            <w:vAlign w:val="center"/>
          </w:tcPr>
          <w:p>
            <w:pPr>
              <w:spacing w:after="0" w:line="460" w:lineRule="exact"/>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竞争性磋商响应文件的签章：电子签章。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10</w:t>
            </w:r>
          </w:p>
        </w:tc>
        <w:tc>
          <w:tcPr>
            <w:tcW w:w="8555" w:type="dxa"/>
            <w:tcBorders>
              <w:top w:val="single" w:color="auto" w:sz="4" w:space="0"/>
              <w:left w:val="single" w:color="auto" w:sz="4" w:space="0"/>
              <w:bottom w:val="single" w:color="auto" w:sz="4" w:space="0"/>
              <w:right w:val="single" w:color="auto" w:sz="4" w:space="0"/>
            </w:tcBorders>
            <w:vAlign w:val="center"/>
          </w:tcPr>
          <w:p>
            <w:pPr>
              <w:spacing w:after="0" w:line="460" w:lineRule="exact"/>
              <w:jc w:val="left"/>
              <w:rPr>
                <w:rFonts w:ascii="微软雅黑" w:hAnsi="微软雅黑"/>
                <w:bCs/>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竞争性磋商响应文件的形式：</w:t>
            </w:r>
            <w:r>
              <w:rPr>
                <w:rFonts w:hint="eastAsia" w:ascii="微软雅黑" w:hAnsi="微软雅黑"/>
                <w:bCs/>
                <w:color w:val="000000" w:themeColor="text1"/>
                <w:highlight w:val="none"/>
                <w14:textFill>
                  <w14:solidFill>
                    <w14:schemeClr w14:val="tx1"/>
                  </w14:solidFill>
                </w14:textFill>
              </w:rPr>
              <w:t>☑电子竞争性磋商响应文件（包括“电子加密竞争性磋商响应文件”和“备份竞争性磋商响应文件”，在竞争性磋商响应文件编制完成后同时生成）；</w:t>
            </w:r>
          </w:p>
          <w:p>
            <w:pPr>
              <w:spacing w:after="0" w:line="460" w:lineRule="exact"/>
              <w:jc w:val="left"/>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（1）“电子加密竞争性磋商响应文件”是指通过“政采云电子交易客户端”完成竞争性磋商响应文件编制后生成并加密的数据电文形式的竞争性磋商响应文件。</w:t>
            </w:r>
          </w:p>
          <w:p>
            <w:pPr>
              <w:snapToGrid w:val="0"/>
              <w:spacing w:after="0" w:line="460" w:lineRule="exact"/>
              <w:rPr>
                <w:rFonts w:ascii="微软雅黑" w:hAnsi="微软雅黑"/>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（2）“备份竞争性磋商响应文件”是指与“电子加密竞争性磋商响应文件”同时生成的数据电文形式的电子文件（备份标书），其他方式编制的备份竞争性磋商响应文件视为无效备份竞争性磋商响应文件。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11</w:t>
            </w:r>
          </w:p>
        </w:tc>
        <w:tc>
          <w:tcPr>
            <w:tcW w:w="8555"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竞争性磋商响应文件份数：</w:t>
            </w:r>
            <w:r>
              <w:rPr>
                <w:rFonts w:hint="eastAsia" w:ascii="微软雅黑" w:hAnsi="微软雅黑"/>
                <w:b/>
                <w:color w:val="000000" w:themeColor="text1"/>
                <w:highlight w:val="none"/>
                <w14:textFill>
                  <w14:solidFill>
                    <w14:schemeClr w14:val="tx1"/>
                  </w14:solidFill>
                </w14:textFill>
              </w:rPr>
              <w:t>（1）“电子响应文件”：在线上传递交。（2）“备份响应文件”及视频演示电子U盘各1份：密封包装后采用直接送达或邮寄送达方式在投标截止时间前递交至代理机构（采用邮寄送达的，建议采用顺丰快递），密封袋上有接缝处均需加盖单位公章。寄件后务必及时联系告知代理机构，并将快递单号、寄件人、联系方式等内容发送至招标代理机构邮箱（2234454547@qq.com），以便做好交接签收记录，供应商应充分考虑快递在途时间，逾期送过或未送达至指定地点的，代理机构不予接受。邮寄地址：嘉兴市马塘路500号晶晖广场南楼11楼上海华瑞建设经济咨询有限公司（联系人：戴文娥；电话：0573-82211997 / 13732576230），“备份响应文件”的递交遵循供应商自愿原则。(3)中标供应商在签订合同前应制作纸质响应文件（一正两副）给采购人，纸质投标内容应与电子响应文件内容一致，两者不一致时以政采云系统内电子响应文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12</w:t>
            </w:r>
          </w:p>
        </w:tc>
        <w:tc>
          <w:tcPr>
            <w:tcW w:w="8555" w:type="dxa"/>
            <w:tcBorders>
              <w:top w:val="single" w:color="auto" w:sz="4" w:space="0"/>
              <w:left w:val="single" w:color="auto" w:sz="4" w:space="0"/>
              <w:bottom w:val="single" w:color="auto" w:sz="4" w:space="0"/>
              <w:right w:val="single" w:color="auto" w:sz="4" w:space="0"/>
            </w:tcBorders>
            <w:vAlign w:val="center"/>
          </w:tcPr>
          <w:p>
            <w:pPr>
              <w:spacing w:after="0" w:line="460" w:lineRule="exact"/>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竞争性磋商响应文件的上传和递交：</w:t>
            </w:r>
          </w:p>
          <w:p>
            <w:pPr>
              <w:spacing w:after="0" w:line="460" w:lineRule="exact"/>
              <w:jc w:val="left"/>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（1）“电子加密竞争性磋商响应文件”的上传、递交：</w:t>
            </w:r>
          </w:p>
          <w:p>
            <w:pPr>
              <w:spacing w:after="0" w:line="460" w:lineRule="exact"/>
              <w:jc w:val="left"/>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a.投标供应商应在投标截止时间前将“电子加密竞争性磋商响应文件”成功上传递交至“政府采购云平台”，否则投标无效。</w:t>
            </w:r>
          </w:p>
          <w:p>
            <w:pPr>
              <w:spacing w:after="0" w:line="460" w:lineRule="exact"/>
              <w:jc w:val="left"/>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b.“电子加密竞争性磋商响应文件”成功上传递交后，供应商可自行打印竞争性磋商响应文件接收回执。</w:t>
            </w:r>
          </w:p>
          <w:p>
            <w:pPr>
              <w:spacing w:after="0" w:line="460" w:lineRule="exact"/>
              <w:jc w:val="left"/>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（2）“备份竞争性磋商响应文件”的密封包装、递交：</w:t>
            </w:r>
          </w:p>
          <w:p>
            <w:pPr>
              <w:spacing w:after="0" w:line="460" w:lineRule="exact"/>
              <w:jc w:val="left"/>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a、投标供应商在“政府采购云平台”完成“电子加密竞争性磋商响应文件”的上传递交后，还可以（邮寄形式）在投标截止时间前递交以介质（U盘）存储的“备份竞争性磋商响应文件”（一份）；</w:t>
            </w:r>
          </w:p>
          <w:p>
            <w:pPr>
              <w:spacing w:after="0" w:line="460" w:lineRule="exact"/>
              <w:jc w:val="left"/>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b.“备份竞争性磋商响应文件”应当密封包装，并在包装上标注投标项目名称、供应商名称并加盖公章。没有密封包装或者逾期邮寄送达至上述邮寄地点的“备份竞争性磋商响应文件”将不予接收；</w:t>
            </w:r>
          </w:p>
          <w:p>
            <w:pPr>
              <w:snapToGrid w:val="0"/>
              <w:spacing w:after="0" w:line="460" w:lineRule="exact"/>
              <w:rPr>
                <w:rFonts w:ascii="微软雅黑" w:hAnsi="微软雅黑"/>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13</w:t>
            </w:r>
          </w:p>
        </w:tc>
        <w:tc>
          <w:tcPr>
            <w:tcW w:w="8555" w:type="dxa"/>
            <w:tcBorders>
              <w:top w:val="single" w:color="auto" w:sz="4" w:space="0"/>
              <w:left w:val="single" w:color="auto" w:sz="4" w:space="0"/>
              <w:bottom w:val="single" w:color="auto" w:sz="4" w:space="0"/>
              <w:right w:val="single" w:color="auto" w:sz="4" w:space="0"/>
            </w:tcBorders>
            <w:vAlign w:val="center"/>
          </w:tcPr>
          <w:p>
            <w:pPr>
              <w:spacing w:after="0" w:line="460" w:lineRule="exact"/>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电子加密竞争性磋商响应文件的解密和异常情况处理：</w:t>
            </w:r>
          </w:p>
          <w:p>
            <w:pPr>
              <w:spacing w:after="0" w:line="460" w:lineRule="exact"/>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（1）开标后，采购组织机构将向各投标供应商发出“电子加密竞争性磋商响应文件”的解密通知，各投标供应商代表应当在接到解密通知后30分钟内自行完成“电子加密竞争性磋商响应文件”的在线解密。</w:t>
            </w:r>
          </w:p>
          <w:p>
            <w:pPr>
              <w:spacing w:after="0" w:line="460" w:lineRule="exact"/>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p>
          <w:p>
            <w:pPr>
              <w:spacing w:after="0" w:line="460" w:lineRule="exact"/>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（3）投标截止时间前，投标供应商仅递交了“备份竞争性磋商响应文件”而未将电子加密竞争性磋商响应文件上传至“政府采购云平台”的，投标无效。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14</w:t>
            </w:r>
          </w:p>
        </w:tc>
        <w:tc>
          <w:tcPr>
            <w:tcW w:w="8555"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投标截止时间及地点：</w:t>
            </w:r>
            <w:r>
              <w:rPr>
                <w:rStyle w:val="196"/>
                <w:rFonts w:hint="eastAsia" w:ascii="微软雅黑" w:hAnsi="微软雅黑"/>
                <w:b/>
                <w:bCs/>
                <w:color w:val="000000" w:themeColor="text1"/>
                <w:highlight w:val="none"/>
                <w14:textFill>
                  <w14:solidFill>
                    <w14:schemeClr w14:val="tx1"/>
                  </w14:solidFill>
                </w14:textFill>
              </w:rPr>
              <w:t>2022年1</w:t>
            </w:r>
            <w:r>
              <w:rPr>
                <w:rStyle w:val="196"/>
                <w:rFonts w:hint="eastAsia" w:ascii="微软雅黑" w:hAnsi="微软雅黑"/>
                <w:b/>
                <w:bCs/>
                <w:color w:val="000000" w:themeColor="text1"/>
                <w:highlight w:val="none"/>
                <w:lang w:val="en-US" w:eastAsia="zh-CN"/>
                <w14:textFill>
                  <w14:solidFill>
                    <w14:schemeClr w14:val="tx1"/>
                  </w14:solidFill>
                </w14:textFill>
              </w:rPr>
              <w:t>2</w:t>
            </w:r>
            <w:r>
              <w:rPr>
                <w:rStyle w:val="196"/>
                <w:rFonts w:hint="eastAsia" w:ascii="微软雅黑" w:hAnsi="微软雅黑"/>
                <w:b/>
                <w:bCs/>
                <w:color w:val="000000" w:themeColor="text1"/>
                <w:highlight w:val="none"/>
                <w14:textFill>
                  <w14:solidFill>
                    <w14:schemeClr w14:val="tx1"/>
                  </w14:solidFill>
                </w14:textFill>
              </w:rPr>
              <w:t>月</w:t>
            </w:r>
            <w:r>
              <w:rPr>
                <w:rStyle w:val="196"/>
                <w:rFonts w:hint="eastAsia" w:ascii="微软雅黑" w:hAnsi="微软雅黑"/>
                <w:b/>
                <w:bCs/>
                <w:color w:val="000000" w:themeColor="text1"/>
                <w:highlight w:val="none"/>
                <w:lang w:val="en-US" w:eastAsia="zh-CN"/>
                <w14:textFill>
                  <w14:solidFill>
                    <w14:schemeClr w14:val="tx1"/>
                  </w14:solidFill>
                </w14:textFill>
              </w:rPr>
              <w:t>16</w:t>
            </w:r>
            <w:r>
              <w:rPr>
                <w:rStyle w:val="196"/>
                <w:rFonts w:hint="eastAsia" w:ascii="微软雅黑" w:hAnsi="微软雅黑"/>
                <w:b/>
                <w:bCs/>
                <w:color w:val="000000" w:themeColor="text1"/>
                <w:highlight w:val="none"/>
                <w14:textFill>
                  <w14:solidFill>
                    <w14:schemeClr w14:val="tx1"/>
                  </w14:solidFill>
                </w14:textFill>
              </w:rPr>
              <w:t>日</w:t>
            </w:r>
            <w:r>
              <w:rPr>
                <w:rStyle w:val="196"/>
                <w:rFonts w:ascii="微软雅黑" w:hAnsi="微软雅黑"/>
                <w:b/>
                <w:bCs/>
                <w:color w:val="000000" w:themeColor="text1"/>
                <w:highlight w:val="none"/>
                <w14:textFill>
                  <w14:solidFill>
                    <w14:schemeClr w14:val="tx1"/>
                  </w14:solidFill>
                </w14:textFill>
              </w:rPr>
              <w:t>1</w:t>
            </w:r>
            <w:r>
              <w:rPr>
                <w:rStyle w:val="196"/>
                <w:rFonts w:hint="eastAsia" w:ascii="微软雅黑" w:hAnsi="微软雅黑"/>
                <w:b/>
                <w:bCs/>
                <w:color w:val="000000" w:themeColor="text1"/>
                <w:highlight w:val="none"/>
                <w:lang w:val="en-US" w:eastAsia="zh-CN"/>
                <w14:textFill>
                  <w14:solidFill>
                    <w14:schemeClr w14:val="tx1"/>
                  </w14:solidFill>
                </w14:textFill>
              </w:rPr>
              <w:t>3</w:t>
            </w:r>
            <w:r>
              <w:rPr>
                <w:rStyle w:val="196"/>
                <w:rFonts w:hint="eastAsia" w:ascii="微软雅黑" w:hAnsi="微软雅黑"/>
                <w:b/>
                <w:bCs/>
                <w:color w:val="000000" w:themeColor="text1"/>
                <w:highlight w:val="none"/>
                <w14:textFill>
                  <w14:solidFill>
                    <w14:schemeClr w14:val="tx1"/>
                  </w14:solidFill>
                </w14:textFill>
              </w:rPr>
              <w:t>：</w:t>
            </w:r>
            <w:r>
              <w:rPr>
                <w:rStyle w:val="196"/>
                <w:rFonts w:hint="eastAsia" w:ascii="微软雅黑" w:hAnsi="微软雅黑"/>
                <w:b/>
                <w:bCs/>
                <w:color w:val="000000" w:themeColor="text1"/>
                <w:highlight w:val="none"/>
                <w:lang w:val="en-US" w:eastAsia="zh-CN"/>
                <w14:textFill>
                  <w14:solidFill>
                    <w14:schemeClr w14:val="tx1"/>
                  </w14:solidFill>
                </w14:textFill>
              </w:rPr>
              <w:t>3</w:t>
            </w:r>
            <w:r>
              <w:rPr>
                <w:rStyle w:val="196"/>
                <w:rFonts w:ascii="微软雅黑" w:hAnsi="微软雅黑"/>
                <w:b/>
                <w:bCs/>
                <w:color w:val="000000" w:themeColor="text1"/>
                <w:highlight w:val="none"/>
                <w14:textFill>
                  <w14:solidFill>
                    <w14:schemeClr w14:val="tx1"/>
                  </w14:solidFill>
                </w14:textFill>
              </w:rPr>
              <w:t>0</w:t>
            </w:r>
            <w:r>
              <w:rPr>
                <w:rStyle w:val="196"/>
                <w:rFonts w:hint="eastAsia" w:ascii="微软雅黑" w:hAnsi="微软雅黑"/>
                <w:b/>
                <w:bCs/>
                <w:color w:val="000000" w:themeColor="text1"/>
                <w:highlight w:val="none"/>
                <w14:textFill>
                  <w14:solidFill>
                    <w14:schemeClr w14:val="tx1"/>
                  </w14:solidFill>
                </w14:textFill>
              </w:rPr>
              <w:t>时（北京时间）</w:t>
            </w:r>
            <w:r>
              <w:rPr>
                <w:rFonts w:hint="eastAsia" w:ascii="微软雅黑" w:hAnsi="微软雅黑"/>
                <w:b/>
                <w:bCs/>
                <w:color w:val="000000" w:themeColor="text1"/>
                <w:highlight w:val="none"/>
                <w14:textFill>
                  <w14:solidFill>
                    <w14:schemeClr w14:val="tx1"/>
                  </w14:solidFill>
                </w14:textFill>
              </w:rPr>
              <w:t>，政采云线上投标。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15</w:t>
            </w:r>
          </w:p>
        </w:tc>
        <w:tc>
          <w:tcPr>
            <w:tcW w:w="8555"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460" w:lineRule="exact"/>
              <w:jc w:val="left"/>
              <w:rPr>
                <w:rStyle w:val="196"/>
                <w:rFonts w:ascii="微软雅黑" w:hAnsi="微软雅黑"/>
                <w:b/>
                <w:bCs/>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开标时间： </w:t>
            </w:r>
            <w:r>
              <w:rPr>
                <w:rStyle w:val="196"/>
                <w:rFonts w:hint="eastAsia" w:ascii="微软雅黑" w:hAnsi="微软雅黑"/>
                <w:b/>
                <w:bCs/>
                <w:color w:val="000000" w:themeColor="text1"/>
                <w:highlight w:val="none"/>
                <w14:textFill>
                  <w14:solidFill>
                    <w14:schemeClr w14:val="tx1"/>
                  </w14:solidFill>
                </w14:textFill>
              </w:rPr>
              <w:t>2022年1</w:t>
            </w:r>
            <w:r>
              <w:rPr>
                <w:rStyle w:val="196"/>
                <w:rFonts w:hint="eastAsia" w:ascii="微软雅黑" w:hAnsi="微软雅黑"/>
                <w:b/>
                <w:bCs/>
                <w:color w:val="000000" w:themeColor="text1"/>
                <w:highlight w:val="none"/>
                <w:lang w:val="en-US" w:eastAsia="zh-CN"/>
                <w14:textFill>
                  <w14:solidFill>
                    <w14:schemeClr w14:val="tx1"/>
                  </w14:solidFill>
                </w14:textFill>
              </w:rPr>
              <w:t>2</w:t>
            </w:r>
            <w:r>
              <w:rPr>
                <w:rStyle w:val="196"/>
                <w:rFonts w:hint="eastAsia" w:ascii="微软雅黑" w:hAnsi="微软雅黑"/>
                <w:b/>
                <w:bCs/>
                <w:color w:val="000000" w:themeColor="text1"/>
                <w:highlight w:val="none"/>
                <w14:textFill>
                  <w14:solidFill>
                    <w14:schemeClr w14:val="tx1"/>
                  </w14:solidFill>
                </w14:textFill>
              </w:rPr>
              <w:t>月</w:t>
            </w:r>
            <w:r>
              <w:rPr>
                <w:rStyle w:val="196"/>
                <w:rFonts w:hint="eastAsia" w:ascii="微软雅黑" w:hAnsi="微软雅黑"/>
                <w:b/>
                <w:bCs/>
                <w:color w:val="000000" w:themeColor="text1"/>
                <w:highlight w:val="none"/>
                <w:lang w:val="en-US" w:eastAsia="zh-CN"/>
                <w14:textFill>
                  <w14:solidFill>
                    <w14:schemeClr w14:val="tx1"/>
                  </w14:solidFill>
                </w14:textFill>
              </w:rPr>
              <w:t>16</w:t>
            </w:r>
            <w:r>
              <w:rPr>
                <w:rStyle w:val="196"/>
                <w:rFonts w:hint="eastAsia" w:ascii="微软雅黑" w:hAnsi="微软雅黑"/>
                <w:b/>
                <w:bCs/>
                <w:color w:val="000000" w:themeColor="text1"/>
                <w:highlight w:val="none"/>
                <w14:textFill>
                  <w14:solidFill>
                    <w14:schemeClr w14:val="tx1"/>
                  </w14:solidFill>
                </w14:textFill>
              </w:rPr>
              <w:t>日</w:t>
            </w:r>
            <w:r>
              <w:rPr>
                <w:rStyle w:val="196"/>
                <w:rFonts w:ascii="微软雅黑" w:hAnsi="微软雅黑"/>
                <w:b/>
                <w:bCs/>
                <w:color w:val="000000" w:themeColor="text1"/>
                <w:highlight w:val="none"/>
                <w14:textFill>
                  <w14:solidFill>
                    <w14:schemeClr w14:val="tx1"/>
                  </w14:solidFill>
                </w14:textFill>
              </w:rPr>
              <w:t>1</w:t>
            </w:r>
            <w:r>
              <w:rPr>
                <w:rStyle w:val="196"/>
                <w:rFonts w:hint="eastAsia" w:ascii="微软雅黑" w:hAnsi="微软雅黑"/>
                <w:b/>
                <w:bCs/>
                <w:color w:val="000000" w:themeColor="text1"/>
                <w:highlight w:val="none"/>
                <w:lang w:val="en-US" w:eastAsia="zh-CN"/>
                <w14:textFill>
                  <w14:solidFill>
                    <w14:schemeClr w14:val="tx1"/>
                  </w14:solidFill>
                </w14:textFill>
              </w:rPr>
              <w:t>3</w:t>
            </w:r>
            <w:r>
              <w:rPr>
                <w:rStyle w:val="196"/>
                <w:rFonts w:hint="eastAsia" w:ascii="微软雅黑" w:hAnsi="微软雅黑"/>
                <w:b/>
                <w:bCs/>
                <w:color w:val="000000" w:themeColor="text1"/>
                <w:highlight w:val="none"/>
                <w14:textFill>
                  <w14:solidFill>
                    <w14:schemeClr w14:val="tx1"/>
                  </w14:solidFill>
                </w14:textFill>
              </w:rPr>
              <w:t>：</w:t>
            </w:r>
            <w:r>
              <w:rPr>
                <w:rStyle w:val="196"/>
                <w:rFonts w:hint="eastAsia" w:ascii="微软雅黑" w:hAnsi="微软雅黑"/>
                <w:b/>
                <w:bCs/>
                <w:color w:val="000000" w:themeColor="text1"/>
                <w:highlight w:val="none"/>
                <w:lang w:val="en-US" w:eastAsia="zh-CN"/>
                <w14:textFill>
                  <w14:solidFill>
                    <w14:schemeClr w14:val="tx1"/>
                  </w14:solidFill>
                </w14:textFill>
              </w:rPr>
              <w:t>3</w:t>
            </w:r>
            <w:r>
              <w:rPr>
                <w:rStyle w:val="196"/>
                <w:rFonts w:ascii="微软雅黑" w:hAnsi="微软雅黑"/>
                <w:b/>
                <w:bCs/>
                <w:color w:val="000000" w:themeColor="text1"/>
                <w:highlight w:val="none"/>
                <w14:textFill>
                  <w14:solidFill>
                    <w14:schemeClr w14:val="tx1"/>
                  </w14:solidFill>
                </w14:textFill>
              </w:rPr>
              <w:t>0</w:t>
            </w:r>
            <w:r>
              <w:rPr>
                <w:rStyle w:val="196"/>
                <w:rFonts w:hint="eastAsia" w:ascii="微软雅黑" w:hAnsi="微软雅黑"/>
                <w:b/>
                <w:bCs/>
                <w:color w:val="000000" w:themeColor="text1"/>
                <w:highlight w:val="none"/>
                <w14:textFill>
                  <w14:solidFill>
                    <w14:schemeClr w14:val="tx1"/>
                  </w14:solidFill>
                </w14:textFill>
              </w:rPr>
              <w:t>时（北京时间）</w:t>
            </w:r>
          </w:p>
          <w:p>
            <w:pPr>
              <w:widowControl/>
              <w:snapToGrid w:val="0"/>
              <w:spacing w:after="0" w:line="460" w:lineRule="exact"/>
              <w:jc w:val="left"/>
              <w:rPr>
                <w:rFonts w:ascii="微软雅黑" w:hAnsi="微软雅黑"/>
                <w:color w:val="000000" w:themeColor="text1"/>
                <w:highlight w:val="none"/>
                <w14:textFill>
                  <w14:solidFill>
                    <w14:schemeClr w14:val="tx1"/>
                  </w14:solidFill>
                </w14:textFill>
              </w:rPr>
            </w:pPr>
            <w:r>
              <w:rPr>
                <w:rStyle w:val="196"/>
                <w:rFonts w:hint="eastAsia" w:ascii="微软雅黑" w:hAnsi="微软雅黑"/>
                <w:color w:val="000000" w:themeColor="text1"/>
                <w:highlight w:val="none"/>
                <w14:textFill>
                  <w14:solidFill>
                    <w14:schemeClr w14:val="tx1"/>
                  </w14:solidFill>
                </w14:textFill>
              </w:rPr>
              <w:t>开标地点：上海华瑞建设经济咨询有限公司嘉兴分公司会议室（嘉兴市马塘路500号晶晖广场南楼11楼）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16</w:t>
            </w:r>
          </w:p>
        </w:tc>
        <w:tc>
          <w:tcPr>
            <w:tcW w:w="855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0" w:line="460" w:lineRule="exact"/>
              <w:textAlignment w:val="bottom"/>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项目属性：</w:t>
            </w:r>
            <w:r>
              <w:rPr>
                <w:rFonts w:hint="eastAsia" w:ascii="微软雅黑" w:hAnsi="微软雅黑"/>
                <w:color w:val="000000" w:themeColor="text1"/>
                <w:highlight w:val="none"/>
                <w:u w:val="single"/>
                <w14:textFill>
                  <w14:solidFill>
                    <w14:schemeClr w14:val="tx1"/>
                  </w14:solidFill>
                </w14:textFill>
              </w:rPr>
              <w:t xml:space="preserve"> </w:t>
            </w:r>
            <w:r>
              <w:rPr>
                <w:rFonts w:hint="eastAsia" w:ascii="微软雅黑" w:hAnsi="微软雅黑"/>
                <w:color w:val="000000" w:themeColor="text1"/>
                <w:highlight w:val="none"/>
                <w:u w:val="single"/>
                <w:lang w:val="zh-CN"/>
                <w14:textFill>
                  <w14:solidFill>
                    <w14:schemeClr w14:val="tx1"/>
                  </w14:solidFill>
                </w14:textFill>
              </w:rPr>
              <w:t>服务类</w:t>
            </w:r>
            <w:r>
              <w:rPr>
                <w:rFonts w:hint="eastAsia" w:ascii="微软雅黑" w:hAnsi="微软雅黑"/>
                <w:color w:val="000000" w:themeColor="text1"/>
                <w:highlight w:val="none"/>
                <w:u w:val="single"/>
                <w14:textFill>
                  <w14:solidFill>
                    <w14:schemeClr w14:val="tx1"/>
                  </w14:solidFill>
                </w14:textFill>
              </w:rPr>
              <w:t xml:space="preserve"> </w:t>
            </w:r>
            <w:r>
              <w:rPr>
                <w:rFonts w:hint="eastAsia" w:ascii="微软雅黑" w:hAnsi="微软雅黑"/>
                <w:color w:val="000000" w:themeColor="text1"/>
                <w:highlight w:val="none"/>
                <w:lang w:val="zh-CN"/>
                <w14:textFill>
                  <w14:solidFill>
                    <w14:schemeClr w14:val="tx1"/>
                  </w14:solidFill>
                </w14:textFill>
              </w:rPr>
              <w:t>；</w:t>
            </w:r>
          </w:p>
          <w:p>
            <w:pPr>
              <w:tabs>
                <w:tab w:val="right" w:pos="8339"/>
              </w:tabs>
              <w:autoSpaceDE w:val="0"/>
              <w:autoSpaceDN w:val="0"/>
              <w:snapToGrid w:val="0"/>
              <w:spacing w:after="0" w:line="460" w:lineRule="exact"/>
              <w:textAlignment w:val="bottom"/>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采购标的对应的中小企业划分标准所属行业：属于</w:t>
            </w:r>
            <w:r>
              <w:rPr>
                <w:rFonts w:hint="eastAsia" w:ascii="微软雅黑" w:hAnsi="微软雅黑"/>
                <w:color w:val="000000" w:themeColor="text1"/>
                <w:highlight w:val="none"/>
                <w:u w:val="single"/>
                <w14:textFill>
                  <w14:solidFill>
                    <w14:schemeClr w14:val="tx1"/>
                  </w14:solidFill>
                </w14:textFill>
              </w:rPr>
              <w:t xml:space="preserve"> </w:t>
            </w:r>
            <w:r>
              <w:rPr>
                <w:rFonts w:hint="eastAsia" w:ascii="微软雅黑" w:hAnsi="微软雅黑"/>
                <w:b/>
                <w:bCs/>
                <w:color w:val="000000" w:themeColor="text1"/>
                <w:highlight w:val="none"/>
                <w:u w:val="single"/>
                <w14:textFill>
                  <w14:solidFill>
                    <w14:schemeClr w14:val="tx1"/>
                  </w14:solidFill>
                </w14:textFill>
              </w:rPr>
              <w:t xml:space="preserve">其他未列明行业 </w:t>
            </w:r>
            <w:r>
              <w:rPr>
                <w:rFonts w:hint="eastAsia" w:ascii="微软雅黑" w:hAnsi="微软雅黑"/>
                <w:color w:val="000000" w:themeColor="text1"/>
                <w:highlight w:val="none"/>
                <w14:textFill>
                  <w14:solidFill>
                    <w14:schemeClr w14:val="tx1"/>
                  </w14:solidFill>
                </w14:textFill>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17</w:t>
            </w:r>
          </w:p>
        </w:tc>
        <w:tc>
          <w:tcPr>
            <w:tcW w:w="855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0" w:line="460" w:lineRule="exact"/>
              <w:textAlignment w:val="bottom"/>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18</w:t>
            </w:r>
          </w:p>
        </w:tc>
        <w:tc>
          <w:tcPr>
            <w:tcW w:w="855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0" w:line="460" w:lineRule="exact"/>
              <w:textAlignment w:val="bottom"/>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评标结果公告：评标结束后2天内，评标结果公告于浙江政府采购网(https://zfcg.czt.zj.gov.cn/)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19</w:t>
            </w:r>
          </w:p>
        </w:tc>
        <w:tc>
          <w:tcPr>
            <w:tcW w:w="855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0" w:line="460" w:lineRule="exact"/>
              <w:textAlignment w:val="bottom"/>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中标公告：中标公告发布于上述媒体，公告1个工作日。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20</w:t>
            </w:r>
          </w:p>
        </w:tc>
        <w:tc>
          <w:tcPr>
            <w:tcW w:w="855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0" w:line="276" w:lineRule="auto"/>
              <w:textAlignment w:val="bottom"/>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履约保证金的收取及退还：本项目不设置履约保证金</w:t>
            </w:r>
            <w:r>
              <w:rPr>
                <w:rFonts w:hint="eastAsia" w:ascii="微软雅黑" w:hAnsi="微软雅黑"/>
                <w:color w:val="000000" w:themeColor="text1"/>
                <w:spacing w:val="-6"/>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21</w:t>
            </w:r>
          </w:p>
        </w:tc>
        <w:tc>
          <w:tcPr>
            <w:tcW w:w="855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0" w:line="460" w:lineRule="exact"/>
              <w:textAlignment w:val="bottom"/>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22</w:t>
            </w:r>
          </w:p>
        </w:tc>
        <w:tc>
          <w:tcPr>
            <w:tcW w:w="855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0" w:line="460" w:lineRule="exact"/>
              <w:textAlignment w:val="bottom"/>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竞争性磋商响应文件有效期：60天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23</w:t>
            </w:r>
          </w:p>
        </w:tc>
        <w:tc>
          <w:tcPr>
            <w:tcW w:w="8555"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网上注册：本项目不接受现场报名，须注册后进行网上报名。在浙江政府采购网进行供应商注册后完成报名；（详情请见第一章公告“七、报名及竞争性磋商文件的获取”）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24</w:t>
            </w:r>
          </w:p>
        </w:tc>
        <w:tc>
          <w:tcPr>
            <w:tcW w:w="8555"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rPr>
                <w:rFonts w:ascii="微软雅黑" w:hAnsi="微软雅黑"/>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注：根据财库（[2015] 124号）采用竞争性磋商采购方式采购的政府购买服务项目（含政府和社会资本合作项目），在采购过程中符合要求的供应商（社会资本）只有2家的，竞争性磋商采购活动可以继续进行。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4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25</w:t>
            </w:r>
          </w:p>
        </w:tc>
        <w:tc>
          <w:tcPr>
            <w:tcW w:w="855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0" w:line="460" w:lineRule="exact"/>
              <w:textAlignment w:val="bottom"/>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解释：本竞争性磋商文件的解释权属于采购人。</w:t>
            </w:r>
          </w:p>
        </w:tc>
      </w:tr>
    </w:tbl>
    <w:p>
      <w:pPr>
        <w:spacing w:after="0" w:line="500" w:lineRule="exact"/>
        <w:rPr>
          <w:rFonts w:ascii="微软雅黑" w:hAnsi="微软雅黑"/>
          <w:color w:val="000000" w:themeColor="text1"/>
          <w:highlight w:val="none"/>
          <w14:textFill>
            <w14:solidFill>
              <w14:schemeClr w14:val="tx1"/>
            </w14:solidFill>
          </w14:textFill>
        </w:rPr>
      </w:pPr>
      <w:bookmarkStart w:id="20" w:name="_Toc192313101"/>
      <w:bookmarkStart w:id="21" w:name="_Toc493699292"/>
    </w:p>
    <w:p>
      <w:pPr>
        <w:pStyle w:val="5"/>
        <w:spacing w:before="0" w:after="0" w:line="500" w:lineRule="exact"/>
        <w:rPr>
          <w:rFonts w:ascii="微软雅黑" w:hAnsi="微软雅黑" w:eastAsia="微软雅黑"/>
          <w:color w:val="000000" w:themeColor="text1"/>
          <w:sz w:val="21"/>
          <w:szCs w:val="21"/>
          <w:highlight w:val="none"/>
          <w14:textFill>
            <w14:solidFill>
              <w14:schemeClr w14:val="tx1"/>
            </w14:solidFill>
          </w14:textFill>
        </w:rPr>
        <w:sectPr>
          <w:headerReference r:id="rId11" w:type="first"/>
          <w:footerReference r:id="rId14" w:type="first"/>
          <w:headerReference r:id="rId9" w:type="default"/>
          <w:footerReference r:id="rId12" w:type="default"/>
          <w:headerReference r:id="rId10" w:type="even"/>
          <w:footerReference r:id="rId13" w:type="even"/>
          <w:pgSz w:w="11906" w:h="16838"/>
          <w:pgMar w:top="1134" w:right="1474" w:bottom="1134" w:left="1474" w:header="851" w:footer="510" w:gutter="0"/>
          <w:pgNumType w:start="1"/>
          <w:cols w:space="0" w:num="1"/>
          <w:docGrid w:linePitch="312" w:charSpace="0"/>
        </w:sectPr>
      </w:pPr>
      <w:bookmarkStart w:id="22" w:name="_Toc89266798"/>
      <w:bookmarkStart w:id="23" w:name="_Toc40788010"/>
      <w:bookmarkStart w:id="24" w:name="_Toc100764195"/>
      <w:bookmarkStart w:id="25" w:name="_Toc53062672"/>
    </w:p>
    <w:p>
      <w:pPr>
        <w:pStyle w:val="5"/>
        <w:spacing w:beforeLines="50" w:after="240" w:afterLines="100" w:line="500" w:lineRule="exact"/>
        <w:rPr>
          <w:rFonts w:ascii="微软雅黑" w:hAnsi="微软雅黑" w:eastAsia="微软雅黑"/>
          <w:color w:val="000000" w:themeColor="text1"/>
          <w:sz w:val="28"/>
          <w:szCs w:val="28"/>
          <w:highlight w:val="none"/>
          <w14:textFill>
            <w14:solidFill>
              <w14:schemeClr w14:val="tx1"/>
            </w14:solidFill>
          </w14:textFill>
        </w:rPr>
      </w:pPr>
      <w:r>
        <w:rPr>
          <w:rFonts w:hint="eastAsia" w:ascii="微软雅黑" w:hAnsi="微软雅黑" w:eastAsia="微软雅黑"/>
          <w:color w:val="000000" w:themeColor="text1"/>
          <w:sz w:val="28"/>
          <w:szCs w:val="28"/>
          <w:highlight w:val="none"/>
          <w14:textFill>
            <w14:solidFill>
              <w14:schemeClr w14:val="tx1"/>
            </w14:solidFill>
          </w14:textFill>
        </w:rPr>
        <w:t>一 、总则</w:t>
      </w:r>
      <w:bookmarkEnd w:id="20"/>
      <w:bookmarkEnd w:id="21"/>
      <w:bookmarkEnd w:id="22"/>
      <w:bookmarkEnd w:id="23"/>
      <w:bookmarkEnd w:id="24"/>
      <w:bookmarkEnd w:id="25"/>
    </w:p>
    <w:p>
      <w:pPr>
        <w:snapToGrid w:val="0"/>
        <w:spacing w:after="0" w:line="500" w:lineRule="exact"/>
        <w:ind w:firstLine="420" w:firstLineChars="200"/>
        <w:jc w:val="left"/>
        <w:outlineLvl w:val="1"/>
        <w:rPr>
          <w:rFonts w:ascii="微软雅黑" w:hAnsi="微软雅黑"/>
          <w:b/>
          <w:color w:val="000000" w:themeColor="text1"/>
          <w:highlight w:val="none"/>
          <w14:textFill>
            <w14:solidFill>
              <w14:schemeClr w14:val="tx1"/>
            </w14:solidFill>
          </w14:textFill>
        </w:rPr>
      </w:pPr>
      <w:bookmarkStart w:id="26" w:name="_Toc177870537"/>
      <w:bookmarkStart w:id="27" w:name="_Toc448487530"/>
      <w:bookmarkStart w:id="28" w:name="_Toc487802088"/>
      <w:bookmarkStart w:id="29" w:name="_Toc89266799"/>
      <w:bookmarkStart w:id="30" w:name="_Toc493699293"/>
      <w:bookmarkStart w:id="31" w:name="_Toc487793381"/>
      <w:bookmarkStart w:id="32" w:name="_Toc177824872"/>
      <w:bookmarkStart w:id="33" w:name="_Toc177825120"/>
      <w:bookmarkStart w:id="34" w:name="_Toc437979771"/>
      <w:bookmarkStart w:id="35" w:name="_Toc53062673"/>
      <w:bookmarkStart w:id="36" w:name="_Toc100764196"/>
      <w:bookmarkStart w:id="37" w:name="_Toc177824939"/>
      <w:bookmarkStart w:id="38" w:name="_Toc487802019"/>
      <w:bookmarkStart w:id="39" w:name="_Toc493082109"/>
      <w:bookmarkStart w:id="40" w:name="_Toc40788011"/>
      <w:bookmarkStart w:id="41" w:name="_Toc192313102"/>
      <w:r>
        <w:rPr>
          <w:rFonts w:hint="eastAsia" w:ascii="微软雅黑" w:hAnsi="微软雅黑"/>
          <w:b/>
          <w:color w:val="000000" w:themeColor="text1"/>
          <w:highlight w:val="none"/>
          <w14:textFill>
            <w14:solidFill>
              <w14:schemeClr w14:val="tx1"/>
            </w14:solidFill>
          </w14:textFill>
        </w:rPr>
        <w:t>1、适用范围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snapToGrid w:val="0"/>
        <w:spacing w:after="0" w:line="500" w:lineRule="exact"/>
        <w:ind w:firstLine="420" w:firstLineChars="200"/>
        <w:jc w:val="left"/>
        <w:outlineLvl w:val="1"/>
        <w:rPr>
          <w:rFonts w:ascii="微软雅黑" w:hAnsi="微软雅黑"/>
          <w:color w:val="000000" w:themeColor="text1"/>
          <w:highlight w:val="none"/>
          <w14:textFill>
            <w14:solidFill>
              <w14:schemeClr w14:val="tx1"/>
            </w14:solidFill>
          </w14:textFill>
        </w:rPr>
      </w:pPr>
      <w:bookmarkStart w:id="42" w:name="_Toc53062674"/>
      <w:bookmarkStart w:id="43" w:name="_Toc100764197"/>
      <w:bookmarkStart w:id="44" w:name="_Toc89266800"/>
      <w:bookmarkStart w:id="45" w:name="_Toc40788012"/>
      <w:r>
        <w:rPr>
          <w:rFonts w:hint="eastAsia" w:ascii="微软雅黑" w:hAnsi="微软雅黑"/>
          <w:color w:val="000000" w:themeColor="text1"/>
          <w:highlight w:val="none"/>
          <w14:textFill>
            <w14:solidFill>
              <w14:schemeClr w14:val="tx1"/>
            </w14:solidFill>
          </w14:textFill>
        </w:rPr>
        <w:t>1.1本磋商文件适用于嘉兴经济技术开发区燃气管家服务采购项目的磋商。</w:t>
      </w:r>
      <w:bookmarkEnd w:id="42"/>
      <w:bookmarkEnd w:id="43"/>
      <w:bookmarkEnd w:id="44"/>
      <w:bookmarkEnd w:id="45"/>
      <w:bookmarkStart w:id="46" w:name="_Toc493699294"/>
      <w:bookmarkStart w:id="47" w:name="_Toc177824873"/>
      <w:bookmarkStart w:id="48" w:name="_Toc487802020"/>
      <w:bookmarkStart w:id="49" w:name="_Toc487793382"/>
      <w:bookmarkStart w:id="50" w:name="_Toc177870538"/>
      <w:bookmarkStart w:id="51" w:name="_Toc177825121"/>
      <w:bookmarkStart w:id="52" w:name="_Toc487802089"/>
      <w:bookmarkStart w:id="53" w:name="_Toc192313103"/>
      <w:bookmarkStart w:id="54" w:name="_Toc177824940"/>
      <w:bookmarkStart w:id="55" w:name="_Toc448487531"/>
      <w:bookmarkStart w:id="56" w:name="_Toc437979772"/>
      <w:bookmarkStart w:id="57" w:name="_Toc493082110"/>
    </w:p>
    <w:p>
      <w:pPr>
        <w:snapToGrid w:val="0"/>
        <w:spacing w:after="0" w:line="500" w:lineRule="exact"/>
        <w:ind w:firstLine="420" w:firstLineChars="200"/>
        <w:jc w:val="left"/>
        <w:outlineLvl w:val="1"/>
        <w:rPr>
          <w:rFonts w:ascii="微软雅黑" w:hAnsi="微软雅黑"/>
          <w:b/>
          <w:color w:val="000000" w:themeColor="text1"/>
          <w:highlight w:val="none"/>
          <w14:textFill>
            <w14:solidFill>
              <w14:schemeClr w14:val="tx1"/>
            </w14:solidFill>
          </w14:textFill>
        </w:rPr>
      </w:pPr>
      <w:bookmarkStart w:id="58" w:name="_Toc89266801"/>
      <w:bookmarkStart w:id="59" w:name="_Toc53062675"/>
      <w:bookmarkStart w:id="60" w:name="_Toc100764198"/>
      <w:bookmarkStart w:id="61" w:name="_Toc40788013"/>
      <w:r>
        <w:rPr>
          <w:rFonts w:hint="eastAsia" w:ascii="微软雅黑" w:hAnsi="微软雅黑"/>
          <w:b/>
          <w:color w:val="000000" w:themeColor="text1"/>
          <w:highlight w:val="none"/>
          <w14:textFill>
            <w14:solidFill>
              <w14:schemeClr w14:val="tx1"/>
            </w14:solidFill>
          </w14:textFill>
        </w:rPr>
        <w:t>2、定义</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snapToGrid w:val="0"/>
        <w:spacing w:after="0" w:line="500" w:lineRule="exact"/>
        <w:ind w:firstLine="420" w:firstLineChars="200"/>
        <w:jc w:val="left"/>
        <w:outlineLvl w:val="1"/>
        <w:rPr>
          <w:rFonts w:ascii="微软雅黑" w:hAnsi="微软雅黑"/>
          <w:color w:val="000000" w:themeColor="text1"/>
          <w:highlight w:val="none"/>
          <w14:textFill>
            <w14:solidFill>
              <w14:schemeClr w14:val="tx1"/>
            </w14:solidFill>
          </w14:textFill>
        </w:rPr>
      </w:pPr>
      <w:bookmarkStart w:id="62" w:name="_Toc40788014"/>
      <w:bookmarkStart w:id="63" w:name="_Toc89266802"/>
      <w:bookmarkStart w:id="64" w:name="_Toc100764199"/>
      <w:bookmarkStart w:id="65" w:name="_Toc53062676"/>
      <w:r>
        <w:rPr>
          <w:rFonts w:hint="eastAsia" w:ascii="微软雅黑" w:hAnsi="微软雅黑"/>
          <w:color w:val="000000" w:themeColor="text1"/>
          <w:highlight w:val="none"/>
          <w14:textFill>
            <w14:solidFill>
              <w14:schemeClr w14:val="tx1"/>
            </w14:solidFill>
          </w14:textFill>
        </w:rPr>
        <w:t>2.1“供应商”系指向代理机构提交磋商文件的供应商。</w:t>
      </w:r>
      <w:bookmarkEnd w:id="62"/>
      <w:bookmarkEnd w:id="63"/>
      <w:bookmarkEnd w:id="64"/>
      <w:bookmarkEnd w:id="65"/>
    </w:p>
    <w:p>
      <w:pPr>
        <w:snapToGrid w:val="0"/>
        <w:spacing w:after="0" w:line="500" w:lineRule="exact"/>
        <w:ind w:firstLine="420" w:firstLineChars="200"/>
        <w:jc w:val="left"/>
        <w:outlineLvl w:val="1"/>
        <w:rPr>
          <w:rFonts w:ascii="微软雅黑" w:hAnsi="微软雅黑"/>
          <w:color w:val="000000" w:themeColor="text1"/>
          <w:highlight w:val="none"/>
          <w14:textFill>
            <w14:solidFill>
              <w14:schemeClr w14:val="tx1"/>
            </w14:solidFill>
          </w14:textFill>
        </w:rPr>
      </w:pPr>
      <w:bookmarkStart w:id="66" w:name="_Toc100764200"/>
      <w:bookmarkStart w:id="67" w:name="_Toc40788015"/>
      <w:bookmarkStart w:id="68" w:name="_Toc53062677"/>
      <w:bookmarkStart w:id="69" w:name="_Toc89266803"/>
      <w:r>
        <w:rPr>
          <w:rFonts w:hint="eastAsia" w:ascii="微软雅黑" w:hAnsi="微软雅黑"/>
          <w:color w:val="000000" w:themeColor="text1"/>
          <w:highlight w:val="none"/>
          <w14:textFill>
            <w14:solidFill>
              <w14:schemeClr w14:val="tx1"/>
            </w14:solidFill>
          </w14:textFill>
        </w:rPr>
        <w:t>2.2“产品”系指供方按磋商文件规定，须向采购人提供的一切设备、保险、税金、备品备件、工具、手册及其它有关技术资料和材料。</w:t>
      </w:r>
      <w:bookmarkEnd w:id="66"/>
      <w:bookmarkEnd w:id="67"/>
      <w:bookmarkEnd w:id="68"/>
      <w:bookmarkEnd w:id="69"/>
    </w:p>
    <w:p>
      <w:pPr>
        <w:snapToGrid w:val="0"/>
        <w:spacing w:after="0" w:line="500" w:lineRule="exact"/>
        <w:ind w:firstLine="420" w:firstLineChars="200"/>
        <w:jc w:val="left"/>
        <w:outlineLvl w:val="1"/>
        <w:rPr>
          <w:rFonts w:ascii="微软雅黑" w:hAnsi="微软雅黑"/>
          <w:color w:val="000000" w:themeColor="text1"/>
          <w:highlight w:val="none"/>
          <w14:textFill>
            <w14:solidFill>
              <w14:schemeClr w14:val="tx1"/>
            </w14:solidFill>
          </w14:textFill>
        </w:rPr>
      </w:pPr>
      <w:bookmarkStart w:id="70" w:name="_Toc100764201"/>
      <w:bookmarkStart w:id="71" w:name="_Toc89266804"/>
      <w:bookmarkStart w:id="72" w:name="_Toc53062678"/>
      <w:bookmarkStart w:id="73" w:name="_Toc40788016"/>
      <w:r>
        <w:rPr>
          <w:rFonts w:hint="eastAsia" w:ascii="微软雅黑" w:hAnsi="微软雅黑"/>
          <w:color w:val="000000" w:themeColor="text1"/>
          <w:highlight w:val="none"/>
          <w14:textFill>
            <w14:solidFill>
              <w14:schemeClr w14:val="tx1"/>
            </w14:solidFill>
          </w14:textFill>
        </w:rPr>
        <w:t>2.3“服务”系指磋商文件规定供应商须承担的安装、调试、技术协助、校准、培训、技术指导以及其他类似的义务。</w:t>
      </w:r>
      <w:bookmarkEnd w:id="70"/>
      <w:bookmarkEnd w:id="71"/>
      <w:bookmarkEnd w:id="72"/>
      <w:bookmarkEnd w:id="73"/>
    </w:p>
    <w:p>
      <w:pPr>
        <w:snapToGrid w:val="0"/>
        <w:spacing w:after="0" w:line="500" w:lineRule="exact"/>
        <w:ind w:firstLine="420" w:firstLineChars="200"/>
        <w:jc w:val="left"/>
        <w:outlineLvl w:val="1"/>
        <w:rPr>
          <w:rFonts w:ascii="微软雅黑" w:hAnsi="微软雅黑"/>
          <w:color w:val="000000" w:themeColor="text1"/>
          <w:highlight w:val="none"/>
          <w14:textFill>
            <w14:solidFill>
              <w14:schemeClr w14:val="tx1"/>
            </w14:solidFill>
          </w14:textFill>
        </w:rPr>
      </w:pPr>
      <w:bookmarkStart w:id="74" w:name="_Toc100764202"/>
      <w:bookmarkStart w:id="75" w:name="_Toc53062679"/>
      <w:bookmarkStart w:id="76" w:name="_Toc40788017"/>
      <w:bookmarkStart w:id="77" w:name="_Toc89266805"/>
      <w:r>
        <w:rPr>
          <w:rFonts w:hint="eastAsia" w:ascii="微软雅黑" w:hAnsi="微软雅黑"/>
          <w:color w:val="000000" w:themeColor="text1"/>
          <w:highlight w:val="none"/>
          <w14:textFill>
            <w14:solidFill>
              <w14:schemeClr w14:val="tx1"/>
            </w14:solidFill>
          </w14:textFill>
        </w:rPr>
        <w:t>2.4“项目”系指供应商按磋商文件规定向采购人提供的产品和服务。</w:t>
      </w:r>
      <w:bookmarkEnd w:id="74"/>
      <w:bookmarkEnd w:id="75"/>
      <w:bookmarkEnd w:id="76"/>
      <w:bookmarkEnd w:id="77"/>
    </w:p>
    <w:p>
      <w:pPr>
        <w:snapToGrid w:val="0"/>
        <w:spacing w:after="0" w:line="500" w:lineRule="exact"/>
        <w:ind w:firstLine="420" w:firstLineChars="200"/>
        <w:jc w:val="left"/>
        <w:outlineLvl w:val="1"/>
        <w:rPr>
          <w:rFonts w:ascii="微软雅黑" w:hAnsi="微软雅黑"/>
          <w:color w:val="000000" w:themeColor="text1"/>
          <w:highlight w:val="none"/>
          <w14:textFill>
            <w14:solidFill>
              <w14:schemeClr w14:val="tx1"/>
            </w14:solidFill>
          </w14:textFill>
        </w:rPr>
      </w:pPr>
      <w:bookmarkStart w:id="78" w:name="_Toc53062680"/>
      <w:bookmarkStart w:id="79" w:name="_Toc89266806"/>
      <w:bookmarkStart w:id="80" w:name="_Toc100764203"/>
      <w:bookmarkStart w:id="81" w:name="_Toc40788018"/>
      <w:r>
        <w:rPr>
          <w:rFonts w:hint="eastAsia" w:ascii="微软雅黑" w:hAnsi="微软雅黑"/>
          <w:color w:val="000000" w:themeColor="text1"/>
          <w:highlight w:val="none"/>
          <w14:textFill>
            <w14:solidFill>
              <w14:schemeClr w14:val="tx1"/>
            </w14:solidFill>
          </w14:textFill>
        </w:rPr>
        <w:t>2.5“书面形式”包括信函、传真、电报、电子文档等。</w:t>
      </w:r>
      <w:bookmarkEnd w:id="78"/>
      <w:bookmarkEnd w:id="79"/>
      <w:bookmarkEnd w:id="80"/>
      <w:bookmarkEnd w:id="81"/>
    </w:p>
    <w:p>
      <w:pPr>
        <w:snapToGrid w:val="0"/>
        <w:spacing w:after="0" w:line="500" w:lineRule="exact"/>
        <w:ind w:firstLine="420" w:firstLineChars="200"/>
        <w:jc w:val="left"/>
        <w:outlineLvl w:val="1"/>
        <w:rPr>
          <w:rFonts w:ascii="微软雅黑" w:hAnsi="微软雅黑"/>
          <w:color w:val="000000" w:themeColor="text1"/>
          <w:highlight w:val="none"/>
          <w14:textFill>
            <w14:solidFill>
              <w14:schemeClr w14:val="tx1"/>
            </w14:solidFill>
          </w14:textFill>
        </w:rPr>
      </w:pPr>
      <w:bookmarkStart w:id="82" w:name="_Toc100764204"/>
      <w:bookmarkStart w:id="83" w:name="_Toc89266807"/>
      <w:bookmarkStart w:id="84" w:name="_Toc53062681"/>
      <w:bookmarkStart w:id="85" w:name="_Toc40788019"/>
      <w:r>
        <w:rPr>
          <w:rFonts w:hint="eastAsia" w:ascii="微软雅黑" w:hAnsi="微软雅黑"/>
          <w:color w:val="000000" w:themeColor="text1"/>
          <w:highlight w:val="none"/>
          <w14:textFill>
            <w14:solidFill>
              <w14:schemeClr w14:val="tx1"/>
            </w14:solidFill>
          </w14:textFill>
        </w:rPr>
        <w:t>2.6“▲”系指实质性要求条款。</w:t>
      </w:r>
      <w:bookmarkEnd w:id="82"/>
      <w:bookmarkEnd w:id="83"/>
      <w:bookmarkEnd w:id="84"/>
      <w:bookmarkEnd w:id="85"/>
      <w:bookmarkStart w:id="86" w:name="_Toc437979773"/>
      <w:bookmarkStart w:id="87" w:name="_Toc177870539"/>
      <w:bookmarkStart w:id="88" w:name="_Toc487802090"/>
      <w:bookmarkStart w:id="89" w:name="_Toc192313104"/>
      <w:bookmarkStart w:id="90" w:name="_Toc487802021"/>
      <w:bookmarkStart w:id="91" w:name="_Toc493082111"/>
      <w:bookmarkStart w:id="92" w:name="_Toc448487532"/>
      <w:bookmarkStart w:id="93" w:name="_Toc493699295"/>
      <w:bookmarkStart w:id="94" w:name="_Toc487793383"/>
    </w:p>
    <w:p>
      <w:pPr>
        <w:snapToGrid w:val="0"/>
        <w:spacing w:after="0" w:line="500" w:lineRule="exact"/>
        <w:ind w:firstLine="420" w:firstLineChars="200"/>
        <w:jc w:val="left"/>
        <w:outlineLvl w:val="1"/>
        <w:rPr>
          <w:rFonts w:ascii="微软雅黑" w:hAnsi="微软雅黑"/>
          <w:b/>
          <w:color w:val="000000" w:themeColor="text1"/>
          <w:highlight w:val="none"/>
          <w14:textFill>
            <w14:solidFill>
              <w14:schemeClr w14:val="tx1"/>
            </w14:solidFill>
          </w14:textFill>
        </w:rPr>
      </w:pPr>
      <w:bookmarkStart w:id="95" w:name="_Toc89266808"/>
      <w:bookmarkStart w:id="96" w:name="_Toc100764205"/>
      <w:bookmarkStart w:id="97" w:name="_Toc53062682"/>
      <w:bookmarkStart w:id="98" w:name="_Toc40788020"/>
      <w:r>
        <w:rPr>
          <w:rFonts w:hint="eastAsia" w:ascii="微软雅黑" w:hAnsi="微软雅黑"/>
          <w:b/>
          <w:color w:val="000000" w:themeColor="text1"/>
          <w:highlight w:val="none"/>
          <w14:textFill>
            <w14:solidFill>
              <w14:schemeClr w14:val="tx1"/>
            </w14:solidFill>
          </w14:textFill>
        </w:rPr>
        <w:t>3、磋商方式</w:t>
      </w:r>
      <w:bookmarkEnd w:id="86"/>
      <w:bookmarkEnd w:id="87"/>
      <w:bookmarkEnd w:id="88"/>
      <w:bookmarkEnd w:id="89"/>
      <w:bookmarkEnd w:id="90"/>
      <w:bookmarkEnd w:id="91"/>
      <w:bookmarkEnd w:id="92"/>
      <w:bookmarkEnd w:id="93"/>
      <w:bookmarkEnd w:id="94"/>
      <w:bookmarkEnd w:id="95"/>
      <w:bookmarkEnd w:id="96"/>
      <w:bookmarkEnd w:id="97"/>
      <w:bookmarkEnd w:id="98"/>
    </w:p>
    <w:p>
      <w:pPr>
        <w:snapToGrid w:val="0"/>
        <w:spacing w:after="0" w:line="500" w:lineRule="exact"/>
        <w:ind w:firstLine="420" w:firstLineChars="200"/>
        <w:jc w:val="left"/>
        <w:outlineLvl w:val="1"/>
        <w:rPr>
          <w:rFonts w:ascii="微软雅黑" w:hAnsi="微软雅黑"/>
          <w:color w:val="000000" w:themeColor="text1"/>
          <w:highlight w:val="none"/>
          <w14:textFill>
            <w14:solidFill>
              <w14:schemeClr w14:val="tx1"/>
            </w14:solidFill>
          </w14:textFill>
        </w:rPr>
      </w:pPr>
      <w:bookmarkStart w:id="99" w:name="_Toc40788021"/>
      <w:bookmarkStart w:id="100" w:name="_Toc89266809"/>
      <w:bookmarkStart w:id="101" w:name="_Toc53062683"/>
      <w:bookmarkStart w:id="102" w:name="_Toc100764206"/>
      <w:r>
        <w:rPr>
          <w:rFonts w:hint="eastAsia" w:ascii="微软雅黑" w:hAnsi="微软雅黑"/>
          <w:color w:val="000000" w:themeColor="text1"/>
          <w:highlight w:val="none"/>
          <w14:textFill>
            <w14:solidFill>
              <w14:schemeClr w14:val="tx1"/>
            </w14:solidFill>
          </w14:textFill>
        </w:rPr>
        <w:t>3.1本次磋商采用竞争性磋商方式进行。</w:t>
      </w:r>
      <w:bookmarkEnd w:id="99"/>
      <w:bookmarkEnd w:id="100"/>
      <w:bookmarkEnd w:id="101"/>
      <w:bookmarkEnd w:id="102"/>
    </w:p>
    <w:p>
      <w:pPr>
        <w:snapToGrid w:val="0"/>
        <w:spacing w:after="0" w:line="500" w:lineRule="exact"/>
        <w:ind w:firstLine="420" w:firstLineChars="200"/>
        <w:jc w:val="left"/>
        <w:outlineLvl w:val="1"/>
        <w:rPr>
          <w:rFonts w:ascii="微软雅黑" w:hAnsi="微软雅黑"/>
          <w:color w:val="000000" w:themeColor="text1"/>
          <w:highlight w:val="none"/>
          <w14:textFill>
            <w14:solidFill>
              <w14:schemeClr w14:val="tx1"/>
            </w14:solidFill>
          </w14:textFill>
        </w:rPr>
      </w:pPr>
      <w:bookmarkStart w:id="103" w:name="_Toc40788022"/>
      <w:bookmarkStart w:id="104" w:name="_Toc100764207"/>
      <w:bookmarkStart w:id="105" w:name="_Toc53062684"/>
      <w:bookmarkStart w:id="106" w:name="_Toc89266810"/>
      <w:r>
        <w:rPr>
          <w:rFonts w:hint="eastAsia" w:ascii="微软雅黑" w:hAnsi="微软雅黑"/>
          <w:color w:val="000000" w:themeColor="text1"/>
          <w:highlight w:val="none"/>
          <w14:textFill>
            <w14:solidFill>
              <w14:schemeClr w14:val="tx1"/>
            </w14:solidFill>
          </w14:textFill>
        </w:rPr>
        <w:t>3.2本次磋商设定上限价为预算价。</w:t>
      </w:r>
      <w:bookmarkEnd w:id="103"/>
      <w:bookmarkEnd w:id="104"/>
      <w:bookmarkEnd w:id="105"/>
      <w:bookmarkEnd w:id="106"/>
      <w:bookmarkStart w:id="107" w:name="_Toc437979774"/>
      <w:bookmarkStart w:id="108" w:name="_Toc487802022"/>
      <w:bookmarkStart w:id="109" w:name="_Toc493082112"/>
      <w:bookmarkStart w:id="110" w:name="_Toc177824941"/>
      <w:bookmarkStart w:id="111" w:name="_Toc448487533"/>
      <w:bookmarkStart w:id="112" w:name="_Toc487802091"/>
      <w:bookmarkStart w:id="113" w:name="_Toc487793384"/>
      <w:bookmarkStart w:id="114" w:name="_Toc177870540"/>
      <w:bookmarkStart w:id="115" w:name="_Toc493699296"/>
      <w:bookmarkStart w:id="116" w:name="_Toc192313105"/>
      <w:bookmarkStart w:id="117" w:name="_Toc177824874"/>
      <w:bookmarkStart w:id="118" w:name="_Toc177825122"/>
    </w:p>
    <w:p>
      <w:pPr>
        <w:snapToGrid w:val="0"/>
        <w:spacing w:after="0" w:line="500" w:lineRule="exact"/>
        <w:ind w:firstLine="420" w:firstLineChars="200"/>
        <w:jc w:val="left"/>
        <w:outlineLvl w:val="1"/>
        <w:rPr>
          <w:rFonts w:ascii="微软雅黑" w:hAnsi="微软雅黑"/>
          <w:b/>
          <w:color w:val="000000" w:themeColor="text1"/>
          <w:highlight w:val="none"/>
          <w14:textFill>
            <w14:solidFill>
              <w14:schemeClr w14:val="tx1"/>
            </w14:solidFill>
          </w14:textFill>
        </w:rPr>
      </w:pPr>
      <w:bookmarkStart w:id="119" w:name="_Toc40788023"/>
      <w:bookmarkStart w:id="120" w:name="_Toc89266811"/>
      <w:bookmarkStart w:id="121" w:name="_Toc53062685"/>
      <w:bookmarkStart w:id="122" w:name="_Toc100764208"/>
      <w:r>
        <w:rPr>
          <w:rFonts w:hint="eastAsia" w:ascii="微软雅黑" w:hAnsi="微软雅黑"/>
          <w:b/>
          <w:color w:val="000000" w:themeColor="text1"/>
          <w:highlight w:val="none"/>
          <w14:textFill>
            <w14:solidFill>
              <w14:schemeClr w14:val="tx1"/>
            </w14:solidFill>
          </w14:textFill>
        </w:rPr>
        <w:t>4、磋商委托</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Start w:id="123" w:name="_Toc89266812"/>
      <w:bookmarkStart w:id="124" w:name="_Toc53062686"/>
      <w:bookmarkStart w:id="125" w:name="_Toc40788024"/>
    </w:p>
    <w:p>
      <w:pPr>
        <w:spacing w:after="0" w:line="500" w:lineRule="exac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 xml:space="preserve">    如供应商代表不是法定代表人，须有法定代表人出具的授权委托书。</w:t>
      </w:r>
      <w:bookmarkEnd w:id="123"/>
      <w:bookmarkEnd w:id="124"/>
      <w:bookmarkEnd w:id="125"/>
      <w:bookmarkStart w:id="126" w:name="_Toc493082113"/>
      <w:bookmarkStart w:id="127" w:name="_Toc177824942"/>
      <w:bookmarkStart w:id="128" w:name="_Toc487802023"/>
      <w:bookmarkStart w:id="129" w:name="_Toc493699297"/>
      <w:bookmarkStart w:id="130" w:name="_Toc192313106"/>
      <w:bookmarkStart w:id="131" w:name="_Toc177824875"/>
      <w:bookmarkStart w:id="132" w:name="_Toc177870541"/>
      <w:bookmarkStart w:id="133" w:name="_Toc437979775"/>
      <w:bookmarkStart w:id="134" w:name="_Toc487793385"/>
      <w:bookmarkStart w:id="135" w:name="_Toc177825123"/>
      <w:bookmarkStart w:id="136" w:name="_Toc448487534"/>
      <w:bookmarkStart w:id="137" w:name="_Toc487802092"/>
    </w:p>
    <w:p>
      <w:pPr>
        <w:snapToGrid w:val="0"/>
        <w:spacing w:after="0" w:line="500" w:lineRule="exact"/>
        <w:ind w:firstLine="420" w:firstLineChars="200"/>
        <w:jc w:val="left"/>
        <w:outlineLvl w:val="1"/>
        <w:rPr>
          <w:rFonts w:ascii="微软雅黑" w:hAnsi="微软雅黑"/>
          <w:b/>
          <w:color w:val="000000" w:themeColor="text1"/>
          <w:highlight w:val="none"/>
          <w14:textFill>
            <w14:solidFill>
              <w14:schemeClr w14:val="tx1"/>
            </w14:solidFill>
          </w14:textFill>
        </w:rPr>
      </w:pPr>
      <w:bookmarkStart w:id="138" w:name="_Toc40788025"/>
      <w:bookmarkStart w:id="139" w:name="_Toc100764209"/>
      <w:bookmarkStart w:id="140" w:name="_Toc89266813"/>
      <w:bookmarkStart w:id="141" w:name="_Toc53062687"/>
      <w:r>
        <w:rPr>
          <w:rFonts w:hint="eastAsia" w:ascii="微软雅黑" w:hAnsi="微软雅黑"/>
          <w:b/>
          <w:color w:val="000000" w:themeColor="text1"/>
          <w:highlight w:val="none"/>
          <w14:textFill>
            <w14:solidFill>
              <w14:schemeClr w14:val="tx1"/>
            </w14:solidFill>
          </w14:textFill>
        </w:rPr>
        <w:t>5、磋商费用</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snapToGrid w:val="0"/>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不论磋商结果如何，供应商均应自行承担与磋商有关的全部费用。</w:t>
      </w:r>
    </w:p>
    <w:p>
      <w:pPr>
        <w:snapToGrid w:val="0"/>
        <w:spacing w:after="0" w:line="500" w:lineRule="exact"/>
        <w:ind w:firstLine="420" w:firstLineChars="200"/>
        <w:jc w:val="left"/>
        <w:outlineLvl w:val="1"/>
        <w:rPr>
          <w:rFonts w:ascii="微软雅黑" w:hAnsi="微软雅黑"/>
          <w:b/>
          <w:color w:val="000000" w:themeColor="text1"/>
          <w:highlight w:val="none"/>
          <w14:textFill>
            <w14:solidFill>
              <w14:schemeClr w14:val="tx1"/>
            </w14:solidFill>
          </w14:textFill>
        </w:rPr>
      </w:pPr>
      <w:bookmarkStart w:id="142" w:name="_Toc100764210"/>
      <w:r>
        <w:rPr>
          <w:rFonts w:hint="eastAsia" w:ascii="微软雅黑" w:hAnsi="微软雅黑"/>
          <w:b/>
          <w:color w:val="000000" w:themeColor="text1"/>
          <w:highlight w:val="none"/>
          <w14:textFill>
            <w14:solidFill>
              <w14:schemeClr w14:val="tx1"/>
            </w14:solidFill>
          </w14:textFill>
        </w:rPr>
        <w:t>6、联合体参与磋商</w:t>
      </w:r>
      <w:bookmarkEnd w:id="142"/>
    </w:p>
    <w:p>
      <w:pPr>
        <w:snapToGrid w:val="0"/>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本项目不接受联合体参与磋商。</w:t>
      </w:r>
    </w:p>
    <w:p>
      <w:pPr>
        <w:snapToGrid w:val="0"/>
        <w:spacing w:after="0" w:line="500" w:lineRule="exact"/>
        <w:ind w:firstLine="420" w:firstLineChars="200"/>
        <w:jc w:val="left"/>
        <w:outlineLvl w:val="1"/>
        <w:rPr>
          <w:rFonts w:ascii="微软雅黑" w:hAnsi="微软雅黑"/>
          <w:b/>
          <w:color w:val="000000" w:themeColor="text1"/>
          <w:highlight w:val="none"/>
          <w14:textFill>
            <w14:solidFill>
              <w14:schemeClr w14:val="tx1"/>
            </w14:solidFill>
          </w14:textFill>
        </w:rPr>
      </w:pPr>
      <w:bookmarkStart w:id="143" w:name="_Toc100764211"/>
      <w:r>
        <w:rPr>
          <w:rFonts w:hint="eastAsia" w:ascii="微软雅黑" w:hAnsi="微软雅黑"/>
          <w:b/>
          <w:color w:val="000000" w:themeColor="text1"/>
          <w:highlight w:val="none"/>
          <w14:textFill>
            <w14:solidFill>
              <w14:schemeClr w14:val="tx1"/>
            </w14:solidFill>
          </w14:textFill>
        </w:rPr>
        <w:t>7、关联企业参与磋商</w:t>
      </w:r>
      <w:bookmarkEnd w:id="143"/>
    </w:p>
    <w:p>
      <w:pPr>
        <w:snapToGrid w:val="0"/>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7.1本磋商文件所称关联企业,是指存在“关联关系”的企业;“关联关系”的界定适用《中华人民共和国公司法》217条之规定。</w:t>
      </w:r>
    </w:p>
    <w:p>
      <w:pPr>
        <w:snapToGrid w:val="0"/>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7.2▲关联企业中,法定代表人为同一个的两个及两个以上法人，母公司、全资子公司及其控股公司，都不得同时参加磋商;一经发现，将导致磋商响应同时被拒绝。</w:t>
      </w:r>
    </w:p>
    <w:p>
      <w:pPr>
        <w:snapToGrid w:val="0"/>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7.3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评审小组集体决定。</w:t>
      </w:r>
    </w:p>
    <w:p>
      <w:pPr>
        <w:snapToGrid w:val="0"/>
        <w:spacing w:after="0" w:line="500" w:lineRule="exact"/>
        <w:ind w:firstLine="420" w:firstLineChars="200"/>
        <w:jc w:val="left"/>
        <w:outlineLvl w:val="1"/>
        <w:rPr>
          <w:rFonts w:ascii="微软雅黑" w:hAnsi="微软雅黑"/>
          <w:b/>
          <w:color w:val="000000" w:themeColor="text1"/>
          <w:highlight w:val="none"/>
          <w14:textFill>
            <w14:solidFill>
              <w14:schemeClr w14:val="tx1"/>
            </w14:solidFill>
          </w14:textFill>
        </w:rPr>
      </w:pPr>
      <w:bookmarkStart w:id="144" w:name="_Toc100764212"/>
      <w:r>
        <w:rPr>
          <w:rFonts w:hint="eastAsia" w:ascii="微软雅黑" w:hAnsi="微软雅黑"/>
          <w:b/>
          <w:color w:val="000000" w:themeColor="text1"/>
          <w:highlight w:val="none"/>
          <w14:textFill>
            <w14:solidFill>
              <w14:schemeClr w14:val="tx1"/>
            </w14:solidFill>
          </w14:textFill>
        </w:rPr>
        <w:t>8、转包与分包</w:t>
      </w:r>
      <w:bookmarkEnd w:id="144"/>
    </w:p>
    <w:p>
      <w:pPr>
        <w:snapToGrid w:val="0"/>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8.1本项目不允许转包。</w:t>
      </w:r>
    </w:p>
    <w:p>
      <w:pPr>
        <w:snapToGrid w:val="0"/>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8.2本项目不可以分包。</w:t>
      </w:r>
      <w:bookmarkStart w:id="145" w:name="_Toc448487535"/>
      <w:bookmarkStart w:id="146" w:name="_Toc487802024"/>
      <w:bookmarkStart w:id="147" w:name="_Toc192313107"/>
      <w:bookmarkStart w:id="148" w:name="_Toc487802093"/>
      <w:bookmarkStart w:id="149" w:name="_Toc493082114"/>
      <w:bookmarkStart w:id="150" w:name="_Toc493699298"/>
      <w:bookmarkStart w:id="151" w:name="_Toc437979776"/>
      <w:bookmarkStart w:id="152" w:name="_Toc177870542"/>
      <w:bookmarkStart w:id="153" w:name="_Toc487793386"/>
    </w:p>
    <w:p>
      <w:pPr>
        <w:snapToGrid w:val="0"/>
        <w:spacing w:after="0" w:line="500" w:lineRule="exact"/>
        <w:ind w:firstLine="420" w:firstLineChars="200"/>
        <w:jc w:val="left"/>
        <w:outlineLvl w:val="1"/>
        <w:rPr>
          <w:rFonts w:ascii="微软雅黑" w:hAnsi="微软雅黑"/>
          <w:b/>
          <w:color w:val="000000" w:themeColor="text1"/>
          <w:highlight w:val="none"/>
          <w14:textFill>
            <w14:solidFill>
              <w14:schemeClr w14:val="tx1"/>
            </w14:solidFill>
          </w14:textFill>
        </w:rPr>
      </w:pPr>
      <w:bookmarkStart w:id="154" w:name="_Toc100764213"/>
      <w:r>
        <w:rPr>
          <w:rFonts w:hint="eastAsia" w:ascii="微软雅黑" w:hAnsi="微软雅黑"/>
          <w:b/>
          <w:color w:val="000000" w:themeColor="text1"/>
          <w:highlight w:val="none"/>
          <w14:textFill>
            <w14:solidFill>
              <w14:schemeClr w14:val="tx1"/>
            </w14:solidFill>
          </w14:textFill>
        </w:rPr>
        <w:t>9、特别说明：</w:t>
      </w:r>
      <w:bookmarkEnd w:id="145"/>
      <w:bookmarkEnd w:id="146"/>
      <w:bookmarkEnd w:id="147"/>
      <w:bookmarkEnd w:id="148"/>
      <w:bookmarkEnd w:id="149"/>
      <w:bookmarkEnd w:id="150"/>
      <w:bookmarkEnd w:id="151"/>
      <w:bookmarkEnd w:id="152"/>
      <w:bookmarkEnd w:id="153"/>
      <w:bookmarkEnd w:id="154"/>
    </w:p>
    <w:p>
      <w:pPr>
        <w:snapToGrid w:val="0"/>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9.1▲供应商磋商所使用的资格、信誉、荣誉、业绩与企业认证必须为本法人所拥有。</w:t>
      </w:r>
    </w:p>
    <w:p>
      <w:pPr>
        <w:snapToGrid w:val="0"/>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9.2▲供应商磋商不得含有任何虚假材料,否则作无效处理;成交后发现的, 成交供应商须依照《中华人民共和国消费者权益保护法》第49条之规定双倍赔偿采购人。民事上之赔偿不免除作假供应商之行政与刑事责任。</w:t>
      </w:r>
      <w:bookmarkStart w:id="155" w:name="_Toc192313108"/>
      <w:bookmarkStart w:id="156" w:name="_Toc177870543"/>
      <w:bookmarkStart w:id="157" w:name="_Toc487793387"/>
      <w:bookmarkStart w:id="158" w:name="_Toc448487536"/>
      <w:bookmarkStart w:id="159" w:name="_Toc437979777"/>
      <w:bookmarkStart w:id="160" w:name="_Toc493082115"/>
      <w:bookmarkStart w:id="161" w:name="_Toc493699299"/>
      <w:bookmarkStart w:id="162" w:name="_Toc487802025"/>
      <w:bookmarkStart w:id="163" w:name="_Toc487802094"/>
    </w:p>
    <w:p>
      <w:pPr>
        <w:snapToGrid w:val="0"/>
        <w:spacing w:after="0" w:line="500" w:lineRule="exact"/>
        <w:ind w:firstLine="420" w:firstLineChars="200"/>
        <w:jc w:val="left"/>
        <w:outlineLvl w:val="1"/>
        <w:rPr>
          <w:rFonts w:ascii="微软雅黑" w:hAnsi="微软雅黑"/>
          <w:b/>
          <w:color w:val="000000" w:themeColor="text1"/>
          <w:highlight w:val="none"/>
          <w14:textFill>
            <w14:solidFill>
              <w14:schemeClr w14:val="tx1"/>
            </w14:solidFill>
          </w14:textFill>
        </w:rPr>
      </w:pPr>
      <w:bookmarkStart w:id="164" w:name="_Toc100764214"/>
      <w:r>
        <w:rPr>
          <w:rFonts w:hint="eastAsia" w:ascii="微软雅黑" w:hAnsi="微软雅黑"/>
          <w:b/>
          <w:color w:val="000000" w:themeColor="text1"/>
          <w:highlight w:val="none"/>
          <w14:textFill>
            <w14:solidFill>
              <w14:schemeClr w14:val="tx1"/>
            </w14:solidFill>
          </w14:textFill>
        </w:rPr>
        <w:t>10、质疑</w:t>
      </w:r>
      <w:bookmarkEnd w:id="155"/>
      <w:bookmarkEnd w:id="156"/>
      <w:bookmarkEnd w:id="157"/>
      <w:bookmarkEnd w:id="158"/>
      <w:bookmarkEnd w:id="159"/>
      <w:bookmarkEnd w:id="160"/>
      <w:bookmarkEnd w:id="161"/>
      <w:bookmarkEnd w:id="162"/>
      <w:bookmarkEnd w:id="163"/>
      <w:bookmarkEnd w:id="164"/>
    </w:p>
    <w:p>
      <w:pPr>
        <w:snapToGrid w:val="0"/>
        <w:spacing w:after="0" w:line="500" w:lineRule="exact"/>
        <w:ind w:firstLine="420" w:firstLineChars="200"/>
        <w:jc w:val="left"/>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10.1供应商认为磋商文件、磋商过程和成交结果使自己的合法权益受到损害的，应当在知道或者应知其权益受到损害之日起七个工作日内，以书面形式向采购人、采购代理机构提出质疑。</w:t>
      </w:r>
    </w:p>
    <w:p>
      <w:pPr>
        <w:snapToGrid w:val="0"/>
        <w:spacing w:after="0" w:line="500" w:lineRule="exact"/>
        <w:ind w:firstLine="420" w:firstLineChars="200"/>
        <w:jc w:val="left"/>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10.2供应商认可代理机构在质疑答复程序中启用的调查和复评等程序，在该程序操作过程未明显违反法律禁止性规定时，不得提出疑义。</w:t>
      </w:r>
      <w:bookmarkStart w:id="165" w:name="_Toc192313109"/>
      <w:bookmarkStart w:id="166" w:name="_Toc493699300"/>
      <w:bookmarkStart w:id="167" w:name="_Toc487802095"/>
    </w:p>
    <w:p>
      <w:pPr>
        <w:pStyle w:val="5"/>
        <w:spacing w:beforeLines="50" w:after="240" w:afterLines="100" w:line="500" w:lineRule="exact"/>
        <w:rPr>
          <w:rFonts w:ascii="微软雅黑" w:hAnsi="微软雅黑" w:eastAsia="微软雅黑"/>
          <w:color w:val="000000" w:themeColor="text1"/>
          <w:sz w:val="28"/>
          <w:szCs w:val="28"/>
          <w:highlight w:val="none"/>
          <w14:textFill>
            <w14:solidFill>
              <w14:schemeClr w14:val="tx1"/>
            </w14:solidFill>
          </w14:textFill>
        </w:rPr>
      </w:pPr>
      <w:bookmarkStart w:id="168" w:name="_Toc40788026"/>
      <w:bookmarkStart w:id="169" w:name="_Toc53062688"/>
      <w:bookmarkStart w:id="170" w:name="_Toc100764215"/>
      <w:bookmarkStart w:id="171" w:name="_Toc89266814"/>
      <w:r>
        <w:rPr>
          <w:rFonts w:hint="eastAsia" w:ascii="微软雅黑" w:hAnsi="微软雅黑" w:eastAsia="微软雅黑"/>
          <w:color w:val="000000" w:themeColor="text1"/>
          <w:sz w:val="28"/>
          <w:szCs w:val="28"/>
          <w:highlight w:val="none"/>
          <w14:textFill>
            <w14:solidFill>
              <w14:schemeClr w14:val="tx1"/>
            </w14:solidFill>
          </w14:textFill>
        </w:rPr>
        <w:t>二、 磋商文件</w:t>
      </w:r>
      <w:bookmarkEnd w:id="165"/>
      <w:bookmarkEnd w:id="166"/>
      <w:bookmarkEnd w:id="167"/>
      <w:bookmarkEnd w:id="168"/>
      <w:bookmarkEnd w:id="169"/>
      <w:bookmarkEnd w:id="170"/>
      <w:bookmarkEnd w:id="171"/>
    </w:p>
    <w:p>
      <w:pPr>
        <w:snapToGrid w:val="0"/>
        <w:spacing w:after="0" w:line="500" w:lineRule="exact"/>
        <w:ind w:firstLine="420" w:firstLineChars="200"/>
        <w:jc w:val="left"/>
        <w:outlineLvl w:val="1"/>
        <w:rPr>
          <w:rFonts w:ascii="微软雅黑" w:hAnsi="微软雅黑"/>
          <w:b/>
          <w:color w:val="000000" w:themeColor="text1"/>
          <w:highlight w:val="none"/>
          <w14:textFill>
            <w14:solidFill>
              <w14:schemeClr w14:val="tx1"/>
            </w14:solidFill>
          </w14:textFill>
        </w:rPr>
      </w:pPr>
      <w:bookmarkStart w:id="172" w:name="_Toc100764216"/>
      <w:r>
        <w:rPr>
          <w:rFonts w:hint="eastAsia" w:ascii="微软雅黑" w:hAnsi="微软雅黑"/>
          <w:b/>
          <w:color w:val="000000" w:themeColor="text1"/>
          <w:highlight w:val="none"/>
          <w14:textFill>
            <w14:solidFill>
              <w14:schemeClr w14:val="tx1"/>
            </w14:solidFill>
          </w14:textFill>
        </w:rPr>
        <w:t>1、磋商文件的构成</w:t>
      </w:r>
      <w:bookmarkEnd w:id="172"/>
    </w:p>
    <w:p>
      <w:pPr>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1.1磋商公告</w:t>
      </w:r>
    </w:p>
    <w:p>
      <w:pPr>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1.2供应商须知</w:t>
      </w:r>
    </w:p>
    <w:p>
      <w:pPr>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1.3磋商项目需求</w:t>
      </w:r>
    </w:p>
    <w:p>
      <w:pPr>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1.4评审办法及标准</w:t>
      </w:r>
    </w:p>
    <w:p>
      <w:pPr>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1.5合同主要条款</w:t>
      </w:r>
    </w:p>
    <w:p>
      <w:pPr>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1.6磋商文件相关文件格式</w:t>
      </w:r>
    </w:p>
    <w:p>
      <w:pPr>
        <w:snapToGrid w:val="0"/>
        <w:spacing w:after="0" w:line="500" w:lineRule="exact"/>
        <w:ind w:firstLine="420" w:firstLineChars="200"/>
        <w:jc w:val="left"/>
        <w:outlineLvl w:val="1"/>
        <w:rPr>
          <w:rFonts w:ascii="微软雅黑" w:hAnsi="微软雅黑"/>
          <w:b/>
          <w:color w:val="000000" w:themeColor="text1"/>
          <w:highlight w:val="none"/>
          <w14:textFill>
            <w14:solidFill>
              <w14:schemeClr w14:val="tx1"/>
            </w14:solidFill>
          </w14:textFill>
        </w:rPr>
      </w:pPr>
      <w:bookmarkStart w:id="173" w:name="_Toc100764217"/>
      <w:r>
        <w:rPr>
          <w:rFonts w:hint="eastAsia" w:ascii="微软雅黑" w:hAnsi="微软雅黑"/>
          <w:b/>
          <w:color w:val="000000" w:themeColor="text1"/>
          <w:highlight w:val="none"/>
          <w14:textFill>
            <w14:solidFill>
              <w14:schemeClr w14:val="tx1"/>
            </w14:solidFill>
          </w14:textFill>
        </w:rPr>
        <w:t>2、存在的风险</w:t>
      </w:r>
      <w:bookmarkEnd w:id="173"/>
    </w:p>
    <w:p>
      <w:pPr>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供应商没有按照磋商文件要求提供全部资料，或者供应商没有对磋商文件在各方面都作出实质性响应是供应商的风险，并可能导致其磋商被拒绝。</w:t>
      </w:r>
    </w:p>
    <w:p>
      <w:pPr>
        <w:snapToGrid w:val="0"/>
        <w:spacing w:after="0" w:line="500" w:lineRule="exact"/>
        <w:ind w:firstLine="420" w:firstLineChars="200"/>
        <w:jc w:val="left"/>
        <w:outlineLvl w:val="1"/>
        <w:rPr>
          <w:rFonts w:ascii="微软雅黑" w:hAnsi="微软雅黑"/>
          <w:b/>
          <w:color w:val="000000" w:themeColor="text1"/>
          <w:highlight w:val="none"/>
          <w14:textFill>
            <w14:solidFill>
              <w14:schemeClr w14:val="tx1"/>
            </w14:solidFill>
          </w14:textFill>
        </w:rPr>
      </w:pPr>
      <w:bookmarkStart w:id="174" w:name="_Toc100764218"/>
      <w:r>
        <w:rPr>
          <w:rFonts w:hint="eastAsia" w:ascii="微软雅黑" w:hAnsi="微软雅黑"/>
          <w:b/>
          <w:color w:val="000000" w:themeColor="text1"/>
          <w:highlight w:val="none"/>
          <w14:textFill>
            <w14:solidFill>
              <w14:schemeClr w14:val="tx1"/>
            </w14:solidFill>
          </w14:textFill>
        </w:rPr>
        <w:t>3、磋商文件的澄清与修改</w:t>
      </w:r>
      <w:bookmarkEnd w:id="174"/>
    </w:p>
    <w:p>
      <w:pPr>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3.1</w:t>
      </w:r>
      <w:r>
        <w:rPr>
          <w:rFonts w:hint="eastAsia" w:ascii="微软雅黑" w:hAnsi="微软雅黑"/>
          <w:bCs/>
          <w:color w:val="000000" w:themeColor="text1"/>
          <w:highlight w:val="none"/>
          <w14:textFill>
            <w14:solidFill>
              <w14:schemeClr w14:val="tx1"/>
            </w14:solidFill>
          </w14:textFill>
        </w:rPr>
        <w:t>供应商应认真阅读本磋商文件，发现其中有误或有要求不合理的，供应商必须在在知道或者应当知道之日起三个工作日内以书面形式要求采购代理机构澄清，否则，由此产生的后果由供应商负责</w:t>
      </w:r>
      <w:r>
        <w:rPr>
          <w:rFonts w:hint="eastAsia" w:ascii="微软雅黑" w:hAnsi="微软雅黑"/>
          <w:color w:val="000000" w:themeColor="text1"/>
          <w:highlight w:val="none"/>
          <w14:textFill>
            <w14:solidFill>
              <w14:schemeClr w14:val="tx1"/>
            </w14:solidFill>
          </w14:textFill>
        </w:rPr>
        <w:t>。</w:t>
      </w:r>
    </w:p>
    <w:p>
      <w:pPr>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3.2采购代理机构对已发出的磋商文件进行必要澄清或者修改的，应当在财政部门指定的政府采购信息发布媒体上发布更正公告。该澄清或者修改的内容为磋商文件的组成部分。</w:t>
      </w:r>
    </w:p>
    <w:p>
      <w:pPr>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3.3采购代理机构和采购单位可以视采购具体情况，延长提交磋商文件的截止时间和磋商时间，但至少应当在磋商文件要求提交磋商文件的截止时间三日前，在财政部门指定的政府采购信息发布媒体上发布变更公告。</w:t>
      </w:r>
    </w:p>
    <w:p>
      <w:pPr>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3.4磋商文件的澄清或者修改都应该通过本代理机构以法定形式发布，采购人非通过本机构，不得擅自澄清或者修改磋商文件。</w:t>
      </w:r>
      <w:bookmarkStart w:id="175" w:name="_Toc192313110"/>
      <w:bookmarkStart w:id="176" w:name="_Toc493699301"/>
    </w:p>
    <w:p>
      <w:pPr>
        <w:pStyle w:val="5"/>
        <w:spacing w:beforeLines="50" w:after="240" w:afterLines="100" w:line="500" w:lineRule="exact"/>
        <w:rPr>
          <w:rFonts w:ascii="微软雅黑" w:hAnsi="微软雅黑" w:eastAsia="微软雅黑"/>
          <w:color w:val="000000" w:themeColor="text1"/>
          <w:sz w:val="28"/>
          <w:szCs w:val="28"/>
          <w:highlight w:val="none"/>
          <w14:textFill>
            <w14:solidFill>
              <w14:schemeClr w14:val="tx1"/>
            </w14:solidFill>
          </w14:textFill>
        </w:rPr>
      </w:pPr>
      <w:bookmarkStart w:id="177" w:name="_Toc53062689"/>
      <w:bookmarkStart w:id="178" w:name="_Toc100764219"/>
      <w:bookmarkStart w:id="179" w:name="_Toc40788027"/>
      <w:bookmarkStart w:id="180" w:name="_Toc89266815"/>
      <w:r>
        <w:rPr>
          <w:rFonts w:hint="eastAsia" w:ascii="微软雅黑" w:hAnsi="微软雅黑" w:eastAsia="微软雅黑"/>
          <w:color w:val="000000" w:themeColor="text1"/>
          <w:sz w:val="28"/>
          <w:szCs w:val="28"/>
          <w:highlight w:val="none"/>
          <w14:textFill>
            <w14:solidFill>
              <w14:schemeClr w14:val="tx1"/>
            </w14:solidFill>
          </w14:textFill>
        </w:rPr>
        <w:t>三、磋商响应文件的编制</w:t>
      </w:r>
      <w:bookmarkEnd w:id="175"/>
      <w:bookmarkEnd w:id="176"/>
      <w:bookmarkEnd w:id="177"/>
      <w:bookmarkEnd w:id="178"/>
      <w:bookmarkEnd w:id="179"/>
      <w:bookmarkEnd w:id="180"/>
    </w:p>
    <w:p>
      <w:pPr>
        <w:spacing w:after="0" w:line="500" w:lineRule="exact"/>
        <w:rPr>
          <w:rFonts w:ascii="微软雅黑" w:hAnsi="微软雅黑"/>
          <w:b/>
          <w:color w:val="000000" w:themeColor="text1"/>
          <w:highlight w:val="none"/>
          <w14:textFill>
            <w14:solidFill>
              <w14:schemeClr w14:val="tx1"/>
            </w14:solidFill>
          </w14:textFill>
        </w:rPr>
      </w:pPr>
      <w:bookmarkStart w:id="181" w:name="_Toc53062690"/>
      <w:bookmarkStart w:id="182" w:name="_Toc89266816"/>
      <w:bookmarkStart w:id="183" w:name="_Toc40788028"/>
      <w:r>
        <w:rPr>
          <w:rFonts w:hint="eastAsia" w:ascii="微软雅黑" w:hAnsi="微软雅黑"/>
          <w:b/>
          <w:color w:val="000000" w:themeColor="text1"/>
          <w:highlight w:val="none"/>
          <w14:textFill>
            <w14:solidFill>
              <w14:schemeClr w14:val="tx1"/>
            </w14:solidFill>
          </w14:textFill>
        </w:rPr>
        <w:t xml:space="preserve">   本项目所涉竞争性磋商响应文件格式请详见第六章，未给出的格式请自拟。</w:t>
      </w:r>
      <w:bookmarkEnd w:id="181"/>
      <w:bookmarkEnd w:id="182"/>
      <w:bookmarkEnd w:id="183"/>
    </w:p>
    <w:p>
      <w:pPr>
        <w:pStyle w:val="31"/>
        <w:snapToGrid w:val="0"/>
        <w:spacing w:after="0" w:line="500" w:lineRule="exact"/>
        <w:ind w:firstLine="412" w:firstLineChars="196"/>
        <w:outlineLvl w:val="1"/>
        <w:rPr>
          <w:rFonts w:ascii="微软雅黑" w:hAnsi="微软雅黑"/>
          <w:b/>
          <w:color w:val="000000" w:themeColor="text1"/>
          <w:szCs w:val="21"/>
          <w:highlight w:val="none"/>
          <w14:textFill>
            <w14:solidFill>
              <w14:schemeClr w14:val="tx1"/>
            </w14:solidFill>
          </w14:textFill>
        </w:rPr>
      </w:pPr>
      <w:bookmarkStart w:id="184" w:name="_Toc53062691"/>
      <w:bookmarkStart w:id="185" w:name="_Toc40788029"/>
      <w:bookmarkStart w:id="186" w:name="_Toc33535357"/>
      <w:bookmarkStart w:id="187" w:name="_Toc89266817"/>
      <w:bookmarkStart w:id="188" w:name="_Toc100764220"/>
      <w:r>
        <w:rPr>
          <w:rFonts w:hint="eastAsia" w:ascii="微软雅黑" w:hAnsi="微软雅黑"/>
          <w:b/>
          <w:color w:val="000000" w:themeColor="text1"/>
          <w:szCs w:val="21"/>
          <w:highlight w:val="none"/>
          <w14:textFill>
            <w14:solidFill>
              <w14:schemeClr w14:val="tx1"/>
            </w14:solidFill>
          </w14:textFill>
        </w:rPr>
        <w:t>（一）总体要求：</w:t>
      </w:r>
      <w:bookmarkEnd w:id="184"/>
      <w:bookmarkEnd w:id="185"/>
      <w:bookmarkEnd w:id="186"/>
      <w:bookmarkEnd w:id="187"/>
      <w:bookmarkEnd w:id="188"/>
    </w:p>
    <w:p>
      <w:pPr>
        <w:spacing w:after="0" w:line="500" w:lineRule="exact"/>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1.1供应商应仔细阅读竞争性磋商文件的所有内容，按本文件的要求提供竞争性磋商响应文件，并保证所提供的全部资料的真实性，以使其竞争性磋商响应文件对竞争性磋商文件作出实质性响应，否则，竞争性磋商响应文件可能视为无效竞争性磋商响应文件。</w:t>
      </w:r>
    </w:p>
    <w:p>
      <w:pPr>
        <w:spacing w:after="0" w:line="500" w:lineRule="exact"/>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1.2竞争性磋商响应文件及供应商与采购有关的来往通知，函件和文件均应使用中文。</w:t>
      </w:r>
    </w:p>
    <w:p>
      <w:pPr>
        <w:spacing w:after="0" w:line="500" w:lineRule="exact"/>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1.3供应商应按本文件中提供的文件格式、内容和要求制作竞争性磋商响应文件。</w:t>
      </w:r>
    </w:p>
    <w:p>
      <w:pPr>
        <w:spacing w:after="0" w:line="500" w:lineRule="exact"/>
        <w:ind w:firstLine="405"/>
        <w:jc w:val="left"/>
        <w:rPr>
          <w:rFonts w:ascii="微软雅黑" w:hAnsi="微软雅黑"/>
          <w:bCs/>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1.4竞争性磋商响应文件的效力：竞争性磋商响应文件的启用，按先后顺位分别为电子竞争性磋商响应文件、电子</w:t>
      </w:r>
      <w:r>
        <w:rPr>
          <w:rFonts w:hint="eastAsia" w:ascii="微软雅黑" w:hAnsi="微软雅黑"/>
          <w:bCs/>
          <w:color w:val="000000" w:themeColor="text1"/>
          <w:highlight w:val="none"/>
          <w14:textFill>
            <w14:solidFill>
              <w14:schemeClr w14:val="tx1"/>
            </w14:solidFill>
          </w14:textFill>
        </w:rPr>
        <w:t>备份竞争性磋商响应文件</w:t>
      </w:r>
      <w:r>
        <w:rPr>
          <w:rFonts w:hint="eastAsia" w:ascii="微软雅黑" w:hAnsi="微软雅黑"/>
          <w:b/>
          <w:color w:val="000000" w:themeColor="text1"/>
          <w:highlight w:val="none"/>
          <w14:textFill>
            <w14:solidFill>
              <w14:schemeClr w14:val="tx1"/>
            </w14:solidFill>
          </w14:textFill>
        </w:rPr>
        <w:t>。</w:t>
      </w:r>
      <w:r>
        <w:rPr>
          <w:rFonts w:hint="eastAsia" w:ascii="微软雅黑" w:hAnsi="微软雅黑"/>
          <w:bCs/>
          <w:color w:val="000000" w:themeColor="text1"/>
          <w:highlight w:val="none"/>
          <w14:textFill>
            <w14:solidFill>
              <w14:schemeClr w14:val="tx1"/>
            </w14:solidFill>
          </w14:textFill>
        </w:rPr>
        <w:t>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bookmarkStart w:id="189" w:name="_Toc437979780"/>
      <w:bookmarkStart w:id="190" w:name="_Toc448487539"/>
      <w:bookmarkStart w:id="191" w:name="_Toc493082118"/>
      <w:bookmarkStart w:id="192" w:name="_Toc493699302"/>
      <w:bookmarkStart w:id="193" w:name="_Toc192313111"/>
      <w:bookmarkStart w:id="194" w:name="_Toc177825124"/>
      <w:bookmarkStart w:id="195" w:name="_Toc177824943"/>
      <w:bookmarkStart w:id="196" w:name="_Toc177824876"/>
      <w:bookmarkStart w:id="197" w:name="_Toc177870546"/>
    </w:p>
    <w:p>
      <w:pPr>
        <w:pStyle w:val="31"/>
        <w:snapToGrid w:val="0"/>
        <w:spacing w:after="0" w:line="500" w:lineRule="exact"/>
        <w:ind w:firstLine="412" w:firstLineChars="196"/>
        <w:outlineLvl w:val="1"/>
        <w:rPr>
          <w:rFonts w:ascii="微软雅黑" w:hAnsi="微软雅黑"/>
          <w:b/>
          <w:color w:val="000000" w:themeColor="text1"/>
          <w:szCs w:val="21"/>
          <w:highlight w:val="none"/>
          <w14:textFill>
            <w14:solidFill>
              <w14:schemeClr w14:val="tx1"/>
            </w14:solidFill>
          </w14:textFill>
        </w:rPr>
      </w:pPr>
      <w:bookmarkStart w:id="198" w:name="_Toc100764221"/>
      <w:r>
        <w:rPr>
          <w:rFonts w:hint="eastAsia" w:ascii="微软雅黑" w:hAnsi="微软雅黑"/>
          <w:b/>
          <w:color w:val="000000" w:themeColor="text1"/>
          <w:szCs w:val="21"/>
          <w:highlight w:val="none"/>
          <w14:textFill>
            <w14:solidFill>
              <w14:schemeClr w14:val="tx1"/>
            </w14:solidFill>
          </w14:textFill>
        </w:rPr>
        <w:t>（二）磋商响应文件的组成</w:t>
      </w:r>
      <w:bookmarkEnd w:id="189"/>
      <w:bookmarkEnd w:id="190"/>
      <w:bookmarkEnd w:id="191"/>
      <w:bookmarkEnd w:id="192"/>
      <w:bookmarkEnd w:id="193"/>
      <w:bookmarkEnd w:id="194"/>
      <w:bookmarkEnd w:id="195"/>
      <w:bookmarkEnd w:id="196"/>
      <w:bookmarkEnd w:id="197"/>
      <w:bookmarkEnd w:id="198"/>
      <w:bookmarkStart w:id="199" w:name="_Toc493511650"/>
    </w:p>
    <w:p>
      <w:pPr>
        <w:spacing w:after="0" w:line="500" w:lineRule="exact"/>
        <w:ind w:firstLine="405"/>
        <w:jc w:val="left"/>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包括电子竞争性磋商响应文件和电子备份竞争性磋商响应文件（选送），均由资格响应文件、商务技术文件、报价文件三部份组成。其中电子竞争性磋商响应文件中所须加盖公章部分均采用CA签章。</w:t>
      </w:r>
    </w:p>
    <w:p>
      <w:pPr>
        <w:numPr>
          <w:ilvl w:val="0"/>
          <w:numId w:val="24"/>
        </w:numPr>
        <w:spacing w:after="0" w:line="500" w:lineRule="exact"/>
        <w:jc w:val="left"/>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资格响应文件：</w:t>
      </w:r>
    </w:p>
    <w:p>
      <w:pPr>
        <w:pStyle w:val="128"/>
        <w:numPr>
          <w:ilvl w:val="1"/>
          <w:numId w:val="25"/>
        </w:numPr>
        <w:snapToGrid w:val="0"/>
        <w:spacing w:after="0" w:line="500" w:lineRule="exact"/>
        <w:ind w:firstLineChars="0"/>
        <w:rPr>
          <w:rFonts w:ascii="微软雅黑" w:hAnsi="微软雅黑" w:cs="微软雅黑"/>
          <w:color w:val="000000" w:themeColor="text1"/>
          <w:highlight w:val="none"/>
          <w14:textFill>
            <w14:solidFill>
              <w14:schemeClr w14:val="tx1"/>
            </w14:solidFill>
          </w14:textFill>
        </w:rPr>
      </w:pPr>
      <w:r>
        <w:rPr>
          <w:rFonts w:hint="eastAsia" w:ascii="微软雅黑" w:hAnsi="微软雅黑" w:cs="微软雅黑"/>
          <w:color w:val="000000" w:themeColor="text1"/>
          <w:highlight w:val="none"/>
          <w14:textFill>
            <w14:solidFill>
              <w14:schemeClr w14:val="tx1"/>
            </w14:solidFill>
          </w14:textFill>
        </w:rPr>
        <w:t>具有独立承担民事责任的能力（供应商营业执照副本复印件）；</w:t>
      </w:r>
    </w:p>
    <w:p>
      <w:pPr>
        <w:pStyle w:val="128"/>
        <w:numPr>
          <w:ilvl w:val="1"/>
          <w:numId w:val="25"/>
        </w:numPr>
        <w:snapToGrid w:val="0"/>
        <w:spacing w:after="0" w:line="360" w:lineRule="auto"/>
        <w:ind w:left="0" w:firstLine="426" w:firstLineChars="0"/>
        <w:rPr>
          <w:rFonts w:ascii="微软雅黑" w:hAnsi="微软雅黑" w:cs="微软雅黑"/>
          <w:color w:val="000000" w:themeColor="text1"/>
          <w:highlight w:val="none"/>
          <w14:textFill>
            <w14:solidFill>
              <w14:schemeClr w14:val="tx1"/>
            </w14:solidFill>
          </w14:textFill>
        </w:rPr>
      </w:pPr>
      <w:r>
        <w:rPr>
          <w:rFonts w:ascii="微软雅黑" w:hAnsi="微软雅黑" w:cs="微软雅黑"/>
          <w:color w:val="000000" w:themeColor="text1"/>
          <w:highlight w:val="none"/>
          <w14:textFill>
            <w14:solidFill>
              <w14:schemeClr w14:val="tx1"/>
            </w14:solidFill>
          </w14:textFill>
        </w:rPr>
        <w:t>供应商书面承诺符合参与政府采购活动资格条件</w:t>
      </w:r>
      <w:r>
        <w:rPr>
          <w:rFonts w:hint="eastAsia" w:ascii="微软雅黑" w:hAnsi="微软雅黑" w:cs="微软雅黑"/>
          <w:color w:val="000000" w:themeColor="text1"/>
          <w:highlight w:val="none"/>
          <w14:textFill>
            <w14:solidFill>
              <w14:schemeClr w14:val="tx1"/>
            </w14:solidFill>
          </w14:textFill>
        </w:rPr>
        <w:t>的承诺函（格式见附件）；</w:t>
      </w:r>
    </w:p>
    <w:p>
      <w:pPr>
        <w:pStyle w:val="128"/>
        <w:numPr>
          <w:ilvl w:val="1"/>
          <w:numId w:val="25"/>
        </w:numPr>
        <w:snapToGrid w:val="0"/>
        <w:spacing w:after="0" w:line="360" w:lineRule="auto"/>
        <w:ind w:left="0" w:firstLine="426" w:firstLineChars="0"/>
        <w:rPr>
          <w:rFonts w:ascii="微软雅黑" w:hAnsi="微软雅黑" w:cs="微软雅黑"/>
          <w:color w:val="000000" w:themeColor="text1"/>
          <w:highlight w:val="none"/>
          <w14:textFill>
            <w14:solidFill>
              <w14:schemeClr w14:val="tx1"/>
            </w14:solidFill>
          </w14:textFill>
        </w:rPr>
      </w:pPr>
      <w:r>
        <w:rPr>
          <w:rFonts w:hint="eastAsia" w:ascii="微软雅黑" w:hAnsi="微软雅黑" w:cs="微软雅黑"/>
          <w:color w:val="000000" w:themeColor="text1"/>
          <w:highlight w:val="none"/>
          <w14:textFill>
            <w14:solidFill>
              <w14:schemeClr w14:val="tx1"/>
            </w14:solidFill>
          </w14:textFill>
        </w:rPr>
        <w:t>提供自招标公告发布之日起至投标截止日内任意时间的“信用中国”网站（www.creditchina.gov.cn）（未被信用中国网站www.creditchina.gov.cn查询网页截图）、中国政府采购网（www.ccgp.gov.cn）（未被中国政府采购网www.ccgp.gov.cn查询网页截图）（以开标当日采购单位或由采购单位委托的评审小组核实的查询结果为准）。</w:t>
      </w:r>
    </w:p>
    <w:p>
      <w:pPr>
        <w:pStyle w:val="128"/>
        <w:numPr>
          <w:ilvl w:val="1"/>
          <w:numId w:val="25"/>
        </w:numPr>
        <w:snapToGrid w:val="0"/>
        <w:spacing w:after="0" w:line="360" w:lineRule="auto"/>
        <w:ind w:left="0" w:firstLine="426" w:firstLineChars="0"/>
        <w:rPr>
          <w:rFonts w:ascii="微软雅黑" w:hAnsi="微软雅黑" w:cs="微软雅黑"/>
          <w:color w:val="000000" w:themeColor="text1"/>
          <w:highlight w:val="none"/>
          <w14:textFill>
            <w14:solidFill>
              <w14:schemeClr w14:val="tx1"/>
            </w14:solidFill>
          </w14:textFill>
        </w:rPr>
      </w:pPr>
      <w:r>
        <w:rPr>
          <w:rFonts w:hint="eastAsia" w:ascii="微软雅黑" w:hAnsi="微软雅黑" w:cs="微软雅黑"/>
          <w:color w:val="000000" w:themeColor="text1"/>
          <w:highlight w:val="none"/>
          <w14:textFill>
            <w14:solidFill>
              <w14:schemeClr w14:val="tx1"/>
            </w14:solidFill>
          </w14:textFill>
        </w:rPr>
        <w:t>法定代表人资格证明文件或法定代表人授权委托书；</w:t>
      </w:r>
    </w:p>
    <w:p>
      <w:pPr>
        <w:pStyle w:val="128"/>
        <w:numPr>
          <w:ilvl w:val="1"/>
          <w:numId w:val="25"/>
        </w:numPr>
        <w:snapToGrid w:val="0"/>
        <w:spacing w:after="0" w:line="360" w:lineRule="auto"/>
        <w:ind w:left="0" w:firstLine="426" w:firstLineChars="0"/>
        <w:rPr>
          <w:rFonts w:ascii="微软雅黑" w:hAnsi="微软雅黑" w:cs="微软雅黑"/>
          <w:color w:val="000000" w:themeColor="text1"/>
          <w:highlight w:val="none"/>
          <w14:textFill>
            <w14:solidFill>
              <w14:schemeClr w14:val="tx1"/>
            </w14:solidFill>
          </w14:textFill>
        </w:rPr>
      </w:pPr>
      <w:r>
        <w:rPr>
          <w:rFonts w:hint="eastAsia" w:ascii="微软雅黑" w:hAnsi="微软雅黑" w:cs="微软雅黑"/>
          <w:color w:val="000000" w:themeColor="text1"/>
          <w:highlight w:val="none"/>
          <w14:textFill>
            <w14:solidFill>
              <w14:schemeClr w14:val="tx1"/>
            </w14:solidFill>
          </w14:textFill>
        </w:rPr>
        <w:t>中小企业声明函、残疾人福利性单位声明函及其他符合政策性条件的承诺函或证明材料。</w:t>
      </w:r>
    </w:p>
    <w:p>
      <w:pPr>
        <w:pStyle w:val="128"/>
        <w:snapToGrid w:val="0"/>
        <w:spacing w:after="0" w:line="360" w:lineRule="auto"/>
        <w:rPr>
          <w:rFonts w:ascii="微软雅黑" w:hAnsi="微软雅黑" w:cs="微软雅黑"/>
          <w:color w:val="000000" w:themeColor="text1"/>
          <w:highlight w:val="none"/>
          <w14:textFill>
            <w14:solidFill>
              <w14:schemeClr w14:val="tx1"/>
            </w14:solidFill>
          </w14:textFill>
        </w:rPr>
      </w:pPr>
      <w:r>
        <w:rPr>
          <w:rFonts w:hint="eastAsia" w:ascii="微软雅黑" w:hAnsi="微软雅黑" w:cs="微软雅黑"/>
          <w:color w:val="000000" w:themeColor="text1"/>
          <w:highlight w:val="none"/>
          <w14:textFill>
            <w14:solidFill>
              <w14:schemeClr w14:val="tx1"/>
            </w14:solidFill>
          </w14:textFill>
        </w:rPr>
        <w:t>根据《浙江省财政厅关于进一步加大政府采购支持中小企业力度 助力扎实稳住经济的通知》（浙财采监（2022）8号）精神，简化对政府采购供应商资格条件的形式审查，供应商书面承诺符合参与政府采购活动资格条件的，不需要提供财务状况报告、依法缴纳税收和社会保障资金记录、无重大违法记录等证明材料。</w:t>
      </w:r>
    </w:p>
    <w:p>
      <w:pPr>
        <w:numPr>
          <w:ilvl w:val="0"/>
          <w:numId w:val="24"/>
        </w:numPr>
        <w:spacing w:after="0" w:line="360" w:lineRule="auto"/>
        <w:jc w:val="left"/>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商务技术文件</w:t>
      </w:r>
    </w:p>
    <w:p>
      <w:pPr>
        <w:pStyle w:val="128"/>
        <w:numPr>
          <w:ilvl w:val="0"/>
          <w:numId w:val="25"/>
        </w:numPr>
        <w:snapToGrid w:val="0"/>
        <w:spacing w:after="0" w:line="360" w:lineRule="auto"/>
        <w:ind w:firstLineChars="0"/>
        <w:rPr>
          <w:rFonts w:ascii="微软雅黑" w:hAnsi="微软雅黑" w:cs="微软雅黑"/>
          <w:vanish/>
          <w:color w:val="000000" w:themeColor="text1"/>
          <w:highlight w:val="none"/>
          <w14:textFill>
            <w14:solidFill>
              <w14:schemeClr w14:val="tx1"/>
            </w14:solidFill>
          </w14:textFill>
        </w:rPr>
      </w:pPr>
    </w:p>
    <w:p>
      <w:pPr>
        <w:pStyle w:val="128"/>
        <w:numPr>
          <w:ilvl w:val="1"/>
          <w:numId w:val="25"/>
        </w:numPr>
        <w:snapToGrid w:val="0"/>
        <w:spacing w:after="0" w:line="360" w:lineRule="auto"/>
        <w:ind w:left="0" w:firstLine="426" w:firstLineChars="0"/>
        <w:rPr>
          <w:rFonts w:ascii="微软雅黑" w:hAnsi="微软雅黑" w:cs="微软雅黑"/>
          <w:color w:val="000000" w:themeColor="text1"/>
          <w:highlight w:val="none"/>
          <w14:textFill>
            <w14:solidFill>
              <w14:schemeClr w14:val="tx1"/>
            </w14:solidFill>
          </w14:textFill>
        </w:rPr>
      </w:pPr>
      <w:r>
        <w:rPr>
          <w:rFonts w:hint="eastAsia" w:ascii="微软雅黑" w:hAnsi="微软雅黑" w:cs="微软雅黑"/>
          <w:color w:val="000000" w:themeColor="text1"/>
          <w:highlight w:val="none"/>
          <w14:textFill>
            <w14:solidFill>
              <w14:schemeClr w14:val="tx1"/>
            </w14:solidFill>
          </w14:textFill>
        </w:rPr>
        <w:t>▲磋商响应函；</w:t>
      </w:r>
    </w:p>
    <w:p>
      <w:pPr>
        <w:pStyle w:val="128"/>
        <w:numPr>
          <w:ilvl w:val="1"/>
          <w:numId w:val="25"/>
        </w:numPr>
        <w:snapToGrid w:val="0"/>
        <w:spacing w:after="0" w:line="360" w:lineRule="auto"/>
        <w:ind w:left="0" w:firstLine="426" w:firstLineChars="0"/>
        <w:rPr>
          <w:rFonts w:ascii="微软雅黑" w:hAnsi="微软雅黑" w:cs="微软雅黑"/>
          <w:color w:val="000000" w:themeColor="text1"/>
          <w:highlight w:val="none"/>
          <w14:textFill>
            <w14:solidFill>
              <w14:schemeClr w14:val="tx1"/>
            </w14:solidFill>
          </w14:textFill>
        </w:rPr>
      </w:pPr>
      <w:r>
        <w:rPr>
          <w:rFonts w:hint="eastAsia" w:ascii="微软雅黑" w:hAnsi="微软雅黑" w:cs="微软雅黑"/>
          <w:color w:val="000000" w:themeColor="text1"/>
          <w:highlight w:val="none"/>
          <w14:textFill>
            <w14:solidFill>
              <w14:schemeClr w14:val="tx1"/>
            </w14:solidFill>
          </w14:textFill>
        </w:rPr>
        <w:t>类似案例成功的业绩（合同复印件）；</w:t>
      </w:r>
    </w:p>
    <w:p>
      <w:pPr>
        <w:pStyle w:val="128"/>
        <w:numPr>
          <w:ilvl w:val="1"/>
          <w:numId w:val="25"/>
        </w:numPr>
        <w:snapToGrid w:val="0"/>
        <w:spacing w:after="0" w:line="360" w:lineRule="auto"/>
        <w:ind w:left="0" w:firstLine="426" w:firstLineChars="0"/>
        <w:rPr>
          <w:rFonts w:ascii="微软雅黑" w:hAnsi="微软雅黑" w:cs="微软雅黑"/>
          <w:color w:val="000000" w:themeColor="text1"/>
          <w:highlight w:val="none"/>
          <w14:textFill>
            <w14:solidFill>
              <w14:schemeClr w14:val="tx1"/>
            </w14:solidFill>
          </w14:textFill>
        </w:rPr>
      </w:pPr>
      <w:r>
        <w:rPr>
          <w:rFonts w:hint="eastAsia" w:ascii="微软雅黑" w:hAnsi="微软雅黑" w:cs="微软雅黑"/>
          <w:color w:val="000000" w:themeColor="text1"/>
          <w:highlight w:val="none"/>
          <w14:textFill>
            <w14:solidFill>
              <w14:schemeClr w14:val="tx1"/>
            </w14:solidFill>
          </w14:textFill>
        </w:rPr>
        <w:t>与本项目实施相关的供应商各类资质证书、认证证书、许可证等（如信誉荣誉等。提供复印件）；</w:t>
      </w:r>
    </w:p>
    <w:p>
      <w:pPr>
        <w:pStyle w:val="128"/>
        <w:numPr>
          <w:ilvl w:val="1"/>
          <w:numId w:val="25"/>
        </w:numPr>
        <w:snapToGrid w:val="0"/>
        <w:spacing w:after="0" w:line="360" w:lineRule="auto"/>
        <w:ind w:left="0" w:firstLine="426" w:firstLineChars="0"/>
        <w:rPr>
          <w:rFonts w:ascii="微软雅黑" w:hAnsi="微软雅黑" w:cs="微软雅黑"/>
          <w:color w:val="000000" w:themeColor="text1"/>
          <w:highlight w:val="none"/>
          <w14:textFill>
            <w14:solidFill>
              <w14:schemeClr w14:val="tx1"/>
            </w14:solidFill>
          </w14:textFill>
        </w:rPr>
      </w:pPr>
      <w:r>
        <w:rPr>
          <w:rFonts w:hint="eastAsia" w:ascii="微软雅黑" w:hAnsi="微软雅黑" w:cs="微软雅黑"/>
          <w:color w:val="000000" w:themeColor="text1"/>
          <w:highlight w:val="none"/>
          <w14:textFill>
            <w14:solidFill>
              <w14:schemeClr w14:val="tx1"/>
            </w14:solidFill>
          </w14:textFill>
        </w:rPr>
        <w:t>供应商情况介绍；</w:t>
      </w:r>
    </w:p>
    <w:p>
      <w:pPr>
        <w:pStyle w:val="128"/>
        <w:numPr>
          <w:ilvl w:val="1"/>
          <w:numId w:val="25"/>
        </w:numPr>
        <w:snapToGrid w:val="0"/>
        <w:spacing w:after="0" w:line="360" w:lineRule="auto"/>
        <w:ind w:left="0" w:firstLine="420"/>
        <w:jc w:val="left"/>
        <w:rPr>
          <w:rFonts w:ascii="微软雅黑" w:hAnsi="微软雅黑"/>
          <w:color w:val="000000" w:themeColor="text1"/>
          <w:highlight w:val="none"/>
          <w14:textFill>
            <w14:solidFill>
              <w14:schemeClr w14:val="tx1"/>
            </w14:solidFill>
          </w14:textFill>
        </w:rPr>
      </w:pPr>
      <w:r>
        <w:rPr>
          <w:rFonts w:hint="eastAsia" w:ascii="微软雅黑" w:hAnsi="微软雅黑" w:cs="微软雅黑"/>
          <w:color w:val="000000" w:themeColor="text1"/>
          <w:highlight w:val="none"/>
          <w14:textFill>
            <w14:solidFill>
              <w14:schemeClr w14:val="tx1"/>
            </w14:solidFill>
          </w14:textFill>
        </w:rPr>
        <w:t>商务响应表；</w:t>
      </w:r>
    </w:p>
    <w:p>
      <w:pPr>
        <w:pStyle w:val="128"/>
        <w:numPr>
          <w:ilvl w:val="1"/>
          <w:numId w:val="25"/>
        </w:numPr>
        <w:snapToGrid w:val="0"/>
        <w:spacing w:after="0" w:line="360" w:lineRule="auto"/>
        <w:ind w:left="0" w:firstLine="420"/>
        <w:jc w:val="left"/>
        <w:rPr>
          <w:rFonts w:ascii="微软雅黑" w:hAnsi="微软雅黑"/>
          <w:color w:val="000000" w:themeColor="text1"/>
          <w:highlight w:val="none"/>
          <w14:textFill>
            <w14:solidFill>
              <w14:schemeClr w14:val="tx1"/>
            </w14:solidFill>
          </w14:textFill>
        </w:rPr>
      </w:pPr>
      <w:r>
        <w:rPr>
          <w:rFonts w:ascii="微软雅黑" w:hAnsi="微软雅黑"/>
          <w:color w:val="000000" w:themeColor="text1"/>
          <w:highlight w:val="none"/>
          <w14:textFill>
            <w14:solidFill>
              <w14:schemeClr w14:val="tx1"/>
            </w14:solidFill>
          </w14:textFill>
        </w:rPr>
        <w:t>技术</w:t>
      </w:r>
      <w:r>
        <w:rPr>
          <w:rFonts w:hint="eastAsia" w:ascii="微软雅黑" w:hAnsi="微软雅黑"/>
          <w:color w:val="000000" w:themeColor="text1"/>
          <w:highlight w:val="none"/>
          <w14:textFill>
            <w14:solidFill>
              <w14:schemeClr w14:val="tx1"/>
            </w14:solidFill>
          </w14:textFill>
        </w:rPr>
        <w:t>规范偏离</w:t>
      </w:r>
      <w:r>
        <w:rPr>
          <w:rFonts w:ascii="微软雅黑" w:hAnsi="微软雅黑"/>
          <w:color w:val="000000" w:themeColor="text1"/>
          <w:highlight w:val="none"/>
          <w14:textFill>
            <w14:solidFill>
              <w14:schemeClr w14:val="tx1"/>
            </w14:solidFill>
          </w14:textFill>
        </w:rPr>
        <w:t>表</w:t>
      </w:r>
      <w:r>
        <w:rPr>
          <w:rFonts w:hint="eastAsia" w:ascii="微软雅黑" w:hAnsi="微软雅黑"/>
          <w:color w:val="000000" w:themeColor="text1"/>
          <w:highlight w:val="none"/>
          <w14:textFill>
            <w14:solidFill>
              <w14:schemeClr w14:val="tx1"/>
            </w14:solidFill>
          </w14:textFill>
        </w:rPr>
        <w:t>（格式见附件）</w:t>
      </w:r>
      <w:r>
        <w:rPr>
          <w:rFonts w:ascii="微软雅黑" w:hAnsi="微软雅黑"/>
          <w:color w:val="000000" w:themeColor="text1"/>
          <w:highlight w:val="none"/>
          <w14:textFill>
            <w14:solidFill>
              <w14:schemeClr w14:val="tx1"/>
            </w14:solidFill>
          </w14:textFill>
        </w:rPr>
        <w:t>；</w:t>
      </w:r>
    </w:p>
    <w:p>
      <w:pPr>
        <w:pStyle w:val="128"/>
        <w:numPr>
          <w:ilvl w:val="1"/>
          <w:numId w:val="25"/>
        </w:numPr>
        <w:snapToGrid w:val="0"/>
        <w:spacing w:after="0" w:line="360" w:lineRule="auto"/>
        <w:ind w:left="0" w:firstLine="42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供应商截止投标时间前三年内的奖惩情况说明，格式自拟.</w:t>
      </w:r>
    </w:p>
    <w:p>
      <w:pPr>
        <w:pStyle w:val="128"/>
        <w:numPr>
          <w:ilvl w:val="1"/>
          <w:numId w:val="25"/>
        </w:numPr>
        <w:snapToGrid w:val="0"/>
        <w:spacing w:after="0" w:line="360" w:lineRule="auto"/>
        <w:ind w:left="0" w:firstLine="420"/>
        <w:jc w:val="left"/>
        <w:rPr>
          <w:rFonts w:ascii="微软雅黑" w:hAnsi="微软雅黑"/>
          <w:color w:val="000000" w:themeColor="text1"/>
          <w:highlight w:val="none"/>
          <w14:textFill>
            <w14:solidFill>
              <w14:schemeClr w14:val="tx1"/>
            </w14:solidFill>
          </w14:textFill>
        </w:rPr>
      </w:pPr>
      <w:r>
        <w:rPr>
          <w:rFonts w:ascii="微软雅黑" w:hAnsi="微软雅黑"/>
          <w:color w:val="000000" w:themeColor="text1"/>
          <w:highlight w:val="none"/>
          <w14:textFill>
            <w14:solidFill>
              <w14:schemeClr w14:val="tx1"/>
            </w14:solidFill>
          </w14:textFill>
        </w:rPr>
        <w:t>项目实施人员一览表</w:t>
      </w:r>
    </w:p>
    <w:p>
      <w:pPr>
        <w:pStyle w:val="128"/>
        <w:numPr>
          <w:ilvl w:val="1"/>
          <w:numId w:val="25"/>
        </w:numPr>
        <w:snapToGrid w:val="0"/>
        <w:spacing w:after="0" w:line="360" w:lineRule="auto"/>
        <w:ind w:left="0" w:firstLine="420"/>
        <w:jc w:val="left"/>
        <w:rPr>
          <w:rFonts w:ascii="微软雅黑" w:hAnsi="微软雅黑"/>
          <w:color w:val="000000" w:themeColor="text1"/>
          <w:highlight w:val="none"/>
          <w14:textFill>
            <w14:solidFill>
              <w14:schemeClr w14:val="tx1"/>
            </w14:solidFill>
          </w14:textFill>
        </w:rPr>
      </w:pPr>
      <w:r>
        <w:rPr>
          <w:rFonts w:ascii="微软雅黑" w:hAnsi="微软雅黑"/>
          <w:color w:val="000000" w:themeColor="text1"/>
          <w:highlight w:val="none"/>
          <w14:textFill>
            <w14:solidFill>
              <w14:schemeClr w14:val="tx1"/>
            </w14:solidFill>
          </w14:textFill>
        </w:rPr>
        <w:t>优惠条件：</w:t>
      </w:r>
      <w:r>
        <w:rPr>
          <w:rFonts w:hint="eastAsia" w:ascii="微软雅黑" w:hAnsi="微软雅黑"/>
          <w:color w:val="000000" w:themeColor="text1"/>
          <w:highlight w:val="none"/>
          <w14:textFill>
            <w14:solidFill>
              <w14:schemeClr w14:val="tx1"/>
            </w14:solidFill>
          </w14:textFill>
        </w:rPr>
        <w:t>供应商</w:t>
      </w:r>
      <w:r>
        <w:rPr>
          <w:rFonts w:ascii="微软雅黑" w:hAnsi="微软雅黑"/>
          <w:color w:val="000000" w:themeColor="text1"/>
          <w:highlight w:val="none"/>
          <w14:textFill>
            <w14:solidFill>
              <w14:schemeClr w14:val="tx1"/>
            </w14:solidFill>
          </w14:textFill>
        </w:rPr>
        <w:t>承诺给予</w:t>
      </w:r>
      <w:r>
        <w:rPr>
          <w:rFonts w:hint="eastAsia" w:ascii="微软雅黑" w:hAnsi="微软雅黑"/>
          <w:color w:val="000000" w:themeColor="text1"/>
          <w:highlight w:val="none"/>
          <w14:textFill>
            <w14:solidFill>
              <w14:schemeClr w14:val="tx1"/>
            </w14:solidFill>
          </w14:textFill>
        </w:rPr>
        <w:t>采购人</w:t>
      </w:r>
      <w:r>
        <w:rPr>
          <w:rFonts w:ascii="微软雅黑" w:hAnsi="微软雅黑"/>
          <w:color w:val="000000" w:themeColor="text1"/>
          <w:highlight w:val="none"/>
          <w14:textFill>
            <w14:solidFill>
              <w14:schemeClr w14:val="tx1"/>
            </w14:solidFill>
          </w14:textFill>
        </w:rPr>
        <w:t>的各种优惠条件，包括售后服务等方面的优惠；</w:t>
      </w:r>
    </w:p>
    <w:p>
      <w:pPr>
        <w:pStyle w:val="128"/>
        <w:numPr>
          <w:ilvl w:val="1"/>
          <w:numId w:val="25"/>
        </w:numPr>
        <w:snapToGrid w:val="0"/>
        <w:spacing w:after="0" w:line="360" w:lineRule="auto"/>
        <w:ind w:left="0" w:firstLine="42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服务方案</w:t>
      </w:r>
      <w:r>
        <w:rPr>
          <w:rFonts w:ascii="微软雅黑" w:hAnsi="微软雅黑"/>
          <w:color w:val="000000" w:themeColor="text1"/>
          <w:highlight w:val="none"/>
          <w14:textFill>
            <w14:solidFill>
              <w14:schemeClr w14:val="tx1"/>
            </w14:solidFill>
          </w14:textFill>
        </w:rPr>
        <w:t>；</w:t>
      </w:r>
    </w:p>
    <w:p>
      <w:pPr>
        <w:pStyle w:val="128"/>
        <w:numPr>
          <w:ilvl w:val="1"/>
          <w:numId w:val="25"/>
        </w:numPr>
        <w:snapToGrid w:val="0"/>
        <w:spacing w:after="0" w:line="360" w:lineRule="auto"/>
        <w:ind w:left="0" w:firstLine="42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供应商</w:t>
      </w:r>
      <w:r>
        <w:rPr>
          <w:rFonts w:ascii="微软雅黑" w:hAnsi="微软雅黑"/>
          <w:color w:val="000000" w:themeColor="text1"/>
          <w:highlight w:val="none"/>
          <w14:textFill>
            <w14:solidFill>
              <w14:schemeClr w14:val="tx1"/>
            </w14:solidFill>
          </w14:textFill>
        </w:rPr>
        <w:t>对本项目的合理化建议和改进措施；</w:t>
      </w:r>
    </w:p>
    <w:p>
      <w:pPr>
        <w:pStyle w:val="128"/>
        <w:numPr>
          <w:ilvl w:val="1"/>
          <w:numId w:val="25"/>
        </w:numPr>
        <w:snapToGrid w:val="0"/>
        <w:spacing w:after="0" w:line="360" w:lineRule="auto"/>
        <w:ind w:left="0" w:firstLine="42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供应商</w:t>
      </w:r>
      <w:r>
        <w:rPr>
          <w:rFonts w:ascii="微软雅黑" w:hAnsi="微软雅黑"/>
          <w:color w:val="000000" w:themeColor="text1"/>
          <w:highlight w:val="none"/>
          <w14:textFill>
            <w14:solidFill>
              <w14:schemeClr w14:val="tx1"/>
            </w14:solidFill>
          </w14:textFill>
        </w:rPr>
        <w:t>需要说明的其他文件和说明（格式</w:t>
      </w:r>
      <w:r>
        <w:rPr>
          <w:rFonts w:hint="eastAsia" w:ascii="微软雅黑" w:hAnsi="微软雅黑"/>
          <w:color w:val="000000" w:themeColor="text1"/>
          <w:highlight w:val="none"/>
          <w14:textFill>
            <w14:solidFill>
              <w14:schemeClr w14:val="tx1"/>
            </w14:solidFill>
          </w14:textFill>
        </w:rPr>
        <w:t>自拟</w:t>
      </w:r>
      <w:r>
        <w:rPr>
          <w:rFonts w:ascii="微软雅黑" w:hAnsi="微软雅黑"/>
          <w:color w:val="000000" w:themeColor="text1"/>
          <w:highlight w:val="none"/>
          <w14:textFill>
            <w14:solidFill>
              <w14:schemeClr w14:val="tx1"/>
            </w14:solidFill>
          </w14:textFill>
        </w:rPr>
        <w:t>）。</w:t>
      </w:r>
    </w:p>
    <w:p>
      <w:pPr>
        <w:pStyle w:val="128"/>
        <w:numPr>
          <w:ilvl w:val="1"/>
          <w:numId w:val="25"/>
        </w:numPr>
        <w:snapToGrid w:val="0"/>
        <w:spacing w:after="0" w:line="360" w:lineRule="auto"/>
        <w:ind w:left="0" w:firstLine="42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未尽事宜请各供应商按评分细则制作技术部份。</w:t>
      </w:r>
    </w:p>
    <w:p>
      <w:pPr>
        <w:numPr>
          <w:ilvl w:val="0"/>
          <w:numId w:val="24"/>
        </w:numPr>
        <w:spacing w:after="0" w:line="500" w:lineRule="exact"/>
        <w:jc w:val="left"/>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投标报价文件：</w:t>
      </w:r>
    </w:p>
    <w:p>
      <w:pPr>
        <w:pStyle w:val="128"/>
        <w:numPr>
          <w:ilvl w:val="0"/>
          <w:numId w:val="26"/>
        </w:numPr>
        <w:snapToGrid w:val="0"/>
        <w:spacing w:after="0" w:line="500" w:lineRule="exact"/>
        <w:ind w:firstLineChars="0"/>
        <w:rPr>
          <w:rFonts w:ascii="微软雅黑" w:hAnsi="微软雅黑" w:cs="微软雅黑"/>
          <w:vanish/>
          <w:color w:val="000000" w:themeColor="text1"/>
          <w:highlight w:val="none"/>
          <w14:textFill>
            <w14:solidFill>
              <w14:schemeClr w14:val="tx1"/>
            </w14:solidFill>
          </w14:textFill>
        </w:rPr>
      </w:pPr>
    </w:p>
    <w:p>
      <w:pPr>
        <w:pStyle w:val="128"/>
        <w:numPr>
          <w:ilvl w:val="1"/>
          <w:numId w:val="26"/>
        </w:numPr>
        <w:snapToGrid w:val="0"/>
        <w:spacing w:after="0" w:line="500" w:lineRule="exact"/>
        <w:ind w:left="993" w:firstLineChars="0"/>
        <w:rPr>
          <w:rFonts w:ascii="微软雅黑" w:hAnsi="微软雅黑" w:cs="微软雅黑"/>
          <w:color w:val="000000" w:themeColor="text1"/>
          <w:highlight w:val="none"/>
          <w14:textFill>
            <w14:solidFill>
              <w14:schemeClr w14:val="tx1"/>
            </w14:solidFill>
          </w14:textFill>
        </w:rPr>
      </w:pPr>
      <w:r>
        <w:rPr>
          <w:rFonts w:hint="eastAsia" w:ascii="微软雅黑" w:hAnsi="微软雅黑" w:cs="微软雅黑"/>
          <w:color w:val="000000" w:themeColor="text1"/>
          <w:highlight w:val="none"/>
          <w14:textFill>
            <w14:solidFill>
              <w14:schemeClr w14:val="tx1"/>
            </w14:solidFill>
          </w14:textFill>
        </w:rPr>
        <w:t>▲报价一览表（初次报价）；</w:t>
      </w:r>
    </w:p>
    <w:p>
      <w:pPr>
        <w:pStyle w:val="128"/>
        <w:numPr>
          <w:ilvl w:val="1"/>
          <w:numId w:val="26"/>
        </w:numPr>
        <w:snapToGrid w:val="0"/>
        <w:spacing w:after="0" w:line="500" w:lineRule="exact"/>
        <w:ind w:left="993" w:firstLineChars="0"/>
        <w:rPr>
          <w:rFonts w:ascii="微软雅黑" w:hAnsi="微软雅黑" w:cs="微软雅黑"/>
          <w:color w:val="000000" w:themeColor="text1"/>
          <w:highlight w:val="none"/>
          <w14:textFill>
            <w14:solidFill>
              <w14:schemeClr w14:val="tx1"/>
            </w14:solidFill>
          </w14:textFill>
        </w:rPr>
      </w:pPr>
      <w:r>
        <w:rPr>
          <w:rFonts w:hint="eastAsia" w:ascii="微软雅黑" w:hAnsi="微软雅黑" w:cs="微软雅黑"/>
          <w:color w:val="000000" w:themeColor="text1"/>
          <w:highlight w:val="none"/>
          <w14:textFill>
            <w14:solidFill>
              <w14:schemeClr w14:val="tx1"/>
            </w14:solidFill>
          </w14:textFill>
        </w:rPr>
        <w:t>供应商针对报价需要说明的其他文件和说明。</w:t>
      </w:r>
      <w:bookmarkEnd w:id="199"/>
      <w:bookmarkStart w:id="200" w:name="_Toc493082119"/>
      <w:bookmarkStart w:id="201" w:name="_Toc177824877"/>
      <w:bookmarkStart w:id="202" w:name="_Toc177824944"/>
      <w:bookmarkStart w:id="203" w:name="_Toc177870547"/>
      <w:bookmarkStart w:id="204" w:name="_Toc493699303"/>
      <w:bookmarkStart w:id="205" w:name="_Toc192313112"/>
      <w:bookmarkStart w:id="206" w:name="_Toc437979781"/>
      <w:bookmarkStart w:id="207" w:name="_Toc448487540"/>
      <w:bookmarkStart w:id="208" w:name="_Toc177825125"/>
    </w:p>
    <w:p>
      <w:pPr>
        <w:pStyle w:val="31"/>
        <w:snapToGrid w:val="0"/>
        <w:spacing w:after="0" w:line="500" w:lineRule="exact"/>
        <w:ind w:firstLine="412" w:firstLineChars="196"/>
        <w:outlineLvl w:val="1"/>
        <w:rPr>
          <w:rFonts w:ascii="微软雅黑" w:hAnsi="微软雅黑"/>
          <w:b/>
          <w:color w:val="000000" w:themeColor="text1"/>
          <w:szCs w:val="21"/>
          <w:highlight w:val="none"/>
          <w14:textFill>
            <w14:solidFill>
              <w14:schemeClr w14:val="tx1"/>
            </w14:solidFill>
          </w14:textFill>
        </w:rPr>
      </w:pPr>
      <w:bookmarkStart w:id="209" w:name="_Toc100764222"/>
      <w:r>
        <w:rPr>
          <w:rFonts w:hint="eastAsia" w:ascii="微软雅黑" w:hAnsi="微软雅黑"/>
          <w:b/>
          <w:color w:val="000000" w:themeColor="text1"/>
          <w:szCs w:val="21"/>
          <w:highlight w:val="none"/>
          <w14:textFill>
            <w14:solidFill>
              <w14:schemeClr w14:val="tx1"/>
            </w14:solidFill>
          </w14:textFill>
        </w:rPr>
        <w:t>（三）磋商响应文件的语言及计量</w:t>
      </w:r>
      <w:bookmarkEnd w:id="200"/>
      <w:bookmarkEnd w:id="201"/>
      <w:bookmarkEnd w:id="202"/>
      <w:bookmarkEnd w:id="203"/>
      <w:bookmarkEnd w:id="204"/>
      <w:bookmarkEnd w:id="205"/>
      <w:bookmarkEnd w:id="206"/>
      <w:bookmarkEnd w:id="207"/>
      <w:bookmarkEnd w:id="208"/>
      <w:bookmarkEnd w:id="209"/>
      <w:bookmarkStart w:id="210" w:name="_Toc53062692"/>
      <w:bookmarkStart w:id="211" w:name="_Toc89266818"/>
      <w:bookmarkStart w:id="212" w:name="_Toc40788030"/>
    </w:p>
    <w:p>
      <w:pPr>
        <w:spacing w:after="0" w:line="500" w:lineRule="exact"/>
        <w:ind w:firstLine="405"/>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3.1▲磋商计量单位，除磋商文件中有特殊要求外，应采用中华人民共和国法定计量单位，货币单位：人民币元。</w:t>
      </w:r>
      <w:bookmarkEnd w:id="210"/>
      <w:bookmarkEnd w:id="211"/>
      <w:bookmarkEnd w:id="212"/>
      <w:bookmarkStart w:id="213" w:name="_Toc177825126"/>
      <w:bookmarkStart w:id="214" w:name="_Toc493082120"/>
      <w:bookmarkStart w:id="215" w:name="_Toc437979782"/>
      <w:bookmarkStart w:id="216" w:name="_Toc448487541"/>
      <w:bookmarkStart w:id="217" w:name="_Toc177870548"/>
      <w:bookmarkStart w:id="218" w:name="_Toc493699304"/>
      <w:bookmarkStart w:id="219" w:name="_Toc192313113"/>
      <w:bookmarkStart w:id="220" w:name="_Toc177824945"/>
      <w:bookmarkStart w:id="221" w:name="_Toc177824878"/>
    </w:p>
    <w:p>
      <w:pPr>
        <w:snapToGrid w:val="0"/>
        <w:spacing w:after="0" w:line="500" w:lineRule="exact"/>
        <w:ind w:firstLine="420" w:firstLineChars="200"/>
        <w:jc w:val="left"/>
        <w:outlineLvl w:val="1"/>
        <w:rPr>
          <w:rFonts w:ascii="微软雅黑" w:hAnsi="微软雅黑"/>
          <w:b/>
          <w:color w:val="000000" w:themeColor="text1"/>
          <w:highlight w:val="none"/>
          <w14:textFill>
            <w14:solidFill>
              <w14:schemeClr w14:val="tx1"/>
            </w14:solidFill>
          </w14:textFill>
        </w:rPr>
      </w:pPr>
      <w:bookmarkStart w:id="222" w:name="_Toc100764223"/>
      <w:bookmarkStart w:id="223" w:name="_Toc53062693"/>
      <w:bookmarkStart w:id="224" w:name="_Toc89266819"/>
      <w:bookmarkStart w:id="225" w:name="_Toc40788031"/>
      <w:r>
        <w:rPr>
          <w:rFonts w:hint="eastAsia" w:ascii="微软雅黑" w:hAnsi="微软雅黑"/>
          <w:b/>
          <w:color w:val="000000" w:themeColor="text1"/>
          <w:highlight w:val="none"/>
          <w14:textFill>
            <w14:solidFill>
              <w14:schemeClr w14:val="tx1"/>
            </w14:solidFill>
          </w14:textFill>
        </w:rPr>
        <w:t>（四）磋商响应报价</w:t>
      </w:r>
      <w:bookmarkEnd w:id="213"/>
      <w:bookmarkEnd w:id="214"/>
      <w:bookmarkEnd w:id="215"/>
      <w:bookmarkEnd w:id="216"/>
      <w:bookmarkEnd w:id="217"/>
      <w:bookmarkEnd w:id="218"/>
      <w:bookmarkEnd w:id="219"/>
      <w:bookmarkEnd w:id="220"/>
      <w:bookmarkEnd w:id="221"/>
      <w:bookmarkEnd w:id="222"/>
      <w:bookmarkEnd w:id="223"/>
      <w:bookmarkEnd w:id="224"/>
      <w:bookmarkEnd w:id="225"/>
      <w:bookmarkStart w:id="226" w:name="_Toc53062694"/>
      <w:bookmarkStart w:id="227" w:name="_Toc89266820"/>
      <w:bookmarkStart w:id="228" w:name="_Toc40788032"/>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4.1磋商响应报价应按磋商文件中相关附表格式填写。</w:t>
      </w:r>
      <w:bookmarkEnd w:id="226"/>
      <w:bookmarkEnd w:id="227"/>
      <w:bookmarkEnd w:id="228"/>
      <w:bookmarkStart w:id="229" w:name="_Toc53062695"/>
      <w:bookmarkStart w:id="230" w:name="_Toc40788033"/>
      <w:bookmarkStart w:id="231" w:name="_Toc89266821"/>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4.2▲</w:t>
      </w:r>
      <w:bookmarkEnd w:id="229"/>
      <w:bookmarkEnd w:id="230"/>
      <w:bookmarkEnd w:id="231"/>
      <w:bookmarkStart w:id="232" w:name="_Toc40788034"/>
      <w:bookmarkStart w:id="233" w:name="_Toc89266822"/>
      <w:bookmarkStart w:id="234" w:name="_Toc53062696"/>
      <w:r>
        <w:rPr>
          <w:rFonts w:hint="eastAsia" w:ascii="微软雅黑" w:hAnsi="微软雅黑"/>
          <w:color w:val="000000" w:themeColor="text1"/>
          <w:highlight w:val="none"/>
          <w14:textFill>
            <w14:solidFill>
              <w14:schemeClr w14:val="tx1"/>
            </w14:solidFill>
          </w14:textFill>
        </w:rPr>
        <w:t>报价应包括人工费用、设备、劳务、管理、材料、维护、利润、税金及政策性文件规定等各项应有费用， 以及为完成本项目所需要的全部费用。</w:t>
      </w:r>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4.3▲磋商响应报价只允许有一个报价，有选择的报价将不予接受。</w:t>
      </w:r>
      <w:bookmarkEnd w:id="232"/>
      <w:bookmarkEnd w:id="233"/>
      <w:bookmarkEnd w:id="234"/>
    </w:p>
    <w:p>
      <w:pPr>
        <w:snapToGrid w:val="0"/>
        <w:spacing w:after="0" w:line="500" w:lineRule="exact"/>
        <w:ind w:firstLine="420" w:firstLineChars="200"/>
        <w:jc w:val="left"/>
        <w:outlineLvl w:val="1"/>
        <w:rPr>
          <w:rFonts w:ascii="微软雅黑" w:hAnsi="微软雅黑"/>
          <w:b/>
          <w:color w:val="000000" w:themeColor="text1"/>
          <w:highlight w:val="none"/>
          <w14:textFill>
            <w14:solidFill>
              <w14:schemeClr w14:val="tx1"/>
            </w14:solidFill>
          </w14:textFill>
        </w:rPr>
      </w:pPr>
      <w:bookmarkStart w:id="235" w:name="_Toc53062697"/>
      <w:bookmarkStart w:id="236" w:name="_Toc40788035"/>
      <w:bookmarkStart w:id="237" w:name="_Toc89266823"/>
      <w:bookmarkStart w:id="238" w:name="_Toc100764224"/>
      <w:r>
        <w:rPr>
          <w:rFonts w:hint="eastAsia" w:ascii="微软雅黑" w:hAnsi="微软雅黑"/>
          <w:b/>
          <w:color w:val="000000" w:themeColor="text1"/>
          <w:highlight w:val="none"/>
          <w14:textFill>
            <w14:solidFill>
              <w14:schemeClr w14:val="tx1"/>
            </w14:solidFill>
          </w14:textFill>
        </w:rPr>
        <w:t>（五）磋商响应文件的有效期</w:t>
      </w:r>
      <w:bookmarkEnd w:id="235"/>
      <w:bookmarkEnd w:id="236"/>
      <w:bookmarkEnd w:id="237"/>
      <w:bookmarkEnd w:id="238"/>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bookmarkStart w:id="239" w:name="_Toc40788036"/>
      <w:bookmarkStart w:id="240" w:name="_Toc89266824"/>
      <w:bookmarkStart w:id="241" w:name="_Toc53062698"/>
      <w:r>
        <w:rPr>
          <w:rFonts w:hint="eastAsia" w:ascii="微软雅黑" w:hAnsi="微软雅黑"/>
          <w:color w:val="000000" w:themeColor="text1"/>
          <w:highlight w:val="none"/>
          <w14:textFill>
            <w14:solidFill>
              <w14:schemeClr w14:val="tx1"/>
            </w14:solidFill>
          </w14:textFill>
        </w:rPr>
        <w:t>5.1▲自磋商响应截止日起 60天磋商响应文件应保持有效。如采购人认为必要可延长，但至总计最长不超过90 天。有效期短于这个规定期限的磋商响应文件将被拒绝。</w:t>
      </w:r>
      <w:bookmarkEnd w:id="239"/>
      <w:bookmarkEnd w:id="240"/>
      <w:bookmarkEnd w:id="241"/>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bookmarkStart w:id="242" w:name="_Toc40788037"/>
      <w:bookmarkStart w:id="243" w:name="_Toc53062699"/>
      <w:bookmarkStart w:id="244" w:name="_Toc89266825"/>
      <w:r>
        <w:rPr>
          <w:rFonts w:hint="eastAsia" w:ascii="微软雅黑" w:hAnsi="微软雅黑"/>
          <w:color w:val="000000" w:themeColor="text1"/>
          <w:highlight w:val="none"/>
          <w14:textFill>
            <w14:solidFill>
              <w14:schemeClr w14:val="tx1"/>
            </w14:solidFill>
          </w14:textFill>
        </w:rPr>
        <w:t>5.2在特殊情况下，磋商人可与供应商协商延长磋商响应文件的有效期，这种要求和答复均以书面形式进行。</w:t>
      </w:r>
      <w:bookmarkEnd w:id="242"/>
      <w:bookmarkEnd w:id="243"/>
      <w:bookmarkEnd w:id="244"/>
      <w:bookmarkStart w:id="245" w:name="_Toc493699306"/>
      <w:bookmarkStart w:id="246" w:name="_Toc487793394"/>
      <w:bookmarkStart w:id="247" w:name="_Toc487802108"/>
      <w:bookmarkStart w:id="248" w:name="_Toc493082122"/>
      <w:bookmarkStart w:id="249" w:name="_Toc487802039"/>
      <w:bookmarkStart w:id="250" w:name="_Toc107820050"/>
      <w:bookmarkStart w:id="251" w:name="_Toc170792769"/>
    </w:p>
    <w:p>
      <w:pPr>
        <w:snapToGrid w:val="0"/>
        <w:spacing w:after="0" w:line="500" w:lineRule="exact"/>
        <w:ind w:firstLine="420" w:firstLineChars="200"/>
        <w:jc w:val="left"/>
        <w:outlineLvl w:val="1"/>
        <w:rPr>
          <w:rFonts w:ascii="微软雅黑" w:hAnsi="微软雅黑"/>
          <w:b/>
          <w:color w:val="000000" w:themeColor="text1"/>
          <w:highlight w:val="none"/>
          <w14:textFill>
            <w14:solidFill>
              <w14:schemeClr w14:val="tx1"/>
            </w14:solidFill>
          </w14:textFill>
        </w:rPr>
      </w:pPr>
      <w:bookmarkStart w:id="252" w:name="_Toc100764225"/>
      <w:bookmarkStart w:id="253" w:name="_Toc40788038"/>
      <w:bookmarkStart w:id="254" w:name="_Toc89266826"/>
      <w:bookmarkStart w:id="255" w:name="_Toc53062700"/>
      <w:r>
        <w:rPr>
          <w:rFonts w:hint="eastAsia" w:ascii="微软雅黑" w:hAnsi="微软雅黑"/>
          <w:b/>
          <w:color w:val="000000" w:themeColor="text1"/>
          <w:highlight w:val="none"/>
          <w14:textFill>
            <w14:solidFill>
              <w14:schemeClr w14:val="tx1"/>
            </w14:solidFill>
          </w14:textFill>
        </w:rPr>
        <w:t>（六）下列情况，供应商将由代理机构上报行政主管部门，接受行政主管部门的处罚：</w:t>
      </w:r>
      <w:bookmarkEnd w:id="245"/>
      <w:bookmarkEnd w:id="246"/>
      <w:bookmarkEnd w:id="247"/>
      <w:bookmarkEnd w:id="248"/>
      <w:bookmarkEnd w:id="249"/>
      <w:bookmarkEnd w:id="252"/>
      <w:bookmarkEnd w:id="253"/>
      <w:bookmarkEnd w:id="254"/>
      <w:bookmarkEnd w:id="255"/>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bookmarkStart w:id="256" w:name="_Toc89266827"/>
      <w:bookmarkStart w:id="257" w:name="_Toc40788039"/>
      <w:bookmarkStart w:id="258" w:name="_Toc53062701"/>
      <w:r>
        <w:rPr>
          <w:rFonts w:hint="eastAsia" w:ascii="微软雅黑" w:hAnsi="微软雅黑"/>
          <w:color w:val="000000" w:themeColor="text1"/>
          <w:highlight w:val="none"/>
          <w14:textFill>
            <w14:solidFill>
              <w14:schemeClr w14:val="tx1"/>
            </w14:solidFill>
          </w14:textFill>
        </w:rPr>
        <w:t>6.1供应商在磋商响应文件有效期内撤回磋商响应文件的；</w:t>
      </w:r>
      <w:bookmarkEnd w:id="256"/>
      <w:bookmarkEnd w:id="257"/>
      <w:bookmarkEnd w:id="258"/>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bookmarkStart w:id="259" w:name="_Toc40788040"/>
      <w:bookmarkStart w:id="260" w:name="_Toc53062702"/>
      <w:bookmarkStart w:id="261" w:name="_Toc89266828"/>
      <w:r>
        <w:rPr>
          <w:rFonts w:hint="eastAsia" w:ascii="微软雅黑" w:hAnsi="微软雅黑"/>
          <w:color w:val="000000" w:themeColor="text1"/>
          <w:highlight w:val="none"/>
          <w14:textFill>
            <w14:solidFill>
              <w14:schemeClr w14:val="tx1"/>
            </w14:solidFill>
          </w14:textFill>
        </w:rPr>
        <w:t>6.2中标供应商未按规定的时间、地点与采购人签订合同的；</w:t>
      </w:r>
      <w:bookmarkEnd w:id="259"/>
      <w:bookmarkEnd w:id="260"/>
      <w:bookmarkEnd w:id="261"/>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bookmarkStart w:id="262" w:name="_Toc53062703"/>
      <w:bookmarkStart w:id="263" w:name="_Toc40788041"/>
      <w:bookmarkStart w:id="264" w:name="_Toc89266829"/>
      <w:r>
        <w:rPr>
          <w:rFonts w:hint="eastAsia" w:ascii="微软雅黑" w:hAnsi="微软雅黑"/>
          <w:color w:val="000000" w:themeColor="text1"/>
          <w:highlight w:val="none"/>
          <w14:textFill>
            <w14:solidFill>
              <w14:schemeClr w14:val="tx1"/>
            </w14:solidFill>
          </w14:textFill>
        </w:rPr>
        <w:t>6.3供应商在磋商过程中弄虚作假，提供虚假材料；</w:t>
      </w:r>
      <w:bookmarkEnd w:id="262"/>
      <w:bookmarkEnd w:id="263"/>
      <w:bookmarkEnd w:id="264"/>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bookmarkStart w:id="265" w:name="_Toc40788042"/>
      <w:bookmarkStart w:id="266" w:name="_Toc89266830"/>
      <w:bookmarkStart w:id="267" w:name="_Toc53062704"/>
      <w:r>
        <w:rPr>
          <w:rFonts w:hint="eastAsia" w:ascii="微软雅黑" w:hAnsi="微软雅黑"/>
          <w:color w:val="000000" w:themeColor="text1"/>
          <w:highlight w:val="none"/>
          <w14:textFill>
            <w14:solidFill>
              <w14:schemeClr w14:val="tx1"/>
            </w14:solidFill>
          </w14:textFill>
        </w:rPr>
        <w:t>6.4其他严重扰乱竞争性磋商程序的；</w:t>
      </w:r>
      <w:bookmarkEnd w:id="265"/>
      <w:bookmarkEnd w:id="266"/>
      <w:bookmarkEnd w:id="267"/>
      <w:bookmarkStart w:id="268" w:name="_Toc177824881"/>
      <w:bookmarkStart w:id="269" w:name="_Toc177824948"/>
      <w:bookmarkStart w:id="270" w:name="_Toc192313116"/>
      <w:bookmarkStart w:id="271" w:name="_Toc177870551"/>
      <w:bookmarkStart w:id="272" w:name="_Toc177825129"/>
    </w:p>
    <w:p>
      <w:pPr>
        <w:snapToGrid w:val="0"/>
        <w:spacing w:after="0" w:line="500" w:lineRule="exact"/>
        <w:ind w:firstLine="420" w:firstLineChars="200"/>
        <w:jc w:val="left"/>
        <w:outlineLvl w:val="1"/>
        <w:rPr>
          <w:rFonts w:ascii="微软雅黑" w:hAnsi="微软雅黑"/>
          <w:b/>
          <w:color w:val="000000" w:themeColor="text1"/>
          <w:highlight w:val="none"/>
          <w14:textFill>
            <w14:solidFill>
              <w14:schemeClr w14:val="tx1"/>
            </w14:solidFill>
          </w14:textFill>
        </w:rPr>
      </w:pPr>
      <w:bookmarkStart w:id="273" w:name="_Toc89266831"/>
      <w:bookmarkStart w:id="274" w:name="_Toc53062705"/>
      <w:bookmarkStart w:id="275" w:name="_Toc40788043"/>
      <w:bookmarkStart w:id="276" w:name="_Toc100764226"/>
      <w:r>
        <w:rPr>
          <w:rFonts w:hint="eastAsia" w:ascii="微软雅黑" w:hAnsi="微软雅黑"/>
          <w:b/>
          <w:color w:val="000000" w:themeColor="text1"/>
          <w:highlight w:val="none"/>
          <w14:textFill>
            <w14:solidFill>
              <w14:schemeClr w14:val="tx1"/>
            </w14:solidFill>
          </w14:textFill>
        </w:rPr>
        <w:t>（七）磋商响应文件的签署和份数</w:t>
      </w:r>
      <w:bookmarkEnd w:id="268"/>
      <w:bookmarkEnd w:id="269"/>
      <w:bookmarkEnd w:id="270"/>
      <w:bookmarkEnd w:id="271"/>
      <w:bookmarkEnd w:id="272"/>
      <w:bookmarkEnd w:id="273"/>
      <w:bookmarkEnd w:id="274"/>
      <w:bookmarkEnd w:id="275"/>
      <w:bookmarkEnd w:id="276"/>
      <w:bookmarkStart w:id="277" w:name="_Toc448487544"/>
      <w:bookmarkStart w:id="278" w:name="_Toc493082123"/>
      <w:bookmarkStart w:id="279" w:name="_Toc487802040"/>
      <w:bookmarkStart w:id="280" w:name="_Toc487802109"/>
      <w:bookmarkStart w:id="281" w:name="_Toc177870552"/>
      <w:bookmarkStart w:id="282" w:name="_Toc192313117"/>
      <w:bookmarkStart w:id="283" w:name="_Toc437979785"/>
      <w:bookmarkStart w:id="284" w:name="_Toc493699307"/>
      <w:bookmarkStart w:id="285" w:name="_Toc487793395"/>
    </w:p>
    <w:p>
      <w:pPr>
        <w:spacing w:after="0" w:line="500" w:lineRule="exact"/>
        <w:ind w:firstLine="424" w:firstLineChars="202"/>
        <w:rPr>
          <w:rFonts w:ascii="微软雅黑" w:hAnsi="微软雅黑"/>
          <w:b/>
          <w:bCs/>
          <w:color w:val="000000" w:themeColor="text1"/>
          <w:highlight w:val="none"/>
          <w14:textFill>
            <w14:solidFill>
              <w14:schemeClr w14:val="tx1"/>
            </w14:solidFill>
          </w14:textFill>
        </w:rPr>
      </w:pPr>
      <w:bookmarkStart w:id="286" w:name="_Toc53062706"/>
      <w:bookmarkStart w:id="287" w:name="_Toc89266832"/>
      <w:bookmarkStart w:id="288" w:name="_Toc40788044"/>
      <w:r>
        <w:rPr>
          <w:rFonts w:hint="eastAsia" w:ascii="微软雅黑" w:hAnsi="微软雅黑"/>
          <w:color w:val="000000" w:themeColor="text1"/>
          <w:highlight w:val="none"/>
          <w14:textFill>
            <w14:solidFill>
              <w14:schemeClr w14:val="tx1"/>
            </w14:solidFill>
          </w14:textFill>
        </w:rPr>
        <w:t>竞争性磋商响应文件的形式：</w:t>
      </w:r>
      <w:r>
        <w:rPr>
          <w:rFonts w:hint="eastAsia" w:ascii="微软雅黑" w:hAnsi="微软雅黑"/>
          <w:b/>
          <w:bCs/>
          <w:color w:val="000000" w:themeColor="text1"/>
          <w:highlight w:val="none"/>
          <w14:textFill>
            <w14:solidFill>
              <w14:schemeClr w14:val="tx1"/>
            </w14:solidFill>
          </w14:textFill>
        </w:rPr>
        <w:t>☑电子竞争性磋商响应文件（包括“电子加密竞争性磋商响应文件”和“备份竞争性磋商响应文件”，在竞争性磋商响应文件编制完成后同时生成）；</w:t>
      </w:r>
      <w:bookmarkEnd w:id="286"/>
      <w:bookmarkEnd w:id="287"/>
      <w:bookmarkEnd w:id="288"/>
    </w:p>
    <w:p>
      <w:pPr>
        <w:spacing w:after="0" w:line="500" w:lineRule="exact"/>
        <w:ind w:firstLine="424" w:firstLineChars="202"/>
        <w:rPr>
          <w:rFonts w:ascii="微软雅黑" w:hAnsi="微软雅黑"/>
          <w:b/>
          <w:bCs/>
          <w:color w:val="000000" w:themeColor="text1"/>
          <w:highlight w:val="none"/>
          <w14:textFill>
            <w14:solidFill>
              <w14:schemeClr w14:val="tx1"/>
            </w14:solidFill>
          </w14:textFill>
        </w:rPr>
      </w:pPr>
      <w:bookmarkStart w:id="289" w:name="_Toc89266833"/>
      <w:bookmarkStart w:id="290" w:name="_Toc53062707"/>
      <w:bookmarkStart w:id="291" w:name="_Toc40788045"/>
      <w:r>
        <w:rPr>
          <w:rFonts w:hint="eastAsia" w:ascii="微软雅黑" w:hAnsi="微软雅黑"/>
          <w:b/>
          <w:bCs/>
          <w:color w:val="000000" w:themeColor="text1"/>
          <w:highlight w:val="none"/>
          <w14:textFill>
            <w14:solidFill>
              <w14:schemeClr w14:val="tx1"/>
            </w14:solidFill>
          </w14:textFill>
        </w:rPr>
        <w:t>（1）“电子加密竞争性磋商响应文件”是指通过“政采云电子交易客户端”完成竞争性磋商响应文件编制后生成并加密的数据电文形式的竞争性磋商响应文件。</w:t>
      </w:r>
      <w:bookmarkEnd w:id="289"/>
      <w:bookmarkEnd w:id="290"/>
      <w:bookmarkEnd w:id="291"/>
    </w:p>
    <w:p>
      <w:pPr>
        <w:spacing w:after="0" w:line="500" w:lineRule="exact"/>
        <w:ind w:firstLine="424" w:firstLineChars="202"/>
        <w:rPr>
          <w:rFonts w:ascii="微软雅黑" w:hAnsi="微软雅黑"/>
          <w:b/>
          <w:bCs/>
          <w:color w:val="000000" w:themeColor="text1"/>
          <w:highlight w:val="none"/>
          <w14:textFill>
            <w14:solidFill>
              <w14:schemeClr w14:val="tx1"/>
            </w14:solidFill>
          </w14:textFill>
        </w:rPr>
      </w:pPr>
      <w:bookmarkStart w:id="292" w:name="_Toc89266834"/>
      <w:bookmarkStart w:id="293" w:name="_Toc40788046"/>
      <w:bookmarkStart w:id="294" w:name="_Toc53062708"/>
      <w:r>
        <w:rPr>
          <w:rFonts w:hint="eastAsia" w:ascii="微软雅黑" w:hAnsi="微软雅黑"/>
          <w:b/>
          <w:bCs/>
          <w:color w:val="000000" w:themeColor="text1"/>
          <w:highlight w:val="none"/>
          <w14:textFill>
            <w14:solidFill>
              <w14:schemeClr w14:val="tx1"/>
            </w14:solidFill>
          </w14:textFill>
        </w:rPr>
        <w:t>（2）“备份竞争性磋商响应文件”是指与“电子加密竞争性磋商响应文件”同时生成的数据电文形式的电子文件（备份标书），其他方式编制的备份竞争性磋商响应文件视为无效备份竞争性磋商响应文件。</w:t>
      </w:r>
      <w:bookmarkEnd w:id="292"/>
      <w:bookmarkEnd w:id="293"/>
      <w:bookmarkEnd w:id="294"/>
    </w:p>
    <w:p>
      <w:pPr>
        <w:snapToGrid w:val="0"/>
        <w:spacing w:after="0" w:line="500" w:lineRule="exact"/>
        <w:ind w:firstLine="420" w:firstLineChars="200"/>
        <w:jc w:val="left"/>
        <w:outlineLvl w:val="1"/>
        <w:rPr>
          <w:rFonts w:ascii="微软雅黑" w:hAnsi="微软雅黑"/>
          <w:b/>
          <w:bCs/>
          <w:color w:val="000000" w:themeColor="text1"/>
          <w:highlight w:val="none"/>
          <w14:textFill>
            <w14:solidFill>
              <w14:schemeClr w14:val="tx1"/>
            </w14:solidFill>
          </w14:textFill>
        </w:rPr>
      </w:pPr>
      <w:bookmarkStart w:id="295" w:name="_Toc89266835"/>
      <w:bookmarkStart w:id="296" w:name="_Toc100764227"/>
      <w:bookmarkStart w:id="297" w:name="_Toc40788047"/>
      <w:bookmarkStart w:id="298" w:name="_Toc53062709"/>
      <w:r>
        <w:rPr>
          <w:rFonts w:hint="eastAsia" w:ascii="微软雅黑" w:hAnsi="微软雅黑"/>
          <w:b/>
          <w:color w:val="000000" w:themeColor="text1"/>
          <w:highlight w:val="none"/>
          <w14:textFill>
            <w14:solidFill>
              <w14:schemeClr w14:val="tx1"/>
            </w14:solidFill>
          </w14:textFill>
        </w:rPr>
        <w:t>（八）</w:t>
      </w:r>
      <w:r>
        <w:rPr>
          <w:rFonts w:hint="eastAsia" w:ascii="微软雅黑" w:hAnsi="微软雅黑"/>
          <w:b/>
          <w:bCs/>
          <w:color w:val="000000" w:themeColor="text1"/>
          <w:highlight w:val="none"/>
          <w14:textFill>
            <w14:solidFill>
              <w14:schemeClr w14:val="tx1"/>
            </w14:solidFill>
          </w14:textFill>
        </w:rPr>
        <w:t>竞争性磋商响应文件的上传和递交：</w:t>
      </w:r>
      <w:bookmarkEnd w:id="295"/>
      <w:bookmarkEnd w:id="296"/>
      <w:bookmarkEnd w:id="297"/>
      <w:bookmarkEnd w:id="298"/>
    </w:p>
    <w:p>
      <w:pPr>
        <w:spacing w:after="0" w:line="500" w:lineRule="exact"/>
        <w:ind w:left="2" w:firstLine="424" w:firstLineChars="202"/>
        <w:rPr>
          <w:rFonts w:ascii="微软雅黑" w:hAnsi="微软雅黑"/>
          <w:b/>
          <w:bCs/>
          <w:color w:val="000000" w:themeColor="text1"/>
          <w:highlight w:val="none"/>
          <w14:textFill>
            <w14:solidFill>
              <w14:schemeClr w14:val="tx1"/>
            </w14:solidFill>
          </w14:textFill>
        </w:rPr>
      </w:pPr>
      <w:bookmarkStart w:id="299" w:name="_Toc53062710"/>
      <w:bookmarkStart w:id="300" w:name="_Toc89266836"/>
      <w:bookmarkStart w:id="301" w:name="_Toc40788048"/>
      <w:r>
        <w:rPr>
          <w:rFonts w:hint="eastAsia" w:ascii="微软雅黑" w:hAnsi="微软雅黑"/>
          <w:b/>
          <w:bCs/>
          <w:color w:val="000000" w:themeColor="text1"/>
          <w:highlight w:val="none"/>
          <w14:textFill>
            <w14:solidFill>
              <w14:schemeClr w14:val="tx1"/>
            </w14:solidFill>
          </w14:textFill>
        </w:rPr>
        <w:t>（1）“电子加密竞争性磋商响应文件”的上传、递交：</w:t>
      </w:r>
      <w:bookmarkEnd w:id="299"/>
      <w:bookmarkEnd w:id="300"/>
      <w:bookmarkEnd w:id="301"/>
    </w:p>
    <w:p>
      <w:pPr>
        <w:spacing w:after="0" w:line="500" w:lineRule="exact"/>
        <w:ind w:firstLine="424" w:firstLineChars="202"/>
        <w:rPr>
          <w:rFonts w:ascii="微软雅黑" w:hAnsi="微软雅黑"/>
          <w:b/>
          <w:bCs/>
          <w:color w:val="000000" w:themeColor="text1"/>
          <w:highlight w:val="none"/>
          <w14:textFill>
            <w14:solidFill>
              <w14:schemeClr w14:val="tx1"/>
            </w14:solidFill>
          </w14:textFill>
        </w:rPr>
      </w:pPr>
      <w:bookmarkStart w:id="302" w:name="_Toc40788049"/>
      <w:bookmarkStart w:id="303" w:name="_Toc53062711"/>
      <w:bookmarkStart w:id="304" w:name="_Toc89266837"/>
      <w:r>
        <w:rPr>
          <w:rFonts w:hint="eastAsia" w:ascii="微软雅黑" w:hAnsi="微软雅黑"/>
          <w:b/>
          <w:bCs/>
          <w:color w:val="000000" w:themeColor="text1"/>
          <w:highlight w:val="none"/>
          <w14:textFill>
            <w14:solidFill>
              <w14:schemeClr w14:val="tx1"/>
            </w14:solidFill>
          </w14:textFill>
        </w:rPr>
        <w:t>A、投标供应商应在投标截止时间前将“电子加密竞争性磋商响应文件”成功上传递交至“政府采购云平台”，否则投标无效。</w:t>
      </w:r>
      <w:bookmarkEnd w:id="302"/>
      <w:bookmarkEnd w:id="303"/>
      <w:bookmarkEnd w:id="304"/>
    </w:p>
    <w:p>
      <w:pPr>
        <w:spacing w:after="0" w:line="500" w:lineRule="exact"/>
        <w:ind w:firstLine="424" w:firstLineChars="202"/>
        <w:rPr>
          <w:rFonts w:ascii="微软雅黑" w:hAnsi="微软雅黑"/>
          <w:b/>
          <w:bCs/>
          <w:color w:val="000000" w:themeColor="text1"/>
          <w:highlight w:val="none"/>
          <w14:textFill>
            <w14:solidFill>
              <w14:schemeClr w14:val="tx1"/>
            </w14:solidFill>
          </w14:textFill>
        </w:rPr>
      </w:pPr>
      <w:bookmarkStart w:id="305" w:name="_Toc40788050"/>
      <w:bookmarkStart w:id="306" w:name="_Toc53062712"/>
      <w:bookmarkStart w:id="307" w:name="_Toc89266838"/>
      <w:r>
        <w:rPr>
          <w:rFonts w:hint="eastAsia" w:ascii="微软雅黑" w:hAnsi="微软雅黑"/>
          <w:b/>
          <w:bCs/>
          <w:color w:val="000000" w:themeColor="text1"/>
          <w:highlight w:val="none"/>
          <w14:textFill>
            <w14:solidFill>
              <w14:schemeClr w14:val="tx1"/>
            </w14:solidFill>
          </w14:textFill>
        </w:rPr>
        <w:t>B、“电子加密竞争性磋商响应文件”成功上传递交后，供应商可自行打印竞争性磋商响应文件接收回执。</w:t>
      </w:r>
      <w:bookmarkEnd w:id="305"/>
      <w:bookmarkEnd w:id="306"/>
      <w:bookmarkEnd w:id="307"/>
    </w:p>
    <w:p>
      <w:pPr>
        <w:spacing w:after="0" w:line="500" w:lineRule="exact"/>
        <w:ind w:firstLine="424" w:firstLineChars="202"/>
        <w:rPr>
          <w:rFonts w:ascii="微软雅黑" w:hAnsi="微软雅黑"/>
          <w:b/>
          <w:bCs/>
          <w:color w:val="000000" w:themeColor="text1"/>
          <w:highlight w:val="none"/>
          <w14:textFill>
            <w14:solidFill>
              <w14:schemeClr w14:val="tx1"/>
            </w14:solidFill>
          </w14:textFill>
        </w:rPr>
      </w:pPr>
      <w:bookmarkStart w:id="308" w:name="_Toc89266839"/>
      <w:bookmarkStart w:id="309" w:name="_Toc40788051"/>
      <w:bookmarkStart w:id="310" w:name="_Toc53062713"/>
      <w:r>
        <w:rPr>
          <w:rFonts w:hint="eastAsia" w:ascii="微软雅黑" w:hAnsi="微软雅黑"/>
          <w:b/>
          <w:bCs/>
          <w:color w:val="000000" w:themeColor="text1"/>
          <w:highlight w:val="none"/>
          <w14:textFill>
            <w14:solidFill>
              <w14:schemeClr w14:val="tx1"/>
            </w14:solidFill>
          </w14:textFill>
        </w:rPr>
        <w:t>（2）“备份竞争性磋商响应文件”的密封包装、递交：</w:t>
      </w:r>
      <w:bookmarkEnd w:id="308"/>
      <w:bookmarkEnd w:id="309"/>
      <w:bookmarkEnd w:id="310"/>
    </w:p>
    <w:p>
      <w:pPr>
        <w:spacing w:after="0" w:line="500" w:lineRule="exact"/>
        <w:ind w:firstLine="424" w:firstLineChars="202"/>
        <w:rPr>
          <w:rFonts w:ascii="微软雅黑" w:hAnsi="微软雅黑"/>
          <w:b/>
          <w:bCs/>
          <w:color w:val="000000" w:themeColor="text1"/>
          <w:highlight w:val="none"/>
          <w14:textFill>
            <w14:solidFill>
              <w14:schemeClr w14:val="tx1"/>
            </w14:solidFill>
          </w14:textFill>
        </w:rPr>
      </w:pPr>
      <w:bookmarkStart w:id="311" w:name="_Toc40788052"/>
      <w:bookmarkStart w:id="312" w:name="_Toc53062714"/>
      <w:bookmarkStart w:id="313" w:name="_Toc89266840"/>
      <w:r>
        <w:rPr>
          <w:rFonts w:hint="eastAsia" w:ascii="微软雅黑" w:hAnsi="微软雅黑"/>
          <w:b/>
          <w:bCs/>
          <w:color w:val="000000" w:themeColor="text1"/>
          <w:highlight w:val="none"/>
          <w14:textFill>
            <w14:solidFill>
              <w14:schemeClr w14:val="tx1"/>
            </w14:solidFill>
          </w14:textFill>
        </w:rPr>
        <w:t>A、投标供应商在“政府采购云平台”完成“电子加密竞争性磋商响应文件”的上传递交后，还可以（邮寄形式）在投标截止时间前递交以介质（U盘）存储的“备份竞争性磋商响应文件”（一份）；</w:t>
      </w:r>
      <w:bookmarkEnd w:id="311"/>
      <w:bookmarkEnd w:id="312"/>
      <w:bookmarkEnd w:id="313"/>
    </w:p>
    <w:p>
      <w:pPr>
        <w:spacing w:after="0" w:line="500" w:lineRule="exact"/>
        <w:ind w:firstLine="424" w:firstLineChars="202"/>
        <w:rPr>
          <w:rFonts w:ascii="微软雅黑" w:hAnsi="微软雅黑"/>
          <w:b/>
          <w:bCs/>
          <w:color w:val="000000" w:themeColor="text1"/>
          <w:highlight w:val="none"/>
          <w14:textFill>
            <w14:solidFill>
              <w14:schemeClr w14:val="tx1"/>
            </w14:solidFill>
          </w14:textFill>
        </w:rPr>
      </w:pPr>
      <w:bookmarkStart w:id="314" w:name="_Toc40788053"/>
      <w:bookmarkStart w:id="315" w:name="_Toc53062715"/>
      <w:bookmarkStart w:id="316" w:name="_Toc89266841"/>
      <w:r>
        <w:rPr>
          <w:rFonts w:hint="eastAsia" w:ascii="微软雅黑" w:hAnsi="微软雅黑"/>
          <w:b/>
          <w:bCs/>
          <w:color w:val="000000" w:themeColor="text1"/>
          <w:highlight w:val="none"/>
          <w14:textFill>
            <w14:solidFill>
              <w14:schemeClr w14:val="tx1"/>
            </w14:solidFill>
          </w14:textFill>
        </w:rPr>
        <w:t>B、“备份竞争性磋商响应文件”应当密封包装，并在包装上标注投标项目名称、供应商名称并加盖公章。没有密封包装或者逾期邮寄送达至邮寄接收地点的“备份竞争性磋商响应文件”将不予接收；</w:t>
      </w:r>
      <w:bookmarkEnd w:id="314"/>
      <w:bookmarkEnd w:id="315"/>
      <w:bookmarkEnd w:id="316"/>
    </w:p>
    <w:p>
      <w:pPr>
        <w:spacing w:after="0" w:line="500" w:lineRule="exact"/>
        <w:ind w:left="2" w:firstLine="424" w:firstLineChars="202"/>
        <w:rPr>
          <w:rFonts w:ascii="微软雅黑" w:hAnsi="微软雅黑"/>
          <w:b/>
          <w:bCs/>
          <w:color w:val="000000" w:themeColor="text1"/>
          <w:highlight w:val="none"/>
          <w14:textFill>
            <w14:solidFill>
              <w14:schemeClr w14:val="tx1"/>
            </w14:solidFill>
          </w14:textFill>
        </w:rPr>
      </w:pPr>
      <w:bookmarkStart w:id="317" w:name="_Toc89266842"/>
      <w:bookmarkStart w:id="318" w:name="_Toc40788054"/>
      <w:bookmarkStart w:id="319" w:name="_Toc53062716"/>
      <w:r>
        <w:rPr>
          <w:rFonts w:hint="eastAsia" w:ascii="微软雅黑" w:hAnsi="微软雅黑"/>
          <w:b/>
          <w:bCs/>
          <w:color w:val="000000" w:themeColor="text1"/>
          <w:highlight w:val="none"/>
          <w14:textFill>
            <w14:solidFill>
              <w14:schemeClr w14:val="tx1"/>
            </w14:solidFill>
          </w14:textFill>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bookmarkEnd w:id="317"/>
      <w:bookmarkEnd w:id="318"/>
      <w:bookmarkEnd w:id="319"/>
    </w:p>
    <w:p>
      <w:pPr>
        <w:snapToGrid w:val="0"/>
        <w:spacing w:after="0" w:line="500" w:lineRule="exact"/>
        <w:ind w:firstLine="420" w:firstLineChars="200"/>
        <w:jc w:val="left"/>
        <w:outlineLvl w:val="1"/>
        <w:rPr>
          <w:rFonts w:ascii="微软雅黑" w:hAnsi="微软雅黑"/>
          <w:b/>
          <w:color w:val="000000" w:themeColor="text1"/>
          <w:highlight w:val="none"/>
          <w14:textFill>
            <w14:solidFill>
              <w14:schemeClr w14:val="tx1"/>
            </w14:solidFill>
          </w14:textFill>
        </w:rPr>
      </w:pPr>
      <w:bookmarkStart w:id="320" w:name="_Toc53062717"/>
      <w:bookmarkStart w:id="321" w:name="_Toc89266843"/>
      <w:bookmarkStart w:id="322" w:name="_Toc100764228"/>
      <w:bookmarkStart w:id="323" w:name="_Toc40788055"/>
      <w:r>
        <w:rPr>
          <w:rFonts w:hint="eastAsia" w:ascii="微软雅黑" w:hAnsi="微软雅黑"/>
          <w:b/>
          <w:color w:val="000000" w:themeColor="text1"/>
          <w:highlight w:val="none"/>
          <w14:textFill>
            <w14:solidFill>
              <w14:schemeClr w14:val="tx1"/>
            </w14:solidFill>
          </w14:textFill>
        </w:rPr>
        <w:t>（九）无效响应文件条款：</w:t>
      </w:r>
      <w:bookmarkEnd w:id="277"/>
      <w:bookmarkEnd w:id="278"/>
      <w:bookmarkEnd w:id="279"/>
      <w:bookmarkEnd w:id="280"/>
      <w:bookmarkEnd w:id="281"/>
      <w:bookmarkEnd w:id="282"/>
      <w:bookmarkEnd w:id="283"/>
      <w:bookmarkEnd w:id="284"/>
      <w:bookmarkEnd w:id="285"/>
      <w:bookmarkEnd w:id="320"/>
      <w:bookmarkEnd w:id="321"/>
      <w:bookmarkEnd w:id="322"/>
      <w:bookmarkEnd w:id="323"/>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bookmarkStart w:id="324" w:name="_Toc89266844"/>
      <w:bookmarkStart w:id="325" w:name="_Toc53062718"/>
      <w:bookmarkStart w:id="326" w:name="_Toc40788056"/>
      <w:r>
        <w:rPr>
          <w:rFonts w:hint="eastAsia" w:ascii="微软雅黑" w:hAnsi="微软雅黑"/>
          <w:color w:val="000000" w:themeColor="text1"/>
          <w:highlight w:val="none"/>
          <w14:textFill>
            <w14:solidFill>
              <w14:schemeClr w14:val="tx1"/>
            </w14:solidFill>
          </w14:textFill>
        </w:rPr>
        <w:t>存在下列情况之一的,其磋商将响应文件被作无效文件处理:</w:t>
      </w:r>
      <w:bookmarkEnd w:id="324"/>
      <w:bookmarkEnd w:id="325"/>
      <w:bookmarkEnd w:id="326"/>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bookmarkStart w:id="327" w:name="_Toc89266845"/>
      <w:bookmarkStart w:id="328" w:name="_Toc40788057"/>
      <w:bookmarkStart w:id="329" w:name="_Toc53062719"/>
      <w:r>
        <w:rPr>
          <w:rFonts w:hint="eastAsia" w:ascii="微软雅黑" w:hAnsi="微软雅黑"/>
          <w:color w:val="000000" w:themeColor="text1"/>
          <w:highlight w:val="none"/>
          <w14:textFill>
            <w14:solidFill>
              <w14:schemeClr w14:val="tx1"/>
            </w14:solidFill>
          </w14:textFill>
        </w:rPr>
        <w:t>9.1超过截止时间送达的或未按规定地点送达的；</w:t>
      </w:r>
      <w:bookmarkEnd w:id="327"/>
      <w:bookmarkEnd w:id="328"/>
      <w:bookmarkEnd w:id="329"/>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bookmarkStart w:id="330" w:name="_Toc89266846"/>
      <w:bookmarkStart w:id="331" w:name="_Toc40788058"/>
      <w:bookmarkStart w:id="332" w:name="_Toc53062720"/>
      <w:r>
        <w:rPr>
          <w:rFonts w:hint="eastAsia" w:ascii="微软雅黑" w:hAnsi="微软雅黑"/>
          <w:color w:val="000000" w:themeColor="text1"/>
          <w:highlight w:val="none"/>
          <w14:textFill>
            <w14:solidFill>
              <w14:schemeClr w14:val="tx1"/>
            </w14:solidFill>
          </w14:textFill>
        </w:rPr>
        <w:t>9.2未按规定密封、签章的；</w:t>
      </w:r>
      <w:bookmarkEnd w:id="330"/>
      <w:bookmarkEnd w:id="331"/>
      <w:bookmarkEnd w:id="332"/>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bookmarkStart w:id="333" w:name="_Toc40788059"/>
      <w:bookmarkStart w:id="334" w:name="_Toc89266847"/>
      <w:bookmarkStart w:id="335" w:name="_Toc53062721"/>
      <w:r>
        <w:rPr>
          <w:rFonts w:hint="eastAsia" w:ascii="微软雅黑" w:hAnsi="微软雅黑"/>
          <w:color w:val="000000" w:themeColor="text1"/>
          <w:highlight w:val="none"/>
          <w14:textFill>
            <w14:solidFill>
              <w14:schemeClr w14:val="tx1"/>
            </w14:solidFill>
          </w14:textFill>
        </w:rPr>
        <w:t>9.3超出经营范围参加磋商的；</w:t>
      </w:r>
      <w:bookmarkEnd w:id="333"/>
      <w:bookmarkEnd w:id="334"/>
      <w:bookmarkEnd w:id="335"/>
    </w:p>
    <w:p>
      <w:pPr>
        <w:spacing w:after="0" w:line="500" w:lineRule="exact"/>
        <w:ind w:firstLine="424" w:firstLineChars="202"/>
        <w:rPr>
          <w:rFonts w:ascii="微软雅黑" w:hAnsi="微软雅黑"/>
          <w:b/>
          <w:color w:val="000000" w:themeColor="text1"/>
          <w:highlight w:val="none"/>
          <w14:textFill>
            <w14:solidFill>
              <w14:schemeClr w14:val="tx1"/>
            </w14:solidFill>
          </w14:textFill>
        </w:rPr>
      </w:pPr>
      <w:bookmarkStart w:id="336" w:name="_Toc40788060"/>
      <w:bookmarkStart w:id="337" w:name="_Toc53062722"/>
      <w:bookmarkStart w:id="338" w:name="_Toc89266848"/>
      <w:r>
        <w:rPr>
          <w:rFonts w:hint="eastAsia" w:ascii="微软雅黑" w:hAnsi="微软雅黑"/>
          <w:b/>
          <w:color w:val="000000" w:themeColor="text1"/>
          <w:highlight w:val="none"/>
          <w14:textFill>
            <w14:solidFill>
              <w14:schemeClr w14:val="tx1"/>
            </w14:solidFill>
          </w14:textFill>
        </w:rPr>
        <w:t>9.4资格证明文件不全的；</w:t>
      </w:r>
      <w:bookmarkEnd w:id="336"/>
      <w:bookmarkEnd w:id="337"/>
      <w:bookmarkEnd w:id="338"/>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bookmarkStart w:id="339" w:name="_Toc40788061"/>
      <w:bookmarkStart w:id="340" w:name="_Toc53062723"/>
      <w:bookmarkStart w:id="341" w:name="_Toc89266849"/>
      <w:r>
        <w:rPr>
          <w:rFonts w:hint="eastAsia" w:ascii="微软雅黑" w:hAnsi="微软雅黑"/>
          <w:color w:val="000000" w:themeColor="text1"/>
          <w:highlight w:val="none"/>
          <w14:textFill>
            <w14:solidFill>
              <w14:schemeClr w14:val="tx1"/>
            </w14:solidFill>
          </w14:textFill>
        </w:rPr>
        <w:t>9.5磋商响应文件无法定代表人签字,或无法定代表人有效授权委托书的; 或磋商代表人未能出具身份证明或与法定代表人授权委托人身份不符的；</w:t>
      </w:r>
      <w:bookmarkEnd w:id="339"/>
      <w:bookmarkEnd w:id="340"/>
      <w:bookmarkEnd w:id="341"/>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342" w:name="_Toc53062724"/>
      <w:bookmarkStart w:id="343" w:name="_Toc89266850"/>
      <w:bookmarkStart w:id="344" w:name="_Toc40788062"/>
      <w:r>
        <w:rPr>
          <w:rFonts w:hint="eastAsia" w:ascii="微软雅黑" w:hAnsi="微软雅黑"/>
          <w:color w:val="000000" w:themeColor="text1"/>
          <w:highlight w:val="none"/>
          <w14:textFill>
            <w14:solidFill>
              <w14:schemeClr w14:val="tx1"/>
            </w14:solidFill>
          </w14:textFill>
        </w:rPr>
        <w:t>9.6</w:t>
      </w:r>
      <w:r>
        <w:rPr>
          <w:rFonts w:hint="eastAsia" w:ascii="微软雅黑" w:hAnsi="微软雅黑"/>
          <w:snapToGrid w:val="0"/>
          <w:color w:val="000000" w:themeColor="text1"/>
          <w:highlight w:val="none"/>
          <w14:textFill>
            <w14:solidFill>
              <w14:schemeClr w14:val="tx1"/>
            </w14:solidFill>
          </w14:textFill>
        </w:rPr>
        <w:t>明显不符合技术规格、技术标准的要求；</w:t>
      </w:r>
      <w:bookmarkEnd w:id="342"/>
      <w:bookmarkEnd w:id="343"/>
      <w:bookmarkEnd w:id="344"/>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bookmarkStart w:id="345" w:name="_Toc40788063"/>
      <w:bookmarkStart w:id="346" w:name="_Toc89266851"/>
      <w:bookmarkStart w:id="347" w:name="_Toc53062725"/>
      <w:r>
        <w:rPr>
          <w:rFonts w:hint="eastAsia" w:ascii="微软雅黑" w:hAnsi="微软雅黑"/>
          <w:snapToGrid w:val="0"/>
          <w:color w:val="000000" w:themeColor="text1"/>
          <w:highlight w:val="none"/>
          <w14:textFill>
            <w14:solidFill>
              <w14:schemeClr w14:val="tx1"/>
            </w14:solidFill>
          </w14:textFill>
        </w:rPr>
        <w:t>9.7最后一轮</w:t>
      </w:r>
      <w:r>
        <w:rPr>
          <w:rFonts w:hint="eastAsia" w:ascii="微软雅黑" w:hAnsi="微软雅黑"/>
          <w:color w:val="000000" w:themeColor="text1"/>
          <w:highlight w:val="none"/>
          <w14:textFill>
            <w14:solidFill>
              <w14:schemeClr w14:val="tx1"/>
            </w14:solidFill>
          </w14:textFill>
        </w:rPr>
        <w:t>报价超出采购项目预算范围的;</w:t>
      </w:r>
      <w:bookmarkEnd w:id="345"/>
      <w:bookmarkEnd w:id="346"/>
      <w:bookmarkEnd w:id="347"/>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bookmarkStart w:id="348" w:name="_Toc40788064"/>
      <w:bookmarkStart w:id="349" w:name="_Toc89266852"/>
      <w:bookmarkStart w:id="350" w:name="_Toc53062726"/>
      <w:r>
        <w:rPr>
          <w:rFonts w:hint="eastAsia" w:ascii="微软雅黑" w:hAnsi="微软雅黑"/>
          <w:color w:val="000000" w:themeColor="text1"/>
          <w:highlight w:val="none"/>
          <w14:textFill>
            <w14:solidFill>
              <w14:schemeClr w14:val="tx1"/>
            </w14:solidFill>
          </w14:textFill>
        </w:rPr>
        <w:t>9.8磋商供应商提出采购方不能接受之条件的；</w:t>
      </w:r>
      <w:bookmarkEnd w:id="348"/>
      <w:bookmarkEnd w:id="349"/>
      <w:bookmarkEnd w:id="350"/>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351" w:name="_Toc40788065"/>
      <w:bookmarkStart w:id="352" w:name="_Toc89266853"/>
      <w:bookmarkStart w:id="353" w:name="_Toc53062727"/>
      <w:r>
        <w:rPr>
          <w:rFonts w:hint="eastAsia" w:ascii="微软雅黑" w:hAnsi="微软雅黑"/>
          <w:snapToGrid w:val="0"/>
          <w:color w:val="000000" w:themeColor="text1"/>
          <w:highlight w:val="none"/>
          <w14:textFill>
            <w14:solidFill>
              <w14:schemeClr w14:val="tx1"/>
            </w14:solidFill>
          </w14:textFill>
        </w:rPr>
        <w:t>9.9两份磋商</w:t>
      </w:r>
      <w:r>
        <w:rPr>
          <w:rFonts w:hint="eastAsia" w:ascii="微软雅黑" w:hAnsi="微软雅黑"/>
          <w:color w:val="000000" w:themeColor="text1"/>
          <w:highlight w:val="none"/>
          <w14:textFill>
            <w14:solidFill>
              <w14:schemeClr w14:val="tx1"/>
            </w14:solidFill>
          </w14:textFill>
        </w:rPr>
        <w:t>响应</w:t>
      </w:r>
      <w:r>
        <w:rPr>
          <w:rFonts w:hint="eastAsia" w:ascii="微软雅黑" w:hAnsi="微软雅黑"/>
          <w:snapToGrid w:val="0"/>
          <w:color w:val="000000" w:themeColor="text1"/>
          <w:highlight w:val="none"/>
          <w14:textFill>
            <w14:solidFill>
              <w14:schemeClr w14:val="tx1"/>
            </w14:solidFill>
          </w14:textFill>
        </w:rPr>
        <w:t>文件存在以下情况之一:两处或两处以上差错相同; 两处或两处以上技术文件文字表述相同连续二十行及以上的；</w:t>
      </w:r>
      <w:bookmarkEnd w:id="351"/>
      <w:bookmarkEnd w:id="352"/>
      <w:bookmarkEnd w:id="353"/>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bookmarkStart w:id="354" w:name="_Toc89266854"/>
      <w:bookmarkStart w:id="355" w:name="_Toc40788066"/>
      <w:bookmarkStart w:id="356" w:name="_Toc53062728"/>
      <w:r>
        <w:rPr>
          <w:rFonts w:hint="eastAsia" w:ascii="微软雅黑" w:hAnsi="微软雅黑"/>
          <w:snapToGrid w:val="0"/>
          <w:color w:val="000000" w:themeColor="text1"/>
          <w:highlight w:val="none"/>
          <w14:textFill>
            <w14:solidFill>
              <w14:schemeClr w14:val="tx1"/>
            </w14:solidFill>
          </w14:textFill>
        </w:rPr>
        <w:t>9.10存在带</w:t>
      </w:r>
      <w:r>
        <w:rPr>
          <w:rFonts w:hint="eastAsia" w:ascii="微软雅黑" w:hAnsi="微软雅黑"/>
          <w:color w:val="000000" w:themeColor="text1"/>
          <w:highlight w:val="none"/>
          <w14:textFill>
            <w14:solidFill>
              <w14:schemeClr w14:val="tx1"/>
            </w14:solidFill>
          </w14:textFill>
        </w:rPr>
        <w:t>“▲”条款的负偏离的；</w:t>
      </w:r>
      <w:bookmarkEnd w:id="354"/>
      <w:bookmarkEnd w:id="355"/>
      <w:bookmarkEnd w:id="356"/>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bookmarkStart w:id="357" w:name="_Toc53062729"/>
      <w:bookmarkStart w:id="358" w:name="_Toc40788067"/>
      <w:bookmarkStart w:id="359" w:name="_Toc89266855"/>
      <w:r>
        <w:rPr>
          <w:rFonts w:hint="eastAsia" w:ascii="微软雅黑" w:hAnsi="微软雅黑"/>
          <w:color w:val="000000" w:themeColor="text1"/>
          <w:highlight w:val="none"/>
          <w14:textFill>
            <w14:solidFill>
              <w14:schemeClr w14:val="tx1"/>
            </w14:solidFill>
          </w14:textFill>
        </w:rPr>
        <w:t>9.11本磋商文件其他部分已规定为无效响应文件的情形;</w:t>
      </w:r>
      <w:bookmarkEnd w:id="357"/>
      <w:bookmarkEnd w:id="358"/>
      <w:bookmarkEnd w:id="359"/>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bookmarkStart w:id="360" w:name="_Toc89266856"/>
      <w:bookmarkStart w:id="361" w:name="_Toc40788068"/>
      <w:bookmarkStart w:id="362" w:name="_Toc53062730"/>
      <w:r>
        <w:rPr>
          <w:rFonts w:hint="eastAsia" w:ascii="微软雅黑" w:hAnsi="微软雅黑"/>
          <w:color w:val="000000" w:themeColor="text1"/>
          <w:highlight w:val="none"/>
          <w14:textFill>
            <w14:solidFill>
              <w14:schemeClr w14:val="tx1"/>
            </w14:solidFill>
          </w14:textFill>
        </w:rPr>
        <w:t>9.12评审专家认定的其他必须按无效响应文件处理的。</w:t>
      </w:r>
      <w:bookmarkEnd w:id="360"/>
      <w:bookmarkEnd w:id="361"/>
      <w:bookmarkEnd w:id="362"/>
    </w:p>
    <w:p>
      <w:pPr>
        <w:pStyle w:val="5"/>
        <w:spacing w:beforeLines="50" w:after="240" w:afterLines="100" w:line="500" w:lineRule="exact"/>
        <w:rPr>
          <w:rFonts w:ascii="微软雅黑" w:hAnsi="微软雅黑" w:eastAsia="微软雅黑"/>
          <w:color w:val="000000" w:themeColor="text1"/>
          <w:sz w:val="28"/>
          <w:szCs w:val="28"/>
          <w:highlight w:val="none"/>
          <w14:textFill>
            <w14:solidFill>
              <w14:schemeClr w14:val="tx1"/>
            </w14:solidFill>
          </w14:textFill>
        </w:rPr>
      </w:pPr>
      <w:bookmarkStart w:id="363" w:name="_Toc192313118"/>
      <w:bookmarkStart w:id="364" w:name="_Toc89266857"/>
      <w:bookmarkStart w:id="365" w:name="_Toc100764229"/>
      <w:bookmarkStart w:id="366" w:name="_Toc53062731"/>
      <w:bookmarkStart w:id="367" w:name="_Toc493699308"/>
      <w:bookmarkStart w:id="368" w:name="_Toc40788069"/>
      <w:r>
        <w:rPr>
          <w:rFonts w:hint="eastAsia" w:ascii="微软雅黑" w:hAnsi="微软雅黑" w:eastAsia="微软雅黑"/>
          <w:color w:val="000000" w:themeColor="text1"/>
          <w:sz w:val="28"/>
          <w:szCs w:val="28"/>
          <w:highlight w:val="none"/>
          <w14:textFill>
            <w14:solidFill>
              <w14:schemeClr w14:val="tx1"/>
            </w14:solidFill>
          </w14:textFill>
        </w:rPr>
        <w:t>四</w:t>
      </w:r>
      <w:bookmarkEnd w:id="250"/>
      <w:bookmarkEnd w:id="251"/>
      <w:bookmarkEnd w:id="363"/>
      <w:r>
        <w:rPr>
          <w:rFonts w:hint="eastAsia" w:ascii="微软雅黑" w:hAnsi="微软雅黑" w:eastAsia="微软雅黑"/>
          <w:color w:val="000000" w:themeColor="text1"/>
          <w:sz w:val="28"/>
          <w:szCs w:val="28"/>
          <w:highlight w:val="none"/>
          <w14:textFill>
            <w14:solidFill>
              <w14:schemeClr w14:val="tx1"/>
            </w14:solidFill>
          </w14:textFill>
        </w:rPr>
        <w:t>、磋商前的准备</w:t>
      </w:r>
      <w:bookmarkEnd w:id="364"/>
      <w:bookmarkEnd w:id="365"/>
      <w:bookmarkEnd w:id="366"/>
      <w:bookmarkEnd w:id="367"/>
      <w:bookmarkEnd w:id="368"/>
    </w:p>
    <w:p>
      <w:pPr>
        <w:pStyle w:val="31"/>
        <w:spacing w:after="0" w:line="500" w:lineRule="exact"/>
        <w:ind w:left="2" w:firstLine="420" w:firstLineChars="200"/>
        <w:rPr>
          <w:rFonts w:ascii="微软雅黑" w:hAnsi="微软雅黑"/>
          <w:b/>
          <w:bCs/>
          <w:color w:val="000000" w:themeColor="text1"/>
          <w:szCs w:val="21"/>
          <w:highlight w:val="none"/>
          <w14:textFill>
            <w14:solidFill>
              <w14:schemeClr w14:val="tx1"/>
            </w14:solidFill>
          </w14:textFill>
        </w:rPr>
      </w:pPr>
      <w:r>
        <w:rPr>
          <w:rFonts w:hint="eastAsia" w:ascii="微软雅黑" w:hAnsi="微软雅黑"/>
          <w:b/>
          <w:color w:val="000000" w:themeColor="text1"/>
          <w:szCs w:val="21"/>
          <w:highlight w:val="none"/>
          <w14:textFill>
            <w14:solidFill>
              <w14:schemeClr w14:val="tx1"/>
            </w14:solidFill>
          </w14:textFill>
        </w:rPr>
        <w:t>1、</w:t>
      </w:r>
      <w:r>
        <w:rPr>
          <w:rFonts w:hint="eastAsia" w:ascii="微软雅黑" w:hAnsi="微软雅黑"/>
          <w:b/>
          <w:bCs/>
          <w:color w:val="000000" w:themeColor="text1"/>
          <w:szCs w:val="21"/>
          <w:highlight w:val="none"/>
          <w14:textFill>
            <w14:solidFill>
              <w14:schemeClr w14:val="tx1"/>
            </w14:solidFill>
          </w14:textFill>
        </w:rPr>
        <w:t>开标的准备工作由采购组织机构负责落实；</w:t>
      </w:r>
    </w:p>
    <w:p>
      <w:pPr>
        <w:pStyle w:val="31"/>
        <w:spacing w:after="0" w:line="500" w:lineRule="exact"/>
        <w:ind w:left="2" w:firstLine="420" w:firstLineChars="200"/>
        <w:rPr>
          <w:rFonts w:ascii="微软雅黑" w:hAnsi="微软雅黑"/>
          <w:b/>
          <w:bCs/>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2、采购组织机构将按照竞争性磋商文件规定的时间通过“政府采购云平台”组织开标、开启竞争性磋商响应文件，所有供应商均应当准时在线参加。投标供应商如不参加开标大会的，视同认可开标结果，事后不得对采购相关人员、开标过程和开标结果提出异议，同时投标供应商因未在线参加开标而导致竞争性磋商响应文件无法按时解密等一切后果由供应商自己承担。</w:t>
      </w:r>
      <w:bookmarkStart w:id="369" w:name="_Toc192313119"/>
      <w:bookmarkStart w:id="370" w:name="_Toc493699309"/>
    </w:p>
    <w:p>
      <w:pPr>
        <w:pStyle w:val="5"/>
        <w:spacing w:beforeLines="50" w:after="240" w:afterLines="100" w:line="500" w:lineRule="exact"/>
        <w:rPr>
          <w:rFonts w:ascii="微软雅黑" w:hAnsi="微软雅黑" w:eastAsia="微软雅黑"/>
          <w:color w:val="000000" w:themeColor="text1"/>
          <w:sz w:val="28"/>
          <w:szCs w:val="28"/>
          <w:highlight w:val="none"/>
          <w14:textFill>
            <w14:solidFill>
              <w14:schemeClr w14:val="tx1"/>
            </w14:solidFill>
          </w14:textFill>
        </w:rPr>
      </w:pPr>
      <w:bookmarkStart w:id="371" w:name="_Toc40788070"/>
      <w:bookmarkStart w:id="372" w:name="_Toc100764230"/>
      <w:bookmarkStart w:id="373" w:name="_Toc53062732"/>
      <w:bookmarkStart w:id="374" w:name="_Toc89266858"/>
      <w:r>
        <w:rPr>
          <w:rFonts w:hint="eastAsia" w:ascii="微软雅黑" w:hAnsi="微软雅黑" w:eastAsia="微软雅黑"/>
          <w:color w:val="000000" w:themeColor="text1"/>
          <w:sz w:val="28"/>
          <w:szCs w:val="28"/>
          <w:highlight w:val="none"/>
          <w14:textFill>
            <w14:solidFill>
              <w14:schemeClr w14:val="tx1"/>
            </w14:solidFill>
          </w14:textFill>
        </w:rPr>
        <w:t>五</w:t>
      </w:r>
      <w:bookmarkEnd w:id="369"/>
      <w:r>
        <w:rPr>
          <w:rFonts w:hint="eastAsia" w:ascii="微软雅黑" w:hAnsi="微软雅黑" w:eastAsia="微软雅黑"/>
          <w:color w:val="000000" w:themeColor="text1"/>
          <w:sz w:val="28"/>
          <w:szCs w:val="28"/>
          <w:highlight w:val="none"/>
          <w14:textFill>
            <w14:solidFill>
              <w14:schemeClr w14:val="tx1"/>
            </w14:solidFill>
          </w14:textFill>
        </w:rPr>
        <w:t>、磋商程序</w:t>
      </w:r>
      <w:bookmarkEnd w:id="370"/>
      <w:bookmarkEnd w:id="371"/>
      <w:bookmarkEnd w:id="372"/>
      <w:bookmarkEnd w:id="373"/>
      <w:bookmarkEnd w:id="374"/>
    </w:p>
    <w:p>
      <w:pPr>
        <w:spacing w:after="0" w:line="500" w:lineRule="exact"/>
        <w:ind w:firstLine="410"/>
        <w:outlineLvl w:val="2"/>
        <w:rPr>
          <w:rFonts w:ascii="微软雅黑" w:hAnsi="微软雅黑"/>
          <w:b/>
          <w:snapToGrid w:val="0"/>
          <w:color w:val="000000" w:themeColor="text1"/>
          <w:highlight w:val="none"/>
          <w14:textFill>
            <w14:solidFill>
              <w14:schemeClr w14:val="tx1"/>
            </w14:solidFill>
          </w14:textFill>
        </w:rPr>
      </w:pPr>
      <w:bookmarkStart w:id="375" w:name="_Toc100764231"/>
      <w:bookmarkStart w:id="376" w:name="_Toc192313120"/>
      <w:r>
        <w:rPr>
          <w:rFonts w:hint="eastAsia" w:ascii="微软雅黑" w:hAnsi="微软雅黑"/>
          <w:b/>
          <w:snapToGrid w:val="0"/>
          <w:color w:val="000000" w:themeColor="text1"/>
          <w:highlight w:val="none"/>
          <w14:textFill>
            <w14:solidFill>
              <w14:schemeClr w14:val="tx1"/>
            </w14:solidFill>
          </w14:textFill>
        </w:rPr>
        <w:t>1、磋商流程：</w:t>
      </w:r>
      <w:bookmarkEnd w:id="375"/>
    </w:p>
    <w:p>
      <w:pPr>
        <w:pStyle w:val="31"/>
        <w:spacing w:after="0" w:line="500" w:lineRule="exact"/>
        <w:ind w:left="2" w:firstLine="420" w:firstLineChars="200"/>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1.1磋商小组讨论、通过磋商工作流程和磋商要点。</w:t>
      </w:r>
    </w:p>
    <w:p>
      <w:pPr>
        <w:pStyle w:val="31"/>
        <w:spacing w:after="0" w:line="500" w:lineRule="exact"/>
        <w:ind w:left="2" w:firstLine="420" w:firstLineChars="200"/>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1.2主持人宣布磋商的有关事项；</w:t>
      </w:r>
    </w:p>
    <w:p>
      <w:pPr>
        <w:pStyle w:val="31"/>
        <w:spacing w:after="0" w:line="500" w:lineRule="exact"/>
        <w:ind w:left="2" w:firstLine="420" w:firstLineChars="200"/>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1.3磋商小组对所提交的磋商响应文件进行审查，审查结束后，由主持人公布无效磋商响应方名单、磋商响应无效的原因、标项废标情况；</w:t>
      </w:r>
    </w:p>
    <w:p>
      <w:pPr>
        <w:pStyle w:val="31"/>
        <w:spacing w:after="0" w:line="500" w:lineRule="exact"/>
        <w:ind w:left="2" w:firstLine="420" w:firstLineChars="200"/>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1.4磋商小组按标项与各磋商响应方就公司情况、项目需求、售后服务、价格构成、供货时间、付款方式等要素分别进行磋商。逐家磋商一次为一个轮次，磋商轮次由磋商小组视情况决定。</w:t>
      </w:r>
    </w:p>
    <w:p>
      <w:pPr>
        <w:pStyle w:val="31"/>
        <w:spacing w:after="0" w:line="500" w:lineRule="exact"/>
        <w:ind w:left="2" w:firstLine="420" w:firstLineChars="200"/>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1.5项目磋商结束后，主持人宣布本次最终报价的最高限价，并要求各磋商响应方在规定时间内进行最终报价，密封后统一时间收取保存。在规定时间内没有提交最终报价的磋商供应商，其磋商文件视为无效。</w:t>
      </w:r>
    </w:p>
    <w:p>
      <w:pPr>
        <w:pStyle w:val="31"/>
        <w:spacing w:after="0" w:line="500" w:lineRule="exact"/>
        <w:ind w:left="2" w:firstLine="420" w:firstLineChars="200"/>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1.6在各磋商响应方最终报价过程中，同时磋商小组根据第三章评审方法对各磋商响应方的资信及商务、技术情况进行评审打分。工作人员按照磋商小组独立评定结果进行算术平均值计算。</w:t>
      </w:r>
    </w:p>
    <w:p>
      <w:pPr>
        <w:pStyle w:val="31"/>
        <w:spacing w:after="0" w:line="500" w:lineRule="exact"/>
        <w:ind w:left="2" w:firstLine="420" w:firstLineChars="200"/>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1.7主持人宣布磋商最终报价（价格标）评审的有关事项。</w:t>
      </w:r>
    </w:p>
    <w:p>
      <w:pPr>
        <w:pStyle w:val="31"/>
        <w:spacing w:after="0" w:line="500" w:lineRule="exact"/>
        <w:ind w:left="2" w:firstLine="420" w:firstLineChars="200"/>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1.8工作人员查验最终报价的密封情况，确认无误后拆封各磋商响应方提交的按规定进入价格标评审的磋商最终报价，并公开宣读最终报价，最后要求磋商响应方公开确认无误。</w:t>
      </w:r>
    </w:p>
    <w:p>
      <w:pPr>
        <w:pStyle w:val="31"/>
        <w:spacing w:after="0" w:line="500" w:lineRule="exact"/>
        <w:ind w:left="2" w:firstLine="420" w:firstLineChars="200"/>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1.9磋商小组对最终报价的合理性进行审核，决定是否结束磋商。若报价合理，磋商小组则根据第三章评审方法计算出总得分并推荐中标商；</w:t>
      </w:r>
    </w:p>
    <w:p>
      <w:pPr>
        <w:pStyle w:val="31"/>
        <w:spacing w:after="0" w:line="500" w:lineRule="exact"/>
        <w:ind w:left="2" w:firstLine="420" w:firstLineChars="200"/>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1.10磋商结束后，主持人公布有效磋商响应方的总得分结果和推荐的中标商。</w:t>
      </w:r>
    </w:p>
    <w:p>
      <w:pPr>
        <w:pStyle w:val="31"/>
        <w:spacing w:after="0" w:line="500" w:lineRule="exact"/>
        <w:ind w:left="2" w:firstLine="420" w:firstLineChars="200"/>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1.11磋商原则：磋商小组必须公平、公正、客观，不带任何倾向性和启发性；不得向外界透露任何与磋商有关的内容；任何单位和个人不得干扰、影响磋商的正常进行；磋商小组及有关工作人员不得私下与磋商响应方接触。</w:t>
      </w:r>
    </w:p>
    <w:p>
      <w:pPr>
        <w:spacing w:after="0" w:line="500" w:lineRule="exact"/>
        <w:ind w:firstLine="410"/>
        <w:outlineLvl w:val="2"/>
        <w:rPr>
          <w:rFonts w:ascii="微软雅黑" w:hAnsi="微软雅黑"/>
          <w:b/>
          <w:snapToGrid w:val="0"/>
          <w:color w:val="000000" w:themeColor="text1"/>
          <w:highlight w:val="none"/>
          <w14:textFill>
            <w14:solidFill>
              <w14:schemeClr w14:val="tx1"/>
            </w14:solidFill>
          </w14:textFill>
        </w:rPr>
      </w:pPr>
      <w:bookmarkStart w:id="377" w:name="_Toc332724041"/>
      <w:bookmarkStart w:id="378" w:name="_Toc493082127"/>
      <w:bookmarkStart w:id="379" w:name="_Toc448487547"/>
      <w:bookmarkStart w:id="380" w:name="_Toc493699311"/>
      <w:bookmarkStart w:id="381" w:name="_Toc100764232"/>
      <w:bookmarkStart w:id="382" w:name="_Toc437979788"/>
      <w:r>
        <w:rPr>
          <w:rFonts w:hint="eastAsia" w:ascii="微软雅黑" w:hAnsi="微软雅黑"/>
          <w:b/>
          <w:snapToGrid w:val="0"/>
          <w:color w:val="000000" w:themeColor="text1"/>
          <w:highlight w:val="none"/>
          <w14:textFill>
            <w14:solidFill>
              <w14:schemeClr w14:val="tx1"/>
            </w14:solidFill>
          </w14:textFill>
        </w:rPr>
        <w:t>2、磋商文件的澄清</w:t>
      </w:r>
      <w:bookmarkEnd w:id="377"/>
      <w:bookmarkEnd w:id="378"/>
      <w:bookmarkEnd w:id="379"/>
      <w:bookmarkEnd w:id="380"/>
      <w:bookmarkEnd w:id="381"/>
      <w:bookmarkEnd w:id="382"/>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383" w:name="_Toc40788071"/>
      <w:bookmarkStart w:id="384" w:name="_Toc53062733"/>
      <w:bookmarkStart w:id="385" w:name="_Toc89266859"/>
      <w:r>
        <w:rPr>
          <w:rFonts w:hint="eastAsia" w:ascii="微软雅黑" w:hAnsi="微软雅黑"/>
          <w:snapToGrid w:val="0"/>
          <w:color w:val="000000" w:themeColor="text1"/>
          <w:highlight w:val="none"/>
          <w14:textFill>
            <w14:solidFill>
              <w14:schemeClr w14:val="tx1"/>
            </w14:solidFill>
          </w14:textFill>
        </w:rPr>
        <w:t>2.1在磋商期间，磋商小组有权要求磋商供应商对其磋商文件含义不明确、同类问题表述不一致或者有明显文字和计算错误的内容进行澄清。磋商供应商应派授权代表和技术人员按磋商小组通知的时间和地点接受询标。</w:t>
      </w:r>
      <w:bookmarkEnd w:id="383"/>
      <w:bookmarkEnd w:id="384"/>
      <w:bookmarkEnd w:id="385"/>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386" w:name="_Toc53062734"/>
      <w:bookmarkStart w:id="387" w:name="_Toc89266860"/>
      <w:bookmarkStart w:id="388" w:name="_Toc40788072"/>
      <w:r>
        <w:rPr>
          <w:rFonts w:hint="eastAsia" w:ascii="微软雅黑" w:hAnsi="微软雅黑"/>
          <w:snapToGrid w:val="0"/>
          <w:color w:val="000000" w:themeColor="text1"/>
          <w:highlight w:val="none"/>
          <w14:textFill>
            <w14:solidFill>
              <w14:schemeClr w14:val="tx1"/>
            </w14:solidFill>
          </w14:textFill>
        </w:rPr>
        <w:t>2.2磋商小组认为有必要，可要求磋商供应商对某些问题作出必要的澄清、说明和纠正。供应商的澄清、说明或者补正应当采用书面形式，由其授权的代表签字。供应商的书面澄清材料作为磋商文件的补充。</w:t>
      </w:r>
      <w:bookmarkEnd w:id="386"/>
      <w:bookmarkEnd w:id="387"/>
      <w:bookmarkEnd w:id="388"/>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389" w:name="_Toc40788073"/>
      <w:bookmarkStart w:id="390" w:name="_Toc53062735"/>
      <w:bookmarkStart w:id="391" w:name="_Toc89266861"/>
      <w:r>
        <w:rPr>
          <w:rFonts w:hint="eastAsia" w:ascii="微软雅黑" w:hAnsi="微软雅黑"/>
          <w:snapToGrid w:val="0"/>
          <w:color w:val="000000" w:themeColor="text1"/>
          <w:highlight w:val="none"/>
          <w14:textFill>
            <w14:solidFill>
              <w14:schemeClr w14:val="tx1"/>
            </w14:solidFill>
          </w14:textFill>
        </w:rPr>
        <w:t>2.3磋商供应商不按磋商小组规定的时间和地点作书面澄清，将视为放弃该权利。</w:t>
      </w:r>
      <w:bookmarkEnd w:id="389"/>
      <w:bookmarkEnd w:id="390"/>
      <w:bookmarkEnd w:id="391"/>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392" w:name="_Toc89266862"/>
      <w:bookmarkStart w:id="393" w:name="_Toc53062736"/>
      <w:bookmarkStart w:id="394" w:name="_Toc40788074"/>
      <w:r>
        <w:rPr>
          <w:rFonts w:hint="eastAsia" w:ascii="微软雅黑" w:hAnsi="微软雅黑"/>
          <w:snapToGrid w:val="0"/>
          <w:color w:val="000000" w:themeColor="text1"/>
          <w:highlight w:val="none"/>
          <w14:textFill>
            <w14:solidFill>
              <w14:schemeClr w14:val="tx1"/>
            </w14:solidFill>
          </w14:textFill>
        </w:rPr>
        <w:t>2.4并非每个磋商供应商都将被询标。</w:t>
      </w:r>
      <w:bookmarkEnd w:id="392"/>
      <w:bookmarkEnd w:id="393"/>
      <w:bookmarkEnd w:id="394"/>
    </w:p>
    <w:p>
      <w:pPr>
        <w:spacing w:after="0" w:line="500" w:lineRule="exact"/>
        <w:ind w:firstLine="410"/>
        <w:outlineLvl w:val="2"/>
        <w:rPr>
          <w:rFonts w:ascii="微软雅黑" w:hAnsi="微软雅黑"/>
          <w:b/>
          <w:snapToGrid w:val="0"/>
          <w:color w:val="000000" w:themeColor="text1"/>
          <w:highlight w:val="none"/>
          <w14:textFill>
            <w14:solidFill>
              <w14:schemeClr w14:val="tx1"/>
            </w14:solidFill>
          </w14:textFill>
        </w:rPr>
      </w:pPr>
      <w:bookmarkStart w:id="395" w:name="_Toc53062737"/>
      <w:bookmarkStart w:id="396" w:name="_Toc89266863"/>
      <w:bookmarkStart w:id="397" w:name="_Toc448487548"/>
      <w:bookmarkStart w:id="398" w:name="_Toc493082128"/>
      <w:bookmarkStart w:id="399" w:name="_Toc493699312"/>
      <w:bookmarkStart w:id="400" w:name="_Toc332724042"/>
      <w:bookmarkStart w:id="401" w:name="_Toc437979789"/>
      <w:bookmarkStart w:id="402" w:name="_Toc100764233"/>
      <w:bookmarkStart w:id="403" w:name="_Toc40788075"/>
      <w:r>
        <w:rPr>
          <w:rFonts w:hint="eastAsia" w:ascii="微软雅黑" w:hAnsi="微软雅黑"/>
          <w:b/>
          <w:snapToGrid w:val="0"/>
          <w:color w:val="000000" w:themeColor="text1"/>
          <w:highlight w:val="none"/>
          <w14:textFill>
            <w14:solidFill>
              <w14:schemeClr w14:val="tx1"/>
            </w14:solidFill>
          </w14:textFill>
        </w:rPr>
        <w:t>3、确定成交供应商</w:t>
      </w:r>
      <w:bookmarkEnd w:id="395"/>
      <w:bookmarkEnd w:id="396"/>
      <w:bookmarkEnd w:id="397"/>
      <w:bookmarkEnd w:id="398"/>
      <w:bookmarkEnd w:id="399"/>
      <w:bookmarkEnd w:id="400"/>
      <w:bookmarkEnd w:id="401"/>
      <w:bookmarkEnd w:id="402"/>
      <w:bookmarkEnd w:id="403"/>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404" w:name="_Toc40788076"/>
      <w:bookmarkStart w:id="405" w:name="_Toc53062738"/>
      <w:bookmarkStart w:id="406" w:name="_Toc89266864"/>
      <w:r>
        <w:rPr>
          <w:rFonts w:hint="eastAsia" w:ascii="微软雅黑" w:hAnsi="微软雅黑"/>
          <w:snapToGrid w:val="0"/>
          <w:color w:val="000000" w:themeColor="text1"/>
          <w:highlight w:val="none"/>
          <w14:textFill>
            <w14:solidFill>
              <w14:schemeClr w14:val="tx1"/>
            </w14:solidFill>
          </w14:textFill>
        </w:rPr>
        <w:t>3.1磋商小组将对通过资格性审查和符合性审查的磋商文件进行评价和比较。</w:t>
      </w:r>
      <w:bookmarkEnd w:id="404"/>
      <w:bookmarkEnd w:id="405"/>
      <w:bookmarkEnd w:id="406"/>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407" w:name="_Toc40788077"/>
      <w:bookmarkStart w:id="408" w:name="_Toc89266865"/>
      <w:bookmarkStart w:id="409" w:name="_Toc53062739"/>
      <w:r>
        <w:rPr>
          <w:rFonts w:hint="eastAsia" w:ascii="微软雅黑" w:hAnsi="微软雅黑"/>
          <w:snapToGrid w:val="0"/>
          <w:color w:val="000000" w:themeColor="text1"/>
          <w:highlight w:val="none"/>
          <w14:textFill>
            <w14:solidFill>
              <w14:schemeClr w14:val="tx1"/>
            </w14:solidFill>
          </w14:textFill>
        </w:rPr>
        <w:t>3.2磋商小组按采购文件第三章中公布的评定成交标准对磋商文件进行评审，确定成交候选人。最低报价等任何单项因素的最优不能作为成交的保证。</w:t>
      </w:r>
      <w:bookmarkEnd w:id="407"/>
      <w:bookmarkEnd w:id="408"/>
      <w:bookmarkEnd w:id="409"/>
    </w:p>
    <w:p>
      <w:pPr>
        <w:spacing w:after="0" w:line="500" w:lineRule="exact"/>
        <w:ind w:firstLine="410"/>
        <w:outlineLvl w:val="2"/>
        <w:rPr>
          <w:rFonts w:ascii="微软雅黑" w:hAnsi="微软雅黑"/>
          <w:b/>
          <w:snapToGrid w:val="0"/>
          <w:color w:val="000000" w:themeColor="text1"/>
          <w:highlight w:val="none"/>
          <w14:textFill>
            <w14:solidFill>
              <w14:schemeClr w14:val="tx1"/>
            </w14:solidFill>
          </w14:textFill>
        </w:rPr>
      </w:pPr>
      <w:bookmarkStart w:id="410" w:name="_Toc493699313"/>
      <w:bookmarkStart w:id="411" w:name="_Toc40788078"/>
      <w:bookmarkStart w:id="412" w:name="_Toc100764234"/>
      <w:bookmarkStart w:id="413" w:name="_Toc89266866"/>
      <w:bookmarkStart w:id="414" w:name="_Toc53062740"/>
      <w:bookmarkStart w:id="415" w:name="_Toc493082129"/>
      <w:bookmarkStart w:id="416" w:name="_Toc437979790"/>
      <w:bookmarkStart w:id="417" w:name="_Toc332724043"/>
      <w:bookmarkStart w:id="418" w:name="_Toc448487549"/>
      <w:r>
        <w:rPr>
          <w:rFonts w:hint="eastAsia" w:ascii="微软雅黑" w:hAnsi="微软雅黑"/>
          <w:b/>
          <w:snapToGrid w:val="0"/>
          <w:color w:val="000000" w:themeColor="text1"/>
          <w:highlight w:val="none"/>
          <w14:textFill>
            <w14:solidFill>
              <w14:schemeClr w14:val="tx1"/>
            </w14:solidFill>
          </w14:textFill>
        </w:rPr>
        <w:t>4、磋商过程保密</w:t>
      </w:r>
      <w:bookmarkEnd w:id="410"/>
      <w:bookmarkEnd w:id="411"/>
      <w:bookmarkEnd w:id="412"/>
      <w:bookmarkEnd w:id="413"/>
      <w:bookmarkEnd w:id="414"/>
      <w:bookmarkEnd w:id="415"/>
      <w:bookmarkEnd w:id="416"/>
      <w:bookmarkEnd w:id="417"/>
      <w:bookmarkEnd w:id="418"/>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419" w:name="_Toc89266867"/>
      <w:bookmarkStart w:id="420" w:name="_Toc53062741"/>
      <w:bookmarkStart w:id="421" w:name="_Toc40788079"/>
      <w:r>
        <w:rPr>
          <w:rFonts w:hint="eastAsia" w:ascii="微软雅黑" w:hAnsi="微软雅黑"/>
          <w:snapToGrid w:val="0"/>
          <w:color w:val="000000" w:themeColor="text1"/>
          <w:highlight w:val="none"/>
          <w14:textFill>
            <w14:solidFill>
              <w14:schemeClr w14:val="tx1"/>
            </w14:solidFill>
          </w14:textFill>
        </w:rPr>
        <w:t>4.1在宣布成交结果之前，凡属于审查、澄清、评价、比较磋商文件等有关信息，相关当事人均不得泄露给任何磋商供应商或与磋商工作无关的人员。</w:t>
      </w:r>
      <w:bookmarkEnd w:id="419"/>
      <w:bookmarkEnd w:id="420"/>
      <w:bookmarkEnd w:id="421"/>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422" w:name="_Toc40788080"/>
      <w:bookmarkStart w:id="423" w:name="_Toc89266868"/>
      <w:bookmarkStart w:id="424" w:name="_Toc53062742"/>
      <w:r>
        <w:rPr>
          <w:rFonts w:hint="eastAsia" w:ascii="微软雅黑" w:hAnsi="微软雅黑"/>
          <w:snapToGrid w:val="0"/>
          <w:color w:val="000000" w:themeColor="text1"/>
          <w:highlight w:val="none"/>
          <w14:textFill>
            <w14:solidFill>
              <w14:schemeClr w14:val="tx1"/>
            </w14:solidFill>
          </w14:textFill>
        </w:rPr>
        <w:t>4.2磋商供应商不得探听上述信息，不得以任何行为影响磋商过程，否则其磋商文件将被作为无效磋商文件。</w:t>
      </w:r>
      <w:bookmarkEnd w:id="422"/>
      <w:bookmarkEnd w:id="423"/>
      <w:bookmarkEnd w:id="424"/>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425" w:name="_Toc53062743"/>
      <w:bookmarkStart w:id="426" w:name="_Toc89266869"/>
      <w:bookmarkStart w:id="427" w:name="_Toc40788081"/>
      <w:r>
        <w:rPr>
          <w:rFonts w:hint="eastAsia" w:ascii="微软雅黑" w:hAnsi="微软雅黑"/>
          <w:snapToGrid w:val="0"/>
          <w:color w:val="000000" w:themeColor="text1"/>
          <w:highlight w:val="none"/>
          <w14:textFill>
            <w14:solidFill>
              <w14:schemeClr w14:val="tx1"/>
            </w14:solidFill>
          </w14:textFill>
        </w:rPr>
        <w:t>4.3在磋商期间，采购中心将有专门人员与磋商供应商进行联络。</w:t>
      </w:r>
      <w:bookmarkEnd w:id="425"/>
      <w:bookmarkEnd w:id="426"/>
      <w:bookmarkEnd w:id="427"/>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428" w:name="_Toc40788082"/>
      <w:bookmarkStart w:id="429" w:name="_Toc89266870"/>
      <w:bookmarkStart w:id="430" w:name="_Toc53062744"/>
      <w:r>
        <w:rPr>
          <w:rFonts w:hint="eastAsia" w:ascii="微软雅黑" w:hAnsi="微软雅黑"/>
          <w:snapToGrid w:val="0"/>
          <w:color w:val="000000" w:themeColor="text1"/>
          <w:highlight w:val="none"/>
          <w14:textFill>
            <w14:solidFill>
              <w14:schemeClr w14:val="tx1"/>
            </w14:solidFill>
          </w14:textFill>
        </w:rPr>
        <w:t>4.4采购中心和磋商小组不向未成交的磋商供应商解释未成交原因，也不对磋商过程中的细节问题进行公布。</w:t>
      </w:r>
      <w:bookmarkEnd w:id="428"/>
      <w:bookmarkEnd w:id="429"/>
      <w:bookmarkEnd w:id="430"/>
    </w:p>
    <w:p>
      <w:pPr>
        <w:spacing w:after="0" w:line="500" w:lineRule="exact"/>
        <w:ind w:firstLine="410"/>
        <w:outlineLvl w:val="2"/>
        <w:rPr>
          <w:rFonts w:ascii="微软雅黑" w:hAnsi="微软雅黑"/>
          <w:b/>
          <w:snapToGrid w:val="0"/>
          <w:color w:val="000000" w:themeColor="text1"/>
          <w:highlight w:val="none"/>
          <w14:textFill>
            <w14:solidFill>
              <w14:schemeClr w14:val="tx1"/>
            </w14:solidFill>
          </w14:textFill>
        </w:rPr>
      </w:pPr>
      <w:bookmarkStart w:id="431" w:name="_Toc437979791"/>
      <w:bookmarkStart w:id="432" w:name="_Toc448487550"/>
      <w:bookmarkStart w:id="433" w:name="_Toc100764235"/>
      <w:bookmarkStart w:id="434" w:name="_Toc332724044"/>
      <w:bookmarkStart w:id="435" w:name="_Toc40788083"/>
      <w:bookmarkStart w:id="436" w:name="_Toc53062745"/>
      <w:bookmarkStart w:id="437" w:name="_Toc493699314"/>
      <w:bookmarkStart w:id="438" w:name="_Toc89266871"/>
      <w:bookmarkStart w:id="439" w:name="_Toc493082130"/>
      <w:r>
        <w:rPr>
          <w:rFonts w:hint="eastAsia" w:ascii="微软雅黑" w:hAnsi="微软雅黑"/>
          <w:b/>
          <w:snapToGrid w:val="0"/>
          <w:color w:val="000000" w:themeColor="text1"/>
          <w:highlight w:val="none"/>
          <w14:textFill>
            <w14:solidFill>
              <w14:schemeClr w14:val="tx1"/>
            </w14:solidFill>
          </w14:textFill>
        </w:rPr>
        <w:t>5、磋商供应商不足三家的处理</w:t>
      </w:r>
      <w:bookmarkEnd w:id="431"/>
      <w:bookmarkEnd w:id="432"/>
      <w:bookmarkEnd w:id="433"/>
      <w:bookmarkEnd w:id="434"/>
      <w:bookmarkEnd w:id="435"/>
      <w:bookmarkEnd w:id="436"/>
      <w:bookmarkEnd w:id="437"/>
      <w:bookmarkEnd w:id="438"/>
      <w:bookmarkEnd w:id="439"/>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440" w:name="_Toc89266872"/>
      <w:bookmarkStart w:id="441" w:name="_Toc487793403"/>
      <w:bookmarkStart w:id="442" w:name="_Toc487802117"/>
      <w:bookmarkStart w:id="443" w:name="_Toc40788084"/>
      <w:bookmarkStart w:id="444" w:name="_Toc487802048"/>
      <w:bookmarkStart w:id="445" w:name="_Toc53062746"/>
      <w:bookmarkStart w:id="446" w:name="_Toc487802118"/>
      <w:bookmarkStart w:id="447" w:name="_Toc493699315"/>
      <w:r>
        <w:rPr>
          <w:rFonts w:hint="eastAsia" w:ascii="微软雅黑" w:hAnsi="微软雅黑"/>
          <w:snapToGrid w:val="0"/>
          <w:color w:val="000000" w:themeColor="text1"/>
          <w:highlight w:val="none"/>
          <w14:textFill>
            <w14:solidFill>
              <w14:schemeClr w14:val="tx1"/>
            </w14:solidFill>
          </w14:textFill>
        </w:rPr>
        <w:t>根据财库[2015] 124号，规定采用竞争性磋商采购方式采购的政府购买服务项目（含政府和社会资本合作项目），在采购过程中符合要求的供应商（社会资本）只有2家的，竞争性磋商采购活动可以继续进行采用竞争性磋商采购方式采购的政府购买服务项目（含政府和社会资本合作项目），采购过程中符合要求的供应商（社会资本）只有1家的，采购人（项目实施机构）或者采购代理机构应当终止竞争性磋商采购活动，发布项目终止公告并说明原因，重新开展采购活动。</w:t>
      </w:r>
      <w:bookmarkEnd w:id="440"/>
      <w:bookmarkEnd w:id="441"/>
      <w:bookmarkEnd w:id="442"/>
      <w:bookmarkEnd w:id="443"/>
      <w:bookmarkEnd w:id="444"/>
      <w:bookmarkEnd w:id="445"/>
    </w:p>
    <w:p>
      <w:pPr>
        <w:pStyle w:val="5"/>
        <w:spacing w:beforeLines="50" w:after="240" w:afterLines="100" w:line="500" w:lineRule="exact"/>
        <w:rPr>
          <w:rFonts w:ascii="微软雅黑" w:hAnsi="微软雅黑" w:eastAsia="微软雅黑"/>
          <w:color w:val="000000" w:themeColor="text1"/>
          <w:sz w:val="28"/>
          <w:szCs w:val="28"/>
          <w:highlight w:val="none"/>
          <w14:textFill>
            <w14:solidFill>
              <w14:schemeClr w14:val="tx1"/>
            </w14:solidFill>
          </w14:textFill>
        </w:rPr>
      </w:pPr>
      <w:bookmarkStart w:id="448" w:name="_Toc89266873"/>
      <w:bookmarkStart w:id="449" w:name="_Toc53062747"/>
      <w:bookmarkStart w:id="450" w:name="_Toc100764236"/>
      <w:bookmarkStart w:id="451" w:name="_Toc40788085"/>
      <w:r>
        <w:rPr>
          <w:rFonts w:hint="eastAsia" w:ascii="微软雅黑" w:hAnsi="微软雅黑" w:eastAsia="微软雅黑"/>
          <w:color w:val="000000" w:themeColor="text1"/>
          <w:sz w:val="28"/>
          <w:szCs w:val="28"/>
          <w:highlight w:val="none"/>
          <w14:textFill>
            <w14:solidFill>
              <w14:schemeClr w14:val="tx1"/>
            </w14:solidFill>
          </w14:textFill>
        </w:rPr>
        <w:t>六、评标</w:t>
      </w:r>
      <w:bookmarkEnd w:id="446"/>
      <w:bookmarkEnd w:id="447"/>
      <w:bookmarkEnd w:id="448"/>
      <w:bookmarkEnd w:id="449"/>
      <w:bookmarkEnd w:id="450"/>
      <w:bookmarkEnd w:id="451"/>
    </w:p>
    <w:p>
      <w:pPr>
        <w:spacing w:after="0" w:line="500" w:lineRule="exact"/>
        <w:ind w:firstLine="410"/>
        <w:outlineLvl w:val="2"/>
        <w:rPr>
          <w:rFonts w:ascii="微软雅黑" w:hAnsi="微软雅黑"/>
          <w:b/>
          <w:snapToGrid w:val="0"/>
          <w:color w:val="000000" w:themeColor="text1"/>
          <w:highlight w:val="none"/>
          <w14:textFill>
            <w14:solidFill>
              <w14:schemeClr w14:val="tx1"/>
            </w14:solidFill>
          </w14:textFill>
        </w:rPr>
      </w:pPr>
      <w:bookmarkStart w:id="452" w:name="_Toc40788086"/>
      <w:bookmarkStart w:id="453" w:name="_Toc53062748"/>
      <w:bookmarkStart w:id="454" w:name="_Toc89266874"/>
      <w:bookmarkStart w:id="455" w:name="_Toc100764237"/>
      <w:r>
        <w:rPr>
          <w:rFonts w:hint="eastAsia" w:ascii="微软雅黑" w:hAnsi="微软雅黑"/>
          <w:b/>
          <w:snapToGrid w:val="0"/>
          <w:color w:val="000000" w:themeColor="text1"/>
          <w:highlight w:val="none"/>
          <w14:textFill>
            <w14:solidFill>
              <w14:schemeClr w14:val="tx1"/>
            </w14:solidFill>
          </w14:textFill>
        </w:rPr>
        <w:t>1、组建磋商小组</w:t>
      </w:r>
      <w:bookmarkEnd w:id="452"/>
      <w:bookmarkEnd w:id="453"/>
      <w:bookmarkEnd w:id="454"/>
      <w:bookmarkEnd w:id="455"/>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456" w:name="_Toc53062749"/>
      <w:bookmarkStart w:id="457" w:name="_Toc89266875"/>
      <w:bookmarkStart w:id="458" w:name="_Toc40788087"/>
      <w:r>
        <w:rPr>
          <w:rFonts w:hint="eastAsia" w:ascii="微软雅黑" w:hAnsi="微软雅黑"/>
          <w:snapToGrid w:val="0"/>
          <w:color w:val="000000" w:themeColor="text1"/>
          <w:highlight w:val="none"/>
          <w14:textFill>
            <w14:solidFill>
              <w14:schemeClr w14:val="tx1"/>
            </w14:solidFill>
          </w14:textFill>
        </w:rPr>
        <w:t>本项目磋商小组由政府采购评审专家</w:t>
      </w:r>
      <w:r>
        <w:rPr>
          <w:rFonts w:ascii="微软雅黑" w:hAnsi="微软雅黑"/>
          <w:snapToGrid w:val="0"/>
          <w:color w:val="000000" w:themeColor="text1"/>
          <w:highlight w:val="none"/>
          <w14:textFill>
            <w14:solidFill>
              <w14:schemeClr w14:val="tx1"/>
            </w14:solidFill>
          </w14:textFill>
        </w:rPr>
        <w:t>2</w:t>
      </w:r>
      <w:r>
        <w:rPr>
          <w:rFonts w:hint="eastAsia" w:ascii="微软雅黑" w:hAnsi="微软雅黑"/>
          <w:snapToGrid w:val="0"/>
          <w:color w:val="000000" w:themeColor="text1"/>
          <w:highlight w:val="none"/>
          <w14:textFill>
            <w14:solidFill>
              <w14:schemeClr w14:val="tx1"/>
            </w14:solidFill>
          </w14:textFill>
        </w:rPr>
        <w:t>人，采购单位代表1名，共</w:t>
      </w:r>
      <w:r>
        <w:rPr>
          <w:rFonts w:ascii="微软雅黑" w:hAnsi="微软雅黑"/>
          <w:snapToGrid w:val="0"/>
          <w:color w:val="000000" w:themeColor="text1"/>
          <w:highlight w:val="none"/>
          <w14:textFill>
            <w14:solidFill>
              <w14:schemeClr w14:val="tx1"/>
            </w14:solidFill>
          </w14:textFill>
        </w:rPr>
        <w:t>3</w:t>
      </w:r>
      <w:r>
        <w:rPr>
          <w:rFonts w:hint="eastAsia" w:ascii="微软雅黑" w:hAnsi="微软雅黑"/>
          <w:snapToGrid w:val="0"/>
          <w:color w:val="000000" w:themeColor="text1"/>
          <w:highlight w:val="none"/>
          <w14:textFill>
            <w14:solidFill>
              <w14:schemeClr w14:val="tx1"/>
            </w14:solidFill>
          </w14:textFill>
        </w:rPr>
        <w:t>组成。</w:t>
      </w:r>
      <w:bookmarkEnd w:id="456"/>
      <w:bookmarkEnd w:id="457"/>
      <w:bookmarkEnd w:id="458"/>
    </w:p>
    <w:p>
      <w:pPr>
        <w:spacing w:after="0" w:line="500" w:lineRule="exact"/>
        <w:ind w:firstLine="410"/>
        <w:outlineLvl w:val="2"/>
        <w:rPr>
          <w:rFonts w:ascii="微软雅黑" w:hAnsi="微软雅黑"/>
          <w:b/>
          <w:snapToGrid w:val="0"/>
          <w:color w:val="000000" w:themeColor="text1"/>
          <w:highlight w:val="none"/>
          <w14:textFill>
            <w14:solidFill>
              <w14:schemeClr w14:val="tx1"/>
            </w14:solidFill>
          </w14:textFill>
        </w:rPr>
      </w:pPr>
      <w:bookmarkStart w:id="459" w:name="_Toc89266876"/>
      <w:bookmarkStart w:id="460" w:name="_Toc100764238"/>
      <w:bookmarkStart w:id="461" w:name="_Toc40788088"/>
      <w:bookmarkStart w:id="462" w:name="_Toc53062750"/>
      <w:r>
        <w:rPr>
          <w:rFonts w:hint="eastAsia" w:ascii="微软雅黑" w:hAnsi="微软雅黑"/>
          <w:b/>
          <w:snapToGrid w:val="0"/>
          <w:color w:val="000000" w:themeColor="text1"/>
          <w:highlight w:val="none"/>
          <w14:textFill>
            <w14:solidFill>
              <w14:schemeClr w14:val="tx1"/>
            </w14:solidFill>
          </w14:textFill>
        </w:rPr>
        <w:t>2、磋商的方式</w:t>
      </w:r>
      <w:bookmarkEnd w:id="459"/>
      <w:bookmarkEnd w:id="460"/>
      <w:bookmarkEnd w:id="461"/>
      <w:bookmarkEnd w:id="462"/>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463" w:name="_Toc40788089"/>
      <w:bookmarkStart w:id="464" w:name="_Toc89266877"/>
      <w:bookmarkStart w:id="465" w:name="_Toc53062751"/>
      <w:r>
        <w:rPr>
          <w:rFonts w:hint="eastAsia" w:ascii="微软雅黑" w:hAnsi="微软雅黑"/>
          <w:snapToGrid w:val="0"/>
          <w:color w:val="000000" w:themeColor="text1"/>
          <w:highlight w:val="none"/>
          <w14:textFill>
            <w14:solidFill>
              <w14:schemeClr w14:val="tx1"/>
            </w14:solidFill>
          </w14:textFill>
        </w:rPr>
        <w:t>本项目采用不公开方式磋商，磋商的依据为竞争性磋商文件和竞争性磋商响应文件。</w:t>
      </w:r>
      <w:bookmarkEnd w:id="463"/>
      <w:bookmarkEnd w:id="464"/>
      <w:bookmarkEnd w:id="465"/>
    </w:p>
    <w:p>
      <w:pPr>
        <w:spacing w:after="0" w:line="500" w:lineRule="exact"/>
        <w:ind w:firstLine="410"/>
        <w:outlineLvl w:val="2"/>
        <w:rPr>
          <w:rFonts w:ascii="微软雅黑" w:hAnsi="微软雅黑"/>
          <w:b/>
          <w:snapToGrid w:val="0"/>
          <w:color w:val="000000" w:themeColor="text1"/>
          <w:highlight w:val="none"/>
          <w14:textFill>
            <w14:solidFill>
              <w14:schemeClr w14:val="tx1"/>
            </w14:solidFill>
          </w14:textFill>
        </w:rPr>
      </w:pPr>
      <w:bookmarkStart w:id="466" w:name="_Toc89266878"/>
      <w:bookmarkStart w:id="467" w:name="_Toc100764239"/>
      <w:bookmarkStart w:id="468" w:name="_Toc40788090"/>
      <w:bookmarkStart w:id="469" w:name="_Toc53062752"/>
      <w:r>
        <w:rPr>
          <w:rFonts w:hint="eastAsia" w:ascii="微软雅黑" w:hAnsi="微软雅黑"/>
          <w:b/>
          <w:snapToGrid w:val="0"/>
          <w:color w:val="000000" w:themeColor="text1"/>
          <w:highlight w:val="none"/>
          <w14:textFill>
            <w14:solidFill>
              <w14:schemeClr w14:val="tx1"/>
            </w14:solidFill>
          </w14:textFill>
        </w:rPr>
        <w:t>3、磋商程序</w:t>
      </w:r>
      <w:bookmarkEnd w:id="466"/>
      <w:bookmarkEnd w:id="467"/>
      <w:bookmarkEnd w:id="468"/>
      <w:bookmarkEnd w:id="469"/>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470" w:name="_Toc53062753"/>
      <w:bookmarkStart w:id="471" w:name="_Toc40788091"/>
      <w:bookmarkStart w:id="472" w:name="_Toc89266879"/>
      <w:r>
        <w:rPr>
          <w:rFonts w:hint="eastAsia" w:ascii="微软雅黑" w:hAnsi="微软雅黑"/>
          <w:snapToGrid w:val="0"/>
          <w:color w:val="000000" w:themeColor="text1"/>
          <w:highlight w:val="none"/>
          <w14:textFill>
            <w14:solidFill>
              <w14:schemeClr w14:val="tx1"/>
            </w14:solidFill>
          </w14:textFill>
        </w:rPr>
        <w:t>3.1形式审查</w:t>
      </w:r>
      <w:bookmarkEnd w:id="470"/>
      <w:bookmarkEnd w:id="471"/>
      <w:bookmarkEnd w:id="472"/>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473" w:name="_Toc89266880"/>
      <w:bookmarkStart w:id="474" w:name="_Toc53062754"/>
      <w:bookmarkStart w:id="475" w:name="_Toc40788092"/>
      <w:r>
        <w:rPr>
          <w:rFonts w:hint="eastAsia" w:ascii="微软雅黑" w:hAnsi="微软雅黑"/>
          <w:snapToGrid w:val="0"/>
          <w:color w:val="000000" w:themeColor="text1"/>
          <w:highlight w:val="none"/>
          <w14:textFill>
            <w14:solidFill>
              <w14:schemeClr w14:val="tx1"/>
            </w14:solidFill>
          </w14:textFill>
        </w:rPr>
        <w:t>磋商小组对磋商供应商的资格和竞争性磋商响应文件的完整性、合法性等进行审查。</w:t>
      </w:r>
      <w:bookmarkEnd w:id="473"/>
      <w:bookmarkEnd w:id="474"/>
      <w:bookmarkEnd w:id="475"/>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476" w:name="_Toc53062755"/>
      <w:bookmarkStart w:id="477" w:name="_Toc40788093"/>
      <w:bookmarkStart w:id="478" w:name="_Toc89266881"/>
      <w:r>
        <w:rPr>
          <w:rFonts w:hint="eastAsia" w:ascii="微软雅黑" w:hAnsi="微软雅黑"/>
          <w:snapToGrid w:val="0"/>
          <w:color w:val="000000" w:themeColor="text1"/>
          <w:highlight w:val="none"/>
          <w14:textFill>
            <w14:solidFill>
              <w14:schemeClr w14:val="tx1"/>
            </w14:solidFill>
          </w14:textFill>
        </w:rPr>
        <w:t>3.2实质审查与比较</w:t>
      </w:r>
      <w:bookmarkEnd w:id="476"/>
      <w:bookmarkEnd w:id="477"/>
      <w:bookmarkEnd w:id="478"/>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479" w:name="_Toc40788094"/>
      <w:bookmarkStart w:id="480" w:name="_Toc53062756"/>
      <w:bookmarkStart w:id="481" w:name="_Toc89266882"/>
      <w:r>
        <w:rPr>
          <w:rFonts w:hint="eastAsia" w:ascii="微软雅黑" w:hAnsi="微软雅黑"/>
          <w:snapToGrid w:val="0"/>
          <w:color w:val="000000" w:themeColor="text1"/>
          <w:highlight w:val="none"/>
          <w14:textFill>
            <w14:solidFill>
              <w14:schemeClr w14:val="tx1"/>
            </w14:solidFill>
          </w14:textFill>
        </w:rPr>
        <w:t>3.2.1磋商小组审查竞争性磋商响应文件的实质性内容是否符合竞争性磋商文件的实质性要求。</w:t>
      </w:r>
      <w:bookmarkEnd w:id="479"/>
      <w:bookmarkEnd w:id="480"/>
      <w:bookmarkEnd w:id="481"/>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482" w:name="_Toc40788095"/>
      <w:bookmarkStart w:id="483" w:name="_Toc89266883"/>
      <w:bookmarkStart w:id="484" w:name="_Toc53062757"/>
      <w:r>
        <w:rPr>
          <w:rFonts w:hint="eastAsia" w:ascii="微软雅黑" w:hAnsi="微软雅黑"/>
          <w:snapToGrid w:val="0"/>
          <w:color w:val="000000" w:themeColor="text1"/>
          <w:highlight w:val="none"/>
          <w14:textFill>
            <w14:solidFill>
              <w14:schemeClr w14:val="tx1"/>
            </w14:solidFill>
          </w14:textFill>
        </w:rPr>
        <w:t>3.2.2磋商小组将根据磋商供应商的竞争性磋商响应文件进行审查、核对,如有疑问,将对磋商供应商进行询标,磋商供应商要向磋商小组澄清有关问题,并最终以书面形式进行答复。</w:t>
      </w:r>
      <w:bookmarkEnd w:id="482"/>
      <w:bookmarkEnd w:id="483"/>
      <w:bookmarkEnd w:id="484"/>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485" w:name="_Toc40788096"/>
      <w:bookmarkStart w:id="486" w:name="_Toc89266884"/>
      <w:bookmarkStart w:id="487" w:name="_Toc53062758"/>
      <w:r>
        <w:rPr>
          <w:rFonts w:hint="eastAsia" w:ascii="微软雅黑" w:hAnsi="微软雅黑"/>
          <w:snapToGrid w:val="0"/>
          <w:color w:val="000000" w:themeColor="text1"/>
          <w:highlight w:val="none"/>
          <w14:textFill>
            <w14:solidFill>
              <w14:schemeClr w14:val="tx1"/>
            </w14:solidFill>
          </w14:textFill>
        </w:rPr>
        <w:t>询标时，磋商供应商代表未到场或者拒绝澄清或者澄清的内容改变了竞争性磋商响应文件的实质性内容的，磋商小组有权对该竞争性磋商响应文件作出不利于磋商供应商的评判。</w:t>
      </w:r>
      <w:bookmarkEnd w:id="485"/>
      <w:bookmarkEnd w:id="486"/>
      <w:bookmarkEnd w:id="487"/>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488" w:name="_Toc53062759"/>
      <w:bookmarkStart w:id="489" w:name="_Toc40788097"/>
      <w:bookmarkStart w:id="490" w:name="_Toc89266885"/>
      <w:r>
        <w:rPr>
          <w:rFonts w:hint="eastAsia" w:ascii="微软雅黑" w:hAnsi="微软雅黑"/>
          <w:snapToGrid w:val="0"/>
          <w:color w:val="000000" w:themeColor="text1"/>
          <w:highlight w:val="none"/>
          <w14:textFill>
            <w14:solidFill>
              <w14:schemeClr w14:val="tx1"/>
            </w14:solidFill>
          </w14:textFill>
        </w:rPr>
        <w:t>3.2.3各磋商供应商的资信商务及技术分按照磋商小组成员的独立评分汇总后的算术平均分计算。</w:t>
      </w:r>
      <w:bookmarkEnd w:id="488"/>
      <w:bookmarkEnd w:id="489"/>
      <w:bookmarkEnd w:id="490"/>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491" w:name="_Toc89266886"/>
      <w:bookmarkStart w:id="492" w:name="_Toc40788098"/>
      <w:bookmarkStart w:id="493" w:name="_Toc53062760"/>
      <w:r>
        <w:rPr>
          <w:rFonts w:hint="eastAsia" w:ascii="微软雅黑" w:hAnsi="微软雅黑"/>
          <w:snapToGrid w:val="0"/>
          <w:color w:val="000000" w:themeColor="text1"/>
          <w:highlight w:val="none"/>
          <w14:textFill>
            <w14:solidFill>
              <w14:schemeClr w14:val="tx1"/>
            </w14:solidFill>
          </w14:textFill>
        </w:rPr>
        <w:t>3.2.4代理公司工作人员协助磋商小组根据本项目的评分标准操作政府采购业务系统，由系统计算各磋商供应商的商务报价得分。</w:t>
      </w:r>
      <w:bookmarkEnd w:id="491"/>
      <w:bookmarkEnd w:id="492"/>
      <w:bookmarkEnd w:id="493"/>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494" w:name="_Toc53062761"/>
      <w:bookmarkStart w:id="495" w:name="_Toc40788099"/>
      <w:bookmarkStart w:id="496" w:name="_Toc89266887"/>
      <w:r>
        <w:rPr>
          <w:rFonts w:hint="eastAsia" w:ascii="微软雅黑" w:hAnsi="微软雅黑"/>
          <w:snapToGrid w:val="0"/>
          <w:color w:val="000000" w:themeColor="text1"/>
          <w:highlight w:val="none"/>
          <w14:textFill>
            <w14:solidFill>
              <w14:schemeClr w14:val="tx1"/>
            </w14:solidFill>
          </w14:textFill>
        </w:rPr>
        <w:t>3.2.5磋商小组完成评标后,评委对各部分得分汇总,计算出本项目最终得分、性价比、评标价等。磋商小组按评标原则推荐中标候选人同时起草评标报告。</w:t>
      </w:r>
      <w:bookmarkEnd w:id="494"/>
      <w:bookmarkEnd w:id="495"/>
      <w:bookmarkEnd w:id="496"/>
    </w:p>
    <w:p>
      <w:pPr>
        <w:spacing w:after="0" w:line="500" w:lineRule="exact"/>
        <w:ind w:firstLine="410"/>
        <w:outlineLvl w:val="2"/>
        <w:rPr>
          <w:rFonts w:ascii="微软雅黑" w:hAnsi="微软雅黑"/>
          <w:b/>
          <w:snapToGrid w:val="0"/>
          <w:color w:val="000000" w:themeColor="text1"/>
          <w:highlight w:val="none"/>
          <w14:textFill>
            <w14:solidFill>
              <w14:schemeClr w14:val="tx1"/>
            </w14:solidFill>
          </w14:textFill>
        </w:rPr>
      </w:pPr>
      <w:bookmarkStart w:id="497" w:name="_Toc40788100"/>
      <w:bookmarkStart w:id="498" w:name="_Toc89266888"/>
      <w:bookmarkStart w:id="499" w:name="_Toc100764240"/>
      <w:bookmarkStart w:id="500" w:name="_Toc53062762"/>
      <w:r>
        <w:rPr>
          <w:rFonts w:hint="eastAsia" w:ascii="微软雅黑" w:hAnsi="微软雅黑"/>
          <w:b/>
          <w:snapToGrid w:val="0"/>
          <w:color w:val="000000" w:themeColor="text1"/>
          <w:highlight w:val="none"/>
          <w14:textFill>
            <w14:solidFill>
              <w14:schemeClr w14:val="tx1"/>
            </w14:solidFill>
          </w14:textFill>
        </w:rPr>
        <w:t>4、澄清问题的形式</w:t>
      </w:r>
      <w:bookmarkEnd w:id="497"/>
      <w:bookmarkEnd w:id="498"/>
      <w:bookmarkEnd w:id="499"/>
      <w:bookmarkEnd w:id="500"/>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501" w:name="_Toc53062763"/>
      <w:bookmarkStart w:id="502" w:name="_Toc89266889"/>
      <w:bookmarkStart w:id="503" w:name="_Toc40788101"/>
      <w:r>
        <w:rPr>
          <w:rFonts w:hint="eastAsia" w:ascii="微软雅黑" w:hAnsi="微软雅黑"/>
          <w:snapToGrid w:val="0"/>
          <w:color w:val="000000" w:themeColor="text1"/>
          <w:highlight w:val="none"/>
          <w14:textFill>
            <w14:solidFill>
              <w14:schemeClr w14:val="tx1"/>
            </w14:solidFill>
          </w14:textFill>
        </w:rPr>
        <w:t>对竞争性磋商响应文件中含义不明确、同类问题表述不一致或者有明显文字和计算错误的内容，磋商小组可要求磋商供应商作出必要的澄清、说明或者纠正。磋商供应商的澄清、说明或者补正应当采用书面（或通过“政府采购云平台”在线询标）的形式要求投标供应商在规定的时间内作出必要的澄清、说明或者补正，投标供应商澄清、说明或补正时间为不超过30分钟。</w:t>
      </w:r>
      <w:bookmarkEnd w:id="501"/>
      <w:bookmarkEnd w:id="502"/>
      <w:bookmarkEnd w:id="503"/>
    </w:p>
    <w:p>
      <w:pPr>
        <w:spacing w:after="0" w:line="500" w:lineRule="exact"/>
        <w:ind w:firstLine="410"/>
        <w:outlineLvl w:val="2"/>
        <w:rPr>
          <w:rFonts w:ascii="微软雅黑" w:hAnsi="微软雅黑"/>
          <w:b/>
          <w:snapToGrid w:val="0"/>
          <w:color w:val="000000" w:themeColor="text1"/>
          <w:highlight w:val="none"/>
          <w14:textFill>
            <w14:solidFill>
              <w14:schemeClr w14:val="tx1"/>
            </w14:solidFill>
          </w14:textFill>
        </w:rPr>
      </w:pPr>
      <w:bookmarkStart w:id="504" w:name="_Toc53062764"/>
      <w:bookmarkStart w:id="505" w:name="_Toc40788102"/>
      <w:bookmarkStart w:id="506" w:name="_Toc100764241"/>
      <w:bookmarkStart w:id="507" w:name="_Toc89266890"/>
      <w:r>
        <w:rPr>
          <w:rFonts w:hint="eastAsia" w:ascii="微软雅黑" w:hAnsi="微软雅黑"/>
          <w:b/>
          <w:snapToGrid w:val="0"/>
          <w:color w:val="000000" w:themeColor="text1"/>
          <w:highlight w:val="none"/>
          <w14:textFill>
            <w14:solidFill>
              <w14:schemeClr w14:val="tx1"/>
            </w14:solidFill>
          </w14:textFill>
        </w:rPr>
        <w:t>5、错误修正</w:t>
      </w:r>
      <w:bookmarkEnd w:id="504"/>
      <w:bookmarkEnd w:id="505"/>
      <w:bookmarkEnd w:id="506"/>
      <w:bookmarkEnd w:id="507"/>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508" w:name="_Toc40788103"/>
      <w:bookmarkStart w:id="509" w:name="_Toc89266891"/>
      <w:bookmarkStart w:id="510" w:name="_Toc53062765"/>
      <w:r>
        <w:rPr>
          <w:rFonts w:hint="eastAsia" w:ascii="微软雅黑" w:hAnsi="微软雅黑"/>
          <w:snapToGrid w:val="0"/>
          <w:color w:val="000000" w:themeColor="text1"/>
          <w:highlight w:val="none"/>
          <w14:textFill>
            <w14:solidFill>
              <w14:schemeClr w14:val="tx1"/>
            </w14:solidFill>
          </w14:textFill>
        </w:rPr>
        <w:t>竞争性磋商响应文件如果出现计算或表达上的错误，修正错误的原则如下：</w:t>
      </w:r>
      <w:bookmarkEnd w:id="508"/>
      <w:bookmarkEnd w:id="509"/>
      <w:bookmarkEnd w:id="510"/>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511" w:name="_Toc53062766"/>
      <w:bookmarkStart w:id="512" w:name="_Toc89266892"/>
      <w:bookmarkStart w:id="513" w:name="_Toc40788104"/>
      <w:r>
        <w:rPr>
          <w:rFonts w:hint="eastAsia" w:ascii="微软雅黑" w:hAnsi="微软雅黑"/>
          <w:snapToGrid w:val="0"/>
          <w:color w:val="000000" w:themeColor="text1"/>
          <w:highlight w:val="none"/>
          <w14:textFill>
            <w14:solidFill>
              <w14:schemeClr w14:val="tx1"/>
            </w14:solidFill>
          </w14:textFill>
        </w:rPr>
        <w:t>5.1开标一览表总价与投标报价明细表汇总数不一致的，以开标一览表为准；</w:t>
      </w:r>
      <w:bookmarkEnd w:id="511"/>
      <w:bookmarkEnd w:id="512"/>
      <w:bookmarkEnd w:id="513"/>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514" w:name="_Toc53062767"/>
      <w:bookmarkStart w:id="515" w:name="_Toc40788105"/>
      <w:bookmarkStart w:id="516" w:name="_Toc89266893"/>
      <w:r>
        <w:rPr>
          <w:rFonts w:hint="eastAsia" w:ascii="微软雅黑" w:hAnsi="微软雅黑"/>
          <w:snapToGrid w:val="0"/>
          <w:color w:val="000000" w:themeColor="text1"/>
          <w:highlight w:val="none"/>
          <w14:textFill>
            <w14:solidFill>
              <w14:schemeClr w14:val="tx1"/>
            </w14:solidFill>
          </w14:textFill>
        </w:rPr>
        <w:t>5.2竞争性磋商响应文件的大写金额和小写金额不一致的，以大写金额为准；</w:t>
      </w:r>
      <w:bookmarkEnd w:id="514"/>
      <w:bookmarkEnd w:id="515"/>
      <w:bookmarkEnd w:id="516"/>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517" w:name="_Toc89266894"/>
      <w:bookmarkStart w:id="518" w:name="_Toc40788106"/>
      <w:bookmarkStart w:id="519" w:name="_Toc53062768"/>
      <w:r>
        <w:rPr>
          <w:rFonts w:hint="eastAsia" w:ascii="微软雅黑" w:hAnsi="微软雅黑"/>
          <w:snapToGrid w:val="0"/>
          <w:color w:val="000000" w:themeColor="text1"/>
          <w:highlight w:val="none"/>
          <w14:textFill>
            <w14:solidFill>
              <w14:schemeClr w14:val="tx1"/>
            </w14:solidFill>
          </w14:textFill>
        </w:rPr>
        <w:t>5.3总价金额与按单价汇总金额不一致的，以单价金额计算结果为准；</w:t>
      </w:r>
      <w:bookmarkEnd w:id="517"/>
      <w:bookmarkEnd w:id="518"/>
      <w:bookmarkEnd w:id="519"/>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520" w:name="_Toc40788107"/>
      <w:bookmarkStart w:id="521" w:name="_Toc89266895"/>
      <w:bookmarkStart w:id="522" w:name="_Toc53062769"/>
      <w:r>
        <w:rPr>
          <w:rFonts w:hint="eastAsia" w:ascii="微软雅黑" w:hAnsi="微软雅黑"/>
          <w:snapToGrid w:val="0"/>
          <w:color w:val="000000" w:themeColor="text1"/>
          <w:highlight w:val="none"/>
          <w14:textFill>
            <w14:solidFill>
              <w14:schemeClr w14:val="tx1"/>
            </w14:solidFill>
          </w14:textFill>
        </w:rPr>
        <w:t>5.4对不同文字文本竞争性磋商响应文件的解释发生异议的，以中文文本为准。</w:t>
      </w:r>
      <w:bookmarkEnd w:id="520"/>
      <w:bookmarkEnd w:id="521"/>
      <w:bookmarkEnd w:id="522"/>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523" w:name="_Toc89266896"/>
      <w:bookmarkStart w:id="524" w:name="_Toc53062770"/>
      <w:bookmarkStart w:id="525" w:name="_Toc40788108"/>
      <w:r>
        <w:rPr>
          <w:rFonts w:hint="eastAsia" w:ascii="微软雅黑" w:hAnsi="微软雅黑"/>
          <w:snapToGrid w:val="0"/>
          <w:color w:val="000000" w:themeColor="text1"/>
          <w:highlight w:val="none"/>
          <w14:textFill>
            <w14:solidFill>
              <w14:schemeClr w14:val="tx1"/>
            </w14:solidFill>
          </w14:textFill>
        </w:rPr>
        <w:t>按上述修正错误的原则及方法调整或修正竞争性磋商响应文件的投标报价，磋商供应商同意确认后，调整后的投标报价对磋商供应商具有约束作用。如果磋商供应商不接受修正后的报价，则其投标将作为无效投标处理。</w:t>
      </w:r>
      <w:bookmarkEnd w:id="523"/>
      <w:bookmarkEnd w:id="524"/>
      <w:bookmarkEnd w:id="525"/>
    </w:p>
    <w:p>
      <w:pPr>
        <w:spacing w:after="0" w:line="500" w:lineRule="exact"/>
        <w:ind w:firstLine="410"/>
        <w:outlineLvl w:val="2"/>
        <w:rPr>
          <w:rFonts w:ascii="微软雅黑" w:hAnsi="微软雅黑"/>
          <w:b/>
          <w:snapToGrid w:val="0"/>
          <w:color w:val="000000" w:themeColor="text1"/>
          <w:highlight w:val="none"/>
          <w14:textFill>
            <w14:solidFill>
              <w14:schemeClr w14:val="tx1"/>
            </w14:solidFill>
          </w14:textFill>
        </w:rPr>
      </w:pPr>
      <w:bookmarkStart w:id="526" w:name="_Toc89266897"/>
      <w:bookmarkStart w:id="527" w:name="_Toc40788109"/>
      <w:bookmarkStart w:id="528" w:name="_Toc53062771"/>
      <w:bookmarkStart w:id="529" w:name="_Toc100764242"/>
      <w:r>
        <w:rPr>
          <w:rFonts w:hint="eastAsia" w:ascii="微软雅黑" w:hAnsi="微软雅黑"/>
          <w:b/>
          <w:snapToGrid w:val="0"/>
          <w:color w:val="000000" w:themeColor="text1"/>
          <w:highlight w:val="none"/>
          <w14:textFill>
            <w14:solidFill>
              <w14:schemeClr w14:val="tx1"/>
            </w14:solidFill>
          </w14:textFill>
        </w:rPr>
        <w:t>6、评标原则和评标办法</w:t>
      </w:r>
      <w:bookmarkEnd w:id="526"/>
      <w:bookmarkEnd w:id="527"/>
      <w:bookmarkEnd w:id="528"/>
      <w:bookmarkEnd w:id="529"/>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530" w:name="_Toc89266898"/>
      <w:bookmarkStart w:id="531" w:name="_Toc53062772"/>
      <w:bookmarkStart w:id="532" w:name="_Toc40788110"/>
      <w:r>
        <w:rPr>
          <w:rFonts w:hint="eastAsia" w:ascii="微软雅黑" w:hAnsi="微软雅黑"/>
          <w:snapToGrid w:val="0"/>
          <w:color w:val="000000" w:themeColor="text1"/>
          <w:highlight w:val="none"/>
          <w14:textFill>
            <w14:solidFill>
              <w14:schemeClr w14:val="tx1"/>
            </w14:solidFill>
          </w14:textFill>
        </w:rPr>
        <w:t>6.1评标原则。磋商小组必须公平、公正、客观，不带任何倾向性和启发性；不得向外界透露任何与评标有关的内容；任何单位和个人不得干扰、影响评标的正常进行；磋商小组及有关工作人员不得私下与磋商供应商接触。</w:t>
      </w:r>
      <w:bookmarkEnd w:id="530"/>
      <w:bookmarkEnd w:id="531"/>
      <w:bookmarkEnd w:id="532"/>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533" w:name="_Toc40788111"/>
      <w:bookmarkStart w:id="534" w:name="_Toc89266899"/>
      <w:bookmarkStart w:id="535" w:name="_Toc53062773"/>
      <w:r>
        <w:rPr>
          <w:rFonts w:hint="eastAsia" w:ascii="微软雅黑" w:hAnsi="微软雅黑"/>
          <w:snapToGrid w:val="0"/>
          <w:color w:val="000000" w:themeColor="text1"/>
          <w:highlight w:val="none"/>
          <w14:textFill>
            <w14:solidFill>
              <w14:schemeClr w14:val="tx1"/>
            </w14:solidFill>
          </w14:textFill>
        </w:rPr>
        <w:t>6.2评标办法。本项目评标办法是综合评标法，具体评标内容及评分标准等详见《第四章：评标办法及评分标准》。</w:t>
      </w:r>
      <w:bookmarkEnd w:id="533"/>
      <w:bookmarkEnd w:id="534"/>
      <w:bookmarkEnd w:id="535"/>
    </w:p>
    <w:p>
      <w:pPr>
        <w:spacing w:after="0" w:line="500" w:lineRule="exact"/>
        <w:ind w:firstLine="410"/>
        <w:outlineLvl w:val="2"/>
        <w:rPr>
          <w:rFonts w:ascii="微软雅黑" w:hAnsi="微软雅黑"/>
          <w:b/>
          <w:snapToGrid w:val="0"/>
          <w:color w:val="000000" w:themeColor="text1"/>
          <w:highlight w:val="none"/>
          <w14:textFill>
            <w14:solidFill>
              <w14:schemeClr w14:val="tx1"/>
            </w14:solidFill>
          </w14:textFill>
        </w:rPr>
      </w:pPr>
      <w:bookmarkStart w:id="536" w:name="_Toc53062774"/>
      <w:bookmarkStart w:id="537" w:name="_Toc89266900"/>
      <w:bookmarkStart w:id="538" w:name="_Toc100764243"/>
      <w:bookmarkStart w:id="539" w:name="_Toc40788112"/>
      <w:r>
        <w:rPr>
          <w:rFonts w:hint="eastAsia" w:ascii="微软雅黑" w:hAnsi="微软雅黑"/>
          <w:b/>
          <w:snapToGrid w:val="0"/>
          <w:color w:val="000000" w:themeColor="text1"/>
          <w:highlight w:val="none"/>
          <w14:textFill>
            <w14:solidFill>
              <w14:schemeClr w14:val="tx1"/>
            </w14:solidFill>
          </w14:textFill>
        </w:rPr>
        <w:t>7、评标过程的监控</w:t>
      </w:r>
      <w:bookmarkEnd w:id="536"/>
      <w:bookmarkEnd w:id="537"/>
      <w:bookmarkEnd w:id="538"/>
      <w:bookmarkEnd w:id="539"/>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540" w:name="_Toc40788113"/>
      <w:bookmarkStart w:id="541" w:name="_Toc53062775"/>
      <w:bookmarkStart w:id="542" w:name="_Toc89266901"/>
      <w:r>
        <w:rPr>
          <w:rFonts w:hint="eastAsia" w:ascii="微软雅黑" w:hAnsi="微软雅黑"/>
          <w:snapToGrid w:val="0"/>
          <w:color w:val="000000" w:themeColor="text1"/>
          <w:highlight w:val="none"/>
          <w14:textFill>
            <w14:solidFill>
              <w14:schemeClr w14:val="tx1"/>
            </w14:solidFill>
          </w14:textFill>
        </w:rPr>
        <w:t>本项目评标过程实行全程录音、录像监控。磋商供应商在评标过程中所进行的试图影响评标结果的不公正活动，可能导致其投标被拒绝。</w:t>
      </w:r>
      <w:bookmarkEnd w:id="540"/>
      <w:bookmarkEnd w:id="541"/>
      <w:bookmarkEnd w:id="542"/>
    </w:p>
    <w:bookmarkEnd w:id="376"/>
    <w:p>
      <w:pPr>
        <w:pStyle w:val="5"/>
        <w:spacing w:beforeLines="50" w:after="240" w:afterLines="100" w:line="500" w:lineRule="exact"/>
        <w:rPr>
          <w:rFonts w:ascii="微软雅黑" w:hAnsi="微软雅黑" w:eastAsia="微软雅黑"/>
          <w:color w:val="000000" w:themeColor="text1"/>
          <w:sz w:val="28"/>
          <w:szCs w:val="28"/>
          <w:highlight w:val="none"/>
          <w14:textFill>
            <w14:solidFill>
              <w14:schemeClr w14:val="tx1"/>
            </w14:solidFill>
          </w14:textFill>
        </w:rPr>
      </w:pPr>
      <w:bookmarkStart w:id="543" w:name="_Toc493699316"/>
      <w:bookmarkStart w:id="544" w:name="_Toc40788114"/>
      <w:bookmarkStart w:id="545" w:name="_Toc100764244"/>
      <w:bookmarkStart w:id="546" w:name="_Toc53062776"/>
      <w:bookmarkStart w:id="547" w:name="_Toc89266902"/>
      <w:r>
        <w:rPr>
          <w:rFonts w:hint="eastAsia" w:ascii="微软雅黑" w:hAnsi="微软雅黑" w:eastAsia="微软雅黑"/>
          <w:color w:val="000000" w:themeColor="text1"/>
          <w:sz w:val="28"/>
          <w:szCs w:val="28"/>
          <w:highlight w:val="none"/>
          <w14:textFill>
            <w14:solidFill>
              <w14:schemeClr w14:val="tx1"/>
            </w14:solidFill>
          </w14:textFill>
        </w:rPr>
        <w:t>七、磋商结果的确定</w:t>
      </w:r>
      <w:bookmarkEnd w:id="543"/>
      <w:bookmarkEnd w:id="544"/>
      <w:bookmarkEnd w:id="545"/>
      <w:bookmarkEnd w:id="546"/>
      <w:bookmarkEnd w:id="547"/>
    </w:p>
    <w:p>
      <w:pPr>
        <w:spacing w:after="0" w:line="500" w:lineRule="exact"/>
        <w:ind w:firstLine="410"/>
        <w:outlineLvl w:val="2"/>
        <w:rPr>
          <w:rFonts w:ascii="微软雅黑" w:hAnsi="微软雅黑"/>
          <w:b/>
          <w:snapToGrid w:val="0"/>
          <w:color w:val="000000" w:themeColor="text1"/>
          <w:highlight w:val="none"/>
          <w14:textFill>
            <w14:solidFill>
              <w14:schemeClr w14:val="tx1"/>
            </w14:solidFill>
          </w14:textFill>
        </w:rPr>
      </w:pPr>
      <w:bookmarkStart w:id="548" w:name="_Toc100764245"/>
      <w:r>
        <w:rPr>
          <w:rFonts w:hint="eastAsia" w:ascii="微软雅黑" w:hAnsi="微软雅黑"/>
          <w:b/>
          <w:snapToGrid w:val="0"/>
          <w:color w:val="000000" w:themeColor="text1"/>
          <w:highlight w:val="none"/>
          <w14:textFill>
            <w14:solidFill>
              <w14:schemeClr w14:val="tx1"/>
            </w14:solidFill>
          </w14:textFill>
        </w:rPr>
        <w:t>1、磋商结果确定</w:t>
      </w:r>
      <w:bookmarkEnd w:id="548"/>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549" w:name="_Toc89266903"/>
      <w:bookmarkStart w:id="550" w:name="_Toc53062777"/>
      <w:bookmarkStart w:id="551" w:name="_Toc40788115"/>
      <w:r>
        <w:rPr>
          <w:rFonts w:hint="eastAsia" w:ascii="微软雅黑" w:hAnsi="微软雅黑"/>
          <w:snapToGrid w:val="0"/>
          <w:color w:val="000000" w:themeColor="text1"/>
          <w:highlight w:val="none"/>
          <w14:textFill>
            <w14:solidFill>
              <w14:schemeClr w14:val="tx1"/>
            </w14:solidFill>
          </w14:textFill>
        </w:rPr>
        <w:t>1.1采购单位事先授权磋商小组直接确定成交供应商，磋商小组可直接确定成交供应商。</w:t>
      </w:r>
      <w:bookmarkEnd w:id="549"/>
      <w:bookmarkEnd w:id="550"/>
      <w:bookmarkEnd w:id="551"/>
      <w:bookmarkStart w:id="552" w:name="_Toc170792772"/>
      <w:bookmarkStart w:id="553" w:name="_Toc107820051"/>
    </w:p>
    <w:p>
      <w:pPr>
        <w:spacing w:after="0" w:line="500" w:lineRule="exact"/>
        <w:ind w:firstLine="424" w:firstLineChars="202"/>
        <w:rPr>
          <w:rFonts w:ascii="微软雅黑" w:hAnsi="微软雅黑"/>
          <w:snapToGrid w:val="0"/>
          <w:color w:val="000000" w:themeColor="text1"/>
          <w:highlight w:val="none"/>
          <w14:textFill>
            <w14:solidFill>
              <w14:schemeClr w14:val="tx1"/>
            </w14:solidFill>
          </w14:textFill>
        </w:rPr>
      </w:pPr>
      <w:bookmarkStart w:id="554" w:name="_Toc89266904"/>
      <w:bookmarkStart w:id="555" w:name="_Toc53062778"/>
      <w:bookmarkStart w:id="556" w:name="_Toc40788116"/>
      <w:r>
        <w:rPr>
          <w:rFonts w:hint="eastAsia" w:ascii="微软雅黑" w:hAnsi="微软雅黑"/>
          <w:snapToGrid w:val="0"/>
          <w:color w:val="000000" w:themeColor="text1"/>
          <w:highlight w:val="none"/>
          <w14:textFill>
            <w14:solidFill>
              <w14:schemeClr w14:val="tx1"/>
            </w14:solidFill>
          </w14:textFill>
        </w:rPr>
        <w:t>1.2没有事先授权的，采购代理机构在磋商结束后2个工作日内将磋商结果交采购人确认。采购人应在收到后5个工作日内对磋商结果进行确认。</w:t>
      </w:r>
      <w:bookmarkEnd w:id="554"/>
      <w:bookmarkEnd w:id="555"/>
      <w:bookmarkEnd w:id="556"/>
    </w:p>
    <w:p>
      <w:pPr>
        <w:spacing w:after="0" w:line="500" w:lineRule="exact"/>
        <w:ind w:firstLine="410"/>
        <w:outlineLvl w:val="2"/>
        <w:rPr>
          <w:rFonts w:ascii="微软雅黑" w:hAnsi="微软雅黑"/>
          <w:b/>
          <w:snapToGrid w:val="0"/>
          <w:color w:val="000000" w:themeColor="text1"/>
          <w:highlight w:val="none"/>
          <w14:textFill>
            <w14:solidFill>
              <w14:schemeClr w14:val="tx1"/>
            </w14:solidFill>
          </w14:textFill>
        </w:rPr>
      </w:pPr>
      <w:bookmarkStart w:id="557" w:name="_Toc100764246"/>
      <w:r>
        <w:rPr>
          <w:rFonts w:hint="eastAsia" w:ascii="微软雅黑" w:hAnsi="微软雅黑"/>
          <w:b/>
          <w:snapToGrid w:val="0"/>
          <w:color w:val="000000" w:themeColor="text1"/>
          <w:highlight w:val="none"/>
          <w14:textFill>
            <w14:solidFill>
              <w14:schemeClr w14:val="tx1"/>
            </w14:solidFill>
          </w14:textFill>
        </w:rPr>
        <w:t>2、成交公告：公告1个工作日。</w:t>
      </w:r>
      <w:bookmarkEnd w:id="557"/>
    </w:p>
    <w:p>
      <w:pPr>
        <w:pStyle w:val="5"/>
        <w:spacing w:beforeLines="50" w:after="240" w:afterLines="100" w:line="500" w:lineRule="exact"/>
        <w:rPr>
          <w:rFonts w:ascii="微软雅黑" w:hAnsi="微软雅黑" w:eastAsia="微软雅黑"/>
          <w:color w:val="000000" w:themeColor="text1"/>
          <w:sz w:val="28"/>
          <w:szCs w:val="28"/>
          <w:highlight w:val="none"/>
          <w14:textFill>
            <w14:solidFill>
              <w14:schemeClr w14:val="tx1"/>
            </w14:solidFill>
          </w14:textFill>
        </w:rPr>
      </w:pPr>
      <w:bookmarkStart w:id="558" w:name="_Toc89266905"/>
      <w:bookmarkStart w:id="559" w:name="_Toc53062779"/>
      <w:bookmarkStart w:id="560" w:name="_Toc40788117"/>
      <w:bookmarkStart w:id="561" w:name="_Toc192313121"/>
      <w:bookmarkStart w:id="562" w:name="_Toc100764247"/>
      <w:bookmarkStart w:id="563" w:name="_Toc493699317"/>
      <w:r>
        <w:rPr>
          <w:rFonts w:hint="eastAsia" w:ascii="微软雅黑" w:hAnsi="微软雅黑" w:eastAsia="微软雅黑"/>
          <w:color w:val="000000" w:themeColor="text1"/>
          <w:sz w:val="28"/>
          <w:szCs w:val="28"/>
          <w:highlight w:val="none"/>
          <w14:textFill>
            <w14:solidFill>
              <w14:schemeClr w14:val="tx1"/>
            </w14:solidFill>
          </w14:textFill>
        </w:rPr>
        <w:t>八、合同</w:t>
      </w:r>
      <w:bookmarkEnd w:id="552"/>
      <w:bookmarkEnd w:id="553"/>
      <w:r>
        <w:rPr>
          <w:rFonts w:hint="eastAsia" w:ascii="微软雅黑" w:hAnsi="微软雅黑" w:eastAsia="微软雅黑"/>
          <w:color w:val="000000" w:themeColor="text1"/>
          <w:sz w:val="28"/>
          <w:szCs w:val="28"/>
          <w:highlight w:val="none"/>
          <w14:textFill>
            <w14:solidFill>
              <w14:schemeClr w14:val="tx1"/>
            </w14:solidFill>
          </w14:textFill>
        </w:rPr>
        <w:t>授予</w:t>
      </w:r>
      <w:bookmarkEnd w:id="558"/>
      <w:bookmarkEnd w:id="559"/>
      <w:bookmarkEnd w:id="560"/>
      <w:bookmarkEnd w:id="561"/>
      <w:bookmarkEnd w:id="562"/>
      <w:bookmarkEnd w:id="563"/>
    </w:p>
    <w:p>
      <w:pPr>
        <w:spacing w:after="0" w:line="500" w:lineRule="exact"/>
        <w:ind w:firstLine="410"/>
        <w:outlineLvl w:val="2"/>
        <w:rPr>
          <w:rFonts w:ascii="微软雅黑" w:hAnsi="微软雅黑"/>
          <w:b/>
          <w:snapToGrid w:val="0"/>
          <w:color w:val="000000" w:themeColor="text1"/>
          <w:highlight w:val="none"/>
          <w14:textFill>
            <w14:solidFill>
              <w14:schemeClr w14:val="tx1"/>
            </w14:solidFill>
          </w14:textFill>
        </w:rPr>
      </w:pPr>
      <w:bookmarkStart w:id="564" w:name="_Toc100764248"/>
      <w:r>
        <w:rPr>
          <w:rFonts w:hint="eastAsia" w:ascii="微软雅黑" w:hAnsi="微软雅黑"/>
          <w:b/>
          <w:snapToGrid w:val="0"/>
          <w:color w:val="000000" w:themeColor="text1"/>
          <w:highlight w:val="none"/>
          <w14:textFill>
            <w14:solidFill>
              <w14:schemeClr w14:val="tx1"/>
            </w14:solidFill>
          </w14:textFill>
        </w:rPr>
        <w:t>1、签订合同</w:t>
      </w:r>
      <w:bookmarkEnd w:id="564"/>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1.1成交供应商自接到成交通知书后30天内与采购人签订合同。同时采购代理机构对合同内容进行审查，如发现与采购结果和磋商承诺内容不一致的，应予以纠正。</w:t>
      </w:r>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1.2成交供应商拖延、拒签合同的,将取消成交供应商资格，并报相关财政部门。</w:t>
      </w:r>
    </w:p>
    <w:p>
      <w:pPr>
        <w:spacing w:after="0" w:line="500" w:lineRule="exact"/>
        <w:ind w:firstLine="410"/>
        <w:outlineLvl w:val="2"/>
        <w:rPr>
          <w:rFonts w:ascii="微软雅黑" w:hAnsi="微软雅黑"/>
          <w:b/>
          <w:snapToGrid w:val="0"/>
          <w:color w:val="000000" w:themeColor="text1"/>
          <w:highlight w:val="none"/>
          <w14:textFill>
            <w14:solidFill>
              <w14:schemeClr w14:val="tx1"/>
            </w14:solidFill>
          </w14:textFill>
        </w:rPr>
      </w:pPr>
      <w:bookmarkStart w:id="565" w:name="_Toc100764249"/>
      <w:r>
        <w:rPr>
          <w:rFonts w:hint="eastAsia" w:ascii="微软雅黑" w:hAnsi="微软雅黑"/>
          <w:b/>
          <w:snapToGrid w:val="0"/>
          <w:color w:val="000000" w:themeColor="text1"/>
          <w:highlight w:val="none"/>
          <w14:textFill>
            <w14:solidFill>
              <w14:schemeClr w14:val="tx1"/>
            </w14:solidFill>
          </w14:textFill>
        </w:rPr>
        <w:t>2、履约保证金及质保金</w:t>
      </w:r>
      <w:bookmarkEnd w:id="565"/>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bookmarkStart w:id="566" w:name="_Toc40788118"/>
      <w:bookmarkStart w:id="567" w:name="_Toc53062780"/>
      <w:bookmarkStart w:id="568" w:name="_Toc89266906"/>
      <w:bookmarkStart w:id="569" w:name="_Toc493699318"/>
      <w:bookmarkStart w:id="570" w:name="_Toc192313122"/>
      <w:bookmarkStart w:id="571" w:name="_Toc170792774"/>
      <w:r>
        <w:rPr>
          <w:rFonts w:hint="eastAsia" w:ascii="微软雅黑" w:hAnsi="微软雅黑"/>
          <w:color w:val="000000" w:themeColor="text1"/>
          <w:highlight w:val="none"/>
          <w14:textFill>
            <w14:solidFill>
              <w14:schemeClr w14:val="tx1"/>
            </w14:solidFill>
          </w14:textFill>
        </w:rPr>
        <w:t>2.1</w:t>
      </w:r>
      <w:bookmarkEnd w:id="566"/>
      <w:r>
        <w:rPr>
          <w:rFonts w:hint="eastAsia" w:ascii="微软雅黑" w:hAnsi="微软雅黑"/>
          <w:color w:val="000000" w:themeColor="text1"/>
          <w:highlight w:val="none"/>
          <w14:textFill>
            <w14:solidFill>
              <w14:schemeClr w14:val="tx1"/>
            </w14:solidFill>
          </w14:textFill>
        </w:rPr>
        <w:t>履约保证金详见竞争性磋商文件前附表</w:t>
      </w:r>
      <w:bookmarkEnd w:id="567"/>
      <w:bookmarkEnd w:id="568"/>
      <w:r>
        <w:rPr>
          <w:rFonts w:hint="eastAsia" w:ascii="微软雅黑" w:hAnsi="微软雅黑"/>
          <w:color w:val="000000" w:themeColor="text1"/>
          <w:highlight w:val="none"/>
          <w14:textFill>
            <w14:solidFill>
              <w14:schemeClr w14:val="tx1"/>
            </w14:solidFill>
          </w14:textFill>
        </w:rPr>
        <w:t>；</w:t>
      </w:r>
    </w:p>
    <w:p>
      <w:pPr>
        <w:spacing w:after="0" w:line="500" w:lineRule="exact"/>
        <w:ind w:firstLine="424" w:firstLineChars="202"/>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2.2质保金：无。</w:t>
      </w:r>
    </w:p>
    <w:p>
      <w:pPr>
        <w:pStyle w:val="5"/>
        <w:spacing w:beforeLines="50" w:after="240" w:afterLines="100" w:line="500" w:lineRule="exact"/>
        <w:rPr>
          <w:rFonts w:ascii="微软雅黑" w:hAnsi="微软雅黑" w:eastAsia="微软雅黑"/>
          <w:color w:val="000000" w:themeColor="text1"/>
          <w:sz w:val="28"/>
          <w:szCs w:val="28"/>
          <w:highlight w:val="none"/>
          <w14:textFill>
            <w14:solidFill>
              <w14:schemeClr w14:val="tx1"/>
            </w14:solidFill>
          </w14:textFill>
        </w:rPr>
      </w:pPr>
      <w:bookmarkStart w:id="572" w:name="_Toc40788119"/>
      <w:bookmarkStart w:id="573" w:name="_Toc89266907"/>
      <w:bookmarkStart w:id="574" w:name="_Toc53062781"/>
      <w:bookmarkStart w:id="575" w:name="_Toc100764250"/>
      <w:r>
        <w:rPr>
          <w:rFonts w:hint="eastAsia" w:ascii="微软雅黑" w:hAnsi="微软雅黑" w:eastAsia="微软雅黑"/>
          <w:color w:val="000000" w:themeColor="text1"/>
          <w:sz w:val="28"/>
          <w:szCs w:val="28"/>
          <w:highlight w:val="none"/>
          <w14:textFill>
            <w14:solidFill>
              <w14:schemeClr w14:val="tx1"/>
            </w14:solidFill>
          </w14:textFill>
        </w:rPr>
        <w:t>九、招标代理费</w:t>
      </w:r>
      <w:bookmarkEnd w:id="569"/>
      <w:bookmarkEnd w:id="572"/>
      <w:bookmarkEnd w:id="573"/>
      <w:bookmarkEnd w:id="574"/>
      <w:bookmarkEnd w:id="575"/>
    </w:p>
    <w:p>
      <w:pPr>
        <w:spacing w:after="0" w:line="500" w:lineRule="exact"/>
        <w:ind w:firstLine="420" w:firstLineChars="200"/>
        <w:rPr>
          <w:rFonts w:ascii="微软雅黑" w:hAnsi="微软雅黑"/>
          <w:color w:val="000000" w:themeColor="text1"/>
          <w:highlight w:val="none"/>
          <w14:textFill>
            <w14:solidFill>
              <w14:schemeClr w14:val="tx1"/>
            </w14:solidFill>
          </w14:textFill>
        </w:rPr>
      </w:pPr>
      <w:bookmarkStart w:id="576" w:name="_Toc493699319"/>
      <w:r>
        <w:rPr>
          <w:rFonts w:hint="eastAsia" w:ascii="微软雅黑" w:hAnsi="微软雅黑"/>
          <w:color w:val="000000" w:themeColor="text1"/>
          <w:highlight w:val="none"/>
          <w14:textFill>
            <w14:solidFill>
              <w14:schemeClr w14:val="tx1"/>
            </w14:solidFill>
          </w14:textFill>
        </w:rPr>
        <w:t>本项目招标代理费由中标单位承担，收费标准如下：</w:t>
      </w:r>
    </w:p>
    <w:p>
      <w:pPr>
        <w:snapToGrid w:val="0"/>
        <w:spacing w:after="0" w:line="500" w:lineRule="exact"/>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1、根据“国家发展和改革委员会办公厅《关于招标代理服务收费有关问题的通知》（发改办价格【2003】857号）”规定，招标代理机构向中标人收取招标代理服务费。</w:t>
      </w:r>
    </w:p>
    <w:tbl>
      <w:tblPr>
        <w:tblStyle w:val="5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617"/>
        <w:gridCol w:w="2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pPr>
              <w:tabs>
                <w:tab w:val="left" w:pos="640"/>
              </w:tabs>
              <w:spacing w:after="0" w:line="500" w:lineRule="exact"/>
              <w:ind w:firstLine="420" w:firstLineChars="200"/>
              <w:jc w:val="center"/>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中标金额（万元）</w:t>
            </w:r>
          </w:p>
        </w:tc>
        <w:tc>
          <w:tcPr>
            <w:tcW w:w="2617" w:type="dxa"/>
            <w:tcBorders>
              <w:top w:val="double" w:color="auto" w:sz="4" w:space="0"/>
              <w:left w:val="single" w:color="auto" w:sz="6" w:space="0"/>
              <w:bottom w:val="single" w:color="auto" w:sz="6" w:space="0"/>
              <w:right w:val="single" w:color="auto" w:sz="6" w:space="0"/>
            </w:tcBorders>
            <w:shd w:val="clear" w:color="auto" w:fill="D9D9D9"/>
            <w:vAlign w:val="center"/>
          </w:tcPr>
          <w:p>
            <w:pPr>
              <w:tabs>
                <w:tab w:val="left" w:pos="640"/>
              </w:tabs>
              <w:adjustRightInd w:val="0"/>
              <w:snapToGrid w:val="0"/>
              <w:spacing w:after="0" w:line="500" w:lineRule="exact"/>
              <w:ind w:firstLine="420" w:firstLineChars="200"/>
              <w:jc w:val="center"/>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货物类招标收费费率</w:t>
            </w:r>
          </w:p>
        </w:tc>
        <w:tc>
          <w:tcPr>
            <w:tcW w:w="2638" w:type="dxa"/>
            <w:tcBorders>
              <w:top w:val="double" w:color="auto" w:sz="4" w:space="0"/>
              <w:left w:val="single" w:color="auto" w:sz="6" w:space="0"/>
              <w:bottom w:val="single" w:color="auto" w:sz="6" w:space="0"/>
              <w:right w:val="double" w:color="auto" w:sz="4" w:space="0"/>
            </w:tcBorders>
            <w:shd w:val="clear" w:color="auto" w:fill="D9D9D9"/>
            <w:vAlign w:val="center"/>
          </w:tcPr>
          <w:p>
            <w:pPr>
              <w:tabs>
                <w:tab w:val="left" w:pos="640"/>
              </w:tabs>
              <w:spacing w:after="0" w:line="500" w:lineRule="exact"/>
              <w:ind w:firstLine="420" w:firstLineChars="200"/>
              <w:jc w:val="center"/>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服务类招标收费费率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2160" w:type="dxa"/>
            <w:tcBorders>
              <w:top w:val="single" w:color="auto" w:sz="6" w:space="0"/>
              <w:left w:val="double" w:color="auto" w:sz="4" w:space="0"/>
              <w:bottom w:val="single" w:color="auto" w:sz="6" w:space="0"/>
              <w:right w:val="single" w:color="auto" w:sz="6" w:space="0"/>
            </w:tcBorders>
            <w:vAlign w:val="center"/>
          </w:tcPr>
          <w:p>
            <w:pPr>
              <w:tabs>
                <w:tab w:val="left" w:pos="640"/>
              </w:tabs>
              <w:spacing w:after="0" w:line="500" w:lineRule="exact"/>
              <w:ind w:firstLine="420" w:firstLineChars="200"/>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100以下</w:t>
            </w:r>
          </w:p>
        </w:tc>
        <w:tc>
          <w:tcPr>
            <w:tcW w:w="2617" w:type="dxa"/>
            <w:tcBorders>
              <w:top w:val="single" w:color="auto" w:sz="6" w:space="0"/>
              <w:left w:val="single" w:color="auto" w:sz="6" w:space="0"/>
              <w:bottom w:val="single" w:color="auto" w:sz="6" w:space="0"/>
              <w:right w:val="single" w:color="auto" w:sz="6" w:space="0"/>
            </w:tcBorders>
            <w:vAlign w:val="center"/>
          </w:tcPr>
          <w:p>
            <w:pPr>
              <w:tabs>
                <w:tab w:val="left" w:pos="640"/>
              </w:tabs>
              <w:adjustRightInd w:val="0"/>
              <w:snapToGrid w:val="0"/>
              <w:spacing w:after="0" w:line="500" w:lineRule="exact"/>
              <w:ind w:firstLine="420" w:firstLineChars="200"/>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1.5%</w:t>
            </w:r>
          </w:p>
        </w:tc>
        <w:tc>
          <w:tcPr>
            <w:tcW w:w="2638" w:type="dxa"/>
            <w:tcBorders>
              <w:top w:val="single" w:color="auto" w:sz="6" w:space="0"/>
              <w:left w:val="single" w:color="auto" w:sz="6" w:space="0"/>
              <w:bottom w:val="single" w:color="auto" w:sz="6" w:space="0"/>
              <w:right w:val="double" w:color="auto" w:sz="4" w:space="0"/>
            </w:tcBorders>
            <w:vAlign w:val="center"/>
          </w:tcPr>
          <w:p>
            <w:pPr>
              <w:tabs>
                <w:tab w:val="left" w:pos="640"/>
              </w:tabs>
              <w:spacing w:after="0" w:line="500" w:lineRule="exact"/>
              <w:ind w:firstLine="420" w:firstLineChars="200"/>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2160" w:type="dxa"/>
            <w:tcBorders>
              <w:top w:val="single" w:color="auto" w:sz="6" w:space="0"/>
              <w:left w:val="double" w:color="auto" w:sz="4" w:space="0"/>
              <w:bottom w:val="double" w:color="auto" w:sz="4" w:space="0"/>
              <w:right w:val="single" w:color="auto" w:sz="6" w:space="0"/>
            </w:tcBorders>
            <w:vAlign w:val="center"/>
          </w:tcPr>
          <w:p>
            <w:pPr>
              <w:tabs>
                <w:tab w:val="left" w:pos="640"/>
              </w:tabs>
              <w:spacing w:after="0" w:line="500" w:lineRule="exact"/>
              <w:ind w:firstLine="420" w:firstLineChars="200"/>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100-500</w:t>
            </w:r>
          </w:p>
        </w:tc>
        <w:tc>
          <w:tcPr>
            <w:tcW w:w="2617" w:type="dxa"/>
            <w:tcBorders>
              <w:top w:val="single" w:color="auto" w:sz="6" w:space="0"/>
              <w:left w:val="single" w:color="auto" w:sz="6" w:space="0"/>
              <w:bottom w:val="double" w:color="auto" w:sz="4" w:space="0"/>
              <w:right w:val="single" w:color="auto" w:sz="6" w:space="0"/>
            </w:tcBorders>
            <w:vAlign w:val="center"/>
          </w:tcPr>
          <w:p>
            <w:pPr>
              <w:tabs>
                <w:tab w:val="left" w:pos="640"/>
              </w:tabs>
              <w:adjustRightInd w:val="0"/>
              <w:snapToGrid w:val="0"/>
              <w:spacing w:after="0" w:line="500" w:lineRule="exact"/>
              <w:ind w:firstLine="420" w:firstLineChars="200"/>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1.1%</w:t>
            </w:r>
          </w:p>
        </w:tc>
        <w:tc>
          <w:tcPr>
            <w:tcW w:w="2638" w:type="dxa"/>
            <w:tcBorders>
              <w:top w:val="single" w:color="auto" w:sz="6" w:space="0"/>
              <w:left w:val="single" w:color="auto" w:sz="6" w:space="0"/>
              <w:bottom w:val="double" w:color="auto" w:sz="4" w:space="0"/>
              <w:right w:val="double" w:color="auto" w:sz="4" w:space="0"/>
            </w:tcBorders>
            <w:vAlign w:val="center"/>
          </w:tcPr>
          <w:p>
            <w:pPr>
              <w:tabs>
                <w:tab w:val="left" w:pos="640"/>
              </w:tabs>
              <w:spacing w:after="0" w:line="500" w:lineRule="exact"/>
              <w:ind w:firstLine="420" w:firstLineChars="200"/>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0.8％</w:t>
            </w:r>
          </w:p>
        </w:tc>
      </w:tr>
    </w:tbl>
    <w:p>
      <w:pPr>
        <w:snapToGrid w:val="0"/>
        <w:spacing w:line="46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2、本项目以服务类招标收费标准收取招标代理服务费，对于招标代理服务费不足6000元的，按6000元计收。</w:t>
      </w:r>
    </w:p>
    <w:p>
      <w:pPr>
        <w:snapToGrid w:val="0"/>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3、服务费的货币为人民币。</w:t>
      </w:r>
    </w:p>
    <w:p>
      <w:pPr>
        <w:snapToGrid w:val="0"/>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4、服务费支付方式：一次性以银行划账、电汇、汇票或支票的形式支付。</w:t>
      </w:r>
    </w:p>
    <w:p>
      <w:pPr>
        <w:snapToGrid w:val="0"/>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5、服务费以银行划账方式按下列要求提交：</w:t>
      </w:r>
    </w:p>
    <w:p>
      <w:pPr>
        <w:snapToGrid w:val="0"/>
        <w:spacing w:after="0" w:line="500" w:lineRule="exact"/>
        <w:ind w:firstLine="840" w:firstLineChars="400"/>
        <w:rPr>
          <w:rFonts w:ascii="微软雅黑" w:hAnsi="微软雅黑"/>
          <w:b/>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收款人：</w:t>
      </w:r>
      <w:r>
        <w:rPr>
          <w:rFonts w:hint="eastAsia" w:ascii="微软雅黑" w:hAnsi="微软雅黑"/>
          <w:b/>
          <w:color w:val="000000" w:themeColor="text1"/>
          <w:highlight w:val="none"/>
          <w14:textFill>
            <w14:solidFill>
              <w14:schemeClr w14:val="tx1"/>
            </w14:solidFill>
          </w14:textFill>
        </w:rPr>
        <w:t>上海华瑞建设经济咨询有限公司嘉兴分公司</w:t>
      </w:r>
    </w:p>
    <w:p>
      <w:pPr>
        <w:widowControl/>
        <w:tabs>
          <w:tab w:val="left" w:pos="848"/>
        </w:tabs>
        <w:snapToGrid w:val="0"/>
        <w:spacing w:after="0" w:line="500" w:lineRule="exact"/>
        <w:ind w:firstLine="840" w:firstLineChars="4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户名：</w:t>
      </w:r>
      <w:r>
        <w:rPr>
          <w:rFonts w:hint="eastAsia" w:ascii="微软雅黑" w:hAnsi="微软雅黑"/>
          <w:bCs/>
          <w:color w:val="000000" w:themeColor="text1"/>
          <w:highlight w:val="none"/>
          <w14:textFill>
            <w14:solidFill>
              <w14:schemeClr w14:val="tx1"/>
            </w14:solidFill>
          </w14:textFill>
        </w:rPr>
        <w:t>上海华瑞建设经济咨询有限公司嘉兴分公司</w:t>
      </w:r>
    </w:p>
    <w:p>
      <w:pPr>
        <w:widowControl/>
        <w:snapToGrid w:val="0"/>
        <w:spacing w:after="0" w:line="500" w:lineRule="exact"/>
        <w:ind w:firstLine="840" w:firstLineChars="4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开户银行：</w:t>
      </w:r>
      <w:r>
        <w:rPr>
          <w:rFonts w:hint="eastAsia" w:ascii="微软雅黑" w:hAnsi="微软雅黑"/>
          <w:b/>
          <w:color w:val="000000" w:themeColor="text1"/>
          <w:highlight w:val="none"/>
          <w14:textFill>
            <w14:solidFill>
              <w14:schemeClr w14:val="tx1"/>
            </w14:solidFill>
          </w14:textFill>
        </w:rPr>
        <w:t>中国银行嘉兴市分行</w:t>
      </w:r>
    </w:p>
    <w:p>
      <w:pPr>
        <w:widowControl/>
        <w:snapToGrid w:val="0"/>
        <w:spacing w:after="0" w:line="500" w:lineRule="exact"/>
        <w:ind w:firstLine="840" w:firstLineChars="4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账号：</w:t>
      </w:r>
      <w:r>
        <w:rPr>
          <w:rFonts w:hint="eastAsia" w:ascii="微软雅黑" w:hAnsi="微软雅黑"/>
          <w:b/>
          <w:color w:val="000000" w:themeColor="text1"/>
          <w:highlight w:val="none"/>
          <w14:textFill>
            <w14:solidFill>
              <w14:schemeClr w14:val="tx1"/>
            </w14:solidFill>
          </w14:textFill>
        </w:rPr>
        <w:t>403958337788</w:t>
      </w:r>
    </w:p>
    <w:p>
      <w:pPr>
        <w:snapToGrid w:val="0"/>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6、服务费支付时间：服务费必须在中标人领取《中标通知书》时一次性付清，如果中标人未能按时交纳服务费，采购代理机构/采购人保留取消其中标资格并追究其法律责任的权利。</w:t>
      </w:r>
    </w:p>
    <w:p>
      <w:pPr>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7、服务费不在投标报价中单列。</w:t>
      </w:r>
    </w:p>
    <w:p>
      <w:pPr>
        <w:spacing w:line="460" w:lineRule="exact"/>
        <w:ind w:firstLine="411" w:firstLineChars="196"/>
        <w:rPr>
          <w:rFonts w:ascii="微软雅黑" w:hAnsi="微软雅黑"/>
          <w:color w:val="000000" w:themeColor="text1"/>
          <w:highlight w:val="none"/>
          <w14:textFill>
            <w14:solidFill>
              <w14:schemeClr w14:val="tx1"/>
            </w14:solidFill>
          </w14:textFill>
        </w:rPr>
        <w:sectPr>
          <w:pgSz w:w="11906" w:h="16838"/>
          <w:pgMar w:top="1134" w:right="1474" w:bottom="1134" w:left="1474" w:header="851" w:footer="510" w:gutter="0"/>
          <w:cols w:space="0" w:num="1"/>
          <w:docGrid w:linePitch="312" w:charSpace="0"/>
        </w:sectPr>
      </w:pPr>
    </w:p>
    <w:p>
      <w:pPr>
        <w:pStyle w:val="4"/>
        <w:numPr>
          <w:ilvl w:val="0"/>
          <w:numId w:val="19"/>
        </w:numPr>
        <w:spacing w:before="360"/>
        <w:jc w:val="center"/>
        <w:rPr>
          <w:color w:val="000000" w:themeColor="text1"/>
          <w:highlight w:val="none"/>
          <w14:textFill>
            <w14:solidFill>
              <w14:schemeClr w14:val="tx1"/>
            </w14:solidFill>
          </w14:textFill>
        </w:rPr>
      </w:pPr>
      <w:bookmarkStart w:id="577" w:name="_Toc100764251"/>
      <w:bookmarkStart w:id="578" w:name="_Toc12042"/>
      <w:r>
        <w:rPr>
          <w:rFonts w:hint="eastAsia"/>
          <w:color w:val="000000" w:themeColor="text1"/>
          <w:highlight w:val="none"/>
          <w14:textFill>
            <w14:solidFill>
              <w14:schemeClr w14:val="tx1"/>
            </w14:solidFill>
          </w14:textFill>
        </w:rPr>
        <w:t xml:space="preserve"> 磋商项目要求</w:t>
      </w:r>
      <w:bookmarkEnd w:id="570"/>
      <w:bookmarkEnd w:id="571"/>
      <w:bookmarkEnd w:id="576"/>
      <w:bookmarkEnd w:id="577"/>
      <w:bookmarkEnd w:id="578"/>
      <w:bookmarkStart w:id="579" w:name="_Toc170792778"/>
      <w:bookmarkStart w:id="580" w:name="_Toc71033410"/>
      <w:bookmarkStart w:id="581" w:name="_Toc119481961"/>
      <w:bookmarkStart w:id="582" w:name="_Toc72069792"/>
    </w:p>
    <w:bookmarkEnd w:id="579"/>
    <w:bookmarkEnd w:id="580"/>
    <w:bookmarkEnd w:id="581"/>
    <w:bookmarkEnd w:id="582"/>
    <w:p>
      <w:pPr>
        <w:numPr>
          <w:ilvl w:val="0"/>
          <w:numId w:val="27"/>
        </w:numPr>
        <w:spacing w:line="460" w:lineRule="exact"/>
        <w:jc w:val="left"/>
        <w:rPr>
          <w:rFonts w:ascii="微软雅黑" w:hAnsi="微软雅黑"/>
          <w:b/>
          <w:color w:val="000000" w:themeColor="text1"/>
          <w:highlight w:val="none"/>
          <w14:textFill>
            <w14:solidFill>
              <w14:schemeClr w14:val="tx1"/>
            </w14:solidFill>
          </w14:textFill>
        </w:rPr>
      </w:pPr>
      <w:bookmarkStart w:id="583" w:name="_Toc70003563"/>
      <w:bookmarkStart w:id="584" w:name="_Toc304842086"/>
      <w:bookmarkStart w:id="585" w:name="_Toc304842168"/>
      <w:bookmarkStart w:id="586" w:name="_Toc12302"/>
      <w:bookmarkStart w:id="587" w:name="_Toc32407"/>
      <w:bookmarkStart w:id="588" w:name="_Toc170792779"/>
      <w:bookmarkStart w:id="589" w:name="_Toc493699335"/>
      <w:bookmarkStart w:id="590" w:name="_Toc100764257"/>
      <w:bookmarkStart w:id="591" w:name="_Toc192313124"/>
      <w:bookmarkStart w:id="592" w:name="_Toc296611790"/>
      <w:r>
        <w:rPr>
          <w:rFonts w:hint="eastAsia" w:ascii="微软雅黑" w:hAnsi="微软雅黑"/>
          <w:b/>
          <w:color w:val="000000" w:themeColor="text1"/>
          <w:highlight w:val="none"/>
          <w14:textFill>
            <w14:solidFill>
              <w14:schemeClr w14:val="tx1"/>
            </w14:solidFill>
          </w14:textFill>
        </w:rPr>
        <w:t>项目背景</w:t>
      </w:r>
    </w:p>
    <w:p>
      <w:pPr>
        <w:spacing w:line="460" w:lineRule="exact"/>
        <w:ind w:firstLine="420" w:firstLineChars="200"/>
        <w:jc w:val="left"/>
        <w:rPr>
          <w:rFonts w:ascii="微软雅黑" w:hAnsi="微软雅黑" w:cs="Arial"/>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仅2022年6月以来，全国各地燃气安全事故频发，造成多起伤亡及毁物事故。针对燃气用气安全的严峻形势，国务院部署各省、市开展城镇燃气安全整治“百日攻坚”专项行动，进一步扩大问题隐患排查范围，提高问题发现及处置能力。针对经济技术开发区客观实际，为全面高效完成隐患排查整治工作，经开发区管委会批准同意立项，采购人嘉兴经济技术开发区建设交通局关于建立“燃气管家”常态化工作模式的建议获得认可，开展本次瓶装燃气管家服务采购项目</w:t>
      </w:r>
      <w:r>
        <w:rPr>
          <w:rFonts w:hint="eastAsia" w:ascii="微软雅黑" w:hAnsi="微软雅黑" w:cs="Arial"/>
          <w:color w:val="000000" w:themeColor="text1"/>
          <w:highlight w:val="none"/>
          <w14:textFill>
            <w14:solidFill>
              <w14:schemeClr w14:val="tx1"/>
            </w14:solidFill>
          </w14:textFill>
        </w:rPr>
        <w:t>。</w:t>
      </w:r>
    </w:p>
    <w:p>
      <w:pPr>
        <w:numPr>
          <w:ilvl w:val="0"/>
          <w:numId w:val="27"/>
        </w:numPr>
        <w:spacing w:line="460" w:lineRule="exact"/>
        <w:jc w:val="left"/>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项目概况</w:t>
      </w:r>
    </w:p>
    <w:p>
      <w:pPr>
        <w:spacing w:line="460" w:lineRule="exact"/>
        <w:ind w:firstLine="420" w:firstLineChars="200"/>
        <w:jc w:val="left"/>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（一）全区城镇燃气现状</w:t>
      </w:r>
    </w:p>
    <w:p>
      <w:pPr>
        <w:spacing w:line="46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目前，嘉兴市管道燃气普及率逐年上升，全区管道燃气用户已达13万户，但瓶装燃气凭借移动便利、初期投入少等优势仍在全市占据一定市场。根据全市瓶装燃气管理系统数据及街道筛查最新情况，当前经开区使用瓶装燃气3000余户。注册在经开区的瓶装燃气经营企业共2家,设有瓶装燃气储配站1个（塘汇）、瓶装供应站4个（城南2个，嘉北2个），瓶装燃气日供应量约700瓶。</w:t>
      </w:r>
    </w:p>
    <w:p>
      <w:pPr>
        <w:spacing w:line="460" w:lineRule="exact"/>
        <w:ind w:firstLine="420" w:firstLineChars="200"/>
        <w:jc w:val="left"/>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（二）服务内容</w:t>
      </w:r>
    </w:p>
    <w:p>
      <w:pPr>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1.定期排查。</w:t>
      </w:r>
      <w:r>
        <w:rPr>
          <w:rFonts w:hint="eastAsia" w:ascii="微软雅黑" w:hAnsi="微软雅黑"/>
          <w:color w:val="000000" w:themeColor="text1"/>
          <w:highlight w:val="none"/>
          <w14:textFill>
            <w14:solidFill>
              <w14:schemeClr w14:val="tx1"/>
            </w14:solidFill>
          </w14:textFill>
        </w:rPr>
        <w:t>对全区所有瓶装燃气用户进行定期隐患排查，其中对</w:t>
      </w:r>
      <w:r>
        <w:rPr>
          <w:rFonts w:hint="eastAsia" w:ascii="微软雅黑" w:hAnsi="微软雅黑"/>
          <w:color w:val="000000" w:themeColor="text1"/>
          <w:highlight w:val="none"/>
          <w:lang w:val="en-US" w:eastAsia="zh-CN"/>
          <w14:textFill>
            <w14:solidFill>
              <w14:schemeClr w14:val="tx1"/>
            </w14:solidFill>
          </w14:textFill>
        </w:rPr>
        <w:t>餐饮、酒店、</w:t>
      </w:r>
      <w:r>
        <w:rPr>
          <w:rFonts w:hint="eastAsia" w:ascii="微软雅黑" w:hAnsi="微软雅黑"/>
          <w:color w:val="000000" w:themeColor="text1"/>
          <w:highlight w:val="none"/>
          <w14:textFill>
            <w14:solidFill>
              <w14:schemeClr w14:val="tx1"/>
            </w14:solidFill>
          </w14:textFill>
        </w:rPr>
        <w:t>沿街店铺等</w:t>
      </w:r>
      <w:r>
        <w:rPr>
          <w:rFonts w:hint="eastAsia" w:ascii="微软雅黑" w:hAnsi="微软雅黑"/>
          <w:color w:val="000000" w:themeColor="text1"/>
          <w:highlight w:val="none"/>
          <w:lang w:val="en-US" w:eastAsia="zh-CN"/>
          <w14:textFill>
            <w14:solidFill>
              <w14:schemeClr w14:val="tx1"/>
            </w14:solidFill>
          </w14:textFill>
        </w:rPr>
        <w:t>公共场所</w:t>
      </w:r>
      <w:r>
        <w:rPr>
          <w:rFonts w:hint="eastAsia" w:ascii="微软雅黑" w:hAnsi="微软雅黑"/>
          <w:color w:val="000000" w:themeColor="text1"/>
          <w:highlight w:val="none"/>
          <w14:textFill>
            <w14:solidFill>
              <w14:schemeClr w14:val="tx1"/>
            </w14:solidFill>
          </w14:textFill>
        </w:rPr>
        <w:t>重点用户每季度排查不少于一次，小区居民等普通用户每半年不少于一次。</w:t>
      </w:r>
    </w:p>
    <w:p>
      <w:pPr>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2.飞行检查。</w:t>
      </w:r>
      <w:r>
        <w:rPr>
          <w:rFonts w:hint="eastAsia" w:ascii="微软雅黑" w:hAnsi="微软雅黑"/>
          <w:color w:val="000000" w:themeColor="text1"/>
          <w:highlight w:val="none"/>
          <w14:textFill>
            <w14:solidFill>
              <w14:schemeClr w14:val="tx1"/>
            </w14:solidFill>
          </w14:textFill>
        </w:rPr>
        <w:t>不定期随机对四街道沿街店铺等重点用户进行飞行检查，每周每街道检查不少于10户；不定期对各瓶装燃气供应站点进行安全检查，每站点每月不少于1次。</w:t>
      </w:r>
    </w:p>
    <w:p>
      <w:pPr>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3.技术指导。</w:t>
      </w:r>
      <w:r>
        <w:rPr>
          <w:rFonts w:hint="eastAsia" w:ascii="微软雅黑" w:hAnsi="微软雅黑"/>
          <w:color w:val="000000" w:themeColor="text1"/>
          <w:highlight w:val="none"/>
          <w14:textFill>
            <w14:solidFill>
              <w14:schemeClr w14:val="tx1"/>
            </w14:solidFill>
          </w14:textFill>
        </w:rPr>
        <w:t>负责定期对各部门、街道、社区、网格员等相关人员进行瓶装燃气使用、隐患排查等专业技术培训；安排专业人员为相关主管部门进行燃气事故抢险、调查提供技术服务；安排专业技术人员驻场办公，配合开展燃气行业管理工作，为进一步完善体制机制建设提供技术支持。</w:t>
      </w:r>
    </w:p>
    <w:p>
      <w:pPr>
        <w:spacing w:line="460" w:lineRule="exact"/>
        <w:ind w:firstLine="420" w:firstLineChars="200"/>
        <w:jc w:val="left"/>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（三）服务要求</w:t>
      </w:r>
    </w:p>
    <w:p>
      <w:pPr>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1.集中排查（2022.12-2023.</w:t>
      </w:r>
      <w:r>
        <w:rPr>
          <w:rFonts w:hint="eastAsia" w:ascii="微软雅黑" w:hAnsi="微软雅黑"/>
          <w:b/>
          <w:color w:val="000000" w:themeColor="text1"/>
          <w:highlight w:val="none"/>
          <w:lang w:val="en-US" w:eastAsia="zh-CN"/>
          <w14:textFill>
            <w14:solidFill>
              <w14:schemeClr w14:val="tx1"/>
            </w14:solidFill>
          </w14:textFill>
        </w:rPr>
        <w:t>2</w:t>
      </w:r>
      <w:r>
        <w:rPr>
          <w:rFonts w:hint="eastAsia" w:ascii="微软雅黑" w:hAnsi="微软雅黑"/>
          <w:b/>
          <w:color w:val="000000" w:themeColor="text1"/>
          <w:highlight w:val="none"/>
          <w14:textFill>
            <w14:solidFill>
              <w14:schemeClr w14:val="tx1"/>
            </w14:solidFill>
          </w14:textFill>
        </w:rPr>
        <w:t>）。</w:t>
      </w:r>
      <w:r>
        <w:rPr>
          <w:rFonts w:hint="eastAsia" w:ascii="微软雅黑" w:hAnsi="微软雅黑"/>
          <w:color w:val="000000" w:themeColor="text1"/>
          <w:highlight w:val="none"/>
          <w14:textFill>
            <w14:solidFill>
              <w14:schemeClr w14:val="tx1"/>
            </w14:solidFill>
          </w14:textFill>
        </w:rPr>
        <w:t>联合各街道、部门（单位）完成全区首轮瓶装燃气用户深度隐患排查与一般隐患问题整治。</w:t>
      </w:r>
    </w:p>
    <w:p>
      <w:pPr>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2.常态检查（202</w:t>
      </w:r>
      <w:r>
        <w:rPr>
          <w:rFonts w:ascii="微软雅黑" w:hAnsi="微软雅黑"/>
          <w:b/>
          <w:color w:val="000000" w:themeColor="text1"/>
          <w:highlight w:val="none"/>
          <w14:textFill>
            <w14:solidFill>
              <w14:schemeClr w14:val="tx1"/>
            </w14:solidFill>
          </w14:textFill>
        </w:rPr>
        <w:t>3</w:t>
      </w:r>
      <w:r>
        <w:rPr>
          <w:rFonts w:hint="eastAsia" w:ascii="微软雅黑" w:hAnsi="微软雅黑"/>
          <w:b/>
          <w:color w:val="000000" w:themeColor="text1"/>
          <w:highlight w:val="none"/>
          <w14:textFill>
            <w14:solidFill>
              <w14:schemeClr w14:val="tx1"/>
            </w14:solidFill>
          </w14:textFill>
        </w:rPr>
        <w:t>.1- ）。</w:t>
      </w:r>
      <w:r>
        <w:rPr>
          <w:rFonts w:hint="eastAsia" w:ascii="微软雅黑" w:hAnsi="微软雅黑"/>
          <w:color w:val="000000" w:themeColor="text1"/>
          <w:highlight w:val="none"/>
          <w14:textFill>
            <w14:solidFill>
              <w14:schemeClr w14:val="tx1"/>
            </w14:solidFill>
          </w14:textFill>
        </w:rPr>
        <w:t>集中攻坚疑难问题，并根据要求常态化开展服务工作，确保年底前完成一轮瓶装管理人员、排查人员的专业技术培训。</w:t>
      </w:r>
    </w:p>
    <w:p>
      <w:pPr>
        <w:spacing w:line="460" w:lineRule="exact"/>
        <w:ind w:firstLine="420" w:firstLineChars="200"/>
        <w:jc w:val="left"/>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（三）服务清单</w:t>
      </w:r>
    </w:p>
    <w:tbl>
      <w:tblPr>
        <w:tblStyle w:val="5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
      <w:tblGrid>
        <w:gridCol w:w="709"/>
        <w:gridCol w:w="1722"/>
        <w:gridCol w:w="3333"/>
        <w:gridCol w:w="711"/>
        <w:gridCol w:w="850"/>
        <w:gridCol w:w="1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28" w:type="dxa"/>
            <w:left w:w="108" w:type="dxa"/>
            <w:bottom w:w="28" w:type="dxa"/>
            <w:right w:w="108" w:type="dxa"/>
          </w:tblCellMar>
        </w:tblPrEx>
        <w:trPr>
          <w:trHeight w:val="454" w:hRule="atLeast"/>
          <w:jc w:val="center"/>
        </w:trPr>
        <w:tc>
          <w:tcPr>
            <w:tcW w:w="709" w:type="dxa"/>
            <w:vAlign w:val="center"/>
          </w:tcPr>
          <w:p>
            <w:pPr>
              <w:snapToGrid w:val="0"/>
              <w:spacing w:after="0" w:line="240" w:lineRule="auto"/>
              <w:jc w:val="center"/>
              <w:rPr>
                <w:rFonts w:ascii="微软雅黑" w:hAnsi="微软雅黑"/>
                <w:b/>
                <w:bCs/>
                <w:color w:val="000000" w:themeColor="text1"/>
                <w:kern w:val="2"/>
                <w:highlight w:val="none"/>
                <w14:textFill>
                  <w14:solidFill>
                    <w14:schemeClr w14:val="tx1"/>
                  </w14:solidFill>
                </w14:textFill>
              </w:rPr>
            </w:pPr>
            <w:r>
              <w:rPr>
                <w:rFonts w:hint="eastAsia" w:ascii="微软雅黑" w:hAnsi="微软雅黑"/>
                <w:b/>
                <w:bCs/>
                <w:color w:val="000000" w:themeColor="text1"/>
                <w:kern w:val="2"/>
                <w:highlight w:val="none"/>
                <w14:textFill>
                  <w14:solidFill>
                    <w14:schemeClr w14:val="tx1"/>
                  </w14:solidFill>
                </w14:textFill>
              </w:rPr>
              <w:t>序号</w:t>
            </w:r>
          </w:p>
        </w:tc>
        <w:tc>
          <w:tcPr>
            <w:tcW w:w="1722" w:type="dxa"/>
            <w:vAlign w:val="center"/>
          </w:tcPr>
          <w:p>
            <w:pPr>
              <w:snapToGrid w:val="0"/>
              <w:spacing w:after="0" w:line="240" w:lineRule="auto"/>
              <w:jc w:val="center"/>
              <w:rPr>
                <w:rFonts w:ascii="微软雅黑" w:hAnsi="微软雅黑"/>
                <w:b/>
                <w:bCs/>
                <w:color w:val="000000" w:themeColor="text1"/>
                <w:kern w:val="2"/>
                <w:highlight w:val="none"/>
                <w14:textFill>
                  <w14:solidFill>
                    <w14:schemeClr w14:val="tx1"/>
                  </w14:solidFill>
                </w14:textFill>
              </w:rPr>
            </w:pPr>
            <w:r>
              <w:rPr>
                <w:rFonts w:hint="eastAsia" w:ascii="微软雅黑" w:hAnsi="微软雅黑"/>
                <w:b/>
                <w:bCs/>
                <w:color w:val="000000" w:themeColor="text1"/>
                <w:kern w:val="2"/>
                <w:highlight w:val="none"/>
                <w14:textFill>
                  <w14:solidFill>
                    <w14:schemeClr w14:val="tx1"/>
                  </w14:solidFill>
                </w14:textFill>
              </w:rPr>
              <w:t>服务类别</w:t>
            </w:r>
          </w:p>
        </w:tc>
        <w:tc>
          <w:tcPr>
            <w:tcW w:w="3333" w:type="dxa"/>
            <w:vAlign w:val="center"/>
          </w:tcPr>
          <w:p>
            <w:pPr>
              <w:snapToGrid w:val="0"/>
              <w:spacing w:after="0" w:line="240" w:lineRule="auto"/>
              <w:jc w:val="center"/>
              <w:rPr>
                <w:rFonts w:ascii="微软雅黑" w:hAnsi="微软雅黑"/>
                <w:b/>
                <w:bCs/>
                <w:color w:val="000000" w:themeColor="text1"/>
                <w:kern w:val="2"/>
                <w:highlight w:val="none"/>
                <w14:textFill>
                  <w14:solidFill>
                    <w14:schemeClr w14:val="tx1"/>
                  </w14:solidFill>
                </w14:textFill>
              </w:rPr>
            </w:pPr>
            <w:r>
              <w:rPr>
                <w:rFonts w:hint="eastAsia" w:ascii="微软雅黑" w:hAnsi="微软雅黑"/>
                <w:b/>
                <w:bCs/>
                <w:color w:val="000000" w:themeColor="text1"/>
                <w:kern w:val="2"/>
                <w:highlight w:val="none"/>
                <w14:textFill>
                  <w14:solidFill>
                    <w14:schemeClr w14:val="tx1"/>
                  </w14:solidFill>
                </w14:textFill>
              </w:rPr>
              <w:t>服务内容</w:t>
            </w:r>
          </w:p>
        </w:tc>
        <w:tc>
          <w:tcPr>
            <w:tcW w:w="711" w:type="dxa"/>
            <w:vAlign w:val="center"/>
          </w:tcPr>
          <w:p>
            <w:pPr>
              <w:snapToGrid w:val="0"/>
              <w:spacing w:after="0" w:line="240" w:lineRule="auto"/>
              <w:jc w:val="center"/>
              <w:rPr>
                <w:rFonts w:ascii="微软雅黑" w:hAnsi="微软雅黑"/>
                <w:b/>
                <w:bCs/>
                <w:color w:val="000000" w:themeColor="text1"/>
                <w:kern w:val="2"/>
                <w:highlight w:val="none"/>
                <w14:textFill>
                  <w14:solidFill>
                    <w14:schemeClr w14:val="tx1"/>
                  </w14:solidFill>
                </w14:textFill>
              </w:rPr>
            </w:pPr>
            <w:r>
              <w:rPr>
                <w:rFonts w:hint="eastAsia" w:ascii="微软雅黑" w:hAnsi="微软雅黑"/>
                <w:b/>
                <w:bCs/>
                <w:color w:val="000000" w:themeColor="text1"/>
                <w:kern w:val="2"/>
                <w:highlight w:val="none"/>
                <w14:textFill>
                  <w14:solidFill>
                    <w14:schemeClr w14:val="tx1"/>
                  </w14:solidFill>
                </w14:textFill>
              </w:rPr>
              <w:t>数量</w:t>
            </w:r>
          </w:p>
        </w:tc>
        <w:tc>
          <w:tcPr>
            <w:tcW w:w="850" w:type="dxa"/>
            <w:vAlign w:val="center"/>
          </w:tcPr>
          <w:p>
            <w:pPr>
              <w:snapToGrid w:val="0"/>
              <w:spacing w:after="0" w:line="240" w:lineRule="auto"/>
              <w:jc w:val="center"/>
              <w:rPr>
                <w:rFonts w:ascii="微软雅黑" w:hAnsi="微软雅黑"/>
                <w:b/>
                <w:bCs/>
                <w:color w:val="000000" w:themeColor="text1"/>
                <w:kern w:val="2"/>
                <w:highlight w:val="none"/>
                <w14:textFill>
                  <w14:solidFill>
                    <w14:schemeClr w14:val="tx1"/>
                  </w14:solidFill>
                </w14:textFill>
              </w:rPr>
            </w:pPr>
            <w:r>
              <w:rPr>
                <w:rFonts w:hint="eastAsia" w:ascii="微软雅黑" w:hAnsi="微软雅黑"/>
                <w:b/>
                <w:bCs/>
                <w:color w:val="000000" w:themeColor="text1"/>
                <w:kern w:val="2"/>
                <w:highlight w:val="none"/>
                <w14:textFill>
                  <w14:solidFill>
                    <w14:schemeClr w14:val="tx1"/>
                  </w14:solidFill>
                </w14:textFill>
              </w:rPr>
              <w:t>单位</w:t>
            </w:r>
          </w:p>
        </w:tc>
        <w:tc>
          <w:tcPr>
            <w:tcW w:w="1772" w:type="dxa"/>
            <w:vAlign w:val="center"/>
          </w:tcPr>
          <w:p>
            <w:pPr>
              <w:snapToGrid w:val="0"/>
              <w:spacing w:after="0" w:line="240" w:lineRule="auto"/>
              <w:jc w:val="center"/>
              <w:rPr>
                <w:rFonts w:ascii="微软雅黑" w:hAnsi="微软雅黑"/>
                <w:b/>
                <w:bCs/>
                <w:color w:val="000000" w:themeColor="text1"/>
                <w:kern w:val="2"/>
                <w:highlight w:val="none"/>
                <w14:textFill>
                  <w14:solidFill>
                    <w14:schemeClr w14:val="tx1"/>
                  </w14:solidFill>
                </w14:textFill>
              </w:rPr>
            </w:pPr>
            <w:r>
              <w:rPr>
                <w:rFonts w:hint="eastAsia" w:ascii="微软雅黑" w:hAnsi="微软雅黑"/>
                <w:b/>
                <w:bCs/>
                <w:color w:val="000000" w:themeColor="text1"/>
                <w:kern w:val="2"/>
                <w:highlight w:val="none"/>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28" w:type="dxa"/>
            <w:left w:w="108" w:type="dxa"/>
            <w:bottom w:w="28" w:type="dxa"/>
            <w:right w:w="108" w:type="dxa"/>
          </w:tblCellMar>
        </w:tblPrEx>
        <w:trPr>
          <w:trHeight w:val="454" w:hRule="atLeast"/>
          <w:jc w:val="center"/>
        </w:trPr>
        <w:tc>
          <w:tcPr>
            <w:tcW w:w="709"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1</w:t>
            </w:r>
          </w:p>
        </w:tc>
        <w:tc>
          <w:tcPr>
            <w:tcW w:w="1722"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定期排查</w:t>
            </w:r>
          </w:p>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（重点用户）</w:t>
            </w:r>
          </w:p>
        </w:tc>
        <w:tc>
          <w:tcPr>
            <w:tcW w:w="3333"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定期排查（重点用户），每季度一次，排查用户数暂定1500户。</w:t>
            </w:r>
          </w:p>
        </w:tc>
        <w:tc>
          <w:tcPr>
            <w:tcW w:w="711"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4</w:t>
            </w:r>
          </w:p>
        </w:tc>
        <w:tc>
          <w:tcPr>
            <w:tcW w:w="850"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次/年</w:t>
            </w:r>
          </w:p>
        </w:tc>
        <w:tc>
          <w:tcPr>
            <w:tcW w:w="1772"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排查用户数按实结算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28" w:type="dxa"/>
            <w:left w:w="108" w:type="dxa"/>
            <w:bottom w:w="28" w:type="dxa"/>
            <w:right w:w="108" w:type="dxa"/>
          </w:tblCellMar>
        </w:tblPrEx>
        <w:trPr>
          <w:trHeight w:val="454" w:hRule="atLeast"/>
          <w:jc w:val="center"/>
        </w:trPr>
        <w:tc>
          <w:tcPr>
            <w:tcW w:w="709"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2</w:t>
            </w:r>
          </w:p>
        </w:tc>
        <w:tc>
          <w:tcPr>
            <w:tcW w:w="1722"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定期排查</w:t>
            </w:r>
          </w:p>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（一般用户）</w:t>
            </w:r>
          </w:p>
        </w:tc>
        <w:tc>
          <w:tcPr>
            <w:tcW w:w="3333"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定期排查（一般用户），每半年一次，排查用户数暂定2000户。</w:t>
            </w:r>
          </w:p>
        </w:tc>
        <w:tc>
          <w:tcPr>
            <w:tcW w:w="711"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2</w:t>
            </w:r>
          </w:p>
        </w:tc>
        <w:tc>
          <w:tcPr>
            <w:tcW w:w="850"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次/年</w:t>
            </w:r>
          </w:p>
        </w:tc>
        <w:tc>
          <w:tcPr>
            <w:tcW w:w="1772"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排查用户数按实结算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28" w:type="dxa"/>
            <w:left w:w="108" w:type="dxa"/>
            <w:bottom w:w="28" w:type="dxa"/>
            <w:right w:w="108" w:type="dxa"/>
          </w:tblCellMar>
        </w:tblPrEx>
        <w:trPr>
          <w:trHeight w:val="454" w:hRule="atLeast"/>
          <w:jc w:val="center"/>
        </w:trPr>
        <w:tc>
          <w:tcPr>
            <w:tcW w:w="709"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3</w:t>
            </w:r>
          </w:p>
        </w:tc>
        <w:tc>
          <w:tcPr>
            <w:tcW w:w="1722"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技术培训</w:t>
            </w:r>
          </w:p>
        </w:tc>
        <w:tc>
          <w:tcPr>
            <w:tcW w:w="3333"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按采购人要求安排采购人有关人员进行技术培训，包含但不限于培训师资、场地等。</w:t>
            </w:r>
          </w:p>
        </w:tc>
        <w:tc>
          <w:tcPr>
            <w:tcW w:w="711"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3</w:t>
            </w:r>
          </w:p>
        </w:tc>
        <w:tc>
          <w:tcPr>
            <w:tcW w:w="850"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次</w:t>
            </w:r>
          </w:p>
        </w:tc>
        <w:tc>
          <w:tcPr>
            <w:tcW w:w="1772"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28" w:type="dxa"/>
            <w:left w:w="108" w:type="dxa"/>
            <w:bottom w:w="28" w:type="dxa"/>
            <w:right w:w="108" w:type="dxa"/>
          </w:tblCellMar>
        </w:tblPrEx>
        <w:trPr>
          <w:trHeight w:val="454" w:hRule="atLeast"/>
          <w:jc w:val="center"/>
        </w:trPr>
        <w:tc>
          <w:tcPr>
            <w:tcW w:w="709"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4</w:t>
            </w:r>
          </w:p>
        </w:tc>
        <w:tc>
          <w:tcPr>
            <w:tcW w:w="1722"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事故应急救援方案编制</w:t>
            </w:r>
          </w:p>
        </w:tc>
        <w:tc>
          <w:tcPr>
            <w:tcW w:w="3333"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完成编制及专家评审等</w:t>
            </w:r>
          </w:p>
        </w:tc>
        <w:tc>
          <w:tcPr>
            <w:tcW w:w="711"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1</w:t>
            </w:r>
          </w:p>
        </w:tc>
        <w:tc>
          <w:tcPr>
            <w:tcW w:w="850"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项</w:t>
            </w:r>
          </w:p>
        </w:tc>
        <w:tc>
          <w:tcPr>
            <w:tcW w:w="1772"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28" w:type="dxa"/>
            <w:left w:w="108" w:type="dxa"/>
            <w:bottom w:w="28" w:type="dxa"/>
            <w:right w:w="108" w:type="dxa"/>
          </w:tblCellMar>
        </w:tblPrEx>
        <w:trPr>
          <w:trHeight w:val="454" w:hRule="atLeast"/>
          <w:jc w:val="center"/>
        </w:trPr>
        <w:tc>
          <w:tcPr>
            <w:tcW w:w="709"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5</w:t>
            </w:r>
          </w:p>
        </w:tc>
        <w:tc>
          <w:tcPr>
            <w:tcW w:w="1722"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驻点服务</w:t>
            </w:r>
          </w:p>
        </w:tc>
        <w:tc>
          <w:tcPr>
            <w:tcW w:w="3333"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含开展飞行检查并辅助进行燃气管理等工作</w:t>
            </w:r>
            <w:r>
              <w:rPr>
                <w:rFonts w:hint="eastAsia" w:ascii="微软雅黑" w:hAnsi="微软雅黑"/>
                <w:color w:val="000000" w:themeColor="text1"/>
                <w:kern w:val="2"/>
                <w:highlight w:val="none"/>
                <w:lang w:eastAsia="zh-CN"/>
                <w14:textFill>
                  <w14:solidFill>
                    <w14:schemeClr w14:val="tx1"/>
                  </w14:solidFill>
                </w14:textFill>
              </w:rPr>
              <w:t>，</w:t>
            </w:r>
            <w:r>
              <w:rPr>
                <w:rFonts w:hint="eastAsia" w:ascii="微软雅黑" w:hAnsi="微软雅黑"/>
                <w:color w:val="000000" w:themeColor="text1"/>
                <w:kern w:val="2"/>
                <w:highlight w:val="none"/>
                <w:lang w:val="en-US" w:eastAsia="zh-CN"/>
                <w14:textFill>
                  <w14:solidFill>
                    <w14:schemeClr w14:val="tx1"/>
                  </w14:solidFill>
                </w14:textFill>
              </w:rPr>
              <w:t>拟派人员具有安全评价师资格证</w:t>
            </w:r>
            <w:r>
              <w:rPr>
                <w:rFonts w:hint="eastAsia" w:ascii="微软雅黑" w:hAnsi="微软雅黑"/>
                <w:color w:val="000000" w:themeColor="text1"/>
                <w:kern w:val="2"/>
                <w:highlight w:val="none"/>
                <w14:textFill>
                  <w14:solidFill>
                    <w14:schemeClr w14:val="tx1"/>
                  </w14:solidFill>
                </w14:textFill>
              </w:rPr>
              <w:t>。</w:t>
            </w:r>
          </w:p>
        </w:tc>
        <w:tc>
          <w:tcPr>
            <w:tcW w:w="711"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1</w:t>
            </w:r>
          </w:p>
        </w:tc>
        <w:tc>
          <w:tcPr>
            <w:tcW w:w="850"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人</w:t>
            </w:r>
          </w:p>
        </w:tc>
        <w:tc>
          <w:tcPr>
            <w:tcW w:w="1772" w:type="dxa"/>
            <w:vAlign w:val="center"/>
          </w:tcPr>
          <w:p>
            <w:pPr>
              <w:snapToGrid w:val="0"/>
              <w:spacing w:after="0" w:line="240" w:lineRule="auto"/>
              <w:jc w:val="center"/>
              <w:rPr>
                <w:rFonts w:hint="eastAsia" w:ascii="微软雅黑" w:hAnsi="微软雅黑" w:eastAsia="微软雅黑"/>
                <w:color w:val="000000" w:themeColor="text1"/>
                <w:kern w:val="2"/>
                <w:highlight w:val="none"/>
                <w:lang w:eastAsia="zh-CN"/>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驻点人员要求合同签订日起开始驻点，工作时间参照建设交通局工作时间，服从建设交通局工作安排</w:t>
            </w:r>
            <w:r>
              <w:rPr>
                <w:rFonts w:hint="eastAsia" w:ascii="微软雅黑" w:hAnsi="微软雅黑"/>
                <w:color w:val="000000" w:themeColor="text1"/>
                <w:kern w:val="2"/>
                <w:highlight w:val="none"/>
                <w:lang w:eastAsia="zh-CN"/>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28" w:type="dxa"/>
            <w:left w:w="108" w:type="dxa"/>
            <w:bottom w:w="28" w:type="dxa"/>
            <w:right w:w="108" w:type="dxa"/>
          </w:tblCellMar>
        </w:tblPrEx>
        <w:trPr>
          <w:trHeight w:val="454" w:hRule="atLeast"/>
          <w:jc w:val="center"/>
        </w:trPr>
        <w:tc>
          <w:tcPr>
            <w:tcW w:w="709"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6</w:t>
            </w:r>
          </w:p>
        </w:tc>
        <w:tc>
          <w:tcPr>
            <w:tcW w:w="1722"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事故调查等相关费用</w:t>
            </w:r>
          </w:p>
        </w:tc>
        <w:tc>
          <w:tcPr>
            <w:tcW w:w="3333"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现场调查并出具报告等。</w:t>
            </w:r>
          </w:p>
        </w:tc>
        <w:tc>
          <w:tcPr>
            <w:tcW w:w="711"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1</w:t>
            </w:r>
          </w:p>
        </w:tc>
        <w:tc>
          <w:tcPr>
            <w:tcW w:w="850" w:type="dxa"/>
            <w:vAlign w:val="center"/>
          </w:tcPr>
          <w:p>
            <w:pPr>
              <w:snapToGrid w:val="0"/>
              <w:spacing w:after="0" w:line="240" w:lineRule="auto"/>
              <w:jc w:val="center"/>
              <w:rPr>
                <w:rFonts w:hint="eastAsia" w:ascii="微软雅黑" w:hAnsi="微软雅黑" w:eastAsia="微软雅黑"/>
                <w:color w:val="000000" w:themeColor="text1"/>
                <w:kern w:val="2"/>
                <w:highlight w:val="none"/>
                <w:lang w:eastAsia="zh-CN"/>
                <w14:textFill>
                  <w14:solidFill>
                    <w14:schemeClr w14:val="tx1"/>
                  </w14:solidFill>
                </w14:textFill>
              </w:rPr>
            </w:pPr>
            <w:r>
              <w:rPr>
                <w:rFonts w:hint="eastAsia" w:ascii="微软雅黑" w:hAnsi="微软雅黑"/>
                <w:color w:val="000000" w:themeColor="text1"/>
                <w:kern w:val="2"/>
                <w:highlight w:val="none"/>
                <w:lang w:val="en-US" w:eastAsia="zh-CN"/>
                <w14:textFill>
                  <w14:solidFill>
                    <w14:schemeClr w14:val="tx1"/>
                  </w14:solidFill>
                </w14:textFill>
              </w:rPr>
              <w:t>次</w:t>
            </w:r>
          </w:p>
        </w:tc>
        <w:tc>
          <w:tcPr>
            <w:tcW w:w="1772" w:type="dxa"/>
            <w:vAlign w:val="center"/>
          </w:tcPr>
          <w:p>
            <w:pPr>
              <w:snapToGrid w:val="0"/>
              <w:spacing w:after="0" w:line="240" w:lineRule="auto"/>
              <w:jc w:val="center"/>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数量按实结算</w:t>
            </w:r>
          </w:p>
        </w:tc>
      </w:tr>
    </w:tbl>
    <w:p>
      <w:pPr>
        <w:pStyle w:val="75"/>
        <w:spacing w:line="240" w:lineRule="auto"/>
        <w:ind w:firstLine="0" w:firstLineChars="0"/>
        <w:rPr>
          <w:color w:val="000000" w:themeColor="text1"/>
          <w:highlight w:val="none"/>
          <w14:textFill>
            <w14:solidFill>
              <w14:schemeClr w14:val="tx1"/>
            </w14:solidFill>
          </w14:textFill>
        </w:rPr>
      </w:pPr>
    </w:p>
    <w:p>
      <w:pPr>
        <w:adjustRightInd w:val="0"/>
        <w:snapToGrid w:val="0"/>
        <w:spacing w:after="0" w:line="360" w:lineRule="auto"/>
        <w:ind w:firstLine="420" w:firstLineChars="200"/>
        <w:jc w:val="left"/>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四、服务期限：</w:t>
      </w:r>
    </w:p>
    <w:p>
      <w:pPr>
        <w:adjustRightInd w:val="0"/>
        <w:snapToGrid w:val="0"/>
        <w:spacing w:after="0" w:line="360" w:lineRule="auto"/>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自合同生效之日起一年。</w:t>
      </w:r>
    </w:p>
    <w:p>
      <w:pPr>
        <w:adjustRightInd w:val="0"/>
        <w:snapToGrid w:val="0"/>
        <w:spacing w:after="0" w:line="360" w:lineRule="auto"/>
        <w:ind w:firstLine="420" w:firstLineChars="200"/>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五、其他要求</w:t>
      </w:r>
    </w:p>
    <w:p>
      <w:pPr>
        <w:adjustRightInd w:val="0"/>
        <w:snapToGri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ascii="微软雅黑" w:hAnsi="微软雅黑"/>
          <w:color w:val="000000" w:themeColor="text1"/>
          <w:highlight w:val="none"/>
          <w14:textFill>
            <w14:solidFill>
              <w14:schemeClr w14:val="tx1"/>
            </w14:solidFill>
          </w14:textFill>
        </w:rPr>
        <w:t>1</w:t>
      </w:r>
      <w:r>
        <w:rPr>
          <w:rFonts w:hint="eastAsia" w:ascii="微软雅黑" w:hAnsi="微软雅黑"/>
          <w:color w:val="000000" w:themeColor="text1"/>
          <w:highlight w:val="none"/>
          <w14:textFill>
            <w14:solidFill>
              <w14:schemeClr w14:val="tx1"/>
            </w14:solidFill>
          </w14:textFill>
        </w:rPr>
        <w:t>、所有服务人员必须统一着装并配证上岗，讲文明，讲礼貌，按照采购人要求的时间和频次按时上岗排查；并做好本项目管理档案、资料收集；</w:t>
      </w:r>
    </w:p>
    <w:p>
      <w:pPr>
        <w:adjustRightInd w:val="0"/>
        <w:snapToGri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ascii="微软雅黑" w:hAnsi="微软雅黑"/>
          <w:color w:val="000000" w:themeColor="text1"/>
          <w:highlight w:val="none"/>
          <w14:textFill>
            <w14:solidFill>
              <w14:schemeClr w14:val="tx1"/>
            </w14:solidFill>
          </w14:textFill>
        </w:rPr>
        <w:t>2</w:t>
      </w:r>
      <w:r>
        <w:rPr>
          <w:rFonts w:hint="eastAsia" w:ascii="微软雅黑" w:hAnsi="微软雅黑"/>
          <w:color w:val="000000" w:themeColor="text1"/>
          <w:highlight w:val="none"/>
          <w14:textFill>
            <w14:solidFill>
              <w14:schemeClr w14:val="tx1"/>
            </w14:solidFill>
          </w14:textFill>
        </w:rPr>
        <w:t>、成交供应商招用为本项目提供服务的工作人员必须按有关规定签订劳动合同及相关配套协议并办理基本养老保险、意外人生伤害险等手续。工资待遇按《劳动法》有关规定执行；</w:t>
      </w:r>
    </w:p>
    <w:p>
      <w:pPr>
        <w:adjustRightInd w:val="0"/>
        <w:snapToGri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3、为本项目提供服务的人员因操作不当发生的人身安全事故，其发生的一切费用均由成交供应商负责，与采购人无关；</w:t>
      </w:r>
    </w:p>
    <w:p>
      <w:pPr>
        <w:adjustRightInd w:val="0"/>
        <w:snapToGri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4、禁止野蛮操作，做到文明礼貌、规范操作；</w:t>
      </w:r>
    </w:p>
    <w:p>
      <w:pPr>
        <w:adjustRightInd w:val="0"/>
        <w:snapToGri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5、成交供应商应定期做好员工培训工作；</w:t>
      </w:r>
    </w:p>
    <w:p>
      <w:pPr>
        <w:adjustRightInd w:val="0"/>
        <w:snapToGri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6、成交供应商应将本项目实施人员的清单、分工情况、作息时间、排班计划等告知采购人，人员调动须提前一个月告知采购人，采购人有权对不合格或违法、违纪人员要求更换；</w:t>
      </w:r>
    </w:p>
    <w:p>
      <w:pPr>
        <w:adjustRightInd w:val="0"/>
        <w:snapToGri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7、有重大活动或有突击性任务，必须服从采购人统一调配；</w:t>
      </w:r>
    </w:p>
    <w:p>
      <w:pPr>
        <w:adjustRightInd w:val="0"/>
        <w:snapToGri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8、采购人有权制订相应考核办法，对成交供应商的工作进行考核，成交供应商必须无条件予以接受，考核办法由采购人另行制订；</w:t>
      </w:r>
    </w:p>
    <w:p>
      <w:pPr>
        <w:adjustRightInd w:val="0"/>
        <w:snapToGri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9、本项目所有的水、电、网络、通讯、交通费、其他有关办公费用等均由成交供应商自行负责；</w:t>
      </w:r>
    </w:p>
    <w:p>
      <w:pPr>
        <w:pStyle w:val="50"/>
        <w:adjustRightInd w:val="0"/>
        <w:snapToGrid w:val="0"/>
        <w:spacing w:before="0" w:beforeAutospacing="0" w:after="0" w:afterAutospacing="0" w:line="360" w:lineRule="auto"/>
        <w:ind w:firstLine="420" w:firstLineChars="200"/>
        <w:rPr>
          <w:rFonts w:ascii="微软雅黑" w:hAnsi="微软雅黑"/>
          <w:color w:val="000000" w:themeColor="text1"/>
          <w:sz w:val="21"/>
          <w:highlight w:val="none"/>
          <w14:textFill>
            <w14:solidFill>
              <w14:schemeClr w14:val="tx1"/>
            </w14:solidFill>
          </w14:textFill>
        </w:rPr>
      </w:pPr>
      <w:r>
        <w:rPr>
          <w:rFonts w:ascii="微软雅黑" w:hAnsi="微软雅黑"/>
          <w:color w:val="000000" w:themeColor="text1"/>
          <w:sz w:val="21"/>
          <w:highlight w:val="none"/>
          <w14:textFill>
            <w14:solidFill>
              <w14:schemeClr w14:val="tx1"/>
            </w14:solidFill>
          </w14:textFill>
        </w:rPr>
        <w:t>1</w:t>
      </w:r>
      <w:r>
        <w:rPr>
          <w:rFonts w:hint="eastAsia" w:ascii="微软雅黑" w:hAnsi="微软雅黑"/>
          <w:color w:val="000000" w:themeColor="text1"/>
          <w:sz w:val="21"/>
          <w:highlight w:val="none"/>
          <w14:textFill>
            <w14:solidFill>
              <w14:schemeClr w14:val="tx1"/>
            </w14:solidFill>
          </w14:textFill>
        </w:rPr>
        <w:t>0、供应商报价应包括本项目服务所需的一切人员工资、社保、奖金、福利等各项人工费用，完成所需的一切本身和不可或缺的所有工作开支、政策性文件规定及合同包含的所有风险、责任及磋商文件明确要求等各项目全部费用并承担一切风险责任，并包括本项目所有的管理费用、利润、税费。</w:t>
      </w:r>
    </w:p>
    <w:p>
      <w:pPr>
        <w:pStyle w:val="50"/>
        <w:adjustRightInd w:val="0"/>
        <w:snapToGrid w:val="0"/>
        <w:spacing w:before="0" w:beforeAutospacing="0" w:after="0" w:afterAutospacing="0" w:line="360" w:lineRule="auto"/>
        <w:ind w:firstLine="420" w:firstLineChars="200"/>
        <w:rPr>
          <w:rFonts w:ascii="微软雅黑" w:hAnsi="微软雅黑"/>
          <w:b/>
          <w:bCs/>
          <w:color w:val="000000" w:themeColor="text1"/>
          <w:sz w:val="21"/>
          <w:highlight w:val="none"/>
          <w14:textFill>
            <w14:solidFill>
              <w14:schemeClr w14:val="tx1"/>
            </w14:solidFill>
          </w14:textFill>
        </w:rPr>
      </w:pPr>
      <w:r>
        <w:rPr>
          <w:rFonts w:hint="eastAsia" w:ascii="微软雅黑" w:hAnsi="微软雅黑"/>
          <w:b/>
          <w:bCs/>
          <w:color w:val="000000" w:themeColor="text1"/>
          <w:sz w:val="21"/>
          <w:highlight w:val="none"/>
          <w14:textFill>
            <w14:solidFill>
              <w14:schemeClr w14:val="tx1"/>
            </w14:solidFill>
          </w14:textFill>
        </w:rPr>
        <w:t>11、成交供应商应落实各类安全生产责任制度，对管家服务范围内用户设施进行安全巡检、检测，制定企业章程、故障报修、投诉处置、服务质量保障和安全用气服务制度，编制岗位操作规程和燃气突发事件应急预案、救援方案及事故调查报告，开展燃气安全宣讲等工作。</w:t>
      </w:r>
    </w:p>
    <w:p>
      <w:pPr>
        <w:pStyle w:val="50"/>
        <w:adjustRightInd w:val="0"/>
        <w:snapToGrid w:val="0"/>
        <w:spacing w:before="0" w:beforeAutospacing="0" w:after="0" w:afterAutospacing="0" w:line="360" w:lineRule="auto"/>
        <w:ind w:firstLine="420" w:firstLineChars="200"/>
        <w:rPr>
          <w:rFonts w:ascii="微软雅黑" w:hAnsi="微软雅黑"/>
          <w:b/>
          <w:bCs/>
          <w:color w:val="000000" w:themeColor="text1"/>
          <w:sz w:val="21"/>
          <w:highlight w:val="none"/>
          <w14:textFill>
            <w14:solidFill>
              <w14:schemeClr w14:val="tx1"/>
            </w14:solidFill>
          </w14:textFill>
        </w:rPr>
      </w:pPr>
      <w:r>
        <w:rPr>
          <w:rFonts w:hint="eastAsia" w:ascii="微软雅黑" w:hAnsi="微软雅黑"/>
          <w:b/>
          <w:bCs/>
          <w:color w:val="000000" w:themeColor="text1"/>
          <w:sz w:val="21"/>
          <w:highlight w:val="none"/>
          <w14:textFill>
            <w14:solidFill>
              <w14:schemeClr w14:val="tx1"/>
            </w14:solidFill>
          </w14:textFill>
        </w:rPr>
        <w:t>12、成交供应商在燃气管家服务期内，应严格执行国家、地方有关城市燃气管理办法及安全管理规定，结合《燃气经营许可管理办法》有关要求，积极配合采购人和经开区有关部门，落实各项管控措施，加强服务人员培训及实操，对相关管控服务对象开展宣传教育工作，相关费用均计入响应报价内。</w:t>
      </w:r>
    </w:p>
    <w:p>
      <w:pPr>
        <w:pStyle w:val="50"/>
        <w:adjustRightInd w:val="0"/>
        <w:snapToGrid w:val="0"/>
        <w:spacing w:before="0" w:beforeAutospacing="0" w:after="0" w:afterAutospacing="0" w:line="360" w:lineRule="auto"/>
        <w:ind w:firstLine="420" w:firstLineChars="200"/>
        <w:rPr>
          <w:rFonts w:ascii="微软雅黑" w:hAnsi="微软雅黑"/>
          <w:b/>
          <w:bCs/>
          <w:color w:val="000000" w:themeColor="text1"/>
          <w:sz w:val="21"/>
          <w:highlight w:val="none"/>
          <w14:textFill>
            <w14:solidFill>
              <w14:schemeClr w14:val="tx1"/>
            </w14:solidFill>
          </w14:textFill>
        </w:rPr>
      </w:pPr>
      <w:r>
        <w:rPr>
          <w:rFonts w:hint="eastAsia" w:ascii="微软雅黑" w:hAnsi="微软雅黑"/>
          <w:b/>
          <w:bCs/>
          <w:color w:val="000000" w:themeColor="text1"/>
          <w:sz w:val="21"/>
          <w:highlight w:val="none"/>
          <w14:textFill>
            <w14:solidFill>
              <w14:schemeClr w14:val="tx1"/>
            </w14:solidFill>
          </w14:textFill>
        </w:rPr>
        <w:t>13、根据项目实际，本次采购定期排查（含重点用户和一般用户）排查频次和排查用户数均为暂定量，结算时均按实结算。成交供应商提供管家上门服务时，应详细登记服务时间、排查存在问题及解决方案、用户评价意见、用户签字确认等单据信息，项目结算时凭单据按具体排查用户数按实结算，结算单价按该各部分响应报价折算为“元/户/次”固定单价进行结算，最终项目结算总价不得超过项目预算价75.00万元，超过部分成交供应商应无条件让利，相关风险因素各投标供应商应充分踏勘项目现场、了解项目实际情况后综合计入投标响应报价。</w:t>
      </w:r>
    </w:p>
    <w:p>
      <w:pPr>
        <w:adjustRightInd w:val="0"/>
        <w:snapToGrid w:val="0"/>
        <w:spacing w:after="0" w:line="360" w:lineRule="auto"/>
        <w:ind w:firstLine="420" w:firstLineChars="200"/>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六</w:t>
      </w:r>
      <w:r>
        <w:rPr>
          <w:rFonts w:ascii="微软雅黑" w:hAnsi="微软雅黑"/>
          <w:b/>
          <w:color w:val="000000" w:themeColor="text1"/>
          <w:highlight w:val="none"/>
          <w14:textFill>
            <w14:solidFill>
              <w14:schemeClr w14:val="tx1"/>
            </w14:solidFill>
          </w14:textFill>
        </w:rPr>
        <w:t>、承担风险</w:t>
      </w:r>
    </w:p>
    <w:p>
      <w:pPr>
        <w:adjustRightInd w:val="0"/>
        <w:snapToGri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ascii="微软雅黑" w:hAnsi="微软雅黑"/>
          <w:color w:val="000000" w:themeColor="text1"/>
          <w:highlight w:val="none"/>
          <w14:textFill>
            <w14:solidFill>
              <w14:schemeClr w14:val="tx1"/>
            </w14:solidFill>
          </w14:textFill>
        </w:rPr>
        <w:t>1</w:t>
      </w:r>
      <w:r>
        <w:rPr>
          <w:rFonts w:hint="eastAsia" w:ascii="微软雅黑" w:hAnsi="微软雅黑"/>
          <w:color w:val="000000" w:themeColor="text1"/>
          <w:highlight w:val="none"/>
          <w14:textFill>
            <w14:solidFill>
              <w14:schemeClr w14:val="tx1"/>
            </w14:solidFill>
          </w14:textFill>
        </w:rPr>
        <w:t>、采购人</w:t>
      </w:r>
      <w:r>
        <w:rPr>
          <w:rFonts w:ascii="微软雅黑" w:hAnsi="微软雅黑"/>
          <w:color w:val="000000" w:themeColor="text1"/>
          <w:highlight w:val="none"/>
          <w14:textFill>
            <w14:solidFill>
              <w14:schemeClr w14:val="tx1"/>
            </w14:solidFill>
          </w14:textFill>
        </w:rPr>
        <w:t>将对</w:t>
      </w:r>
      <w:r>
        <w:rPr>
          <w:rFonts w:hint="eastAsia" w:ascii="微软雅黑" w:hAnsi="微软雅黑"/>
          <w:color w:val="000000" w:themeColor="text1"/>
          <w:highlight w:val="none"/>
          <w14:textFill>
            <w14:solidFill>
              <w14:schemeClr w14:val="tx1"/>
            </w14:solidFill>
          </w14:textFill>
        </w:rPr>
        <w:t>本项目</w:t>
      </w:r>
      <w:r>
        <w:rPr>
          <w:rFonts w:ascii="微软雅黑" w:hAnsi="微软雅黑"/>
          <w:color w:val="000000" w:themeColor="text1"/>
          <w:highlight w:val="none"/>
          <w14:textFill>
            <w14:solidFill>
              <w14:schemeClr w14:val="tx1"/>
            </w14:solidFill>
          </w14:textFill>
        </w:rPr>
        <w:t>服务质量进行全过程监控，</w:t>
      </w:r>
      <w:r>
        <w:rPr>
          <w:rFonts w:hint="eastAsia" w:ascii="微软雅黑" w:hAnsi="微软雅黑"/>
          <w:color w:val="000000" w:themeColor="text1"/>
          <w:highlight w:val="none"/>
          <w14:textFill>
            <w14:solidFill>
              <w14:schemeClr w14:val="tx1"/>
            </w14:solidFill>
          </w14:textFill>
        </w:rPr>
        <w:t>成交供应商服务</w:t>
      </w:r>
      <w:r>
        <w:rPr>
          <w:rFonts w:ascii="微软雅黑" w:hAnsi="微软雅黑"/>
          <w:color w:val="000000" w:themeColor="text1"/>
          <w:highlight w:val="none"/>
          <w14:textFill>
            <w14:solidFill>
              <w14:schemeClr w14:val="tx1"/>
            </w14:solidFill>
          </w14:textFill>
        </w:rPr>
        <w:t>人员日常工作不到位、不达标、或有违约现象，将依据合同约定，作出相应的违约处理与处罚。</w:t>
      </w:r>
    </w:p>
    <w:p>
      <w:pPr>
        <w:adjustRightInd w:val="0"/>
        <w:snapToGri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ascii="微软雅黑" w:hAnsi="微软雅黑"/>
          <w:color w:val="000000" w:themeColor="text1"/>
          <w:highlight w:val="none"/>
          <w14:textFill>
            <w14:solidFill>
              <w14:schemeClr w14:val="tx1"/>
            </w14:solidFill>
          </w14:textFill>
        </w:rPr>
        <w:t>2</w:t>
      </w:r>
      <w:r>
        <w:rPr>
          <w:rFonts w:hint="eastAsia" w:ascii="微软雅黑" w:hAnsi="微软雅黑"/>
          <w:color w:val="000000" w:themeColor="text1"/>
          <w:highlight w:val="none"/>
          <w14:textFill>
            <w14:solidFill>
              <w14:schemeClr w14:val="tx1"/>
            </w14:solidFill>
          </w14:textFill>
        </w:rPr>
        <w:t>、采购人</w:t>
      </w:r>
      <w:r>
        <w:rPr>
          <w:rFonts w:ascii="微软雅黑" w:hAnsi="微软雅黑"/>
          <w:color w:val="000000" w:themeColor="text1"/>
          <w:highlight w:val="none"/>
          <w14:textFill>
            <w14:solidFill>
              <w14:schemeClr w14:val="tx1"/>
            </w14:solidFill>
          </w14:textFill>
        </w:rPr>
        <w:t>每</w:t>
      </w:r>
      <w:r>
        <w:rPr>
          <w:rFonts w:hint="eastAsia" w:ascii="微软雅黑" w:hAnsi="微软雅黑"/>
          <w:color w:val="000000" w:themeColor="text1"/>
          <w:highlight w:val="none"/>
          <w14:textFill>
            <w14:solidFill>
              <w14:schemeClr w14:val="tx1"/>
            </w14:solidFill>
          </w14:textFill>
        </w:rPr>
        <w:t>季度</w:t>
      </w:r>
      <w:r>
        <w:rPr>
          <w:rFonts w:ascii="微软雅黑" w:hAnsi="微软雅黑"/>
          <w:color w:val="000000" w:themeColor="text1"/>
          <w:highlight w:val="none"/>
          <w14:textFill>
            <w14:solidFill>
              <w14:schemeClr w14:val="tx1"/>
            </w14:solidFill>
          </w14:textFill>
        </w:rPr>
        <w:t>对</w:t>
      </w:r>
      <w:r>
        <w:rPr>
          <w:rFonts w:hint="eastAsia" w:ascii="微软雅黑" w:hAnsi="微软雅黑"/>
          <w:color w:val="000000" w:themeColor="text1"/>
          <w:highlight w:val="none"/>
          <w14:textFill>
            <w14:solidFill>
              <w14:schemeClr w14:val="tx1"/>
            </w14:solidFill>
          </w14:textFill>
        </w:rPr>
        <w:t>本项目</w:t>
      </w:r>
      <w:r>
        <w:rPr>
          <w:rFonts w:ascii="微软雅黑" w:hAnsi="微软雅黑"/>
          <w:color w:val="000000" w:themeColor="text1"/>
          <w:highlight w:val="none"/>
          <w14:textFill>
            <w14:solidFill>
              <w14:schemeClr w14:val="tx1"/>
            </w14:solidFill>
          </w14:textFill>
        </w:rPr>
        <w:t>服务质量征求</w:t>
      </w:r>
      <w:r>
        <w:rPr>
          <w:rFonts w:hint="eastAsia" w:ascii="微软雅黑" w:hAnsi="微软雅黑"/>
          <w:color w:val="000000" w:themeColor="text1"/>
          <w:highlight w:val="none"/>
          <w14:textFill>
            <w14:solidFill>
              <w14:schemeClr w14:val="tx1"/>
            </w14:solidFill>
          </w14:textFill>
        </w:rPr>
        <w:t>巡查服务对象和社区居民的</w:t>
      </w:r>
      <w:r>
        <w:rPr>
          <w:rFonts w:ascii="微软雅黑" w:hAnsi="微软雅黑"/>
          <w:color w:val="000000" w:themeColor="text1"/>
          <w:highlight w:val="none"/>
          <w14:textFill>
            <w14:solidFill>
              <w14:schemeClr w14:val="tx1"/>
            </w14:solidFill>
          </w14:textFill>
        </w:rPr>
        <w:t>意见</w:t>
      </w:r>
      <w:r>
        <w:rPr>
          <w:rFonts w:hint="eastAsia" w:ascii="微软雅黑" w:hAnsi="微软雅黑"/>
          <w:color w:val="000000" w:themeColor="text1"/>
          <w:highlight w:val="none"/>
          <w14:textFill>
            <w14:solidFill>
              <w14:schemeClr w14:val="tx1"/>
            </w14:solidFill>
          </w14:textFill>
        </w:rPr>
        <w:t>为依据。</w:t>
      </w:r>
    </w:p>
    <w:p>
      <w:pPr>
        <w:adjustRightInd w:val="0"/>
        <w:snapToGri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ascii="微软雅黑" w:hAnsi="微软雅黑"/>
          <w:color w:val="000000" w:themeColor="text1"/>
          <w:highlight w:val="none"/>
          <w14:textFill>
            <w14:solidFill>
              <w14:schemeClr w14:val="tx1"/>
            </w14:solidFill>
          </w14:textFill>
        </w:rPr>
        <w:t>3</w:t>
      </w:r>
      <w:r>
        <w:rPr>
          <w:rFonts w:hint="eastAsia" w:ascii="微软雅黑" w:hAnsi="微软雅黑"/>
          <w:color w:val="000000" w:themeColor="text1"/>
          <w:highlight w:val="none"/>
          <w14:textFill>
            <w14:solidFill>
              <w14:schemeClr w14:val="tx1"/>
            </w14:solidFill>
          </w14:textFill>
        </w:rPr>
        <w:t>、服务</w:t>
      </w:r>
      <w:r>
        <w:rPr>
          <w:rFonts w:ascii="微软雅黑" w:hAnsi="微软雅黑"/>
          <w:color w:val="000000" w:themeColor="text1"/>
          <w:highlight w:val="none"/>
          <w14:textFill>
            <w14:solidFill>
              <w14:schemeClr w14:val="tx1"/>
            </w14:solidFill>
          </w14:textFill>
        </w:rPr>
        <w:t>人员在岗履行工作职责期间，发生自身的人身伤害、伤亡，由</w:t>
      </w:r>
      <w:r>
        <w:rPr>
          <w:rFonts w:hint="eastAsia" w:ascii="微软雅黑" w:hAnsi="微软雅黑"/>
          <w:color w:val="000000" w:themeColor="text1"/>
          <w:highlight w:val="none"/>
          <w14:textFill>
            <w14:solidFill>
              <w14:schemeClr w14:val="tx1"/>
            </w14:solidFill>
          </w14:textFill>
        </w:rPr>
        <w:t>成交供应商服务</w:t>
      </w:r>
      <w:r>
        <w:rPr>
          <w:rFonts w:ascii="微软雅黑" w:hAnsi="微软雅黑"/>
          <w:color w:val="000000" w:themeColor="text1"/>
          <w:highlight w:val="none"/>
          <w14:textFill>
            <w14:solidFill>
              <w14:schemeClr w14:val="tx1"/>
            </w14:solidFill>
          </w14:textFill>
        </w:rPr>
        <w:t>负责处理并承担经济和道义上的责任。</w:t>
      </w:r>
    </w:p>
    <w:p>
      <w:pPr>
        <w:adjustRightInd w:val="0"/>
        <w:snapToGri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ascii="微软雅黑" w:hAnsi="微软雅黑"/>
          <w:bCs/>
          <w:color w:val="000000" w:themeColor="text1"/>
          <w:highlight w:val="none"/>
          <w14:textFill>
            <w14:solidFill>
              <w14:schemeClr w14:val="tx1"/>
            </w14:solidFill>
          </w14:textFill>
        </w:rPr>
        <w:t>4</w:t>
      </w:r>
      <w:r>
        <w:rPr>
          <w:rFonts w:hint="eastAsia" w:ascii="微软雅黑" w:hAnsi="微软雅黑"/>
          <w:color w:val="000000" w:themeColor="text1"/>
          <w:highlight w:val="none"/>
          <w14:textFill>
            <w14:solidFill>
              <w14:schemeClr w14:val="tx1"/>
            </w14:solidFill>
          </w14:textFill>
        </w:rPr>
        <w:t>、服务人员</w:t>
      </w:r>
      <w:r>
        <w:rPr>
          <w:rFonts w:ascii="微软雅黑" w:hAnsi="微软雅黑"/>
          <w:color w:val="000000" w:themeColor="text1"/>
          <w:highlight w:val="none"/>
          <w14:textFill>
            <w14:solidFill>
              <w14:schemeClr w14:val="tx1"/>
            </w14:solidFill>
          </w14:textFill>
        </w:rPr>
        <w:t>违反国家相关法规，与聘用人员发生纠纷，均由</w:t>
      </w:r>
      <w:r>
        <w:rPr>
          <w:rFonts w:hint="eastAsia" w:ascii="微软雅黑" w:hAnsi="微软雅黑"/>
          <w:color w:val="000000" w:themeColor="text1"/>
          <w:highlight w:val="none"/>
          <w14:textFill>
            <w14:solidFill>
              <w14:schemeClr w14:val="tx1"/>
            </w14:solidFill>
          </w14:textFill>
        </w:rPr>
        <w:t>成交供应商服务</w:t>
      </w:r>
      <w:r>
        <w:rPr>
          <w:rFonts w:ascii="微软雅黑" w:hAnsi="微软雅黑"/>
          <w:color w:val="000000" w:themeColor="text1"/>
          <w:highlight w:val="none"/>
          <w14:textFill>
            <w14:solidFill>
              <w14:schemeClr w14:val="tx1"/>
            </w14:solidFill>
          </w14:textFill>
        </w:rPr>
        <w:t>负责凋解与处理，</w:t>
      </w:r>
      <w:r>
        <w:rPr>
          <w:rFonts w:hint="eastAsia" w:ascii="微软雅黑" w:hAnsi="微软雅黑"/>
          <w:color w:val="000000" w:themeColor="text1"/>
          <w:highlight w:val="none"/>
          <w14:textFill>
            <w14:solidFill>
              <w14:schemeClr w14:val="tx1"/>
            </w14:solidFill>
          </w14:textFill>
        </w:rPr>
        <w:t>采购人</w:t>
      </w:r>
      <w:r>
        <w:rPr>
          <w:rFonts w:ascii="微软雅黑" w:hAnsi="微软雅黑"/>
          <w:color w:val="000000" w:themeColor="text1"/>
          <w:highlight w:val="none"/>
          <w14:textFill>
            <w14:solidFill>
              <w14:schemeClr w14:val="tx1"/>
            </w14:solidFill>
          </w14:textFill>
        </w:rPr>
        <w:t>不承担责任。</w:t>
      </w:r>
    </w:p>
    <w:p>
      <w:pPr>
        <w:adjustRightInd w:val="0"/>
        <w:snapToGri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ascii="微软雅黑" w:hAnsi="微软雅黑"/>
          <w:color w:val="000000" w:themeColor="text1"/>
          <w:highlight w:val="none"/>
          <w14:textFill>
            <w14:solidFill>
              <w14:schemeClr w14:val="tx1"/>
            </w14:solidFill>
          </w14:textFill>
        </w:rPr>
        <w:t>5</w:t>
      </w:r>
      <w:r>
        <w:rPr>
          <w:rFonts w:hint="eastAsia" w:ascii="微软雅黑" w:hAnsi="微软雅黑"/>
          <w:color w:val="000000" w:themeColor="text1"/>
          <w:highlight w:val="none"/>
          <w14:textFill>
            <w14:solidFill>
              <w14:schemeClr w14:val="tx1"/>
            </w14:solidFill>
          </w14:textFill>
        </w:rPr>
        <w:t>、服务人员</w:t>
      </w:r>
      <w:r>
        <w:rPr>
          <w:rFonts w:ascii="微软雅黑" w:hAnsi="微软雅黑"/>
          <w:color w:val="000000" w:themeColor="text1"/>
          <w:highlight w:val="none"/>
          <w14:textFill>
            <w14:solidFill>
              <w14:schemeClr w14:val="tx1"/>
            </w14:solidFill>
          </w14:textFill>
        </w:rPr>
        <w:t>违反国家相关法规或行业规范，因过失造成他人人身伤亡的，均由</w:t>
      </w:r>
      <w:r>
        <w:rPr>
          <w:rFonts w:hint="eastAsia" w:ascii="微软雅黑" w:hAnsi="微软雅黑"/>
          <w:color w:val="000000" w:themeColor="text1"/>
          <w:highlight w:val="none"/>
          <w14:textFill>
            <w14:solidFill>
              <w14:schemeClr w14:val="tx1"/>
            </w14:solidFill>
          </w14:textFill>
        </w:rPr>
        <w:t>成交供应商服务</w:t>
      </w:r>
      <w:r>
        <w:rPr>
          <w:rFonts w:ascii="微软雅黑" w:hAnsi="微软雅黑"/>
          <w:color w:val="000000" w:themeColor="text1"/>
          <w:highlight w:val="none"/>
          <w14:textFill>
            <w14:solidFill>
              <w14:schemeClr w14:val="tx1"/>
            </w14:solidFill>
          </w14:textFill>
        </w:rPr>
        <w:t>负责处理并承担经济和道义上的责任，</w:t>
      </w:r>
      <w:r>
        <w:rPr>
          <w:rFonts w:hint="eastAsia" w:ascii="微软雅黑" w:hAnsi="微软雅黑"/>
          <w:color w:val="000000" w:themeColor="text1"/>
          <w:highlight w:val="none"/>
          <w14:textFill>
            <w14:solidFill>
              <w14:schemeClr w14:val="tx1"/>
            </w14:solidFill>
          </w14:textFill>
        </w:rPr>
        <w:t>采购人</w:t>
      </w:r>
      <w:r>
        <w:rPr>
          <w:rFonts w:ascii="微软雅黑" w:hAnsi="微软雅黑"/>
          <w:color w:val="000000" w:themeColor="text1"/>
          <w:highlight w:val="none"/>
          <w14:textFill>
            <w14:solidFill>
              <w14:schemeClr w14:val="tx1"/>
            </w14:solidFill>
          </w14:textFill>
        </w:rPr>
        <w:t>不承担任何责任。</w:t>
      </w:r>
    </w:p>
    <w:p>
      <w:pPr>
        <w:adjustRightInd w:val="0"/>
        <w:snapToGri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七、项目考评</w:t>
      </w:r>
    </w:p>
    <w:p>
      <w:pPr>
        <w:adjustRightInd w:val="0"/>
        <w:snapToGri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检查时间原则上</w:t>
      </w:r>
      <w:r>
        <w:rPr>
          <w:rFonts w:hint="eastAsia" w:ascii="微软雅黑" w:hAnsi="微软雅黑"/>
          <w:color w:val="000000" w:themeColor="text1"/>
          <w:highlight w:val="none"/>
          <w:lang w:val="en-US" w:eastAsia="zh-CN"/>
          <w14:textFill>
            <w14:solidFill>
              <w14:schemeClr w14:val="tx1"/>
            </w14:solidFill>
          </w14:textFill>
        </w:rPr>
        <w:t>每</w:t>
      </w:r>
      <w:r>
        <w:rPr>
          <w:rFonts w:hint="eastAsia" w:ascii="微软雅黑" w:hAnsi="微软雅黑"/>
          <w:color w:val="000000" w:themeColor="text1"/>
          <w:highlight w:val="none"/>
          <w14:textFill>
            <w14:solidFill>
              <w14:schemeClr w14:val="tx1"/>
            </w14:solidFill>
          </w14:textFill>
        </w:rPr>
        <w:t>季度一次，检查人员由甲乙双方及有关主管部门人员组成，并记录在案，各方签字认可，时间不定期；考评的分数值与服务费用实际支付挂钩。</w:t>
      </w:r>
    </w:p>
    <w:p>
      <w:pPr>
        <w:adjustRightInd w:val="0"/>
        <w:snapToGri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检查考核由采购人相关部门组织有关人员参加，对管家服务工作进行综合考核评定，考核主要内容包含但不限于管家服务上门检查用户频次、管家服务覆盖率【（用户实际排查数量/全区燃气用户数）*100%】、用户满意度等。考核每季度一次，考核分不低于</w:t>
      </w:r>
      <w:r>
        <w:rPr>
          <w:rFonts w:ascii="微软雅黑" w:hAnsi="微软雅黑"/>
          <w:color w:val="000000" w:themeColor="text1"/>
          <w:highlight w:val="none"/>
          <w14:textFill>
            <w14:solidFill>
              <w14:schemeClr w14:val="tx1"/>
            </w14:solidFill>
          </w14:textFill>
        </w:rPr>
        <w:t>90</w:t>
      </w:r>
      <w:r>
        <w:rPr>
          <w:rFonts w:hint="eastAsia" w:ascii="微软雅黑" w:hAnsi="微软雅黑"/>
          <w:color w:val="000000" w:themeColor="text1"/>
          <w:highlight w:val="none"/>
          <w14:textFill>
            <w14:solidFill>
              <w14:schemeClr w14:val="tx1"/>
            </w14:solidFill>
          </w14:textFill>
        </w:rPr>
        <w:t>分，视为服务工作合格，不扣当季度服务费用；考核分数低于9</w:t>
      </w:r>
      <w:r>
        <w:rPr>
          <w:rFonts w:ascii="微软雅黑" w:hAnsi="微软雅黑"/>
          <w:color w:val="000000" w:themeColor="text1"/>
          <w:highlight w:val="none"/>
          <w14:textFill>
            <w14:solidFill>
              <w14:schemeClr w14:val="tx1"/>
            </w14:solidFill>
          </w14:textFill>
        </w:rPr>
        <w:t>0</w:t>
      </w:r>
      <w:r>
        <w:rPr>
          <w:rFonts w:hint="eastAsia" w:ascii="微软雅黑" w:hAnsi="微软雅黑"/>
          <w:color w:val="000000" w:themeColor="text1"/>
          <w:highlight w:val="none"/>
          <w14:textFill>
            <w14:solidFill>
              <w14:schemeClr w14:val="tx1"/>
            </w14:solidFill>
          </w14:textFill>
        </w:rPr>
        <w:t>分，视为服务工作不合格，采购人将发出限期整改通知书，并</w:t>
      </w:r>
      <w:r>
        <w:rPr>
          <w:rFonts w:hint="eastAsia" w:ascii="微软雅黑" w:hAnsi="微软雅黑"/>
          <w:color w:val="000000" w:themeColor="text1"/>
          <w:highlight w:val="none"/>
          <w:lang w:val="en-US" w:eastAsia="zh-CN"/>
          <w14:textFill>
            <w14:solidFill>
              <w14:schemeClr w14:val="tx1"/>
            </w14:solidFill>
          </w14:textFill>
        </w:rPr>
        <w:t>扣除“</w:t>
      </w:r>
      <w:r>
        <w:rPr>
          <w:rFonts w:hint="eastAsia" w:ascii="微软雅黑" w:hAnsi="微软雅黑"/>
          <w:color w:val="000000" w:themeColor="text1"/>
          <w:highlight w:val="none"/>
          <w14:textFill>
            <w14:solidFill>
              <w14:schemeClr w14:val="tx1"/>
            </w14:solidFill>
          </w14:textFill>
        </w:rPr>
        <w:t>当季度服务费*</w:t>
      </w:r>
      <w:r>
        <w:rPr>
          <w:rFonts w:hint="eastAsia" w:ascii="微软雅黑" w:hAnsi="微软雅黑"/>
          <w:color w:val="000000" w:themeColor="text1"/>
          <w:highlight w:val="none"/>
          <w:lang w:eastAsia="zh-CN"/>
          <w14:textFill>
            <w14:solidFill>
              <w14:schemeClr w14:val="tx1"/>
            </w14:solidFill>
          </w14:textFill>
        </w:rPr>
        <w:t>（</w:t>
      </w:r>
      <w:r>
        <w:rPr>
          <w:rFonts w:hint="eastAsia" w:ascii="微软雅黑" w:hAnsi="微软雅黑"/>
          <w:color w:val="000000" w:themeColor="text1"/>
          <w:highlight w:val="none"/>
          <w:lang w:val="en-US" w:eastAsia="zh-CN"/>
          <w14:textFill>
            <w14:solidFill>
              <w14:schemeClr w14:val="tx1"/>
            </w14:solidFill>
          </w14:textFill>
        </w:rPr>
        <w:t>1-</w:t>
      </w:r>
      <w:r>
        <w:rPr>
          <w:rFonts w:hint="eastAsia" w:ascii="微软雅黑" w:hAnsi="微软雅黑"/>
          <w:color w:val="000000" w:themeColor="text1"/>
          <w:highlight w:val="none"/>
          <w14:textFill>
            <w14:solidFill>
              <w14:schemeClr w14:val="tx1"/>
            </w14:solidFill>
          </w14:textFill>
        </w:rPr>
        <w:t>季度考核得分/</w:t>
      </w:r>
      <w:r>
        <w:rPr>
          <w:rFonts w:ascii="微软雅黑" w:hAnsi="微软雅黑"/>
          <w:color w:val="000000" w:themeColor="text1"/>
          <w:highlight w:val="none"/>
          <w14:textFill>
            <w14:solidFill>
              <w14:schemeClr w14:val="tx1"/>
            </w14:solidFill>
          </w14:textFill>
        </w:rPr>
        <w:t>100</w:t>
      </w:r>
      <w:r>
        <w:rPr>
          <w:rFonts w:hint="eastAsia" w:ascii="微软雅黑" w:hAnsi="微软雅黑"/>
          <w:color w:val="000000" w:themeColor="text1"/>
          <w:highlight w:val="none"/>
          <w:lang w:eastAsia="zh-CN"/>
          <w14:textFill>
            <w14:solidFill>
              <w14:schemeClr w14:val="tx1"/>
            </w14:solidFill>
          </w14:textFill>
        </w:rPr>
        <w:t>）”</w:t>
      </w:r>
      <w:r>
        <w:rPr>
          <w:rFonts w:hint="eastAsia" w:ascii="微软雅黑" w:hAnsi="微软雅黑"/>
          <w:color w:val="000000" w:themeColor="text1"/>
          <w:highlight w:val="none"/>
          <w:lang w:val="en-US" w:eastAsia="zh-CN"/>
          <w14:textFill>
            <w14:solidFill>
              <w14:schemeClr w14:val="tx1"/>
            </w14:solidFill>
          </w14:textFill>
        </w:rPr>
        <w:t>金额作为服务质量考核金</w:t>
      </w:r>
      <w:r>
        <w:rPr>
          <w:rFonts w:hint="eastAsia" w:ascii="微软雅黑" w:hAnsi="微软雅黑"/>
          <w:color w:val="000000" w:themeColor="text1"/>
          <w:highlight w:val="none"/>
          <w:lang w:eastAsia="zh-CN"/>
          <w14:textFill>
            <w14:solidFill>
              <w14:schemeClr w14:val="tx1"/>
            </w14:solidFill>
          </w14:textFill>
        </w:rPr>
        <w:t>；</w:t>
      </w:r>
      <w:r>
        <w:rPr>
          <w:rFonts w:hint="eastAsia" w:ascii="微软雅黑" w:hAnsi="微软雅黑"/>
          <w:color w:val="000000" w:themeColor="text1"/>
          <w:highlight w:val="none"/>
          <w14:textFill>
            <w14:solidFill>
              <w14:schemeClr w14:val="tx1"/>
            </w14:solidFill>
          </w14:textFill>
        </w:rPr>
        <w:t>考核连续</w:t>
      </w:r>
      <w:r>
        <w:rPr>
          <w:rFonts w:ascii="微软雅黑" w:hAnsi="微软雅黑"/>
          <w:color w:val="000000" w:themeColor="text1"/>
          <w:highlight w:val="none"/>
          <w14:textFill>
            <w14:solidFill>
              <w14:schemeClr w14:val="tx1"/>
            </w14:solidFill>
          </w14:textFill>
        </w:rPr>
        <w:t>2</w:t>
      </w:r>
      <w:r>
        <w:rPr>
          <w:rFonts w:hint="eastAsia" w:ascii="微软雅黑" w:hAnsi="微软雅黑"/>
          <w:color w:val="000000" w:themeColor="text1"/>
          <w:highlight w:val="none"/>
          <w14:textFill>
            <w14:solidFill>
              <w14:schemeClr w14:val="tx1"/>
            </w14:solidFill>
          </w14:textFill>
        </w:rPr>
        <w:t>次不合格的，采购人有权终止合同，成交供应商应承担因此给采购人造成的全部损失，采购人有权追究服务供应商相关法律责任。</w:t>
      </w:r>
    </w:p>
    <w:p>
      <w:pPr>
        <w:pStyle w:val="2"/>
        <w:rPr>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附：</w:t>
      </w:r>
    </w:p>
    <w:tbl>
      <w:tblPr>
        <w:tblStyle w:val="55"/>
        <w:tblW w:w="9007" w:type="dxa"/>
        <w:jc w:val="center"/>
        <w:tblLayout w:type="fixed"/>
        <w:tblCellMar>
          <w:top w:w="57" w:type="dxa"/>
          <w:left w:w="108" w:type="dxa"/>
          <w:bottom w:w="57" w:type="dxa"/>
          <w:right w:w="108" w:type="dxa"/>
        </w:tblCellMar>
      </w:tblPr>
      <w:tblGrid>
        <w:gridCol w:w="750"/>
        <w:gridCol w:w="1144"/>
        <w:gridCol w:w="3638"/>
        <w:gridCol w:w="887"/>
        <w:gridCol w:w="1263"/>
        <w:gridCol w:w="1325"/>
      </w:tblGrid>
      <w:tr>
        <w:tblPrEx>
          <w:tblCellMar>
            <w:top w:w="57" w:type="dxa"/>
            <w:left w:w="108" w:type="dxa"/>
            <w:bottom w:w="57" w:type="dxa"/>
            <w:right w:w="108" w:type="dxa"/>
          </w:tblCellMar>
        </w:tblPrEx>
        <w:trPr>
          <w:trHeight w:val="23" w:hRule="atLeast"/>
          <w:jc w:val="center"/>
        </w:trPr>
        <w:tc>
          <w:tcPr>
            <w:tcW w:w="9007" w:type="dxa"/>
            <w:gridSpan w:val="6"/>
            <w:tcBorders>
              <w:top w:val="nil"/>
              <w:left w:val="nil"/>
              <w:bottom w:val="nil"/>
              <w:right w:val="nil"/>
            </w:tcBorders>
            <w:shd w:val="clear" w:color="auto" w:fill="auto"/>
            <w:noWrap/>
            <w:vAlign w:val="center"/>
          </w:tcPr>
          <w:p>
            <w:pPr>
              <w:widowControl/>
              <w:spacing w:after="0" w:line="240" w:lineRule="auto"/>
              <w:jc w:val="center"/>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b/>
                <w:bCs/>
                <w:color w:val="000000" w:themeColor="text1"/>
                <w:sz w:val="24"/>
                <w:szCs w:val="24"/>
                <w:highlight w:val="none"/>
                <w:lang w:bidi="ar"/>
                <w14:textFill>
                  <w14:solidFill>
                    <w14:schemeClr w14:val="tx1"/>
                  </w14:solidFill>
                </w14:textFill>
              </w:rPr>
              <w:t>嘉兴经济技术开发区燃气管家服务考核评分办法</w:t>
            </w:r>
          </w:p>
        </w:tc>
      </w:tr>
      <w:tr>
        <w:tblPrEx>
          <w:tblCellMar>
            <w:top w:w="57" w:type="dxa"/>
            <w:left w:w="108" w:type="dxa"/>
            <w:bottom w:w="57" w:type="dxa"/>
            <w:right w:w="108" w:type="dxa"/>
          </w:tblCellMar>
        </w:tblPrEx>
        <w:trPr>
          <w:trHeight w:val="23" w:hRule="atLeast"/>
          <w:jc w:val="center"/>
        </w:trPr>
        <w:tc>
          <w:tcPr>
            <w:tcW w:w="9007" w:type="dxa"/>
            <w:gridSpan w:val="6"/>
            <w:tcBorders>
              <w:top w:val="nil"/>
              <w:left w:val="nil"/>
              <w:bottom w:val="nil"/>
              <w:right w:val="nil"/>
            </w:tcBorders>
            <w:shd w:val="clear" w:color="auto" w:fill="auto"/>
            <w:noWrap/>
            <w:vAlign w:val="center"/>
          </w:tcPr>
          <w:p>
            <w:pPr>
              <w:widowControl/>
              <w:spacing w:after="0" w:line="240" w:lineRule="auto"/>
              <w:jc w:val="center"/>
              <w:textAlignment w:val="center"/>
              <w:rPr>
                <w:rFonts w:ascii="微软雅黑" w:hAnsi="微软雅黑"/>
                <w:color w:val="000000" w:themeColor="text1"/>
                <w:highlight w:val="none"/>
                <w:u w:val="single"/>
                <w14:textFill>
                  <w14:solidFill>
                    <w14:schemeClr w14:val="tx1"/>
                  </w14:solidFill>
                </w14:textFill>
              </w:rPr>
            </w:pPr>
            <w:r>
              <w:rPr>
                <w:rFonts w:hint="eastAsia" w:ascii="微软雅黑" w:hAnsi="微软雅黑"/>
                <w:color w:val="000000" w:themeColor="text1"/>
                <w:highlight w:val="none"/>
                <w:u w:val="single"/>
                <w:lang w:bidi="ar"/>
                <w14:textFill>
                  <w14:solidFill>
                    <w14:schemeClr w14:val="tx1"/>
                  </w14:solidFill>
                </w14:textFill>
              </w:rPr>
              <w:t xml:space="preserve">2023 </w:t>
            </w:r>
            <w:r>
              <w:rPr>
                <w:rStyle w:val="556"/>
                <w:rFonts w:hint="default" w:ascii="微软雅黑" w:hAnsi="微软雅黑" w:eastAsia="微软雅黑" w:cs="微软雅黑"/>
                <w:color w:val="000000" w:themeColor="text1"/>
                <w:sz w:val="21"/>
                <w:szCs w:val="21"/>
                <w:highlight w:val="none"/>
                <w:lang w:bidi="ar"/>
                <w14:textFill>
                  <w14:solidFill>
                    <w14:schemeClr w14:val="tx1"/>
                  </w14:solidFill>
                </w14:textFill>
              </w:rPr>
              <w:t>年度第</w:t>
            </w:r>
            <w:r>
              <w:rPr>
                <w:rStyle w:val="557"/>
                <w:rFonts w:hint="default" w:ascii="微软雅黑" w:hAnsi="微软雅黑" w:eastAsia="微软雅黑" w:cs="微软雅黑"/>
                <w:color w:val="000000" w:themeColor="text1"/>
                <w:sz w:val="21"/>
                <w:szCs w:val="21"/>
                <w:highlight w:val="none"/>
                <w:lang w:bidi="ar"/>
                <w14:textFill>
                  <w14:solidFill>
                    <w14:schemeClr w14:val="tx1"/>
                  </w14:solidFill>
                </w14:textFill>
              </w:rPr>
              <w:t xml:space="preserve">   </w:t>
            </w:r>
            <w:r>
              <w:rPr>
                <w:rStyle w:val="556"/>
                <w:rFonts w:hint="default" w:ascii="微软雅黑" w:hAnsi="微软雅黑" w:eastAsia="微软雅黑" w:cs="微软雅黑"/>
                <w:color w:val="000000" w:themeColor="text1"/>
                <w:sz w:val="21"/>
                <w:szCs w:val="21"/>
                <w:highlight w:val="none"/>
                <w:lang w:bidi="ar"/>
                <w14:textFill>
                  <w14:solidFill>
                    <w14:schemeClr w14:val="tx1"/>
                  </w14:solidFill>
                </w14:textFill>
              </w:rPr>
              <w:t>季度</w:t>
            </w:r>
          </w:p>
        </w:tc>
      </w:tr>
      <w:tr>
        <w:tblPrEx>
          <w:tblCellMar>
            <w:top w:w="57" w:type="dxa"/>
            <w:left w:w="108" w:type="dxa"/>
            <w:bottom w:w="57" w:type="dxa"/>
            <w:right w:w="108" w:type="dxa"/>
          </w:tblCellMar>
        </w:tblPrEx>
        <w:trPr>
          <w:trHeight w:val="2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lang w:bidi="ar"/>
                <w14:textFill>
                  <w14:solidFill>
                    <w14:schemeClr w14:val="tx1"/>
                  </w14:solidFill>
                </w14:textFill>
              </w:rPr>
              <w:t>序号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lang w:bidi="ar"/>
                <w14:textFill>
                  <w14:solidFill>
                    <w14:schemeClr w14:val="tx1"/>
                  </w14:solidFill>
                </w14:textFill>
              </w:rPr>
              <w:t>考核项目</w:t>
            </w: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考核内容及细则</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lang w:bidi="ar"/>
                <w14:textFill>
                  <w14:solidFill>
                    <w14:schemeClr w14:val="tx1"/>
                  </w14:solidFill>
                </w14:textFill>
              </w:rPr>
              <w:t>标准分</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lang w:bidi="ar"/>
                <w14:textFill>
                  <w14:solidFill>
                    <w14:schemeClr w14:val="tx1"/>
                  </w14:solidFill>
                </w14:textFill>
              </w:rPr>
              <w:t>考核得分</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lang w:bidi="ar"/>
                <w14:textFill>
                  <w14:solidFill>
                    <w14:schemeClr w14:val="tx1"/>
                  </w14:solidFill>
                </w14:textFill>
              </w:rPr>
              <w:t>扣分原因</w:t>
            </w:r>
          </w:p>
        </w:tc>
      </w:tr>
      <w:tr>
        <w:tblPrEx>
          <w:tblCellMar>
            <w:top w:w="57" w:type="dxa"/>
            <w:left w:w="108" w:type="dxa"/>
            <w:bottom w:w="57" w:type="dxa"/>
            <w:right w:w="108" w:type="dxa"/>
          </w:tblCellMar>
        </w:tblPrEx>
        <w:trPr>
          <w:trHeight w:val="2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企业制度(8分)</w:t>
            </w: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客户服务、入户服务管理制度是否建立及制度落实情况。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r>
      <w:tr>
        <w:tblPrEx>
          <w:tblCellMar>
            <w:top w:w="57" w:type="dxa"/>
            <w:left w:w="108" w:type="dxa"/>
            <w:bottom w:w="57" w:type="dxa"/>
            <w:right w:w="108" w:type="dxa"/>
          </w:tblCellMar>
        </w:tblPrEx>
        <w:trPr>
          <w:trHeight w:val="2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人员管理(8分)</w:t>
            </w: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入户服务人员是否到位，是否经过培训及考核、持证上岗。</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r>
      <w:tr>
        <w:tblPrEx>
          <w:tblCellMar>
            <w:top w:w="57" w:type="dxa"/>
            <w:left w:w="108" w:type="dxa"/>
            <w:bottom w:w="57" w:type="dxa"/>
            <w:right w:w="108" w:type="dxa"/>
          </w:tblCellMar>
        </w:tblPrEx>
        <w:trPr>
          <w:trHeight w:val="23"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3</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服务管理(</w:t>
            </w:r>
            <w:r>
              <w:rPr>
                <w:rFonts w:hint="eastAsia" w:ascii="微软雅黑" w:hAnsi="微软雅黑"/>
                <w:color w:val="000000" w:themeColor="text1"/>
                <w:highlight w:val="none"/>
                <w:lang w:val="en-US" w:eastAsia="zh-CN" w:bidi="ar"/>
                <w14:textFill>
                  <w14:solidFill>
                    <w14:schemeClr w14:val="tx1"/>
                  </w14:solidFill>
                </w14:textFill>
              </w:rPr>
              <w:t>40</w:t>
            </w:r>
            <w:r>
              <w:rPr>
                <w:rFonts w:hint="eastAsia" w:ascii="微软雅黑" w:hAnsi="微软雅黑"/>
                <w:color w:val="000000" w:themeColor="text1"/>
                <w:highlight w:val="none"/>
                <w:lang w:bidi="ar"/>
                <w14:textFill>
                  <w14:solidFill>
                    <w14:schemeClr w14:val="tx1"/>
                  </w14:solidFill>
                </w14:textFill>
              </w:rPr>
              <w:t>分)</w:t>
            </w: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微软雅黑" w:hAnsi="微软雅黑" w:eastAsia="微软雅黑" w:cs="微软雅黑"/>
                <w:color w:val="000000" w:themeColor="text1"/>
                <w:sz w:val="21"/>
                <w:szCs w:val="21"/>
                <w:highlight w:val="none"/>
                <w:lang w:val="en-US" w:eastAsia="zh-CN" w:bidi="ar-SA"/>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检测工具、维修工具、宣传资料、通讯工具是否配备齐全</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eastAsia="微软雅黑" w:cs="微软雅黑"/>
                <w:color w:val="000000" w:themeColor="text1"/>
                <w:sz w:val="21"/>
                <w:szCs w:val="21"/>
                <w:highlight w:val="none"/>
                <w:lang w:val="en-US" w:eastAsia="zh-CN" w:bidi="ar-SA"/>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eastAsia="微软雅黑" w:cs="微软雅黑"/>
                <w:color w:val="000000" w:themeColor="text1"/>
                <w:sz w:val="21"/>
                <w:szCs w:val="21"/>
                <w:highlight w:val="none"/>
                <w:lang w:val="en-US" w:eastAsia="zh-CN" w:bidi="ar-SA"/>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eastAsia="微软雅黑" w:cs="微软雅黑"/>
                <w:color w:val="000000" w:themeColor="text1"/>
                <w:sz w:val="21"/>
                <w:szCs w:val="21"/>
                <w:highlight w:val="none"/>
                <w:lang w:val="en-US" w:eastAsia="zh-CN" w:bidi="ar-SA"/>
                <w14:textFill>
                  <w14:solidFill>
                    <w14:schemeClr w14:val="tx1"/>
                  </w14:solidFill>
                </w14:textFill>
              </w:rPr>
            </w:pPr>
          </w:p>
        </w:tc>
      </w:tr>
      <w:tr>
        <w:tblPrEx>
          <w:tblCellMar>
            <w:top w:w="57" w:type="dxa"/>
            <w:left w:w="108" w:type="dxa"/>
            <w:bottom w:w="57" w:type="dxa"/>
            <w:right w:w="108" w:type="dxa"/>
          </w:tblCellMar>
        </w:tblPrEx>
        <w:trPr>
          <w:trHeight w:val="23"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微软雅黑" w:hAnsi="微软雅黑" w:eastAsia="微软雅黑" w:cs="微软雅黑"/>
                <w:color w:val="000000" w:themeColor="text1"/>
                <w:sz w:val="21"/>
                <w:szCs w:val="21"/>
                <w:highlight w:val="none"/>
                <w:lang w:val="en-US" w:eastAsia="zh-CN" w:bidi="ar-SA"/>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服务礼仪(形象、语言等)是否得到用户认可</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eastAsia="微软雅黑" w:cs="微软雅黑"/>
                <w:color w:val="000000" w:themeColor="text1"/>
                <w:sz w:val="21"/>
                <w:szCs w:val="21"/>
                <w:highlight w:val="none"/>
                <w:lang w:val="en-US" w:eastAsia="zh-CN" w:bidi="ar-SA"/>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eastAsia="微软雅黑" w:cs="微软雅黑"/>
                <w:color w:val="000000" w:themeColor="text1"/>
                <w:sz w:val="21"/>
                <w:szCs w:val="21"/>
                <w:highlight w:val="none"/>
                <w:lang w:val="en-US" w:eastAsia="zh-CN" w:bidi="ar-SA"/>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eastAsia="微软雅黑" w:cs="微软雅黑"/>
                <w:color w:val="000000" w:themeColor="text1"/>
                <w:sz w:val="21"/>
                <w:szCs w:val="21"/>
                <w:highlight w:val="none"/>
                <w:lang w:val="en-US" w:eastAsia="zh-CN" w:bidi="ar-SA"/>
                <w14:textFill>
                  <w14:solidFill>
                    <w14:schemeClr w14:val="tx1"/>
                  </w14:solidFill>
                </w14:textFill>
              </w:rPr>
            </w:pPr>
          </w:p>
        </w:tc>
      </w:tr>
      <w:tr>
        <w:tblPrEx>
          <w:tblCellMar>
            <w:top w:w="57" w:type="dxa"/>
            <w:left w:w="108" w:type="dxa"/>
            <w:bottom w:w="57" w:type="dxa"/>
            <w:right w:w="108" w:type="dxa"/>
          </w:tblCellMar>
        </w:tblPrEx>
        <w:trPr>
          <w:trHeight w:val="23"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微软雅黑" w:hAnsi="微软雅黑" w:eastAsia="微软雅黑" w:cs="微软雅黑"/>
                <w:color w:val="000000" w:themeColor="text1"/>
                <w:sz w:val="21"/>
                <w:szCs w:val="21"/>
                <w:highlight w:val="none"/>
                <w:lang w:val="en-US" w:eastAsia="zh-CN" w:bidi="ar-SA"/>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服务人员是否熟练掌握燃气安全常识、法律法规、安全技术规程掌握情况。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eastAsia="微软雅黑" w:cs="微软雅黑"/>
                <w:color w:val="000000" w:themeColor="text1"/>
                <w:sz w:val="21"/>
                <w:szCs w:val="21"/>
                <w:highlight w:val="none"/>
                <w:lang w:val="en-US" w:eastAsia="zh-CN" w:bidi="ar-SA"/>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eastAsia="微软雅黑" w:cs="微软雅黑"/>
                <w:color w:val="000000" w:themeColor="text1"/>
                <w:sz w:val="21"/>
                <w:szCs w:val="21"/>
                <w:highlight w:val="none"/>
                <w:lang w:val="en-US" w:eastAsia="zh-CN" w:bidi="ar-SA"/>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eastAsia="微软雅黑" w:cs="微软雅黑"/>
                <w:color w:val="000000" w:themeColor="text1"/>
                <w:sz w:val="21"/>
                <w:szCs w:val="21"/>
                <w:highlight w:val="none"/>
                <w:lang w:val="en-US" w:eastAsia="zh-CN" w:bidi="ar-SA"/>
                <w14:textFill>
                  <w14:solidFill>
                    <w14:schemeClr w14:val="tx1"/>
                  </w14:solidFill>
                </w14:textFill>
              </w:rPr>
            </w:pPr>
          </w:p>
        </w:tc>
      </w:tr>
      <w:tr>
        <w:tblPrEx>
          <w:tblCellMar>
            <w:top w:w="57" w:type="dxa"/>
            <w:left w:w="108" w:type="dxa"/>
            <w:bottom w:w="57" w:type="dxa"/>
            <w:right w:w="108" w:type="dxa"/>
          </w:tblCellMar>
        </w:tblPrEx>
        <w:trPr>
          <w:trHeight w:val="23"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微软雅黑" w:hAnsi="微软雅黑" w:eastAsia="微软雅黑" w:cs="微软雅黑"/>
                <w:color w:val="000000" w:themeColor="text1"/>
                <w:sz w:val="21"/>
                <w:szCs w:val="21"/>
                <w:highlight w:val="none"/>
                <w:lang w:val="en-US" w:eastAsia="zh-CN" w:bidi="ar-SA"/>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入户安检率:对重点用户每年排查不得少于4次，对一般用户每年排查不得少于2次，检查用户覆盖是否到位</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微软雅黑" w:hAnsi="微软雅黑" w:eastAsia="微软雅黑" w:cs="微软雅黑"/>
                <w:color w:val="000000" w:themeColor="text1"/>
                <w:sz w:val="21"/>
                <w:szCs w:val="21"/>
                <w:highlight w:val="none"/>
                <w:lang w:val="en-US" w:eastAsia="zh-CN" w:bidi="ar-SA"/>
                <w14:textFill>
                  <w14:solidFill>
                    <w14:schemeClr w14:val="tx1"/>
                  </w14:solidFill>
                </w14:textFill>
              </w:rPr>
            </w:pPr>
            <w:r>
              <w:rPr>
                <w:rFonts w:hint="eastAsia" w:ascii="微软雅黑" w:hAnsi="微软雅黑"/>
                <w:color w:val="000000" w:themeColor="text1"/>
                <w:highlight w:val="none"/>
                <w:lang w:val="en-US" w:eastAsia="zh-CN" w:bidi="ar"/>
                <w14:textFill>
                  <w14:solidFill>
                    <w14:schemeClr w14:val="tx1"/>
                  </w14:solidFill>
                </w14:textFill>
              </w:rPr>
              <w:t>22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eastAsia="微软雅黑" w:cs="微软雅黑"/>
                <w:color w:val="000000" w:themeColor="text1"/>
                <w:sz w:val="21"/>
                <w:szCs w:val="21"/>
                <w:highlight w:val="none"/>
                <w:lang w:val="en-US" w:eastAsia="zh-CN" w:bidi="ar-SA"/>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eastAsia="微软雅黑" w:cs="微软雅黑"/>
                <w:color w:val="000000" w:themeColor="text1"/>
                <w:sz w:val="21"/>
                <w:szCs w:val="21"/>
                <w:highlight w:val="none"/>
                <w:lang w:val="en-US" w:eastAsia="zh-CN" w:bidi="ar-SA"/>
                <w14:textFill>
                  <w14:solidFill>
                    <w14:schemeClr w14:val="tx1"/>
                  </w14:solidFill>
                </w14:textFill>
              </w:rPr>
            </w:pPr>
          </w:p>
        </w:tc>
      </w:tr>
      <w:tr>
        <w:tblPrEx>
          <w:tblCellMar>
            <w:top w:w="57" w:type="dxa"/>
            <w:left w:w="108" w:type="dxa"/>
            <w:bottom w:w="57" w:type="dxa"/>
            <w:right w:w="108" w:type="dxa"/>
          </w:tblCellMar>
        </w:tblPrEx>
        <w:trPr>
          <w:trHeight w:val="23"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4</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文档、资料管理(2</w:t>
            </w:r>
            <w:r>
              <w:rPr>
                <w:rFonts w:hint="eastAsia" w:ascii="微软雅黑" w:hAnsi="微软雅黑"/>
                <w:color w:val="000000" w:themeColor="text1"/>
                <w:highlight w:val="none"/>
                <w:lang w:val="en-US" w:eastAsia="zh-CN" w:bidi="ar"/>
                <w14:textFill>
                  <w14:solidFill>
                    <w14:schemeClr w14:val="tx1"/>
                  </w14:solidFill>
                </w14:textFill>
              </w:rPr>
              <w:t>6</w:t>
            </w:r>
            <w:r>
              <w:rPr>
                <w:rFonts w:hint="eastAsia" w:ascii="微软雅黑" w:hAnsi="微软雅黑"/>
                <w:color w:val="000000" w:themeColor="text1"/>
                <w:highlight w:val="none"/>
                <w:lang w:bidi="ar"/>
                <w14:textFill>
                  <w14:solidFill>
                    <w14:schemeClr w14:val="tx1"/>
                  </w14:solidFill>
                </w14:textFill>
              </w:rPr>
              <w:t>分)</w:t>
            </w: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相关记录:安检通知、检查记录、隐患整改告知书、到访不遇、拒绝安全检查通知单等是否及时填写、发放到位</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color w:val="000000" w:themeColor="text1"/>
                <w:highlight w:val="none"/>
                <w14:textFill>
                  <w14:solidFill>
                    <w14:schemeClr w14:val="tx1"/>
                  </w14:solidFill>
                </w14:textFill>
              </w:rPr>
            </w:pPr>
            <w:r>
              <w:rPr>
                <w:rFonts w:ascii="微软雅黑" w:hAnsi="微软雅黑"/>
                <w:color w:val="000000" w:themeColor="text1"/>
                <w:highlight w:val="none"/>
                <w:lang w:bidi="ar"/>
                <w14:textFill>
                  <w14:solidFill>
                    <w14:schemeClr w14:val="tx1"/>
                  </w14:solidFill>
                </w14:textFill>
              </w:rPr>
              <w:t>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r>
      <w:tr>
        <w:tblPrEx>
          <w:tblCellMar>
            <w:top w:w="57" w:type="dxa"/>
            <w:left w:w="108" w:type="dxa"/>
            <w:bottom w:w="57" w:type="dxa"/>
            <w:right w:w="108" w:type="dxa"/>
          </w:tblCellMar>
        </w:tblPrEx>
        <w:trPr>
          <w:trHeight w:val="23"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用户档案是否及时制作，储存</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color w:val="000000" w:themeColor="text1"/>
                <w:highlight w:val="none"/>
                <w14:textFill>
                  <w14:solidFill>
                    <w14:schemeClr w14:val="tx1"/>
                  </w14:solidFill>
                </w14:textFill>
              </w:rPr>
            </w:pPr>
            <w:r>
              <w:rPr>
                <w:rFonts w:ascii="微软雅黑" w:hAnsi="微软雅黑"/>
                <w:color w:val="000000" w:themeColor="text1"/>
                <w:highlight w:val="none"/>
                <w:lang w:bidi="ar"/>
                <w14:textFill>
                  <w14:solidFill>
                    <w14:schemeClr w14:val="tx1"/>
                  </w14:solidFill>
                </w14:textFill>
              </w:rPr>
              <w:t>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r>
      <w:tr>
        <w:tblPrEx>
          <w:tblCellMar>
            <w:top w:w="57" w:type="dxa"/>
            <w:left w:w="108" w:type="dxa"/>
            <w:bottom w:w="57" w:type="dxa"/>
            <w:right w:w="108" w:type="dxa"/>
          </w:tblCellMar>
        </w:tblPrEx>
        <w:trPr>
          <w:trHeight w:val="23"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用户满意度调查、分析、回复和改进等记录</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r>
      <w:tr>
        <w:tblPrEx>
          <w:tblCellMar>
            <w:top w:w="57" w:type="dxa"/>
            <w:left w:w="108" w:type="dxa"/>
            <w:bottom w:w="57" w:type="dxa"/>
            <w:right w:w="108" w:type="dxa"/>
          </w:tblCellMar>
        </w:tblPrEx>
        <w:trPr>
          <w:trHeight w:val="23"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及时填写工作计划、总结、季报等</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r>
      <w:tr>
        <w:tblPrEx>
          <w:tblCellMar>
            <w:top w:w="57" w:type="dxa"/>
            <w:left w:w="108" w:type="dxa"/>
            <w:bottom w:w="57" w:type="dxa"/>
            <w:right w:w="108" w:type="dxa"/>
          </w:tblCellMar>
        </w:tblPrEx>
        <w:trPr>
          <w:trHeight w:val="23" w:hRule="atLeast"/>
          <w:jc w:val="center"/>
        </w:trPr>
        <w:tc>
          <w:tcPr>
            <w:tcW w:w="750" w:type="dxa"/>
            <w:vMerge w:val="restart"/>
            <w:tcBorders>
              <w:top w:val="single" w:color="000000" w:sz="4" w:space="0"/>
              <w:left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5</w:t>
            </w:r>
          </w:p>
        </w:tc>
        <w:tc>
          <w:tcPr>
            <w:tcW w:w="1144" w:type="dxa"/>
            <w:vMerge w:val="restart"/>
            <w:tcBorders>
              <w:top w:val="single" w:color="000000" w:sz="4" w:space="0"/>
              <w:left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r>
              <w:rPr>
                <w:rFonts w:ascii="微软雅黑" w:hAnsi="微软雅黑"/>
                <w:color w:val="000000" w:themeColor="text1"/>
                <w:highlight w:val="none"/>
                <w14:textFill>
                  <w14:solidFill>
                    <w14:schemeClr w14:val="tx1"/>
                  </w14:solidFill>
                </w14:textFill>
              </w:rPr>
              <w:t>其他工作</w:t>
            </w:r>
            <w:r>
              <w:rPr>
                <w:rFonts w:hint="eastAsia" w:ascii="微软雅黑" w:hAnsi="微软雅黑"/>
                <w:color w:val="000000" w:themeColor="text1"/>
                <w:highlight w:val="none"/>
                <w:lang w:bidi="ar"/>
                <w14:textFill>
                  <w14:solidFill>
                    <w14:schemeClr w14:val="tx1"/>
                  </w14:solidFill>
                </w14:textFill>
              </w:rPr>
              <w:t>(</w:t>
            </w:r>
            <w:r>
              <w:rPr>
                <w:rFonts w:hint="eastAsia" w:ascii="微软雅黑" w:hAnsi="微软雅黑"/>
                <w:color w:val="000000" w:themeColor="text1"/>
                <w:highlight w:val="none"/>
                <w:lang w:val="en-US" w:eastAsia="zh-CN" w:bidi="ar"/>
                <w14:textFill>
                  <w14:solidFill>
                    <w14:schemeClr w14:val="tx1"/>
                  </w14:solidFill>
                </w14:textFill>
              </w:rPr>
              <w:t>18</w:t>
            </w:r>
            <w:r>
              <w:rPr>
                <w:rFonts w:hint="eastAsia" w:ascii="微软雅黑" w:hAnsi="微软雅黑"/>
                <w:color w:val="000000" w:themeColor="text1"/>
                <w:highlight w:val="none"/>
                <w:lang w:bidi="ar"/>
                <w14:textFill>
                  <w14:solidFill>
                    <w14:schemeClr w14:val="tx1"/>
                  </w14:solidFill>
                </w14:textFill>
              </w:rPr>
              <w:t>分)</w:t>
            </w: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hint="eastAsia" w:ascii="微软雅黑" w:hAnsi="微软雅黑"/>
                <w:color w:val="000000" w:themeColor="text1"/>
                <w:highlight w:val="none"/>
                <w:lang w:bidi="ar"/>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按要求开展培训、预案编制</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微软雅黑" w:hAnsi="微软雅黑"/>
                <w:color w:val="000000" w:themeColor="text1"/>
                <w:highlight w:val="none"/>
                <w:lang w:bidi="ar"/>
                <w14:textFill>
                  <w14:solidFill>
                    <w14:schemeClr w14:val="tx1"/>
                  </w14:solidFill>
                </w14:textFill>
              </w:rPr>
            </w:pPr>
            <w:r>
              <w:rPr>
                <w:rFonts w:ascii="微软雅黑" w:hAnsi="微软雅黑"/>
                <w:color w:val="000000" w:themeColor="text1"/>
                <w:highlight w:val="none"/>
                <w:lang w:bidi="ar"/>
                <w14:textFill>
                  <w14:solidFill>
                    <w14:schemeClr w14:val="tx1"/>
                  </w14:solidFill>
                </w14:textFill>
              </w:rPr>
              <w:t>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r>
      <w:tr>
        <w:tblPrEx>
          <w:tblCellMar>
            <w:top w:w="57" w:type="dxa"/>
            <w:left w:w="108" w:type="dxa"/>
            <w:bottom w:w="57" w:type="dxa"/>
            <w:right w:w="108" w:type="dxa"/>
          </w:tblCellMar>
        </w:tblPrEx>
        <w:trPr>
          <w:trHeight w:val="23" w:hRule="atLeast"/>
          <w:jc w:val="center"/>
        </w:trPr>
        <w:tc>
          <w:tcPr>
            <w:tcW w:w="750" w:type="dxa"/>
            <w:vMerge w:val="continue"/>
            <w:tcBorders>
              <w:left w:val="single" w:color="000000" w:sz="4" w:space="0"/>
              <w:right w:val="single" w:color="000000" w:sz="4" w:space="0"/>
            </w:tcBorders>
            <w:shd w:val="clear" w:color="auto" w:fill="auto"/>
            <w:vAlign w:val="center"/>
          </w:tcPr>
          <w:p>
            <w:pPr>
              <w:widowControl/>
              <w:spacing w:after="0" w:line="240" w:lineRule="auto"/>
              <w:jc w:val="center"/>
              <w:rPr>
                <w:rFonts w:hint="eastAsia" w:ascii="微软雅黑" w:hAnsi="微软雅黑"/>
                <w:color w:val="000000" w:themeColor="text1"/>
                <w:highlight w:val="none"/>
                <w14:textFill>
                  <w14:solidFill>
                    <w14:schemeClr w14:val="tx1"/>
                  </w14:solidFill>
                </w14:textFill>
              </w:rPr>
            </w:pPr>
          </w:p>
        </w:tc>
        <w:tc>
          <w:tcPr>
            <w:tcW w:w="1144" w:type="dxa"/>
            <w:vMerge w:val="continue"/>
            <w:tcBorders>
              <w:left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hint="eastAsia" w:ascii="微软雅黑" w:hAnsi="微软雅黑"/>
                <w:color w:val="000000" w:themeColor="text1"/>
                <w:highlight w:val="none"/>
                <w:lang w:bidi="ar"/>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落实驻点人员到位，严格服从工作安排</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微软雅黑" w:hAnsi="微软雅黑"/>
                <w:color w:val="000000" w:themeColor="text1"/>
                <w:highlight w:val="none"/>
                <w:lang w:bidi="ar"/>
                <w14:textFill>
                  <w14:solidFill>
                    <w14:schemeClr w14:val="tx1"/>
                  </w14:solidFill>
                </w14:textFill>
              </w:rPr>
            </w:pPr>
            <w:r>
              <w:rPr>
                <w:rFonts w:ascii="微软雅黑" w:hAnsi="微软雅黑"/>
                <w:color w:val="000000" w:themeColor="text1"/>
                <w:highlight w:val="none"/>
                <w:lang w:bidi="ar"/>
                <w14:textFill>
                  <w14:solidFill>
                    <w14:schemeClr w14:val="tx1"/>
                  </w14:solidFill>
                </w14:textFill>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r>
      <w:tr>
        <w:tblPrEx>
          <w:tblCellMar>
            <w:top w:w="57" w:type="dxa"/>
            <w:left w:w="108" w:type="dxa"/>
            <w:bottom w:w="57" w:type="dxa"/>
            <w:right w:w="108" w:type="dxa"/>
          </w:tblCellMar>
        </w:tblPrEx>
        <w:trPr>
          <w:trHeight w:val="23" w:hRule="atLeast"/>
          <w:jc w:val="center"/>
        </w:trPr>
        <w:tc>
          <w:tcPr>
            <w:tcW w:w="7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微软雅黑" w:hAnsi="微软雅黑"/>
                <w:color w:val="000000" w:themeColor="text1"/>
                <w:highlight w:val="none"/>
                <w14:textFill>
                  <w14:solidFill>
                    <w14:schemeClr w14:val="tx1"/>
                  </w14:solidFill>
                </w14:textFill>
              </w:rPr>
            </w:pPr>
          </w:p>
        </w:tc>
        <w:tc>
          <w:tcPr>
            <w:tcW w:w="1144" w:type="dxa"/>
            <w:vMerge w:val="continue"/>
            <w:tcBorders>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hint="eastAsia" w:ascii="微软雅黑" w:hAnsi="微软雅黑"/>
                <w:color w:val="000000" w:themeColor="text1"/>
                <w:highlight w:val="none"/>
                <w:lang w:bidi="ar"/>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事故调查科学及时</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微软雅黑" w:hAnsi="微软雅黑"/>
                <w:color w:val="000000" w:themeColor="text1"/>
                <w:highlight w:val="none"/>
                <w:lang w:bidi="ar"/>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r>
      <w:tr>
        <w:tblPrEx>
          <w:tblCellMar>
            <w:top w:w="57" w:type="dxa"/>
            <w:left w:w="108" w:type="dxa"/>
            <w:bottom w:w="57" w:type="dxa"/>
            <w:right w:w="108" w:type="dxa"/>
          </w:tblCellMar>
        </w:tblPrEx>
        <w:trPr>
          <w:trHeight w:val="2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微软雅黑" w:hAnsi="微软雅黑" w:eastAsia="微软雅黑"/>
                <w:color w:val="000000" w:themeColor="text1"/>
                <w:highlight w:val="none"/>
                <w:lang w:eastAsia="zh-CN"/>
                <w14:textFill>
                  <w14:solidFill>
                    <w14:schemeClr w14:val="tx1"/>
                  </w14:solidFill>
                </w14:textFill>
              </w:rPr>
            </w:pPr>
            <w:r>
              <w:rPr>
                <w:rFonts w:hint="eastAsia" w:ascii="微软雅黑" w:hAnsi="微软雅黑"/>
                <w:color w:val="000000" w:themeColor="text1"/>
                <w:highlight w:val="none"/>
                <w:lang w:val="en-US" w:eastAsia="zh-CN" w:bidi="ar"/>
                <w14:textFill>
                  <w14:solidFill>
                    <w14:schemeClr w14:val="tx1"/>
                  </w14:solidFill>
                </w14:textFill>
              </w:rPr>
              <w:t>6</w:t>
            </w:r>
          </w:p>
        </w:tc>
        <w:tc>
          <w:tcPr>
            <w:tcW w:w="4782"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合计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100分</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微软雅黑" w:hAnsi="微软雅黑"/>
                <w:color w:val="000000" w:themeColor="text1"/>
                <w:highlight w:val="none"/>
                <w14:textFill>
                  <w14:solidFill>
                    <w14:schemeClr w14:val="tx1"/>
                  </w14:solidFill>
                </w14:textFill>
              </w:rPr>
            </w:pPr>
          </w:p>
        </w:tc>
      </w:tr>
      <w:tr>
        <w:tblPrEx>
          <w:tblCellMar>
            <w:top w:w="57" w:type="dxa"/>
            <w:left w:w="108" w:type="dxa"/>
            <w:bottom w:w="57" w:type="dxa"/>
            <w:right w:w="108" w:type="dxa"/>
          </w:tblCellMar>
        </w:tblPrEx>
        <w:trPr>
          <w:trHeight w:val="23" w:hRule="atLeast"/>
          <w:jc w:val="center"/>
        </w:trPr>
        <w:tc>
          <w:tcPr>
            <w:tcW w:w="9007" w:type="dxa"/>
            <w:gridSpan w:val="6"/>
            <w:tcBorders>
              <w:top w:val="nil"/>
              <w:left w:val="single" w:color="000000" w:sz="4" w:space="0"/>
              <w:bottom w:val="nil"/>
              <w:right w:val="single" w:color="000000" w:sz="4" w:space="0"/>
            </w:tcBorders>
            <w:shd w:val="clear" w:color="auto" w:fill="auto"/>
            <w:vAlign w:val="center"/>
          </w:tcPr>
          <w:p>
            <w:pPr>
              <w:widowControl/>
              <w:spacing w:after="0" w:line="240" w:lineRule="auto"/>
              <w:jc w:val="left"/>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考核组成员签字：</w:t>
            </w:r>
          </w:p>
        </w:tc>
      </w:tr>
      <w:tr>
        <w:tblPrEx>
          <w:tblCellMar>
            <w:top w:w="57" w:type="dxa"/>
            <w:left w:w="108" w:type="dxa"/>
            <w:bottom w:w="57" w:type="dxa"/>
            <w:right w:w="108" w:type="dxa"/>
          </w:tblCellMar>
        </w:tblPrEx>
        <w:trPr>
          <w:trHeight w:val="23" w:hRule="atLeast"/>
          <w:jc w:val="center"/>
        </w:trPr>
        <w:tc>
          <w:tcPr>
            <w:tcW w:w="9007" w:type="dxa"/>
            <w:gridSpan w:val="6"/>
            <w:tcBorders>
              <w:top w:val="nil"/>
              <w:left w:val="single" w:color="000000" w:sz="4" w:space="0"/>
              <w:bottom w:val="nil"/>
              <w:right w:val="single" w:color="000000" w:sz="4" w:space="0"/>
            </w:tcBorders>
            <w:shd w:val="clear" w:color="auto" w:fill="auto"/>
            <w:vAlign w:val="center"/>
          </w:tcPr>
          <w:p>
            <w:pPr>
              <w:widowControl/>
              <w:spacing w:after="0" w:line="240" w:lineRule="auto"/>
              <w:jc w:val="left"/>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被考核人项目负责人（签字）：</w:t>
            </w:r>
          </w:p>
        </w:tc>
      </w:tr>
      <w:tr>
        <w:tblPrEx>
          <w:tblCellMar>
            <w:top w:w="57" w:type="dxa"/>
            <w:left w:w="108" w:type="dxa"/>
            <w:bottom w:w="57" w:type="dxa"/>
            <w:right w:w="108" w:type="dxa"/>
          </w:tblCellMar>
        </w:tblPrEx>
        <w:trPr>
          <w:trHeight w:val="23" w:hRule="atLeast"/>
          <w:jc w:val="center"/>
        </w:trPr>
        <w:tc>
          <w:tcPr>
            <w:tcW w:w="9007" w:type="dxa"/>
            <w:gridSpan w:val="6"/>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bidi="ar"/>
                <w14:textFill>
                  <w14:solidFill>
                    <w14:schemeClr w14:val="tx1"/>
                  </w14:solidFill>
                </w14:textFill>
              </w:rPr>
              <w:t>考核时间：   年  月   日</w:t>
            </w:r>
          </w:p>
        </w:tc>
      </w:tr>
    </w:tbl>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注：项目实施过程中，采购人可根据项目实际调整具体考核细则和评分标准，成交供应商应配合有关标准及规则的落实及执行。</w:t>
      </w:r>
    </w:p>
    <w:p>
      <w:pPr>
        <w:pStyle w:val="31"/>
        <w:adjustRightInd w:val="0"/>
        <w:snapToGrid w:val="0"/>
        <w:spacing w:after="0" w:line="360" w:lineRule="auto"/>
        <w:ind w:firstLine="420" w:firstLineChars="200"/>
        <w:rPr>
          <w:rFonts w:ascii="微软雅黑" w:hAnsi="微软雅黑"/>
          <w:b/>
          <w:color w:val="000000" w:themeColor="text1"/>
          <w:szCs w:val="21"/>
          <w:highlight w:val="none"/>
          <w14:textFill>
            <w14:solidFill>
              <w14:schemeClr w14:val="tx1"/>
            </w14:solidFill>
          </w14:textFill>
        </w:rPr>
      </w:pPr>
      <w:r>
        <w:rPr>
          <w:rFonts w:hint="eastAsia" w:ascii="微软雅黑" w:hAnsi="微软雅黑"/>
          <w:b/>
          <w:color w:val="000000" w:themeColor="text1"/>
          <w:szCs w:val="21"/>
          <w:highlight w:val="none"/>
          <w14:textFill>
            <w14:solidFill>
              <w14:schemeClr w14:val="tx1"/>
            </w14:solidFill>
          </w14:textFill>
        </w:rPr>
        <w:t>八、商务条款</w:t>
      </w:r>
    </w:p>
    <w:tbl>
      <w:tblPr>
        <w:tblStyle w:val="55"/>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
      <w:tblGrid>
        <w:gridCol w:w="1991"/>
        <w:gridCol w:w="68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10" w:hRule="atLeast"/>
          <w:jc w:val="center"/>
        </w:trPr>
        <w:tc>
          <w:tcPr>
            <w:tcW w:w="1991" w:type="dxa"/>
            <w:tcBorders>
              <w:top w:val="single" w:color="auto" w:sz="4" w:space="0"/>
              <w:bottom w:val="single" w:color="auto" w:sz="4" w:space="0"/>
              <w:right w:val="single" w:color="auto" w:sz="4" w:space="0"/>
            </w:tcBorders>
            <w:vAlign w:val="center"/>
          </w:tcPr>
          <w:p>
            <w:pPr>
              <w:spacing w:after="0" w:line="240" w:lineRule="auto"/>
              <w:jc w:val="center"/>
              <w:rPr>
                <w:rFonts w:ascii="微软雅黑" w:hAnsi="微软雅黑" w:cs="宋体"/>
                <w:color w:val="000000" w:themeColor="text1"/>
                <w:highlight w:val="none"/>
                <w14:textFill>
                  <w14:solidFill>
                    <w14:schemeClr w14:val="tx1"/>
                  </w14:solidFill>
                </w14:textFill>
              </w:rPr>
            </w:pPr>
            <w:r>
              <w:rPr>
                <w:rFonts w:hint="eastAsia" w:ascii="微软雅黑" w:hAnsi="微软雅黑" w:cs="宋体"/>
                <w:color w:val="000000" w:themeColor="text1"/>
                <w:highlight w:val="none"/>
                <w14:textFill>
                  <w14:solidFill>
                    <w14:schemeClr w14:val="tx1"/>
                  </w14:solidFill>
                </w14:textFill>
              </w:rPr>
              <w:t>验收条件、标准</w:t>
            </w:r>
          </w:p>
        </w:tc>
        <w:tc>
          <w:tcPr>
            <w:tcW w:w="6814" w:type="dxa"/>
            <w:tcBorders>
              <w:top w:val="single" w:color="auto" w:sz="4" w:space="0"/>
              <w:left w:val="single" w:color="auto" w:sz="4" w:space="0"/>
              <w:bottom w:val="single" w:color="auto" w:sz="4" w:space="0"/>
            </w:tcBorders>
            <w:vAlign w:val="center"/>
          </w:tcPr>
          <w:p>
            <w:pPr>
              <w:spacing w:after="0" w:line="240" w:lineRule="auto"/>
              <w:rPr>
                <w:rFonts w:ascii="微软雅黑" w:hAnsi="微软雅黑" w:cs="宋体"/>
                <w:color w:val="000000" w:themeColor="text1"/>
                <w:highlight w:val="none"/>
                <w14:textFill>
                  <w14:solidFill>
                    <w14:schemeClr w14:val="tx1"/>
                  </w14:solidFill>
                </w14:textFill>
              </w:rPr>
            </w:pPr>
            <w:r>
              <w:rPr>
                <w:rFonts w:hint="eastAsia" w:ascii="微软雅黑" w:hAnsi="微软雅黑" w:cs="宋体"/>
                <w:color w:val="000000" w:themeColor="text1"/>
                <w:highlight w:val="none"/>
                <w14:textFill>
                  <w14:solidFill>
                    <w14:schemeClr w14:val="tx1"/>
                  </w14:solidFill>
                </w14:textFill>
              </w:rPr>
              <w:t>采购人按规定组织验收。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23" w:hRule="atLeast"/>
          <w:jc w:val="center"/>
        </w:trPr>
        <w:tc>
          <w:tcPr>
            <w:tcW w:w="1991" w:type="dxa"/>
            <w:tcBorders>
              <w:top w:val="single" w:color="auto" w:sz="4" w:space="0"/>
              <w:bottom w:val="single" w:color="auto" w:sz="4" w:space="0"/>
              <w:right w:val="single" w:color="auto" w:sz="4" w:space="0"/>
            </w:tcBorders>
            <w:vAlign w:val="center"/>
          </w:tcPr>
          <w:p>
            <w:pPr>
              <w:spacing w:after="0" w:line="240" w:lineRule="auto"/>
              <w:jc w:val="center"/>
              <w:rPr>
                <w:rFonts w:ascii="微软雅黑" w:hAnsi="微软雅黑" w:cs="宋体"/>
                <w:color w:val="000000" w:themeColor="text1"/>
                <w:highlight w:val="none"/>
                <w14:textFill>
                  <w14:solidFill>
                    <w14:schemeClr w14:val="tx1"/>
                  </w14:solidFill>
                </w14:textFill>
              </w:rPr>
            </w:pPr>
            <w:r>
              <w:rPr>
                <w:rFonts w:hint="eastAsia" w:ascii="微软雅黑" w:hAnsi="微软雅黑" w:cs="宋体"/>
                <w:color w:val="000000" w:themeColor="text1"/>
                <w:highlight w:val="none"/>
                <w14:textFill>
                  <w14:solidFill>
                    <w14:schemeClr w14:val="tx1"/>
                  </w14:solidFill>
                </w14:textFill>
              </w:rPr>
              <w:t>服务地点</w:t>
            </w:r>
          </w:p>
        </w:tc>
        <w:tc>
          <w:tcPr>
            <w:tcW w:w="6814" w:type="dxa"/>
            <w:tcBorders>
              <w:top w:val="single" w:color="auto" w:sz="4" w:space="0"/>
              <w:left w:val="single" w:color="auto" w:sz="4" w:space="0"/>
              <w:bottom w:val="single" w:color="auto" w:sz="4" w:space="0"/>
            </w:tcBorders>
            <w:vAlign w:val="center"/>
          </w:tcPr>
          <w:p>
            <w:pPr>
              <w:spacing w:after="0" w:line="240" w:lineRule="auto"/>
              <w:rPr>
                <w:rFonts w:ascii="微软雅黑" w:hAnsi="微软雅黑" w:cs="宋体"/>
                <w:color w:val="000000" w:themeColor="text1"/>
                <w:highlight w:val="none"/>
                <w14:textFill>
                  <w14:solidFill>
                    <w14:schemeClr w14:val="tx1"/>
                  </w14:solidFill>
                </w14:textFill>
              </w:rPr>
            </w:pPr>
            <w:r>
              <w:rPr>
                <w:rFonts w:hint="eastAsia" w:ascii="微软雅黑" w:hAnsi="微软雅黑" w:cs="宋体"/>
                <w:color w:val="000000" w:themeColor="text1"/>
                <w:highlight w:val="none"/>
                <w14:textFill>
                  <w14:solidFill>
                    <w14:schemeClr w14:val="tx1"/>
                  </w14:solidFill>
                </w14:textFill>
              </w:rPr>
              <w:t>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16" w:hRule="atLeast"/>
          <w:jc w:val="center"/>
        </w:trPr>
        <w:tc>
          <w:tcPr>
            <w:tcW w:w="1991" w:type="dxa"/>
            <w:tcBorders>
              <w:top w:val="single" w:color="auto" w:sz="4" w:space="0"/>
              <w:bottom w:val="single" w:color="auto" w:sz="4" w:space="0"/>
              <w:right w:val="single" w:color="auto" w:sz="4" w:space="0"/>
            </w:tcBorders>
            <w:vAlign w:val="center"/>
          </w:tcPr>
          <w:p>
            <w:pPr>
              <w:spacing w:after="0" w:line="240" w:lineRule="auto"/>
              <w:jc w:val="center"/>
              <w:rPr>
                <w:rFonts w:ascii="微软雅黑" w:hAnsi="微软雅黑" w:cs="宋体"/>
                <w:color w:val="000000" w:themeColor="text1"/>
                <w:highlight w:val="none"/>
                <w14:textFill>
                  <w14:solidFill>
                    <w14:schemeClr w14:val="tx1"/>
                  </w14:solidFill>
                </w14:textFill>
              </w:rPr>
            </w:pPr>
            <w:r>
              <w:rPr>
                <w:rFonts w:hint="eastAsia" w:ascii="微软雅黑" w:hAnsi="微软雅黑" w:cs="宋体"/>
                <w:color w:val="000000" w:themeColor="text1"/>
                <w:highlight w:val="none"/>
                <w14:textFill>
                  <w14:solidFill>
                    <w14:schemeClr w14:val="tx1"/>
                  </w14:solidFill>
                </w14:textFill>
              </w:rPr>
              <w:t>报价要求</w:t>
            </w:r>
          </w:p>
        </w:tc>
        <w:tc>
          <w:tcPr>
            <w:tcW w:w="6814" w:type="dxa"/>
            <w:tcBorders>
              <w:top w:val="single" w:color="auto" w:sz="4" w:space="0"/>
              <w:left w:val="single" w:color="auto" w:sz="4" w:space="0"/>
              <w:bottom w:val="single" w:color="auto" w:sz="4" w:space="0"/>
            </w:tcBorders>
            <w:vAlign w:val="center"/>
          </w:tcPr>
          <w:p>
            <w:pPr>
              <w:spacing w:after="0" w:line="240" w:lineRule="auto"/>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投标总价必须包括在管家服务区域内提供服务所需的一切人员工资、奖金、各种社会保险（基本养老保险、基本医疗保险、工伤保险、失业保险）、办公用品、食宿与交通、高温补偿费、设备及工具、器材、消耗材料、服装、安全、管理费用、税费、利润、完成合同所需的一切本身和不可或缺的所有工作开支、政策性文件规定及合同包含的所有风险、责任等各项全部费用并承担一切风险责任。在合同服务期间内不得违反国家相关政策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16" w:hRule="atLeast"/>
          <w:jc w:val="center"/>
        </w:trPr>
        <w:tc>
          <w:tcPr>
            <w:tcW w:w="1991" w:type="dxa"/>
            <w:tcBorders>
              <w:top w:val="single" w:color="auto" w:sz="4" w:space="0"/>
              <w:bottom w:val="single" w:color="auto" w:sz="4" w:space="0"/>
              <w:right w:val="single" w:color="auto" w:sz="4" w:space="0"/>
            </w:tcBorders>
            <w:vAlign w:val="center"/>
          </w:tcPr>
          <w:p>
            <w:pPr>
              <w:spacing w:after="0"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费用支付及付款方式</w:t>
            </w:r>
          </w:p>
        </w:tc>
        <w:tc>
          <w:tcPr>
            <w:tcW w:w="6814" w:type="dxa"/>
            <w:tcBorders>
              <w:top w:val="single" w:color="auto" w:sz="4" w:space="0"/>
              <w:left w:val="single" w:color="auto" w:sz="4" w:space="0"/>
              <w:bottom w:val="single" w:color="auto" w:sz="4" w:space="0"/>
            </w:tcBorders>
            <w:vAlign w:val="center"/>
          </w:tcPr>
          <w:p>
            <w:pPr>
              <w:numPr>
                <w:ilvl w:val="0"/>
                <w:numId w:val="28"/>
              </w:numPr>
              <w:spacing w:after="0" w:line="240" w:lineRule="auto"/>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预付款政策告知：</w:t>
            </w:r>
          </w:p>
          <w:p>
            <w:pPr>
              <w:spacing w:after="0" w:line="240" w:lineRule="auto"/>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spacing w:after="0" w:line="240" w:lineRule="auto"/>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2、付款方式：</w:t>
            </w:r>
          </w:p>
          <w:p>
            <w:pPr>
              <w:spacing w:after="0" w:line="240" w:lineRule="auto"/>
              <w:rPr>
                <w:rFonts w:ascii="微软雅黑" w:hAnsi="微软雅黑"/>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合同生效且具备实施条件后15个工作日内支付合同金额的40%作为预付款；服务期内，每季度结束后15个工作日内支付合同金额（不含事故调查相关费用）的15%，同时扣除服务质量考核扣款金额（若有）后按季度支付完成，事故调查相关费用在最后一个季度合同价款支付时按实际发生次数凭事故调查报告统一支付或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16" w:hRule="atLeast"/>
          <w:jc w:val="center"/>
        </w:trPr>
        <w:tc>
          <w:tcPr>
            <w:tcW w:w="1991" w:type="dxa"/>
            <w:tcBorders>
              <w:top w:val="single" w:color="auto" w:sz="4" w:space="0"/>
              <w:bottom w:val="single" w:color="auto" w:sz="4" w:space="0"/>
              <w:right w:val="single" w:color="auto" w:sz="4" w:space="0"/>
            </w:tcBorders>
            <w:vAlign w:val="center"/>
          </w:tcPr>
          <w:p>
            <w:pPr>
              <w:spacing w:after="0" w:line="240" w:lineRule="auto"/>
              <w:jc w:val="center"/>
              <w:rPr>
                <w:rFonts w:ascii="微软雅黑" w:hAnsi="微软雅黑" w:cs="宋体"/>
                <w:color w:val="000000" w:themeColor="text1"/>
                <w:highlight w:val="none"/>
                <w14:textFill>
                  <w14:solidFill>
                    <w14:schemeClr w14:val="tx1"/>
                  </w14:solidFill>
                </w14:textFill>
              </w:rPr>
            </w:pPr>
            <w:r>
              <w:rPr>
                <w:rFonts w:hint="eastAsia" w:ascii="微软雅黑" w:hAnsi="微软雅黑" w:cs="宋体"/>
                <w:color w:val="000000" w:themeColor="text1"/>
                <w:highlight w:val="none"/>
                <w14:textFill>
                  <w14:solidFill>
                    <w14:schemeClr w14:val="tx1"/>
                  </w14:solidFill>
                </w14:textFill>
              </w:rPr>
              <w:t>责任认定</w:t>
            </w:r>
          </w:p>
        </w:tc>
        <w:tc>
          <w:tcPr>
            <w:tcW w:w="6814" w:type="dxa"/>
            <w:tcBorders>
              <w:top w:val="single" w:color="auto" w:sz="4" w:space="0"/>
              <w:left w:val="single" w:color="auto" w:sz="4" w:space="0"/>
              <w:bottom w:val="single" w:color="auto" w:sz="4" w:space="0"/>
            </w:tcBorders>
            <w:vAlign w:val="center"/>
          </w:tcPr>
          <w:p>
            <w:pPr>
              <w:spacing w:after="0" w:line="240" w:lineRule="auto"/>
              <w:rPr>
                <w:rFonts w:ascii="微软雅黑" w:hAnsi="微软雅黑" w:cs="宋体"/>
                <w:color w:val="000000" w:themeColor="text1"/>
                <w:highlight w:val="none"/>
                <w14:textFill>
                  <w14:solidFill>
                    <w14:schemeClr w14:val="tx1"/>
                  </w14:solidFill>
                </w14:textFill>
              </w:rPr>
            </w:pPr>
            <w:r>
              <w:rPr>
                <w:rFonts w:hint="eastAsia" w:ascii="微软雅黑" w:hAnsi="微软雅黑" w:cs="宋体"/>
                <w:color w:val="000000" w:themeColor="text1"/>
                <w:highlight w:val="none"/>
                <w14:textFill>
                  <w14:solidFill>
                    <w14:schemeClr w14:val="tx1"/>
                  </w14:solidFill>
                </w14:textFill>
              </w:rPr>
              <w:t>在服务期内，因服务商原因，未能完全履行服务承诺，采购单位有权追究成交商的责任。</w:t>
            </w:r>
          </w:p>
        </w:tc>
      </w:tr>
    </w:tbl>
    <w:p>
      <w:pPr>
        <w:spacing w:line="360" w:lineRule="auto"/>
        <w:rPr>
          <w:rFonts w:ascii="微软雅黑" w:hAnsi="微软雅黑"/>
          <w:b/>
          <w:bCs/>
          <w:color w:val="000000" w:themeColor="text1"/>
          <w:highlight w:val="none"/>
          <w14:textFill>
            <w14:solidFill>
              <w14:schemeClr w14:val="tx1"/>
            </w14:solidFill>
          </w14:textFill>
        </w:rPr>
      </w:pPr>
    </w:p>
    <w:bookmarkEnd w:id="583"/>
    <w:bookmarkEnd w:id="584"/>
    <w:bookmarkEnd w:id="585"/>
    <w:bookmarkEnd w:id="586"/>
    <w:bookmarkEnd w:id="587"/>
    <w:bookmarkEnd w:id="588"/>
    <w:p>
      <w:pPr>
        <w:pStyle w:val="31"/>
        <w:numPr>
          <w:ilvl w:val="2"/>
          <w:numId w:val="29"/>
        </w:numPr>
        <w:spacing w:line="480" w:lineRule="exact"/>
        <w:rPr>
          <w:rFonts w:ascii="微软雅黑" w:hAnsi="微软雅黑"/>
          <w:color w:val="000000" w:themeColor="text1"/>
          <w:szCs w:val="21"/>
          <w:highlight w:val="none"/>
          <w14:textFill>
            <w14:solidFill>
              <w14:schemeClr w14:val="tx1"/>
            </w14:solidFill>
          </w14:textFill>
        </w:rPr>
        <w:sectPr>
          <w:headerReference r:id="rId16" w:type="first"/>
          <w:footerReference r:id="rId17" w:type="default"/>
          <w:headerReference r:id="rId15" w:type="even"/>
          <w:pgSz w:w="11906" w:h="16838"/>
          <w:pgMar w:top="1134" w:right="1474" w:bottom="1134" w:left="1474" w:header="851" w:footer="510" w:gutter="0"/>
          <w:cols w:space="0" w:num="1"/>
          <w:docGrid w:linePitch="312" w:charSpace="0"/>
        </w:sectPr>
      </w:pPr>
    </w:p>
    <w:p>
      <w:pPr>
        <w:pStyle w:val="4"/>
        <w:spacing w:before="360"/>
        <w:jc w:val="center"/>
        <w:rPr>
          <w:rFonts w:ascii="微软雅黑" w:hAnsi="微软雅黑"/>
          <w:color w:val="000000" w:themeColor="text1"/>
          <w:szCs w:val="21"/>
          <w:highlight w:val="none"/>
          <w14:textFill>
            <w14:solidFill>
              <w14:schemeClr w14:val="tx1"/>
            </w14:solidFill>
          </w14:textFill>
        </w:rPr>
      </w:pPr>
      <w:bookmarkStart w:id="593" w:name="_Toc14"/>
      <w:r>
        <w:rPr>
          <w:rFonts w:hint="eastAsia" w:ascii="微软雅黑" w:hAnsi="微软雅黑"/>
          <w:color w:val="000000" w:themeColor="text1"/>
          <w:szCs w:val="21"/>
          <w:highlight w:val="none"/>
          <w14:textFill>
            <w14:solidFill>
              <w14:schemeClr w14:val="tx1"/>
            </w14:solidFill>
          </w14:textFill>
        </w:rPr>
        <w:t>第四章  嘉兴市政府采购合同（指引）</w:t>
      </w:r>
      <w:bookmarkEnd w:id="589"/>
      <w:bookmarkEnd w:id="590"/>
      <w:bookmarkEnd w:id="593"/>
    </w:p>
    <w:bookmarkEnd w:id="591"/>
    <w:bookmarkEnd w:id="592"/>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after="240" w:afterLines="100" w:line="500" w:lineRule="exact"/>
        <w:jc w:val="center"/>
        <w:rPr>
          <w:rFonts w:ascii="微软雅黑" w:hAnsi="微软雅黑"/>
          <w:b/>
          <w:color w:val="000000" w:themeColor="text1"/>
          <w:sz w:val="24"/>
          <w:szCs w:val="24"/>
          <w:highlight w:val="none"/>
          <w14:textFill>
            <w14:solidFill>
              <w14:schemeClr w14:val="tx1"/>
            </w14:solidFill>
          </w14:textFill>
        </w:rPr>
      </w:pPr>
      <w:bookmarkStart w:id="594" w:name="_Toc493699337"/>
      <w:bookmarkStart w:id="595" w:name="_Toc296611791"/>
      <w:bookmarkStart w:id="596" w:name="_Toc192313125"/>
      <w:bookmarkStart w:id="597" w:name="_Toc170792802"/>
      <w:r>
        <w:rPr>
          <w:rFonts w:hint="eastAsia" w:ascii="微软雅黑" w:hAnsi="微软雅黑"/>
          <w:b/>
          <w:color w:val="000000" w:themeColor="text1"/>
          <w:sz w:val="24"/>
          <w:szCs w:val="24"/>
          <w:highlight w:val="none"/>
          <w14:textFill>
            <w14:solidFill>
              <w14:schemeClr w14:val="tx1"/>
            </w14:solidFill>
          </w14:textFill>
        </w:rPr>
        <w:t>一、通用必备条款部份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hint="eastAsia" w:ascii="微软雅黑" w:hAnsi="微软雅黑" w:eastAsia="微软雅黑"/>
          <w:bCs/>
          <w:color w:val="000000" w:themeColor="text1"/>
          <w:highlight w:val="none"/>
          <w:lang w:eastAsia="zh-CN"/>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招标编号：</w:t>
      </w:r>
      <w:r>
        <w:rPr>
          <w:rFonts w:hint="eastAsia" w:ascii="微软雅黑" w:hAnsi="微软雅黑"/>
          <w:bCs/>
          <w:color w:val="000000" w:themeColor="text1"/>
          <w:highlight w:val="none"/>
          <w:lang w:eastAsia="zh-CN"/>
          <w14:textFill>
            <w14:solidFill>
              <w14:schemeClr w14:val="tx1"/>
            </w14:solidFill>
          </w14:textFill>
        </w:rPr>
        <w:t>SHHR-2022-053</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hint="eastAsia" w:ascii="微软雅黑" w:hAnsi="微软雅黑" w:eastAsia="微软雅黑"/>
          <w:bCs/>
          <w:color w:val="000000" w:themeColor="text1"/>
          <w:highlight w:val="none"/>
          <w:lang w:eastAsia="zh-CN"/>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合同编号：</w:t>
      </w:r>
      <w:r>
        <w:rPr>
          <w:rFonts w:hint="eastAsia" w:ascii="微软雅黑" w:hAnsi="微软雅黑"/>
          <w:bCs/>
          <w:color w:val="000000" w:themeColor="text1"/>
          <w:highlight w:val="none"/>
          <w:lang w:eastAsia="zh-CN"/>
          <w14:textFill>
            <w14:solidFill>
              <w14:schemeClr w14:val="tx1"/>
            </w14:solidFill>
          </w14:textFill>
        </w:rPr>
        <w:t>SHHR-2022-053</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b/>
          <w:bCs w:val="0"/>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政府采购计划（预算）</w:t>
      </w:r>
      <w:r>
        <w:rPr>
          <w:rFonts w:hint="eastAsia" w:ascii="微软雅黑" w:hAnsi="微软雅黑"/>
          <w:b w:val="0"/>
          <w:bCs/>
          <w:color w:val="000000" w:themeColor="text1"/>
          <w:highlight w:val="none"/>
          <w14:textFill>
            <w14:solidFill>
              <w14:schemeClr w14:val="tx1"/>
            </w14:solidFill>
          </w14:textFill>
        </w:rPr>
        <w:t>确认书号：</w:t>
      </w:r>
      <w:r>
        <w:rPr>
          <w:rFonts w:hint="eastAsia" w:ascii="微软雅黑" w:hAnsi="微软雅黑"/>
          <w:b/>
          <w:bCs w:val="0"/>
          <w:color w:val="000000" w:themeColor="text1"/>
          <w:highlight w:val="none"/>
          <w14:textFill>
            <w14:solidFill>
              <w14:schemeClr w14:val="tx1"/>
            </w14:solidFill>
          </w14:textFill>
        </w:rPr>
        <w:t>嘉兴开发区临[2022]2096号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预算金额：75.00万元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采购人（以下称甲方）：嘉兴经济技术开发区建设交通局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采购代理机构：上海华瑞建设经济咨询有限公司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采购方式：竞争性磋商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根据《中华人民共和国政府采购法》、《中华人民共和国民法典》等法律法规的规定，甲乙双方按照</w:t>
      </w:r>
      <w:r>
        <w:rPr>
          <w:rFonts w:hint="eastAsia" w:ascii="微软雅黑" w:hAnsi="微软雅黑"/>
          <w:color w:val="000000" w:themeColor="text1"/>
          <w:highlight w:val="none"/>
          <w:u w:val="single"/>
          <w14:textFill>
            <w14:solidFill>
              <w14:schemeClr w14:val="tx1"/>
            </w14:solidFill>
          </w14:textFill>
        </w:rPr>
        <w:t xml:space="preserve">  嘉兴经济技术开发区燃气管家服务采购项目 </w:t>
      </w:r>
      <w:r>
        <w:rPr>
          <w:rFonts w:hint="eastAsia" w:ascii="微软雅黑" w:hAnsi="微软雅黑"/>
          <w:color w:val="000000" w:themeColor="text1"/>
          <w:highlight w:val="none"/>
          <w14:textFill>
            <w14:solidFill>
              <w14:schemeClr w14:val="tx1"/>
            </w14:solidFill>
          </w14:textFill>
        </w:rPr>
        <w:t>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本次政府采购活动的相关文件为本合同的组成部分，这些文件包括但不限于：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2、采购文件与采购响应文件；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组成本合同的所有文件必须为书面形式。政府采购合同备案时，须提供以上（1）、（3）两项，如由社会中介机构代理，须提供代理协议，合同如有变更的，须提供变更协议。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第二条 合同标的与相关属性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1、本次采购的是</w:t>
      </w:r>
      <w:r>
        <w:rPr>
          <w:rFonts w:hint="eastAsia" w:ascii="微软雅黑" w:hAnsi="微软雅黑"/>
          <w:color w:val="000000" w:themeColor="text1"/>
          <w:highlight w:val="none"/>
          <w:u w:val="single"/>
          <w14:textFill>
            <w14:solidFill>
              <w14:schemeClr w14:val="tx1"/>
            </w14:solidFill>
          </w14:textFill>
        </w:rPr>
        <w:t xml:space="preserve"> 嘉兴经济技术开发区建设交通局燃气管家服务。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2、乙方是否属于中小微企业：</w:t>
      </w:r>
      <w:r>
        <w:rPr>
          <w:rFonts w:hint="eastAsia" w:ascii="微软雅黑" w:hAnsi="微软雅黑"/>
          <w:color w:val="000000" w:themeColor="text1"/>
          <w:highlight w:val="none"/>
          <w14:textFill>
            <w14:solidFill>
              <w14:schemeClr w14:val="tx1"/>
            </w14:solidFill>
          </w14:textFill>
        </w:rPr>
        <w:sym w:font="Wingdings 2" w:char="00A3"/>
      </w:r>
      <w:r>
        <w:rPr>
          <w:rFonts w:hint="eastAsia" w:ascii="微软雅黑" w:hAnsi="微软雅黑"/>
          <w:color w:val="000000" w:themeColor="text1"/>
          <w:highlight w:val="none"/>
          <w14:textFill>
            <w14:solidFill>
              <w14:schemeClr w14:val="tx1"/>
            </w14:solidFill>
          </w14:textFill>
        </w:rPr>
        <w:t>是</w:t>
      </w:r>
      <w:r>
        <w:rPr>
          <w:rFonts w:hint="eastAsia" w:ascii="微软雅黑" w:hAnsi="微软雅黑"/>
          <w:color w:val="000000" w:themeColor="text1"/>
          <w:highlight w:val="none"/>
          <w14:textFill>
            <w14:solidFill>
              <w14:schemeClr w14:val="tx1"/>
            </w14:solidFill>
          </w14:textFill>
        </w:rPr>
        <w:sym w:font="Wingdings 2" w:char="00A3"/>
      </w:r>
      <w:r>
        <w:rPr>
          <w:rFonts w:hint="eastAsia" w:ascii="微软雅黑" w:hAnsi="微软雅黑"/>
          <w:color w:val="000000" w:themeColor="text1"/>
          <w:highlight w:val="none"/>
          <w14:textFill>
            <w14:solidFill>
              <w14:schemeClr w14:val="tx1"/>
            </w14:solidFill>
          </w14:textFill>
        </w:rPr>
        <w:t>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3、本合同项下产品属于（可多选）：</w:t>
      </w:r>
      <w:r>
        <w:rPr>
          <w:rFonts w:hint="eastAsia" w:ascii="微软雅黑" w:hAnsi="微软雅黑"/>
          <w:color w:val="000000" w:themeColor="text1"/>
          <w:highlight w:val="none"/>
          <w14:textFill>
            <w14:solidFill>
              <w14:schemeClr w14:val="tx1"/>
            </w14:solidFill>
          </w14:textFill>
        </w:rPr>
        <w:sym w:font="Wingdings 2" w:char="00A3"/>
      </w:r>
      <w:r>
        <w:rPr>
          <w:rFonts w:hint="eastAsia" w:ascii="微软雅黑" w:hAnsi="微软雅黑"/>
          <w:color w:val="000000" w:themeColor="text1"/>
          <w:highlight w:val="none"/>
          <w14:textFill>
            <w14:solidFill>
              <w14:schemeClr w14:val="tx1"/>
            </w14:solidFill>
          </w14:textFill>
        </w:rPr>
        <w:t>环保产品；</w:t>
      </w:r>
      <w:r>
        <w:rPr>
          <w:rFonts w:hint="eastAsia" w:ascii="微软雅黑" w:hAnsi="微软雅黑"/>
          <w:color w:val="000000" w:themeColor="text1"/>
          <w:highlight w:val="none"/>
          <w14:textFill>
            <w14:solidFill>
              <w14:schemeClr w14:val="tx1"/>
            </w14:solidFill>
          </w14:textFill>
        </w:rPr>
        <w:sym w:font="Wingdings 2" w:char="00A3"/>
      </w:r>
      <w:r>
        <w:rPr>
          <w:rFonts w:hint="eastAsia" w:ascii="微软雅黑" w:hAnsi="微软雅黑"/>
          <w:color w:val="000000" w:themeColor="text1"/>
          <w:highlight w:val="none"/>
          <w14:textFill>
            <w14:solidFill>
              <w14:schemeClr w14:val="tx1"/>
            </w14:solidFill>
          </w14:textFill>
        </w:rPr>
        <w:t>节能产品；</w:t>
      </w:r>
      <w:r>
        <w:rPr>
          <w:rFonts w:hint="eastAsia" w:ascii="微软雅黑" w:hAnsi="微软雅黑"/>
          <w:color w:val="000000" w:themeColor="text1"/>
          <w:highlight w:val="none"/>
          <w14:textFill>
            <w14:solidFill>
              <w14:schemeClr w14:val="tx1"/>
            </w14:solidFill>
          </w14:textFill>
        </w:rPr>
        <w:sym w:font="Wingdings 2" w:char="00A3"/>
      </w:r>
      <w:r>
        <w:rPr>
          <w:rFonts w:hint="eastAsia" w:ascii="微软雅黑" w:hAnsi="微软雅黑"/>
          <w:color w:val="000000" w:themeColor="text1"/>
          <w:highlight w:val="none"/>
          <w14:textFill>
            <w14:solidFill>
              <w14:schemeClr w14:val="tx1"/>
            </w14:solidFill>
          </w14:textFill>
        </w:rPr>
        <w:t>进口产品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第三条 合同价款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afterLines="10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1、本合同项下总价款为（大写）人民币，分项价款见“价格清单”（如有）”。</w:t>
      </w:r>
    </w:p>
    <w:tbl>
      <w:tblPr>
        <w:tblStyle w:val="55"/>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399"/>
        <w:gridCol w:w="2257"/>
        <w:gridCol w:w="926"/>
        <w:gridCol w:w="757"/>
        <w:gridCol w:w="110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序号</w:t>
            </w:r>
          </w:p>
        </w:tc>
        <w:tc>
          <w:tcPr>
            <w:tcW w:w="1399"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品目名称</w:t>
            </w:r>
          </w:p>
        </w:tc>
        <w:tc>
          <w:tcPr>
            <w:tcW w:w="2257"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规格型号、技术参数（或服务内容）</w:t>
            </w:r>
          </w:p>
        </w:tc>
        <w:tc>
          <w:tcPr>
            <w:tcW w:w="926"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单位</w:t>
            </w:r>
          </w:p>
        </w:tc>
        <w:tc>
          <w:tcPr>
            <w:tcW w:w="757"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数量</w:t>
            </w:r>
          </w:p>
        </w:tc>
        <w:tc>
          <w:tcPr>
            <w:tcW w:w="1109"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预算金额(元)</w:t>
            </w:r>
          </w:p>
        </w:tc>
        <w:tc>
          <w:tcPr>
            <w:tcW w:w="1290"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采购金额(元)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p>
        </w:tc>
        <w:tc>
          <w:tcPr>
            <w:tcW w:w="757"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p>
        </w:tc>
        <w:tc>
          <w:tcPr>
            <w:tcW w:w="757"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15" w:type="dxa"/>
            <w:gridSpan w:val="4"/>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合 计</w:t>
            </w:r>
          </w:p>
        </w:tc>
        <w:tc>
          <w:tcPr>
            <w:tcW w:w="757"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noWrap/>
            <w:vAlign w:val="center"/>
          </w:tcPr>
          <w:p>
            <w:pPr>
              <w:spacing w:after="60" w:afterLines="25" w:line="360" w:lineRule="exact"/>
              <w:jc w:val="center"/>
              <w:rPr>
                <w:rFonts w:ascii="微软雅黑" w:hAnsi="微软雅黑"/>
                <w:color w:val="000000" w:themeColor="text1"/>
                <w:highlight w:val="none"/>
                <w14:textFill>
                  <w14:solidFill>
                    <w14:schemeClr w14:val="tx1"/>
                  </w14:solidFill>
                </w14:textFill>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2、本合同总价款含所有税费(包括货款、标准附件、备品备件、专用工具、包装、运输、装卸、保险、税金、货到就位以及安装、调试、培训、保修等一切税金和费用。)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3、本合同付款方式为以下第</w:t>
      </w:r>
      <w:r>
        <w:rPr>
          <w:rFonts w:hint="eastAsia" w:ascii="微软雅黑" w:hAnsi="微软雅黑"/>
          <w:color w:val="000000" w:themeColor="text1"/>
          <w:highlight w:val="none"/>
          <w:u w:val="single"/>
          <w14:textFill>
            <w14:solidFill>
              <w14:schemeClr w14:val="tx1"/>
            </w14:solidFill>
          </w14:textFill>
        </w:rPr>
        <w:t xml:space="preserve">  （1）  </w:t>
      </w:r>
      <w:r>
        <w:rPr>
          <w:rFonts w:hint="eastAsia" w:ascii="微软雅黑" w:hAnsi="微软雅黑"/>
          <w:color w:val="000000" w:themeColor="text1"/>
          <w:highlight w:val="none"/>
          <w14:textFill>
            <w14:solidFill>
              <w14:schemeClr w14:val="tx1"/>
            </w14:solidFill>
          </w14:textFill>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（1）本合同项下的采购资金系甲方自行支付，付款程序为</w:t>
      </w:r>
      <w:r>
        <w:rPr>
          <w:rFonts w:hint="eastAsia" w:ascii="微软雅黑" w:hAnsi="微软雅黑"/>
          <w:color w:val="000000" w:themeColor="text1"/>
          <w:highlight w:val="none"/>
          <w:u w:val="single"/>
          <w14:textFill>
            <w14:solidFill>
              <w14:schemeClr w14:val="tx1"/>
            </w14:solidFill>
          </w14:textFill>
        </w:rPr>
        <w:t xml:space="preserve">               </w:t>
      </w:r>
      <w:r>
        <w:rPr>
          <w:rFonts w:hint="eastAsia" w:ascii="微软雅黑" w:hAnsi="微软雅黑"/>
          <w:color w:val="000000" w:themeColor="text1"/>
          <w:highlight w:val="none"/>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（2）本合同项下的采购资金须财政直接支付，付款程序为</w:t>
      </w:r>
      <w:r>
        <w:rPr>
          <w:rFonts w:hint="eastAsia" w:ascii="微软雅黑" w:hAnsi="微软雅黑"/>
          <w:color w:val="000000" w:themeColor="text1"/>
          <w:highlight w:val="none"/>
          <w:u w:val="single"/>
          <w14:textFill>
            <w14:solidFill>
              <w14:schemeClr w14:val="tx1"/>
            </w14:solidFill>
          </w14:textFill>
        </w:rPr>
        <w:t xml:space="preserve">               </w:t>
      </w:r>
      <w:r>
        <w:rPr>
          <w:rFonts w:hint="eastAsia" w:ascii="微软雅黑" w:hAnsi="微软雅黑"/>
          <w:color w:val="000000" w:themeColor="text1"/>
          <w:highlight w:val="none"/>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（3）其他方式：</w:t>
      </w:r>
      <w:r>
        <w:rPr>
          <w:rFonts w:hint="eastAsia" w:ascii="微软雅黑" w:hAnsi="微软雅黑"/>
          <w:color w:val="000000" w:themeColor="text1"/>
          <w:highlight w:val="none"/>
          <w:u w:val="single"/>
          <w14:textFill>
            <w14:solidFill>
              <w14:schemeClr w14:val="tx1"/>
            </w14:solidFill>
          </w14:textFill>
        </w:rPr>
        <w:t xml:space="preserve">               </w:t>
      </w:r>
      <w:r>
        <w:rPr>
          <w:rFonts w:hint="eastAsia" w:ascii="微软雅黑" w:hAnsi="微软雅黑"/>
          <w:color w:val="000000" w:themeColor="text1"/>
          <w:highlight w:val="none"/>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left="420" w:left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4、本合同项下的采购资金付款进度按招竞争性磋商响应文件规定，未规定时按以下第</w:t>
      </w:r>
      <w:r>
        <w:rPr>
          <w:rFonts w:hint="eastAsia" w:ascii="微软雅黑" w:hAnsi="微软雅黑"/>
          <w:color w:val="000000" w:themeColor="text1"/>
          <w:highlight w:val="none"/>
          <w:u w:val="single"/>
          <w14:textFill>
            <w14:solidFill>
              <w14:schemeClr w14:val="tx1"/>
            </w14:solidFill>
          </w14:textFill>
        </w:rPr>
        <w:t xml:space="preserve"> （2）</w:t>
      </w:r>
      <w:r>
        <w:rPr>
          <w:rFonts w:hint="eastAsia" w:ascii="微软雅黑" w:hAnsi="微软雅黑"/>
          <w:color w:val="000000" w:themeColor="text1"/>
          <w:highlight w:val="none"/>
          <w14:textFill>
            <w14:solidFill>
              <w14:schemeClr w14:val="tx1"/>
            </w14:solidFill>
          </w14:textFill>
        </w:rPr>
        <w:t>项支付：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（1）一次性付款：乙方合同履行达到</w:t>
      </w:r>
      <w:r>
        <w:rPr>
          <w:rFonts w:hint="eastAsia" w:ascii="微软雅黑" w:hAnsi="微软雅黑"/>
          <w:color w:val="000000" w:themeColor="text1"/>
          <w:highlight w:val="none"/>
          <w:u w:val="single"/>
          <w14:textFill>
            <w14:solidFill>
              <w14:schemeClr w14:val="tx1"/>
            </w14:solidFill>
          </w14:textFill>
        </w:rPr>
        <w:t xml:space="preserve">               </w:t>
      </w:r>
      <w:r>
        <w:rPr>
          <w:rFonts w:hint="eastAsia" w:ascii="微软雅黑" w:hAnsi="微软雅黑"/>
          <w:color w:val="000000" w:themeColor="text1"/>
          <w:highlight w:val="none"/>
          <w14:textFill>
            <w14:solidFill>
              <w14:schemeClr w14:val="tx1"/>
            </w14:solidFill>
          </w14:textFill>
        </w:rPr>
        <w:t>（条件）时，一次性付款；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（2）分期付款</w:t>
      </w:r>
      <w:r>
        <w:rPr>
          <w:rFonts w:hint="eastAsia" w:ascii="微软雅黑" w:hAnsi="微软雅黑"/>
          <w:color w:val="000000" w:themeColor="text1"/>
          <w:highlight w:val="none"/>
          <w:u w:val="single"/>
          <w14:textFill>
            <w14:solidFill>
              <w14:schemeClr w14:val="tx1"/>
            </w14:solidFill>
          </w14:textFill>
        </w:rPr>
        <w:t xml:space="preserve">          </w:t>
      </w:r>
      <w:r>
        <w:rPr>
          <w:rFonts w:hint="eastAsia" w:ascii="微软雅黑" w:hAnsi="微软雅黑"/>
          <w:color w:val="000000" w:themeColor="text1"/>
          <w:highlight w:val="none"/>
          <w14:textFill>
            <w14:solidFill>
              <w14:schemeClr w14:val="tx1"/>
            </w14:solidFill>
          </w14:textFill>
        </w:rPr>
        <w:t>时支付</w:t>
      </w:r>
      <w:r>
        <w:rPr>
          <w:rFonts w:hint="eastAsia" w:ascii="微软雅黑" w:hAnsi="微软雅黑"/>
          <w:color w:val="000000" w:themeColor="text1"/>
          <w:highlight w:val="none"/>
          <w:u w:val="single"/>
          <w14:textFill>
            <w14:solidFill>
              <w14:schemeClr w14:val="tx1"/>
            </w14:solidFill>
          </w14:textFill>
        </w:rPr>
        <w:t xml:space="preserve">          </w:t>
      </w:r>
      <w:r>
        <w:rPr>
          <w:rFonts w:hint="eastAsia" w:ascii="微软雅黑" w:hAnsi="微软雅黑"/>
          <w:color w:val="000000" w:themeColor="text1"/>
          <w:highlight w:val="none"/>
          <w14:textFill>
            <w14:solidFill>
              <w14:schemeClr w14:val="tx1"/>
            </w14:solidFill>
          </w14:textFill>
        </w:rPr>
        <w:t>；</w:t>
      </w:r>
      <w:r>
        <w:rPr>
          <w:rFonts w:hint="eastAsia" w:ascii="微软雅黑" w:hAnsi="微软雅黑"/>
          <w:color w:val="000000" w:themeColor="text1"/>
          <w:highlight w:val="none"/>
          <w:u w:val="single"/>
          <w14:textFill>
            <w14:solidFill>
              <w14:schemeClr w14:val="tx1"/>
            </w14:solidFill>
          </w14:textFill>
        </w:rPr>
        <w:t xml:space="preserve">        </w:t>
      </w:r>
      <w:r>
        <w:rPr>
          <w:rFonts w:hint="eastAsia" w:ascii="微软雅黑" w:hAnsi="微软雅黑"/>
          <w:color w:val="000000" w:themeColor="text1"/>
          <w:highlight w:val="none"/>
          <w14:textFill>
            <w14:solidFill>
              <w14:schemeClr w14:val="tx1"/>
            </w14:solidFill>
          </w14:textFill>
        </w:rPr>
        <w:t>时支付</w:t>
      </w:r>
      <w:r>
        <w:rPr>
          <w:rFonts w:hint="eastAsia" w:ascii="微软雅黑" w:hAnsi="微软雅黑"/>
          <w:color w:val="000000" w:themeColor="text1"/>
          <w:highlight w:val="none"/>
          <w:u w:val="single"/>
          <w14:textFill>
            <w14:solidFill>
              <w14:schemeClr w14:val="tx1"/>
            </w14:solidFill>
          </w14:textFill>
        </w:rPr>
        <w:t xml:space="preserve">            </w:t>
      </w:r>
      <w:r>
        <w:rPr>
          <w:rFonts w:hint="eastAsia" w:ascii="微软雅黑" w:hAnsi="微软雅黑"/>
          <w:color w:val="000000" w:themeColor="text1"/>
          <w:highlight w:val="none"/>
          <w14:textFill>
            <w14:solidFill>
              <w14:schemeClr w14:val="tx1"/>
            </w14:solidFill>
          </w14:textFill>
        </w:rPr>
        <w:t>；</w:t>
      </w:r>
      <w:r>
        <w:rPr>
          <w:rFonts w:hint="eastAsia" w:ascii="微软雅黑" w:hAnsi="微软雅黑"/>
          <w:color w:val="000000" w:themeColor="text1"/>
          <w:highlight w:val="none"/>
          <w:u w:val="single"/>
          <w14:textFill>
            <w14:solidFill>
              <w14:schemeClr w14:val="tx1"/>
            </w14:solidFill>
          </w14:textFill>
        </w:rPr>
        <w:t xml:space="preserve">           </w:t>
      </w:r>
      <w:r>
        <w:rPr>
          <w:rFonts w:hint="eastAsia" w:ascii="微软雅黑" w:hAnsi="微软雅黑"/>
          <w:color w:val="000000" w:themeColor="text1"/>
          <w:highlight w:val="none"/>
          <w14:textFill>
            <w14:solidFill>
              <w14:schemeClr w14:val="tx1"/>
            </w14:solidFill>
          </w14:textFill>
        </w:rPr>
        <w:t>时支付</w:t>
      </w:r>
      <w:r>
        <w:rPr>
          <w:rFonts w:hint="eastAsia" w:ascii="微软雅黑" w:hAnsi="微软雅黑"/>
          <w:color w:val="000000" w:themeColor="text1"/>
          <w:highlight w:val="none"/>
          <w:u w:val="single"/>
          <w14:textFill>
            <w14:solidFill>
              <w14:schemeClr w14:val="tx1"/>
            </w14:solidFill>
          </w14:textFill>
        </w:rPr>
        <w:t xml:space="preserve">              </w:t>
      </w:r>
      <w:r>
        <w:rPr>
          <w:rFonts w:hint="eastAsia" w:ascii="微软雅黑" w:hAnsi="微软雅黑"/>
          <w:color w:val="000000" w:themeColor="text1"/>
          <w:highlight w:val="none"/>
          <w14:textFill>
            <w14:solidFill>
              <w14:schemeClr w14:val="tx1"/>
            </w14:solidFill>
          </w14:textFill>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按以下第</w:t>
      </w:r>
      <w:r>
        <w:rPr>
          <w:rFonts w:hint="eastAsia" w:ascii="微软雅黑" w:hAnsi="微软雅黑"/>
          <w:color w:val="000000" w:themeColor="text1"/>
          <w:highlight w:val="none"/>
          <w:u w:val="single"/>
          <w14:textFill>
            <w14:solidFill>
              <w14:schemeClr w14:val="tx1"/>
            </w14:solidFill>
          </w14:textFill>
        </w:rPr>
        <w:t xml:space="preserve">  2  </w:t>
      </w:r>
      <w:r>
        <w:rPr>
          <w:rFonts w:hint="eastAsia" w:ascii="微软雅黑" w:hAnsi="微软雅黑"/>
          <w:color w:val="000000" w:themeColor="text1"/>
          <w:highlight w:val="none"/>
          <w14:textFill>
            <w14:solidFill>
              <w14:schemeClr w14:val="tx1"/>
            </w14:solidFill>
          </w14:textFill>
        </w:rPr>
        <w:t>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1、本项目设置履约保证金，乙方应于（时间）向甲方提交履约保证金元（不得高于本合同金额的</w:t>
      </w:r>
      <w:r>
        <w:rPr>
          <w:rFonts w:hint="eastAsia" w:ascii="微软雅黑" w:hAnsi="微软雅黑"/>
          <w:b/>
          <w:bCs/>
          <w:color w:val="000000" w:themeColor="text1"/>
          <w:highlight w:val="none"/>
          <w14:textFill>
            <w14:solidFill>
              <w14:schemeClr w14:val="tx1"/>
            </w14:solidFill>
          </w14:textFill>
        </w:rPr>
        <w:t>1%</w:t>
      </w:r>
      <w:r>
        <w:rPr>
          <w:rFonts w:hint="eastAsia" w:ascii="微软雅黑" w:hAnsi="微软雅黑"/>
          <w:color w:val="000000" w:themeColor="text1"/>
          <w:highlight w:val="none"/>
          <w14:textFill>
            <w14:solidFill>
              <w14:schemeClr w14:val="tx1"/>
            </w14:solidFill>
          </w14:textFill>
        </w:rPr>
        <w:t>）。履约保证金可优先以银行、保险公司、担保机构等金融机构出具的保函、保险等形式提交，也可以电汇、银行汇票、转账支票等形式提交。履约保证金在（时间）退还乙方。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第五条 金融支持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支持和促进中小企业发展，进一步发挥政府采购政策功能，浙江省财政厅出台浙财采监〔2022〕3号文件，企业若有融资意向，可通过政采云平台或其他渠道进行咨询。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政采云平台融资服务（https://jinrong.zcygov.cn/finance-service/#/home)，可查看相应融资政策文件及各相关银行服务方案。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第六条 合同的变更和终止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除《政府采购法》第49条、第50条第二款规定的情形外，本合同一经签订，甲乙双方不得擅自终止合同或对合同实质性条款进行变更。确有特殊情况的，须经同级财政部门备案同意。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第七条 合同的转让与分包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乙方不得擅自部分或全部转让其应履行的合同义务。乙方分包的，应经过甲方书面同意。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第八条 争议的解决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1、因履行本合同引起的或与本合同有关的争议，甲、乙双方应首先通过友好协商解决，如果协商不能解决争议，则采取以下第</w:t>
      </w:r>
      <w:r>
        <w:rPr>
          <w:rFonts w:hint="eastAsia" w:ascii="微软雅黑" w:hAnsi="微软雅黑"/>
          <w:color w:val="000000" w:themeColor="text1"/>
          <w:highlight w:val="none"/>
          <w:u w:val="single"/>
          <w14:textFill>
            <w14:solidFill>
              <w14:schemeClr w14:val="tx1"/>
            </w14:solidFill>
          </w14:textFill>
        </w:rPr>
        <w:t xml:space="preserve">  （1）  </w:t>
      </w:r>
      <w:r>
        <w:rPr>
          <w:rFonts w:hint="eastAsia" w:ascii="微软雅黑" w:hAnsi="微软雅黑"/>
          <w:color w:val="000000" w:themeColor="text1"/>
          <w:highlight w:val="none"/>
          <w14:textFill>
            <w14:solidFill>
              <w14:schemeClr w14:val="tx1"/>
            </w14:solidFill>
          </w14:textFill>
        </w:rPr>
        <w:t>种方式解决争议：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（1）向甲方所在地有管辖权的人民法院提起诉讼；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（2）向</w:t>
      </w:r>
      <w:r>
        <w:rPr>
          <w:rFonts w:hint="eastAsia" w:ascii="微软雅黑" w:hAnsi="微软雅黑"/>
          <w:color w:val="000000" w:themeColor="text1"/>
          <w:highlight w:val="none"/>
          <w:u w:val="single"/>
          <w14:textFill>
            <w14:solidFill>
              <w14:schemeClr w14:val="tx1"/>
            </w14:solidFill>
          </w14:textFill>
        </w:rPr>
        <w:t xml:space="preserve">  嘉兴  </w:t>
      </w:r>
      <w:r>
        <w:rPr>
          <w:rFonts w:hint="eastAsia" w:ascii="微软雅黑" w:hAnsi="微软雅黑"/>
          <w:color w:val="000000" w:themeColor="text1"/>
          <w:highlight w:val="none"/>
          <w14:textFill>
            <w14:solidFill>
              <w14:schemeClr w14:val="tx1"/>
            </w14:solidFill>
          </w14:textFill>
        </w:rPr>
        <w:t>仲裁委员申请仲裁。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b/>
          <w:bCs/>
          <w:color w:val="000000" w:themeColor="text1"/>
          <w:highlight w:val="none"/>
          <w14:textFill>
            <w14:solidFill>
              <w14:schemeClr w14:val="tx1"/>
            </w14:solidFill>
          </w14:textFill>
        </w:rPr>
      </w:pPr>
      <w:r>
        <w:rPr>
          <w:rFonts w:hint="eastAsia" w:ascii="微软雅黑" w:hAnsi="微软雅黑"/>
          <w:b/>
          <w:bCs/>
          <w:color w:val="000000" w:themeColor="text1"/>
          <w:highlight w:val="none"/>
          <w14:textFill>
            <w14:solidFill>
              <w14:schemeClr w14:val="tx1"/>
            </w14:solidFill>
          </w14:textFill>
        </w:rPr>
        <w:t>第九条 合同备案及其他</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本合同一式</w:t>
      </w:r>
      <w:r>
        <w:rPr>
          <w:rFonts w:hint="eastAsia" w:ascii="微软雅黑" w:hAnsi="微软雅黑"/>
          <w:color w:val="000000" w:themeColor="text1"/>
          <w:highlight w:val="none"/>
          <w:u w:val="single"/>
          <w14:textFill>
            <w14:solidFill>
              <w14:schemeClr w14:val="tx1"/>
            </w14:solidFill>
          </w14:textFill>
        </w:rPr>
        <w:t>8</w:t>
      </w:r>
      <w:r>
        <w:rPr>
          <w:rFonts w:hint="eastAsia" w:ascii="微软雅黑" w:hAnsi="微软雅黑"/>
          <w:color w:val="000000" w:themeColor="text1"/>
          <w:highlight w:val="none"/>
          <w14:textFill>
            <w14:solidFill>
              <w14:schemeClr w14:val="tx1"/>
            </w14:solidFill>
          </w14:textFill>
        </w:rPr>
        <w:t>份，甲乙双方各执</w:t>
      </w:r>
      <w:r>
        <w:rPr>
          <w:rFonts w:hint="eastAsia" w:ascii="微软雅黑" w:hAnsi="微软雅黑"/>
          <w:color w:val="000000" w:themeColor="text1"/>
          <w:highlight w:val="none"/>
          <w:u w:val="single"/>
          <w14:textFill>
            <w14:solidFill>
              <w14:schemeClr w14:val="tx1"/>
            </w14:solidFill>
          </w14:textFill>
        </w:rPr>
        <w:t>3</w:t>
      </w:r>
      <w:r>
        <w:rPr>
          <w:rFonts w:hint="eastAsia" w:ascii="微软雅黑" w:hAnsi="微软雅黑"/>
          <w:color w:val="000000" w:themeColor="text1"/>
          <w:highlight w:val="none"/>
          <w14:textFill>
            <w14:solidFill>
              <w14:schemeClr w14:val="tx1"/>
            </w14:solidFill>
          </w14:textFill>
        </w:rPr>
        <w:t>份，1份报送政府采购监督管理部门备案，其余</w:t>
      </w:r>
      <w:r>
        <w:rPr>
          <w:rFonts w:hint="eastAsia" w:ascii="微软雅黑" w:hAnsi="微软雅黑"/>
          <w:color w:val="000000" w:themeColor="text1"/>
          <w:highlight w:val="none"/>
          <w:u w:val="single"/>
          <w14:textFill>
            <w14:solidFill>
              <w14:schemeClr w14:val="tx1"/>
            </w14:solidFill>
          </w14:textFill>
        </w:rPr>
        <w:t xml:space="preserve"> 1份留采购代理机构 </w:t>
      </w:r>
      <w:r>
        <w:rPr>
          <w:rFonts w:hint="eastAsia" w:ascii="微软雅黑" w:hAnsi="微软雅黑"/>
          <w:color w:val="000000" w:themeColor="text1"/>
          <w:highlight w:val="none"/>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after="240" w:afterLines="100" w:line="500" w:lineRule="exact"/>
        <w:jc w:val="center"/>
        <w:rPr>
          <w:rFonts w:ascii="微软雅黑" w:hAnsi="微软雅黑"/>
          <w:b/>
          <w:color w:val="000000" w:themeColor="text1"/>
          <w:sz w:val="24"/>
          <w:szCs w:val="24"/>
          <w:highlight w:val="none"/>
          <w14:textFill>
            <w14:solidFill>
              <w14:schemeClr w14:val="tx1"/>
            </w14:solidFill>
          </w14:textFill>
        </w:rPr>
      </w:pPr>
      <w:r>
        <w:rPr>
          <w:rFonts w:hint="eastAsia" w:ascii="微软雅黑" w:hAnsi="微软雅黑"/>
          <w:b/>
          <w:color w:val="000000" w:themeColor="text1"/>
          <w:sz w:val="24"/>
          <w:szCs w:val="24"/>
          <w:highlight w:val="none"/>
          <w14:textFill>
            <w14:solidFill>
              <w14:schemeClr w14:val="tx1"/>
            </w14:solidFill>
          </w14:textFill>
        </w:rPr>
        <w:t>二、特殊专用条款部份</w:t>
      </w:r>
    </w:p>
    <w:p>
      <w:pPr>
        <w:numPr>
          <w:ilvl w:val="0"/>
          <w:numId w:val="30"/>
        </w:numPr>
        <w:autoSpaceDE w:val="0"/>
        <w:autoSpaceDN w:val="0"/>
        <w:adjustRightInd w:val="0"/>
        <w:spacing w:after="0" w:line="500" w:lineRule="exact"/>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服务或货物内容</w:t>
      </w:r>
    </w:p>
    <w:p>
      <w:pPr>
        <w:pStyle w:val="31"/>
        <w:snapToGrid w:val="0"/>
        <w:spacing w:after="0" w:line="500" w:lineRule="exact"/>
        <w:ind w:firstLine="840" w:firstLineChars="400"/>
        <w:jc w:val="left"/>
        <w:rPr>
          <w:rFonts w:ascii="微软雅黑" w:hAnsi="微软雅黑"/>
          <w:b/>
          <w:color w:val="000000" w:themeColor="text1"/>
          <w:szCs w:val="21"/>
          <w:highlight w:val="none"/>
          <w14:textFill>
            <w14:solidFill>
              <w14:schemeClr w14:val="tx1"/>
            </w14:solidFill>
          </w14:textFill>
        </w:rPr>
      </w:pPr>
      <w:r>
        <w:rPr>
          <w:rFonts w:hint="eastAsia" w:ascii="微软雅黑" w:hAnsi="微软雅黑"/>
          <w:b/>
          <w:color w:val="000000" w:themeColor="text1"/>
          <w:szCs w:val="21"/>
          <w:highlight w:val="none"/>
          <w14:textFill>
            <w14:solidFill>
              <w14:schemeClr w14:val="tx1"/>
            </w14:solidFill>
          </w14:textFill>
        </w:rPr>
        <w:t>……</w:t>
      </w:r>
    </w:p>
    <w:p>
      <w:pPr>
        <w:pStyle w:val="31"/>
        <w:snapToGrid w:val="0"/>
        <w:spacing w:after="0" w:line="500" w:lineRule="exact"/>
        <w:ind w:firstLine="412" w:firstLineChars="196"/>
        <w:jc w:val="left"/>
        <w:rPr>
          <w:rFonts w:ascii="微软雅黑" w:hAnsi="微软雅黑"/>
          <w:b/>
          <w:color w:val="000000" w:themeColor="text1"/>
          <w:szCs w:val="21"/>
          <w:highlight w:val="none"/>
          <w14:textFill>
            <w14:solidFill>
              <w14:schemeClr w14:val="tx1"/>
            </w14:solidFill>
          </w14:textFill>
        </w:rPr>
      </w:pPr>
      <w:r>
        <w:rPr>
          <w:rFonts w:hint="eastAsia" w:ascii="微软雅黑" w:hAnsi="微软雅黑"/>
          <w:b/>
          <w:color w:val="000000" w:themeColor="text1"/>
          <w:szCs w:val="21"/>
          <w:highlight w:val="none"/>
          <w14:textFill>
            <w14:solidFill>
              <w14:schemeClr w14:val="tx1"/>
            </w14:solidFill>
          </w14:textFill>
        </w:rPr>
        <w:t>（具体内容应在合同签订时根据采购需求和投标响应进行明确）</w:t>
      </w:r>
    </w:p>
    <w:p>
      <w:pPr>
        <w:pStyle w:val="31"/>
        <w:snapToGrid w:val="0"/>
        <w:spacing w:after="0" w:line="500" w:lineRule="exact"/>
        <w:ind w:firstLine="412" w:firstLineChars="196"/>
        <w:rPr>
          <w:rFonts w:ascii="微软雅黑" w:hAnsi="微软雅黑"/>
          <w:b/>
          <w:color w:val="000000" w:themeColor="text1"/>
          <w:szCs w:val="21"/>
          <w:highlight w:val="none"/>
          <w14:textFill>
            <w14:solidFill>
              <w14:schemeClr w14:val="tx1"/>
            </w14:solidFill>
          </w14:textFill>
        </w:rPr>
      </w:pPr>
      <w:r>
        <w:rPr>
          <w:rFonts w:hint="eastAsia" w:ascii="微软雅黑" w:hAnsi="微软雅黑"/>
          <w:b/>
          <w:color w:val="000000" w:themeColor="text1"/>
          <w:szCs w:val="21"/>
          <w:highlight w:val="none"/>
          <w14:textFill>
            <w14:solidFill>
              <w14:schemeClr w14:val="tx1"/>
            </w14:solidFill>
          </w14:textFill>
        </w:rPr>
        <w:t>第二条 合同履行时间、履行方式及履行地点</w:t>
      </w:r>
    </w:p>
    <w:p>
      <w:pPr>
        <w:pStyle w:val="31"/>
        <w:snapToGrid w:val="0"/>
        <w:spacing w:after="0" w:line="500" w:lineRule="exact"/>
        <w:ind w:firstLine="411" w:firstLineChars="196"/>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1、</w:t>
      </w:r>
      <w:r>
        <w:rPr>
          <w:rFonts w:hint="eastAsia" w:ascii="微软雅黑" w:hAnsi="微软雅黑"/>
          <w:color w:val="000000" w:themeColor="text1"/>
          <w:szCs w:val="21"/>
          <w:highlight w:val="none"/>
          <w14:textFill>
            <w14:solidFill>
              <w14:schemeClr w14:val="tx1"/>
            </w14:solidFill>
          </w14:textFill>
        </w:rPr>
        <w:t>履行时间</w:t>
      </w:r>
      <w:r>
        <w:rPr>
          <w:rFonts w:hint="eastAsia" w:ascii="微软雅黑" w:hAnsi="微软雅黑"/>
          <w:bCs/>
          <w:color w:val="000000" w:themeColor="text1"/>
          <w:szCs w:val="21"/>
          <w:highlight w:val="none"/>
          <w14:textFill>
            <w14:solidFill>
              <w14:schemeClr w14:val="tx1"/>
            </w14:solidFill>
          </w14:textFill>
        </w:rPr>
        <w:t>：</w:t>
      </w:r>
      <w:r>
        <w:rPr>
          <w:rFonts w:hint="eastAsia" w:ascii="微软雅黑" w:hAnsi="微软雅黑"/>
          <w:bCs/>
          <w:color w:val="000000" w:themeColor="text1"/>
          <w:szCs w:val="21"/>
          <w:highlight w:val="none"/>
          <w:u w:val="single"/>
          <w14:textFill>
            <w14:solidFill>
              <w14:schemeClr w14:val="tx1"/>
            </w14:solidFill>
          </w14:textFill>
        </w:rPr>
        <w:t xml:space="preserve">    年  月  日--  年  月  日</w:t>
      </w:r>
      <w:r>
        <w:rPr>
          <w:rFonts w:hint="eastAsia" w:ascii="微软雅黑" w:hAnsi="微软雅黑"/>
          <w:bCs/>
          <w:color w:val="000000" w:themeColor="text1"/>
          <w:szCs w:val="21"/>
          <w:highlight w:val="none"/>
          <w14:textFill>
            <w14:solidFill>
              <w14:schemeClr w14:val="tx1"/>
            </w14:solidFill>
          </w14:textFill>
        </w:rPr>
        <w:t>（服务期自合同生效之日起计算）</w:t>
      </w:r>
    </w:p>
    <w:p>
      <w:pPr>
        <w:pStyle w:val="31"/>
        <w:snapToGrid w:val="0"/>
        <w:spacing w:after="0" w:line="500" w:lineRule="exact"/>
        <w:ind w:firstLine="411" w:firstLineChars="196"/>
        <w:rPr>
          <w:rFonts w:ascii="微软雅黑" w:hAnsi="微软雅黑"/>
          <w:bCs/>
          <w:color w:val="000000" w:themeColor="text1"/>
          <w:szCs w:val="21"/>
          <w:highlight w:val="none"/>
          <w:u w:val="singl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2、</w:t>
      </w:r>
      <w:r>
        <w:rPr>
          <w:rFonts w:hint="eastAsia" w:ascii="微软雅黑" w:hAnsi="微软雅黑"/>
          <w:color w:val="000000" w:themeColor="text1"/>
          <w:szCs w:val="21"/>
          <w:highlight w:val="none"/>
          <w14:textFill>
            <w14:solidFill>
              <w14:schemeClr w14:val="tx1"/>
            </w14:solidFill>
          </w14:textFill>
        </w:rPr>
        <w:t>履行方式</w:t>
      </w:r>
      <w:r>
        <w:rPr>
          <w:rFonts w:hint="eastAsia" w:ascii="微软雅黑" w:hAnsi="微软雅黑"/>
          <w:bCs/>
          <w:color w:val="000000" w:themeColor="text1"/>
          <w:szCs w:val="21"/>
          <w:highlight w:val="none"/>
          <w14:textFill>
            <w14:solidFill>
              <w14:schemeClr w14:val="tx1"/>
            </w14:solidFill>
          </w14:textFill>
        </w:rPr>
        <w:t>：单价合同</w:t>
      </w:r>
    </w:p>
    <w:p>
      <w:pPr>
        <w:pStyle w:val="31"/>
        <w:snapToGrid w:val="0"/>
        <w:spacing w:after="0" w:line="500" w:lineRule="exact"/>
        <w:ind w:firstLine="420" w:firstLineChars="200"/>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3、</w:t>
      </w:r>
      <w:r>
        <w:rPr>
          <w:rFonts w:hint="eastAsia" w:ascii="微软雅黑" w:hAnsi="微软雅黑"/>
          <w:color w:val="000000" w:themeColor="text1"/>
          <w:szCs w:val="21"/>
          <w:highlight w:val="none"/>
          <w14:textFill>
            <w14:solidFill>
              <w14:schemeClr w14:val="tx1"/>
            </w14:solidFill>
          </w14:textFill>
        </w:rPr>
        <w:t>履行地点</w:t>
      </w:r>
      <w:r>
        <w:rPr>
          <w:rFonts w:hint="eastAsia" w:ascii="微软雅黑" w:hAnsi="微软雅黑"/>
          <w:bCs/>
          <w:color w:val="000000" w:themeColor="text1"/>
          <w:szCs w:val="21"/>
          <w:highlight w:val="none"/>
          <w14:textFill>
            <w14:solidFill>
              <w14:schemeClr w14:val="tx1"/>
            </w14:solidFill>
          </w14:textFill>
        </w:rPr>
        <w:t>：</w:t>
      </w:r>
      <w:r>
        <w:rPr>
          <w:rFonts w:hint="eastAsia" w:ascii="微软雅黑" w:hAnsi="微软雅黑"/>
          <w:bCs/>
          <w:color w:val="000000" w:themeColor="text1"/>
          <w:szCs w:val="21"/>
          <w:highlight w:val="none"/>
          <w:u w:val="single"/>
          <w14:textFill>
            <w14:solidFill>
              <w14:schemeClr w14:val="tx1"/>
            </w14:solidFill>
          </w14:textFill>
        </w:rPr>
        <w:t xml:space="preserve">浙江省嘉兴市经济技术开发区 </w:t>
      </w:r>
    </w:p>
    <w:p>
      <w:pPr>
        <w:pStyle w:val="31"/>
        <w:snapToGrid w:val="0"/>
        <w:spacing w:after="0" w:line="500" w:lineRule="exact"/>
        <w:ind w:firstLine="420" w:firstLineChars="200"/>
        <w:rPr>
          <w:rFonts w:ascii="微软雅黑" w:hAnsi="微软雅黑"/>
          <w:b/>
          <w:color w:val="000000" w:themeColor="text1"/>
          <w:szCs w:val="21"/>
          <w:highlight w:val="none"/>
          <w14:textFill>
            <w14:solidFill>
              <w14:schemeClr w14:val="tx1"/>
            </w14:solidFill>
          </w14:textFill>
        </w:rPr>
      </w:pPr>
      <w:r>
        <w:rPr>
          <w:rFonts w:hint="eastAsia" w:ascii="微软雅黑" w:hAnsi="微软雅黑"/>
          <w:b/>
          <w:color w:val="000000" w:themeColor="text1"/>
          <w:szCs w:val="21"/>
          <w:highlight w:val="none"/>
          <w14:textFill>
            <w14:solidFill>
              <w14:schemeClr w14:val="tx1"/>
            </w14:solidFill>
          </w14:textFill>
        </w:rPr>
        <w:t>第三条 技术资料</w:t>
      </w:r>
    </w:p>
    <w:p>
      <w:pPr>
        <w:pStyle w:val="31"/>
        <w:snapToGrid w:val="0"/>
        <w:spacing w:after="0" w:line="500" w:lineRule="exact"/>
        <w:ind w:firstLine="420" w:firstLineChars="20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1、乙方应按竞争性磋商文件规定的时间向甲方提供有关技术资料。</w:t>
      </w:r>
    </w:p>
    <w:p>
      <w:pPr>
        <w:pStyle w:val="31"/>
        <w:snapToGrid w:val="0"/>
        <w:spacing w:after="0" w:line="500" w:lineRule="exact"/>
        <w:ind w:firstLine="420" w:firstLineChars="20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snapToGrid w:val="0"/>
        <w:spacing w:after="0" w:line="500" w:lineRule="exact"/>
        <w:ind w:firstLine="420" w:firstLineChars="200"/>
        <w:rPr>
          <w:rFonts w:ascii="微软雅黑" w:hAnsi="微软雅黑"/>
          <w:b/>
          <w:color w:val="000000" w:themeColor="text1"/>
          <w:szCs w:val="21"/>
          <w:highlight w:val="none"/>
          <w14:textFill>
            <w14:solidFill>
              <w14:schemeClr w14:val="tx1"/>
            </w14:solidFill>
          </w14:textFill>
        </w:rPr>
      </w:pPr>
      <w:r>
        <w:rPr>
          <w:rFonts w:hint="eastAsia" w:ascii="微软雅黑" w:hAnsi="微软雅黑"/>
          <w:b/>
          <w:color w:val="000000" w:themeColor="text1"/>
          <w:szCs w:val="21"/>
          <w:highlight w:val="none"/>
          <w14:textFill>
            <w14:solidFill>
              <w14:schemeClr w14:val="tx1"/>
            </w14:solidFill>
          </w14:textFill>
        </w:rPr>
        <w:t>第四条 知识产权</w:t>
      </w:r>
    </w:p>
    <w:p>
      <w:pPr>
        <w:pStyle w:val="31"/>
        <w:snapToGrid w:val="0"/>
        <w:spacing w:after="0" w:line="500" w:lineRule="exact"/>
        <w:ind w:firstLine="420" w:firstLineChars="200"/>
        <w:rPr>
          <w:rFonts w:ascii="微软雅黑" w:hAnsi="微软雅黑"/>
          <w:b/>
          <w:bCs/>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乙方应保证提供服务过程中不会侵犯任何第三方的知识产权。</w:t>
      </w:r>
    </w:p>
    <w:p>
      <w:pPr>
        <w:pStyle w:val="31"/>
        <w:snapToGrid w:val="0"/>
        <w:spacing w:after="0" w:line="500" w:lineRule="exact"/>
        <w:ind w:firstLine="420" w:firstLineChars="200"/>
        <w:rPr>
          <w:rFonts w:ascii="微软雅黑" w:hAnsi="微软雅黑"/>
          <w:b/>
          <w:color w:val="000000" w:themeColor="text1"/>
          <w:szCs w:val="21"/>
          <w:highlight w:val="none"/>
          <w14:textFill>
            <w14:solidFill>
              <w14:schemeClr w14:val="tx1"/>
            </w14:solidFill>
          </w14:textFill>
        </w:rPr>
      </w:pPr>
      <w:r>
        <w:rPr>
          <w:rFonts w:hint="eastAsia" w:ascii="微软雅黑" w:hAnsi="微软雅黑"/>
          <w:b/>
          <w:color w:val="000000" w:themeColor="text1"/>
          <w:szCs w:val="21"/>
          <w:highlight w:val="none"/>
          <w14:textFill>
            <w14:solidFill>
              <w14:schemeClr w14:val="tx1"/>
            </w14:solidFill>
          </w14:textFill>
        </w:rPr>
        <w:t>第五条 项目验收</w:t>
      </w:r>
    </w:p>
    <w:p>
      <w:pPr>
        <w:pStyle w:val="31"/>
        <w:snapToGrid w:val="0"/>
        <w:spacing w:after="0" w:line="500" w:lineRule="exact"/>
        <w:ind w:firstLine="420" w:firstLineChars="20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1、验收方式：根据具体委托事项，验收研究服务工作档案及台账。</w:t>
      </w:r>
    </w:p>
    <w:p>
      <w:pPr>
        <w:pStyle w:val="31"/>
        <w:snapToGrid w:val="0"/>
        <w:spacing w:after="0" w:line="500" w:lineRule="exact"/>
        <w:ind w:firstLine="420" w:firstLineChars="20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2、验收时间：服务事项进行实时验收，服务不合格内容，要求乙方及时整改并严格记录。</w:t>
      </w:r>
    </w:p>
    <w:p>
      <w:pPr>
        <w:pStyle w:val="31"/>
        <w:snapToGrid w:val="0"/>
        <w:spacing w:after="0" w:line="500" w:lineRule="exact"/>
        <w:ind w:firstLine="420" w:firstLineChars="20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3、验收要求：服务事项应在满足国家、行业、地方规范标准、规定等条件下，符合甲方实际使用要求。</w:t>
      </w:r>
    </w:p>
    <w:p>
      <w:pPr>
        <w:snapToGrid w:val="0"/>
        <w:spacing w:after="0" w:line="500" w:lineRule="exact"/>
        <w:ind w:firstLine="412" w:firstLineChars="196"/>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第六条 税费</w:t>
      </w:r>
    </w:p>
    <w:p>
      <w:pPr>
        <w:snapToGrid w:val="0"/>
        <w:spacing w:after="0" w:line="500" w:lineRule="exact"/>
        <w:ind w:firstLine="411" w:firstLineChars="196"/>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本合同执行中相关的一切税费均由乙方负担。</w:t>
      </w:r>
    </w:p>
    <w:p>
      <w:pPr>
        <w:pStyle w:val="31"/>
        <w:snapToGrid w:val="0"/>
        <w:spacing w:after="0" w:line="500" w:lineRule="exact"/>
        <w:ind w:firstLine="412" w:firstLineChars="196"/>
        <w:rPr>
          <w:rFonts w:ascii="微软雅黑" w:hAnsi="微软雅黑"/>
          <w:b/>
          <w:color w:val="000000" w:themeColor="text1"/>
          <w:szCs w:val="21"/>
          <w:highlight w:val="none"/>
          <w14:textFill>
            <w14:solidFill>
              <w14:schemeClr w14:val="tx1"/>
            </w14:solidFill>
          </w14:textFill>
        </w:rPr>
      </w:pPr>
      <w:r>
        <w:rPr>
          <w:rFonts w:hint="eastAsia" w:ascii="微软雅黑" w:hAnsi="微软雅黑"/>
          <w:b/>
          <w:color w:val="000000" w:themeColor="text1"/>
          <w:szCs w:val="21"/>
          <w:highlight w:val="none"/>
          <w14:textFill>
            <w14:solidFill>
              <w14:schemeClr w14:val="tx1"/>
            </w14:solidFill>
          </w14:textFill>
        </w:rPr>
        <w:t>第七条 违约责任</w:t>
      </w:r>
    </w:p>
    <w:p>
      <w:pPr>
        <w:pStyle w:val="31"/>
        <w:snapToGrid w:val="0"/>
        <w:spacing w:after="0" w:line="500" w:lineRule="exact"/>
        <w:ind w:firstLine="411" w:firstLineChars="196"/>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1、甲方无正当理由拒收接受服务的，甲方向乙方偿付合同款项5%作为违约金。</w:t>
      </w:r>
    </w:p>
    <w:p>
      <w:pPr>
        <w:pStyle w:val="31"/>
        <w:snapToGrid w:val="0"/>
        <w:spacing w:after="0" w:line="500" w:lineRule="exact"/>
        <w:ind w:firstLine="420" w:firstLineChars="20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2、甲方无故逾期验收和办理款项支付手续的,甲方应按逾期付款总额每日0.5</w:t>
      </w:r>
      <w:r>
        <w:rPr>
          <w:rFonts w:ascii="Arial" w:hAnsi="Arial" w:cs="Arial"/>
          <w:color w:val="000000" w:themeColor="text1"/>
          <w:szCs w:val="21"/>
          <w:highlight w:val="none"/>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向乙方支付违约金。</w:t>
      </w:r>
    </w:p>
    <w:p>
      <w:pPr>
        <w:pStyle w:val="31"/>
        <w:snapToGrid w:val="0"/>
        <w:spacing w:after="0" w:line="500" w:lineRule="exact"/>
        <w:ind w:firstLine="420" w:firstLineChars="20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3、乙方未能如期提供服务的，每日向甲方支付合同款项的6</w:t>
      </w:r>
      <w:r>
        <w:rPr>
          <w:rFonts w:ascii="Arial" w:hAnsi="Arial" w:cs="Arial"/>
          <w:color w:val="000000" w:themeColor="text1"/>
          <w:szCs w:val="21"/>
          <w:highlight w:val="none"/>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Style w:val="31"/>
        <w:snapToGrid w:val="0"/>
        <w:spacing w:after="0" w:line="500" w:lineRule="exact"/>
        <w:ind w:firstLine="412" w:firstLineChars="196"/>
        <w:rPr>
          <w:rFonts w:ascii="微软雅黑" w:hAnsi="微软雅黑"/>
          <w:b/>
          <w:color w:val="000000" w:themeColor="text1"/>
          <w:szCs w:val="21"/>
          <w:highlight w:val="none"/>
          <w14:textFill>
            <w14:solidFill>
              <w14:schemeClr w14:val="tx1"/>
            </w14:solidFill>
          </w14:textFill>
        </w:rPr>
      </w:pPr>
      <w:r>
        <w:rPr>
          <w:rFonts w:hint="eastAsia" w:ascii="微软雅黑" w:hAnsi="微软雅黑"/>
          <w:b/>
          <w:color w:val="000000" w:themeColor="text1"/>
          <w:szCs w:val="21"/>
          <w:highlight w:val="none"/>
          <w14:textFill>
            <w14:solidFill>
              <w14:schemeClr w14:val="tx1"/>
            </w14:solidFill>
          </w14:textFill>
        </w:rPr>
        <w:t>第八条 不可抗力事件处理</w:t>
      </w:r>
    </w:p>
    <w:p>
      <w:pPr>
        <w:pStyle w:val="31"/>
        <w:snapToGrid w:val="0"/>
        <w:spacing w:after="0" w:line="500" w:lineRule="exact"/>
        <w:ind w:firstLine="420" w:firstLineChars="20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1、在合同有效期内，任何一方因不可抗力事件导致不能履行合同，则合同履行期可延长，其延长期与不可抗力影响期相同。</w:t>
      </w:r>
    </w:p>
    <w:p>
      <w:pPr>
        <w:pStyle w:val="31"/>
        <w:snapToGrid w:val="0"/>
        <w:spacing w:after="0" w:line="500" w:lineRule="exact"/>
        <w:ind w:firstLine="420" w:firstLineChars="20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2、不可抗力事件发生后，应立即通知对方，并寄送有关权威机构出具的证明。</w:t>
      </w:r>
    </w:p>
    <w:p>
      <w:pPr>
        <w:pStyle w:val="31"/>
        <w:snapToGrid w:val="0"/>
        <w:spacing w:after="0" w:line="500" w:lineRule="exact"/>
        <w:ind w:firstLine="420" w:firstLineChars="20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3、不可抗力事件延续120天以上，双方应通过友好协商，确定是否继续履行合同。</w:t>
      </w:r>
    </w:p>
    <w:p>
      <w:pPr>
        <w:pStyle w:val="31"/>
        <w:snapToGrid w:val="0"/>
        <w:spacing w:after="0" w:line="500" w:lineRule="exact"/>
        <w:ind w:firstLine="420" w:firstLineChars="200"/>
        <w:rPr>
          <w:rFonts w:ascii="微软雅黑" w:hAnsi="微软雅黑"/>
          <w:b/>
          <w:color w:val="000000" w:themeColor="text1"/>
          <w:szCs w:val="21"/>
          <w:highlight w:val="none"/>
          <w14:textFill>
            <w14:solidFill>
              <w14:schemeClr w14:val="tx1"/>
            </w14:solidFill>
          </w14:textFill>
        </w:rPr>
      </w:pPr>
      <w:r>
        <w:rPr>
          <w:rFonts w:hint="eastAsia" w:ascii="微软雅黑" w:hAnsi="微软雅黑"/>
          <w:b/>
          <w:color w:val="000000" w:themeColor="text1"/>
          <w:szCs w:val="21"/>
          <w:highlight w:val="none"/>
          <w14:textFill>
            <w14:solidFill>
              <w14:schemeClr w14:val="tx1"/>
            </w14:solidFill>
          </w14:textFill>
        </w:rPr>
        <w:t>第九条 诉讼</w:t>
      </w:r>
    </w:p>
    <w:p>
      <w:pPr>
        <w:pStyle w:val="31"/>
        <w:snapToGrid w:val="0"/>
        <w:spacing w:after="0" w:line="500" w:lineRule="exact"/>
        <w:ind w:firstLine="420" w:firstLineChars="20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双方在执行合同中所发生的一切争议，应通过协商解决。如协商不成，可向甲方所在地法院起诉。</w:t>
      </w:r>
    </w:p>
    <w:p>
      <w:pPr>
        <w:pStyle w:val="31"/>
        <w:snapToGrid w:val="0"/>
        <w:spacing w:after="0" w:line="500" w:lineRule="exact"/>
        <w:ind w:firstLine="420" w:firstLineChars="200"/>
        <w:rPr>
          <w:rFonts w:ascii="微软雅黑" w:hAnsi="微软雅黑"/>
          <w:b/>
          <w:color w:val="000000" w:themeColor="text1"/>
          <w:szCs w:val="21"/>
          <w:highlight w:val="none"/>
          <w14:textFill>
            <w14:solidFill>
              <w14:schemeClr w14:val="tx1"/>
            </w14:solidFill>
          </w14:textFill>
        </w:rPr>
      </w:pPr>
      <w:r>
        <w:rPr>
          <w:rFonts w:hint="eastAsia" w:ascii="微软雅黑" w:hAnsi="微软雅黑"/>
          <w:b/>
          <w:color w:val="000000" w:themeColor="text1"/>
          <w:szCs w:val="21"/>
          <w:highlight w:val="none"/>
          <w14:textFill>
            <w14:solidFill>
              <w14:schemeClr w14:val="tx1"/>
            </w14:solidFill>
          </w14:textFill>
        </w:rPr>
        <w:t>第十条 合同生效及其它</w:t>
      </w:r>
    </w:p>
    <w:p>
      <w:pPr>
        <w:autoSpaceDE w:val="0"/>
        <w:autoSpaceDN w:val="0"/>
        <w:adjustRightInd w:val="0"/>
        <w:spacing w:after="0" w:line="500" w:lineRule="exact"/>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1、合同经双方法定代表人或授权委托代理人签字并加盖单位公章后生效。</w:t>
      </w:r>
    </w:p>
    <w:p>
      <w:pPr>
        <w:autoSpaceDE w:val="0"/>
        <w:autoSpaceDN w:val="0"/>
        <w:adjustRightInd w:val="0"/>
        <w:spacing w:after="0" w:line="500" w:lineRule="exact"/>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2、本合同未尽事宜，遵照《中华人民共和国民法典》有关条文执行。</w:t>
      </w:r>
    </w:p>
    <w:p>
      <w:pPr>
        <w:pStyle w:val="75"/>
        <w:ind w:firstLine="400"/>
        <w:rPr>
          <w:color w:val="000000" w:themeColor="text1"/>
          <w:highlight w:val="none"/>
          <w14:textFill>
            <w14:solidFill>
              <w14:schemeClr w14:val="tx1"/>
            </w14:solidFill>
          </w14:textFill>
        </w:rPr>
      </w:pPr>
    </w:p>
    <w:tbl>
      <w:tblPr>
        <w:tblStyle w:val="56"/>
        <w:tblW w:w="89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8"/>
        <w:gridCol w:w="240"/>
        <w:gridCol w:w="4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678" w:type="dxa"/>
            <w:tcBorders>
              <w:tl2br w:val="nil"/>
              <w:tr2bl w:val="nil"/>
            </w:tcBorders>
            <w:noWrap/>
            <w:vAlign w:val="center"/>
          </w:tcPr>
          <w:p>
            <w:pPr>
              <w:pStyle w:val="31"/>
              <w:snapToGrid w:val="0"/>
              <w:spacing w:after="0" w:line="240" w:lineRule="auto"/>
              <w:ind w:left="420" w:hanging="420" w:hangingChars="200"/>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甲方：嘉兴经济技术开发区建设交通局</w:t>
            </w:r>
          </w:p>
        </w:tc>
        <w:tc>
          <w:tcPr>
            <w:tcW w:w="240"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p>
        </w:tc>
        <w:tc>
          <w:tcPr>
            <w:tcW w:w="4049"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678" w:type="dxa"/>
            <w:tcBorders>
              <w:tl2br w:val="nil"/>
              <w:tr2bl w:val="nil"/>
            </w:tcBorders>
            <w:noWrap/>
            <w:vAlign w:val="center"/>
          </w:tcPr>
          <w:p>
            <w:pPr>
              <w:pStyle w:val="31"/>
              <w:adjustRightInd w:val="0"/>
              <w:snapToGrid w:val="0"/>
              <w:spacing w:line="240" w:lineRule="auto"/>
              <w:jc w:val="left"/>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地址： 嘉兴市展望路1号</w:t>
            </w:r>
          </w:p>
        </w:tc>
        <w:tc>
          <w:tcPr>
            <w:tcW w:w="240"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p>
        </w:tc>
        <w:tc>
          <w:tcPr>
            <w:tcW w:w="4049"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678" w:type="dxa"/>
            <w:tcBorders>
              <w:tl2br w:val="nil"/>
              <w:tr2bl w:val="nil"/>
            </w:tcBorders>
            <w:noWrap/>
            <w:vAlign w:val="center"/>
          </w:tcPr>
          <w:p>
            <w:pPr>
              <w:pStyle w:val="31"/>
              <w:adjustRightInd w:val="0"/>
              <w:snapToGrid w:val="0"/>
              <w:spacing w:line="240" w:lineRule="auto"/>
              <w:jc w:val="left"/>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法定（授权）代表人：（签字或盖章）</w:t>
            </w:r>
          </w:p>
        </w:tc>
        <w:tc>
          <w:tcPr>
            <w:tcW w:w="240"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p>
        </w:tc>
        <w:tc>
          <w:tcPr>
            <w:tcW w:w="4049"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法定（授权）代表人：（签字或盖章）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678" w:type="dxa"/>
            <w:tcBorders>
              <w:tl2br w:val="nil"/>
              <w:tr2bl w:val="nil"/>
            </w:tcBorders>
            <w:noWrap/>
            <w:vAlign w:val="center"/>
          </w:tcPr>
          <w:p>
            <w:pPr>
              <w:pStyle w:val="31"/>
              <w:adjustRightInd w:val="0"/>
              <w:snapToGrid w:val="0"/>
              <w:spacing w:line="240" w:lineRule="auto"/>
              <w:jc w:val="left"/>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签约代表：（签字）</w:t>
            </w:r>
          </w:p>
        </w:tc>
        <w:tc>
          <w:tcPr>
            <w:tcW w:w="240"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p>
        </w:tc>
        <w:tc>
          <w:tcPr>
            <w:tcW w:w="4049"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签约代表：（签字）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678" w:type="dxa"/>
            <w:tcBorders>
              <w:tl2br w:val="nil"/>
              <w:tr2bl w:val="nil"/>
            </w:tcBorders>
            <w:noWrap/>
            <w:vAlign w:val="center"/>
          </w:tcPr>
          <w:p>
            <w:pPr>
              <w:pStyle w:val="31"/>
              <w:adjustRightInd w:val="0"/>
              <w:snapToGrid w:val="0"/>
              <w:spacing w:line="240" w:lineRule="auto"/>
              <w:jc w:val="left"/>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联系电话（传真）：0573-</w:t>
            </w:r>
          </w:p>
        </w:tc>
        <w:tc>
          <w:tcPr>
            <w:tcW w:w="240"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p>
        </w:tc>
        <w:tc>
          <w:tcPr>
            <w:tcW w:w="4049"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联系电话（传真）：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678" w:type="dxa"/>
            <w:tcBorders>
              <w:tl2br w:val="nil"/>
              <w:tr2bl w:val="nil"/>
            </w:tcBorders>
            <w:noWrap/>
            <w:vAlign w:val="center"/>
          </w:tcPr>
          <w:p>
            <w:pPr>
              <w:pStyle w:val="31"/>
              <w:adjustRightInd w:val="0"/>
              <w:snapToGrid w:val="0"/>
              <w:spacing w:line="240" w:lineRule="auto"/>
              <w:jc w:val="left"/>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开户银行：</w:t>
            </w:r>
          </w:p>
        </w:tc>
        <w:tc>
          <w:tcPr>
            <w:tcW w:w="240"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p>
        </w:tc>
        <w:tc>
          <w:tcPr>
            <w:tcW w:w="4049"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678" w:type="dxa"/>
            <w:tcBorders>
              <w:tl2br w:val="nil"/>
              <w:tr2bl w:val="nil"/>
            </w:tcBorders>
            <w:noWrap/>
            <w:vAlign w:val="center"/>
          </w:tcPr>
          <w:p>
            <w:pPr>
              <w:pStyle w:val="31"/>
              <w:adjustRightInd w:val="0"/>
              <w:snapToGrid w:val="0"/>
              <w:spacing w:line="240" w:lineRule="auto"/>
              <w:jc w:val="left"/>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账号：</w:t>
            </w:r>
          </w:p>
        </w:tc>
        <w:tc>
          <w:tcPr>
            <w:tcW w:w="240"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p>
        </w:tc>
        <w:tc>
          <w:tcPr>
            <w:tcW w:w="4049"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678" w:type="dxa"/>
            <w:tcBorders>
              <w:tl2br w:val="nil"/>
              <w:tr2bl w:val="nil"/>
            </w:tcBorders>
            <w:noWrap/>
            <w:vAlign w:val="center"/>
          </w:tcPr>
          <w:p>
            <w:pPr>
              <w:pStyle w:val="31"/>
              <w:adjustRightInd w:val="0"/>
              <w:snapToGrid w:val="0"/>
              <w:spacing w:line="240" w:lineRule="auto"/>
              <w:jc w:val="left"/>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邮箱：</w:t>
            </w:r>
          </w:p>
        </w:tc>
        <w:tc>
          <w:tcPr>
            <w:tcW w:w="240"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p>
        </w:tc>
        <w:tc>
          <w:tcPr>
            <w:tcW w:w="4049"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678" w:type="dxa"/>
            <w:tcBorders>
              <w:tl2br w:val="nil"/>
              <w:tr2bl w:val="nil"/>
            </w:tcBorders>
            <w:noWrap/>
            <w:vAlign w:val="center"/>
          </w:tcPr>
          <w:p>
            <w:pPr>
              <w:pStyle w:val="31"/>
              <w:adjustRightInd w:val="0"/>
              <w:snapToGrid w:val="0"/>
              <w:spacing w:line="240" w:lineRule="auto"/>
              <w:jc w:val="left"/>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签订日期：年月日</w:t>
            </w:r>
          </w:p>
        </w:tc>
        <w:tc>
          <w:tcPr>
            <w:tcW w:w="240"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p>
        </w:tc>
        <w:tc>
          <w:tcPr>
            <w:tcW w:w="4049"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签订日期：年月日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678" w:type="dxa"/>
            <w:tcBorders>
              <w:tl2br w:val="nil"/>
              <w:tr2bl w:val="nil"/>
            </w:tcBorders>
            <w:noWrap/>
            <w:vAlign w:val="center"/>
          </w:tcPr>
          <w:p>
            <w:pPr>
              <w:pStyle w:val="31"/>
              <w:adjustRightInd w:val="0"/>
              <w:snapToGrid w:val="0"/>
              <w:spacing w:line="240" w:lineRule="auto"/>
              <w:jc w:val="left"/>
              <w:rPr>
                <w:rFonts w:ascii="微软雅黑" w:hAnsi="微软雅黑"/>
                <w:color w:val="000000" w:themeColor="text1"/>
                <w:kern w:val="2"/>
                <w:szCs w:val="21"/>
                <w:highlight w:val="none"/>
                <w14:textFill>
                  <w14:solidFill>
                    <w14:schemeClr w14:val="tx1"/>
                  </w14:solidFill>
                </w14:textFill>
              </w:rPr>
            </w:pPr>
            <w:r>
              <w:rPr>
                <w:rFonts w:hint="eastAsia" w:ascii="微软雅黑" w:hAnsi="微软雅黑"/>
                <w:color w:val="000000" w:themeColor="text1"/>
                <w:kern w:val="2"/>
                <w:szCs w:val="21"/>
                <w:highlight w:val="none"/>
                <w14:textFill>
                  <w14:solidFill>
                    <w14:schemeClr w14:val="tx1"/>
                  </w14:solidFill>
                </w14:textFill>
              </w:rPr>
              <w:t>签约地点：浙江省嘉兴市</w:t>
            </w:r>
          </w:p>
        </w:tc>
        <w:tc>
          <w:tcPr>
            <w:tcW w:w="240"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p>
        </w:tc>
        <w:tc>
          <w:tcPr>
            <w:tcW w:w="4049" w:type="dxa"/>
            <w:tcBorders>
              <w:tl2br w:val="nil"/>
              <w:tr2bl w:val="nil"/>
            </w:tcBorders>
            <w:noWrap/>
            <w:vAlign w:val="center"/>
          </w:tcPr>
          <w:p>
            <w:pPr>
              <w:pStyle w:val="31"/>
              <w:adjustRightInd w:val="0"/>
              <w:snapToGrid w:val="0"/>
              <w:spacing w:line="240" w:lineRule="auto"/>
              <w:rPr>
                <w:rFonts w:ascii="微软雅黑" w:hAnsi="微软雅黑"/>
                <w:color w:val="000000" w:themeColor="text1"/>
                <w:kern w:val="2"/>
                <w:szCs w:val="21"/>
                <w:highlight w:val="none"/>
                <w14:textFill>
                  <w14:solidFill>
                    <w14:schemeClr w14:val="tx1"/>
                  </w14:solidFill>
                </w14:textFill>
              </w:rPr>
            </w:pPr>
          </w:p>
        </w:tc>
      </w:tr>
    </w:tbl>
    <w:p>
      <w:pPr>
        <w:rPr>
          <w:rStyle w:val="77"/>
          <w:color w:val="000000" w:themeColor="text1"/>
          <w:highlight w:val="none"/>
          <w14:textFill>
            <w14:solidFill>
              <w14:schemeClr w14:val="tx1"/>
            </w14:solidFill>
          </w14:textFill>
        </w:rPr>
      </w:pPr>
      <w:bookmarkStart w:id="598" w:name="_Toc100764258"/>
      <w:bookmarkStart w:id="599" w:name="_Toc28025"/>
      <w:r>
        <w:rPr>
          <w:rStyle w:val="77"/>
          <w:rFonts w:hint="eastAsia"/>
          <w:color w:val="000000" w:themeColor="text1"/>
          <w:highlight w:val="none"/>
          <w14:textFill>
            <w14:solidFill>
              <w14:schemeClr w14:val="tx1"/>
            </w14:solidFill>
          </w14:textFill>
        </w:rPr>
        <w:br w:type="page"/>
      </w:r>
    </w:p>
    <w:p>
      <w:pPr>
        <w:pStyle w:val="31"/>
        <w:snapToGrid w:val="0"/>
        <w:spacing w:before="120" w:beforeLines="50" w:after="240" w:afterLines="100" w:line="500" w:lineRule="exact"/>
        <w:jc w:val="center"/>
        <w:rPr>
          <w:rStyle w:val="77"/>
          <w:color w:val="000000" w:themeColor="text1"/>
          <w:highlight w:val="none"/>
          <w14:textFill>
            <w14:solidFill>
              <w14:schemeClr w14:val="tx1"/>
            </w14:solidFill>
          </w14:textFill>
        </w:rPr>
      </w:pPr>
      <w:r>
        <w:rPr>
          <w:rStyle w:val="77"/>
          <w:rFonts w:hint="eastAsia"/>
          <w:color w:val="000000" w:themeColor="text1"/>
          <w:highlight w:val="none"/>
          <w14:textFill>
            <w14:solidFill>
              <w14:schemeClr w14:val="tx1"/>
            </w14:solidFill>
          </w14:textFill>
        </w:rPr>
        <w:t>第五章</w:t>
      </w:r>
      <w:bookmarkEnd w:id="594"/>
      <w:bookmarkEnd w:id="595"/>
      <w:bookmarkEnd w:id="598"/>
      <w:r>
        <w:rPr>
          <w:rStyle w:val="77"/>
          <w:rFonts w:hint="eastAsia"/>
          <w:color w:val="000000" w:themeColor="text1"/>
          <w:highlight w:val="none"/>
          <w14:textFill>
            <w14:solidFill>
              <w14:schemeClr w14:val="tx1"/>
            </w14:solidFill>
          </w14:textFill>
        </w:rPr>
        <w:t xml:space="preserve">  评标办法及评分标准</w:t>
      </w:r>
    </w:p>
    <w:bookmarkEnd w:id="596"/>
    <w:bookmarkEnd w:id="599"/>
    <w:p>
      <w:pPr>
        <w:ind w:firstLine="420"/>
        <w:rPr>
          <w:rFonts w:ascii="微软雅黑" w:hAnsi="微软雅黑"/>
          <w:color w:val="000000" w:themeColor="text1"/>
          <w:highlight w:val="none"/>
          <w14:textFill>
            <w14:solidFill>
              <w14:schemeClr w14:val="tx1"/>
            </w14:solidFill>
          </w14:textFill>
        </w:rPr>
      </w:pPr>
      <w:bookmarkStart w:id="600" w:name="_Toc192313126"/>
      <w:r>
        <w:rPr>
          <w:rFonts w:hint="eastAsia" w:ascii="微软雅黑" w:hAnsi="微软雅黑"/>
          <w:color w:val="000000" w:themeColor="text1"/>
          <w:highlight w:val="none"/>
          <w14:textFill>
            <w14:solidFill>
              <w14:schemeClr w14:val="tx1"/>
            </w14:solidFill>
          </w14:textFill>
        </w:rPr>
        <w:t>为公正、公平、科学地选择中标人，根据《中华人民共和国政府采购法》等有关法律法规的规定，并结合本项目的实际，制定本办法。</w:t>
      </w:r>
    </w:p>
    <w:p>
      <w:pPr>
        <w:spacing w:after="0" w:line="360" w:lineRule="auto"/>
        <w:ind w:firstLine="420" w:firstLineChars="200"/>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一、总则</w:t>
      </w:r>
    </w:p>
    <w:p>
      <w:pPr>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本次评标采用综合评分法，总分为100分，其中价格分</w:t>
      </w:r>
      <w:r>
        <w:rPr>
          <w:rFonts w:ascii="微软雅黑" w:hAnsi="微软雅黑"/>
          <w:color w:val="000000" w:themeColor="text1"/>
          <w:highlight w:val="none"/>
          <w14:textFill>
            <w14:solidFill>
              <w14:schemeClr w14:val="tx1"/>
            </w14:solidFill>
          </w14:textFill>
        </w:rPr>
        <w:t>1</w:t>
      </w:r>
      <w:r>
        <w:rPr>
          <w:rFonts w:hint="eastAsia" w:ascii="微软雅黑" w:hAnsi="微软雅黑"/>
          <w:color w:val="000000" w:themeColor="text1"/>
          <w:highlight w:val="none"/>
          <w14:textFill>
            <w14:solidFill>
              <w14:schemeClr w14:val="tx1"/>
            </w14:solidFill>
          </w14:textFill>
        </w:rPr>
        <w:t>0分、技术、资信及其他90分。合格供应商的评标得分为各项目汇总得分，中标候选资格按评标得分由高到低顺序排列，得分相同的，按投标报价由低到高顺序排列；得分且投标报价相同的，按技术得分由高到低顺序排列。排名第一的供应商为中标候选人,排名第二的供应商为候补中标候选人……其他供应商中标候选资格依此类推。评分过程中采用四舍五入法，并保留小数2位。</w:t>
      </w:r>
    </w:p>
    <w:p>
      <w:pPr>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供应商评标综合得分=价格分+技术商务和资信分</w:t>
      </w:r>
    </w:p>
    <w:p>
      <w:pPr>
        <w:spacing w:after="0" w:line="360" w:lineRule="auto"/>
        <w:ind w:firstLine="420" w:firstLineChars="200"/>
        <w:rPr>
          <w:rFonts w:ascii="微软雅黑" w:hAnsi="微软雅黑"/>
          <w:b/>
          <w:color w:val="000000" w:themeColor="text1"/>
          <w:highlight w:val="none"/>
          <w14:textFill>
            <w14:solidFill>
              <w14:schemeClr w14:val="tx1"/>
            </w14:solidFill>
          </w14:textFill>
        </w:rPr>
      </w:pPr>
      <w:bookmarkStart w:id="601" w:name="_Toc100764259"/>
      <w:bookmarkStart w:id="602" w:name="_Toc493699338"/>
      <w:r>
        <w:rPr>
          <w:rFonts w:hint="eastAsia" w:ascii="微软雅黑" w:hAnsi="微软雅黑"/>
          <w:b/>
          <w:color w:val="000000" w:themeColor="text1"/>
          <w:highlight w:val="none"/>
          <w14:textFill>
            <w14:solidFill>
              <w14:schemeClr w14:val="tx1"/>
            </w14:solidFill>
          </w14:textFill>
        </w:rPr>
        <w:t>二、评标内容及标准</w:t>
      </w:r>
    </w:p>
    <w:p>
      <w:pPr>
        <w:pStyle w:val="5"/>
        <w:spacing w:before="0" w:after="0"/>
        <w:ind w:firstLine="420" w:firstLineChars="200"/>
        <w:jc w:val="left"/>
        <w:rPr>
          <w:rFonts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（一）价格分（10分）</w:t>
      </w:r>
    </w:p>
    <w:p>
      <w:pPr>
        <w:pStyle w:val="22"/>
        <w:numPr>
          <w:ilvl w:val="0"/>
          <w:numId w:val="31"/>
        </w:numPr>
        <w:spacing w:line="360" w:lineRule="auto"/>
        <w:ind w:left="0" w:firstLine="420" w:firstLineChars="200"/>
        <w:rPr>
          <w:rFonts w:ascii="微软雅黑" w:hAnsi="微软雅黑"/>
          <w:color w:val="000000" w:themeColor="text1"/>
          <w:spacing w:val="0"/>
          <w:sz w:val="21"/>
          <w:szCs w:val="21"/>
          <w:highlight w:val="none"/>
          <w14:textFill>
            <w14:solidFill>
              <w14:schemeClr w14:val="tx1"/>
            </w14:solidFill>
          </w14:textFill>
        </w:rPr>
      </w:pPr>
      <w:r>
        <w:rPr>
          <w:rFonts w:hint="eastAsia" w:ascii="微软雅黑" w:hAnsi="微软雅黑"/>
          <w:color w:val="000000" w:themeColor="text1"/>
          <w:spacing w:val="0"/>
          <w:sz w:val="21"/>
          <w:szCs w:val="21"/>
          <w:highlight w:val="none"/>
          <w14:textFill>
            <w14:solidFill>
              <w14:schemeClr w14:val="tx1"/>
            </w14:solidFill>
          </w14:textFill>
        </w:rPr>
        <w:t>价格分采用低价优先法计算，磋商基准价为满足采购需求且最后响应价格最低的磋商报价。</w:t>
      </w:r>
    </w:p>
    <w:p>
      <w:pPr>
        <w:pStyle w:val="22"/>
        <w:spacing w:line="360" w:lineRule="auto"/>
        <w:ind w:firstLine="420" w:firstLineChars="200"/>
        <w:rPr>
          <w:rFonts w:ascii="微软雅黑" w:hAnsi="微软雅黑"/>
          <w:color w:val="000000" w:themeColor="text1"/>
          <w:spacing w:val="0"/>
          <w:sz w:val="21"/>
          <w:szCs w:val="21"/>
          <w:highlight w:val="none"/>
          <w14:textFill>
            <w14:solidFill>
              <w14:schemeClr w14:val="tx1"/>
            </w14:solidFill>
          </w14:textFill>
        </w:rPr>
      </w:pPr>
      <w:r>
        <w:rPr>
          <w:rFonts w:hint="eastAsia" w:ascii="微软雅黑" w:hAnsi="微软雅黑"/>
          <w:color w:val="000000" w:themeColor="text1"/>
          <w:spacing w:val="0"/>
          <w:sz w:val="21"/>
          <w:szCs w:val="21"/>
          <w:highlight w:val="none"/>
          <w14:textFill>
            <w14:solidFill>
              <w14:schemeClr w14:val="tx1"/>
            </w14:solidFill>
          </w14:textFill>
        </w:rPr>
        <w:t>磋商报价得分=（磋商基准价/最后磋商报价）×10，四舍五入，保留两位小数。</w:t>
      </w:r>
    </w:p>
    <w:p>
      <w:pPr>
        <w:pStyle w:val="22"/>
        <w:numPr>
          <w:ilvl w:val="0"/>
          <w:numId w:val="31"/>
        </w:numPr>
        <w:spacing w:line="360" w:lineRule="auto"/>
        <w:ind w:left="0" w:firstLine="420" w:firstLineChars="200"/>
        <w:rPr>
          <w:rFonts w:ascii="微软雅黑" w:hAnsi="微软雅黑"/>
          <w:color w:val="000000" w:themeColor="text1"/>
          <w:spacing w:val="0"/>
          <w:sz w:val="21"/>
          <w:szCs w:val="21"/>
          <w:highlight w:val="none"/>
          <w14:textFill>
            <w14:solidFill>
              <w14:schemeClr w14:val="tx1"/>
            </w14:solidFill>
          </w14:textFill>
        </w:rPr>
      </w:pPr>
      <w:r>
        <w:rPr>
          <w:rFonts w:hint="eastAsia" w:ascii="微软雅黑" w:hAnsi="微软雅黑"/>
          <w:color w:val="000000" w:themeColor="text1"/>
          <w:spacing w:val="0"/>
          <w:sz w:val="21"/>
          <w:szCs w:val="21"/>
          <w:highlight w:val="none"/>
          <w14:textFill>
            <w14:solidFill>
              <w14:schemeClr w14:val="tx1"/>
            </w14:solidFill>
          </w14:textFill>
        </w:rPr>
        <w:t>磋商报价（含初次报价及最后报价）高于上限价的，为无效响应文件。</w:t>
      </w:r>
    </w:p>
    <w:p>
      <w:pPr>
        <w:pStyle w:val="22"/>
        <w:numPr>
          <w:ilvl w:val="0"/>
          <w:numId w:val="31"/>
        </w:numPr>
        <w:spacing w:line="360" w:lineRule="auto"/>
        <w:ind w:left="0" w:firstLine="420" w:firstLineChars="200"/>
        <w:rPr>
          <w:rFonts w:ascii="微软雅黑" w:hAnsi="微软雅黑"/>
          <w:color w:val="000000" w:themeColor="text1"/>
          <w:spacing w:val="0"/>
          <w:sz w:val="21"/>
          <w:szCs w:val="21"/>
          <w:highlight w:val="none"/>
          <w14:textFill>
            <w14:solidFill>
              <w14:schemeClr w14:val="tx1"/>
            </w14:solidFill>
          </w14:textFill>
        </w:rPr>
      </w:pPr>
      <w:r>
        <w:rPr>
          <w:rFonts w:hint="eastAsia" w:ascii="微软雅黑" w:hAnsi="微软雅黑"/>
          <w:color w:val="000000" w:themeColor="text1"/>
          <w:spacing w:val="0"/>
          <w:sz w:val="21"/>
          <w:szCs w:val="21"/>
          <w:highlight w:val="none"/>
          <w14:textFill>
            <w14:solidFill>
              <w14:schemeClr w14:val="tx1"/>
            </w14:solidFill>
          </w14:textFill>
        </w:rPr>
        <w:t>评审小组认为供应商的报价明显低于其他通过符合性审查供应商的报价，有可能影响产品（或服务）质量或者不能诚信履约的，应当要求其在评标现场合理的时间内提供书面说明，必要时提交相关证明材料;供应商不能证明其报价合理性的，评审小组应当将其作为无效投标处理。</w:t>
      </w:r>
    </w:p>
    <w:p>
      <w:pPr>
        <w:pStyle w:val="22"/>
        <w:numPr>
          <w:ilvl w:val="0"/>
          <w:numId w:val="31"/>
        </w:numPr>
        <w:spacing w:line="360" w:lineRule="auto"/>
        <w:ind w:left="0" w:firstLine="420" w:firstLineChars="200"/>
        <w:rPr>
          <w:rFonts w:ascii="微软雅黑" w:hAnsi="微软雅黑"/>
          <w:color w:val="000000" w:themeColor="text1"/>
          <w:spacing w:val="0"/>
          <w:sz w:val="21"/>
          <w:szCs w:val="21"/>
          <w:highlight w:val="none"/>
          <w14:textFill>
            <w14:solidFill>
              <w14:schemeClr w14:val="tx1"/>
            </w14:solidFill>
          </w14:textFill>
        </w:rPr>
      </w:pPr>
      <w:r>
        <w:rPr>
          <w:rFonts w:hint="eastAsia" w:ascii="微软雅黑" w:hAnsi="微软雅黑"/>
          <w:color w:val="000000" w:themeColor="text1"/>
          <w:spacing w:val="0"/>
          <w:sz w:val="21"/>
          <w:szCs w:val="21"/>
          <w:highlight w:val="none"/>
          <w14:textFill>
            <w14:solidFill>
              <w14:schemeClr w14:val="tx1"/>
            </w14:solidFill>
          </w14:textFill>
        </w:rPr>
        <w:t>促进中小企业发展</w:t>
      </w:r>
    </w:p>
    <w:p>
      <w:pPr>
        <w:pStyle w:val="31"/>
        <w:numPr>
          <w:ilvl w:val="0"/>
          <w:numId w:val="32"/>
        </w:numPr>
        <w:tabs>
          <w:tab w:val="left" w:pos="630"/>
        </w:tabs>
        <w:spacing w:after="0" w:line="360" w:lineRule="auto"/>
        <w:ind w:left="0" w:firstLine="420" w:firstLineChars="200"/>
        <w:jc w:val="left"/>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本次采购为专门面向中小企业预留采购份额的采购项目。</w:t>
      </w:r>
    </w:p>
    <w:p>
      <w:pPr>
        <w:pStyle w:val="31"/>
        <w:numPr>
          <w:ilvl w:val="0"/>
          <w:numId w:val="32"/>
        </w:numPr>
        <w:tabs>
          <w:tab w:val="left" w:pos="630"/>
        </w:tabs>
        <w:spacing w:after="0" w:line="360" w:lineRule="auto"/>
        <w:ind w:left="0" w:firstLine="420" w:firstLineChars="200"/>
        <w:jc w:val="left"/>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本项目对应的中小企业划分标准所属行业：</w:t>
      </w:r>
      <w:r>
        <w:rPr>
          <w:rFonts w:hint="eastAsia" w:ascii="微软雅黑" w:hAnsi="微软雅黑"/>
          <w:b/>
          <w:bCs w:val="0"/>
          <w:color w:val="000000" w:themeColor="text1"/>
          <w:szCs w:val="21"/>
          <w:highlight w:val="none"/>
          <w:u w:val="single"/>
          <w14:textFill>
            <w14:solidFill>
              <w14:schemeClr w14:val="tx1"/>
            </w14:solidFill>
          </w14:textFill>
        </w:rPr>
        <w:t xml:space="preserve"> 其他未列明行业 </w:t>
      </w:r>
      <w:r>
        <w:rPr>
          <w:rFonts w:hint="eastAsia" w:ascii="微软雅黑" w:hAnsi="微软雅黑"/>
          <w:bCs/>
          <w:color w:val="000000" w:themeColor="text1"/>
          <w:szCs w:val="21"/>
          <w:highlight w:val="none"/>
          <w14:textFill>
            <w14:solidFill>
              <w14:schemeClr w14:val="tx1"/>
            </w14:solidFill>
          </w14:textFill>
        </w:rPr>
        <w:t>。</w:t>
      </w:r>
    </w:p>
    <w:p>
      <w:pPr>
        <w:pStyle w:val="31"/>
        <w:numPr>
          <w:ilvl w:val="0"/>
          <w:numId w:val="32"/>
        </w:numPr>
        <w:tabs>
          <w:tab w:val="left" w:pos="630"/>
        </w:tabs>
        <w:spacing w:after="0" w:line="360" w:lineRule="auto"/>
        <w:ind w:left="0" w:firstLine="420" w:firstLineChars="200"/>
        <w:jc w:val="left"/>
        <w:rPr>
          <w:rFonts w:ascii="微软雅黑" w:hAnsi="微软雅黑"/>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1"/>
        <w:numPr>
          <w:ilvl w:val="0"/>
          <w:numId w:val="32"/>
        </w:numPr>
        <w:tabs>
          <w:tab w:val="left" w:pos="630"/>
        </w:tabs>
        <w:spacing w:after="0" w:line="360" w:lineRule="auto"/>
        <w:ind w:left="0" w:firstLine="420" w:firstLineChars="200"/>
        <w:jc w:val="left"/>
        <w:rPr>
          <w:rFonts w:ascii="微软雅黑" w:hAnsi="微软雅黑"/>
          <w:b/>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pPr>
        <w:pStyle w:val="31"/>
        <w:tabs>
          <w:tab w:val="left" w:pos="630"/>
        </w:tabs>
        <w:adjustRightInd w:val="0"/>
        <w:snapToGrid w:val="0"/>
        <w:spacing w:after="0" w:line="360" w:lineRule="auto"/>
        <w:ind w:firstLine="420" w:firstLineChars="200"/>
        <w:jc w:val="left"/>
        <w:rPr>
          <w:rFonts w:ascii="微软雅黑" w:hAnsi="微软雅黑"/>
          <w:b/>
          <w:bCs/>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pStyle w:val="5"/>
        <w:numPr>
          <w:ilvl w:val="0"/>
          <w:numId w:val="33"/>
        </w:numPr>
        <w:tabs>
          <w:tab w:val="left" w:pos="630"/>
        </w:tabs>
        <w:spacing w:before="0"/>
        <w:ind w:firstLine="420" w:firstLineChars="200"/>
        <w:jc w:val="left"/>
        <w:rPr>
          <w:rFonts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技术资信分（90分）</w:t>
      </w:r>
    </w:p>
    <w:tbl>
      <w:tblPr>
        <w:tblStyle w:val="55"/>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95"/>
        <w:gridCol w:w="1131"/>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15" w:hRule="atLeast"/>
          <w:jc w:val="center"/>
        </w:trPr>
        <w:tc>
          <w:tcPr>
            <w:tcW w:w="695" w:type="dxa"/>
            <w:noWrap/>
            <w:vAlign w:val="center"/>
          </w:tcPr>
          <w:p>
            <w:pPr>
              <w:adjustRightInd w:val="0"/>
              <w:snapToGrid w:val="0"/>
              <w:spacing w:after="0" w:line="240" w:lineRule="atLeast"/>
              <w:jc w:val="center"/>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序号</w:t>
            </w:r>
          </w:p>
        </w:tc>
        <w:tc>
          <w:tcPr>
            <w:tcW w:w="1131" w:type="dxa"/>
            <w:noWrap/>
            <w:vAlign w:val="center"/>
          </w:tcPr>
          <w:p>
            <w:pPr>
              <w:adjustRightInd w:val="0"/>
              <w:snapToGrid w:val="0"/>
              <w:spacing w:after="0" w:line="240" w:lineRule="atLeast"/>
              <w:jc w:val="center"/>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项目</w:t>
            </w:r>
          </w:p>
        </w:tc>
        <w:tc>
          <w:tcPr>
            <w:tcW w:w="7261" w:type="dxa"/>
            <w:noWrap/>
            <w:vAlign w:val="center"/>
          </w:tcPr>
          <w:p>
            <w:pPr>
              <w:adjustRightInd w:val="0"/>
              <w:snapToGrid w:val="0"/>
              <w:spacing w:after="0" w:line="240" w:lineRule="atLeast"/>
              <w:jc w:val="center"/>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评分内容和标准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95" w:hRule="atLeast"/>
          <w:jc w:val="center"/>
        </w:trPr>
        <w:tc>
          <w:tcPr>
            <w:tcW w:w="695" w:type="dxa"/>
            <w:vMerge w:val="restart"/>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w:t>
            </w:r>
          </w:p>
        </w:tc>
        <w:tc>
          <w:tcPr>
            <w:tcW w:w="1131" w:type="dxa"/>
            <w:vMerge w:val="restart"/>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管家服务方案</w:t>
            </w:r>
          </w:p>
          <w:p>
            <w:pPr>
              <w:adjustRightInd w:val="0"/>
              <w:snapToGrid w:val="0"/>
              <w:spacing w:after="0" w:line="240" w:lineRule="atLeast"/>
              <w:jc w:val="center"/>
              <w:rPr>
                <w:rFonts w:ascii="微软雅黑" w:hAnsi="微软雅黑"/>
                <w:color w:val="000000" w:themeColor="text1"/>
                <w:highlight w:val="none"/>
                <w:lang w:val="zh-CN"/>
                <w14:textFill>
                  <w14:solidFill>
                    <w14:schemeClr w14:val="tx1"/>
                  </w14:solidFill>
                </w14:textFill>
              </w:rPr>
            </w:pPr>
            <w:r>
              <w:rPr>
                <w:rFonts w:hint="eastAsia" w:ascii="微软雅黑" w:hAnsi="微软雅黑"/>
                <w:color w:val="000000" w:themeColor="text1"/>
                <w:highlight w:val="none"/>
                <w:lang w:val="zh-CN"/>
                <w14:textFill>
                  <w14:solidFill>
                    <w14:schemeClr w14:val="tx1"/>
                  </w14:solidFill>
                </w14:textFill>
              </w:rPr>
              <w:t>（</w:t>
            </w:r>
            <w:r>
              <w:rPr>
                <w:rFonts w:hint="eastAsia" w:ascii="微软雅黑" w:hAnsi="微软雅黑"/>
                <w:color w:val="000000" w:themeColor="text1"/>
                <w:highlight w:val="none"/>
                <w14:textFill>
                  <w14:solidFill>
                    <w14:schemeClr w14:val="tx1"/>
                  </w14:solidFill>
                </w14:textFill>
              </w:rPr>
              <w:t>6</w:t>
            </w:r>
            <w:r>
              <w:rPr>
                <w:rFonts w:hint="eastAsia" w:ascii="微软雅黑" w:hAnsi="微软雅黑"/>
                <w:color w:val="000000" w:themeColor="text1"/>
                <w:highlight w:val="none"/>
                <w:lang w:val="en-US" w:eastAsia="zh-CN"/>
                <w14:textFill>
                  <w14:solidFill>
                    <w14:schemeClr w14:val="tx1"/>
                  </w14:solidFill>
                </w14:textFill>
              </w:rPr>
              <w:t>8</w:t>
            </w:r>
            <w:r>
              <w:rPr>
                <w:rFonts w:hint="eastAsia" w:ascii="微软雅黑" w:hAnsi="微软雅黑"/>
                <w:color w:val="000000" w:themeColor="text1"/>
                <w:highlight w:val="none"/>
                <w:lang w:val="zh-CN"/>
                <w14:textFill>
                  <w14:solidFill>
                    <w14:schemeClr w14:val="tx1"/>
                  </w14:solidFill>
                </w14:textFill>
              </w:rPr>
              <w:t>分）</w:t>
            </w:r>
          </w:p>
        </w:tc>
        <w:tc>
          <w:tcPr>
            <w:tcW w:w="7261" w:type="dxa"/>
            <w:noWrap/>
            <w:vAlign w:val="center"/>
          </w:tcPr>
          <w:p>
            <w:pPr>
              <w:adjustRightInd w:val="0"/>
              <w:snapToGrid w:val="0"/>
              <w:spacing w:after="0" w:line="240" w:lineRule="atLeast"/>
              <w:jc w:val="left"/>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1.1针对本项目的各项管理制度，制度制定是否全面、合理、可行。（</w:t>
            </w:r>
            <w:r>
              <w:rPr>
                <w:rFonts w:hint="eastAsia" w:ascii="微软雅黑" w:hAnsi="微软雅黑"/>
                <w:color w:val="000000" w:themeColor="text1"/>
                <w:highlight w:val="none"/>
                <w14:textFill>
                  <w14:solidFill>
                    <w14:schemeClr w14:val="tx1"/>
                  </w14:solidFill>
                </w14:textFill>
              </w:rPr>
              <w:t>4-</w:t>
            </w:r>
            <w:r>
              <w:rPr>
                <w:rFonts w:hint="eastAsia" w:ascii="微软雅黑" w:hAnsi="微软雅黑"/>
                <w:bCs/>
                <w:color w:val="000000" w:themeColor="text1"/>
                <w:highlight w:val="none"/>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805" w:hRule="atLeast"/>
          <w:jc w:val="center"/>
        </w:trPr>
        <w:tc>
          <w:tcPr>
            <w:tcW w:w="695" w:type="dxa"/>
            <w:vMerge w:val="continue"/>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p>
        </w:tc>
        <w:tc>
          <w:tcPr>
            <w:tcW w:w="1131" w:type="dxa"/>
            <w:vMerge w:val="continue"/>
            <w:noWrap/>
            <w:vAlign w:val="center"/>
          </w:tcPr>
          <w:p>
            <w:pPr>
              <w:adjustRightInd w:val="0"/>
              <w:snapToGrid w:val="0"/>
              <w:spacing w:after="0" w:line="240" w:lineRule="atLeast"/>
              <w:jc w:val="center"/>
              <w:rPr>
                <w:rFonts w:ascii="微软雅黑" w:hAnsi="微软雅黑"/>
                <w:color w:val="000000" w:themeColor="text1"/>
                <w:highlight w:val="none"/>
                <w:lang w:val="zh-CN"/>
                <w14:textFill>
                  <w14:solidFill>
                    <w14:schemeClr w14:val="tx1"/>
                  </w14:solidFill>
                </w14:textFill>
              </w:rPr>
            </w:pPr>
          </w:p>
        </w:tc>
        <w:tc>
          <w:tcPr>
            <w:tcW w:w="7261" w:type="dxa"/>
            <w:noWrap/>
            <w:vAlign w:val="center"/>
          </w:tcPr>
          <w:p>
            <w:pPr>
              <w:adjustRightInd w:val="0"/>
              <w:snapToGrid w:val="0"/>
              <w:spacing w:after="0" w:line="240" w:lineRule="atLeast"/>
              <w:jc w:val="left"/>
              <w:rPr>
                <w:rFonts w:ascii="微软雅黑" w:hAnsi="微软雅黑"/>
                <w:bCs/>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1.2保证本项目实施的各种工作措施，如质量保证措施、安全措施、管理措施等，措施是否完整、合理、科学综合评分。</w:t>
            </w:r>
            <w:r>
              <w:rPr>
                <w:rFonts w:hint="eastAsia" w:ascii="微软雅黑" w:hAnsi="微软雅黑"/>
                <w:bCs/>
                <w:color w:val="000000" w:themeColor="text1"/>
                <w:highlight w:val="none"/>
                <w14:textFill>
                  <w14:solidFill>
                    <w14:schemeClr w14:val="tx1"/>
                  </w14:solidFill>
                </w14:textFill>
              </w:rPr>
              <w:t>（</w:t>
            </w:r>
            <w:r>
              <w:rPr>
                <w:rFonts w:hint="eastAsia" w:ascii="微软雅黑" w:hAnsi="微软雅黑"/>
                <w:color w:val="000000" w:themeColor="text1"/>
                <w:highlight w:val="none"/>
                <w14:textFill>
                  <w14:solidFill>
                    <w14:schemeClr w14:val="tx1"/>
                  </w14:solidFill>
                </w14:textFill>
              </w:rPr>
              <w:t>5-</w:t>
            </w:r>
            <w:r>
              <w:rPr>
                <w:rFonts w:hint="eastAsia" w:ascii="微软雅黑" w:hAnsi="微软雅黑"/>
                <w:bCs/>
                <w:color w:val="000000" w:themeColor="text1"/>
                <w:highlight w:val="none"/>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1090" w:hRule="atLeast"/>
          <w:jc w:val="center"/>
        </w:trPr>
        <w:tc>
          <w:tcPr>
            <w:tcW w:w="695" w:type="dxa"/>
            <w:vMerge w:val="continue"/>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p>
        </w:tc>
        <w:tc>
          <w:tcPr>
            <w:tcW w:w="1131" w:type="dxa"/>
            <w:vMerge w:val="continue"/>
            <w:noWrap/>
            <w:vAlign w:val="center"/>
          </w:tcPr>
          <w:p>
            <w:pPr>
              <w:adjustRightInd w:val="0"/>
              <w:snapToGrid w:val="0"/>
              <w:spacing w:after="0" w:line="240" w:lineRule="atLeast"/>
              <w:jc w:val="center"/>
              <w:rPr>
                <w:rFonts w:ascii="微软雅黑" w:hAnsi="微软雅黑"/>
                <w:color w:val="000000" w:themeColor="text1"/>
                <w:highlight w:val="none"/>
                <w:lang w:val="zh-CN"/>
                <w14:textFill>
                  <w14:solidFill>
                    <w14:schemeClr w14:val="tx1"/>
                  </w14:solidFill>
                </w14:textFill>
              </w:rPr>
            </w:pPr>
          </w:p>
        </w:tc>
        <w:tc>
          <w:tcPr>
            <w:tcW w:w="7261" w:type="dxa"/>
            <w:noWrap/>
            <w:vAlign w:val="center"/>
          </w:tcPr>
          <w:p>
            <w:pPr>
              <w:snapToGrid w:val="0"/>
              <w:spacing w:after="0" w:line="240" w:lineRule="auto"/>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1.3管家服务方案中针对瓶装燃气定期排查（包含重点用户和一般用户）具体排查方案、保障措施、质量执行标准、行业规范性及具体控制措施，综合比较后评分。（5-10分）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725" w:hRule="atLeast"/>
          <w:jc w:val="center"/>
        </w:trPr>
        <w:tc>
          <w:tcPr>
            <w:tcW w:w="695" w:type="dxa"/>
            <w:vMerge w:val="continue"/>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p>
        </w:tc>
        <w:tc>
          <w:tcPr>
            <w:tcW w:w="1131" w:type="dxa"/>
            <w:vMerge w:val="continue"/>
            <w:noWrap/>
            <w:vAlign w:val="center"/>
          </w:tcPr>
          <w:p>
            <w:pPr>
              <w:adjustRightInd w:val="0"/>
              <w:snapToGrid w:val="0"/>
              <w:spacing w:after="0" w:line="240" w:lineRule="atLeast"/>
              <w:jc w:val="center"/>
              <w:rPr>
                <w:rFonts w:ascii="微软雅黑" w:hAnsi="微软雅黑"/>
                <w:color w:val="000000" w:themeColor="text1"/>
                <w:highlight w:val="none"/>
                <w:lang w:val="zh-CN"/>
                <w14:textFill>
                  <w14:solidFill>
                    <w14:schemeClr w14:val="tx1"/>
                  </w14:solidFill>
                </w14:textFill>
              </w:rPr>
            </w:pPr>
          </w:p>
        </w:tc>
        <w:tc>
          <w:tcPr>
            <w:tcW w:w="7261" w:type="dxa"/>
            <w:noWrap/>
            <w:vAlign w:val="center"/>
          </w:tcPr>
          <w:p>
            <w:pPr>
              <w:adjustRightInd w:val="0"/>
              <w:snapToGrid w:val="0"/>
              <w:spacing w:after="0" w:line="240" w:lineRule="atLeast"/>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1.4针对本项目各种事故应急救援方案，根据应急情况预测、具体救援方案、事故调查方案的及时性、全面性、有效性，综合比较后评分。</w:t>
            </w:r>
            <w:r>
              <w:rPr>
                <w:rFonts w:hint="eastAsia" w:ascii="微软雅黑" w:hAnsi="微软雅黑"/>
                <w:bCs/>
                <w:color w:val="000000" w:themeColor="text1"/>
                <w:highlight w:val="none"/>
                <w14:textFill>
                  <w14:solidFill>
                    <w14:schemeClr w14:val="tx1"/>
                  </w14:solidFill>
                </w14:textFill>
              </w:rPr>
              <w:t>（</w:t>
            </w:r>
            <w:r>
              <w:rPr>
                <w:rFonts w:hint="eastAsia" w:ascii="微软雅黑" w:hAnsi="微软雅黑"/>
                <w:color w:val="000000" w:themeColor="text1"/>
                <w:highlight w:val="none"/>
                <w14:textFill>
                  <w14:solidFill>
                    <w14:schemeClr w14:val="tx1"/>
                  </w14:solidFill>
                </w14:textFill>
              </w:rPr>
              <w:t>4-</w:t>
            </w:r>
            <w:r>
              <w:rPr>
                <w:rFonts w:hint="eastAsia" w:ascii="微软雅黑" w:hAnsi="微软雅黑"/>
                <w:bCs/>
                <w:color w:val="000000" w:themeColor="text1"/>
                <w:highlight w:val="none"/>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715" w:hRule="atLeast"/>
          <w:jc w:val="center"/>
        </w:trPr>
        <w:tc>
          <w:tcPr>
            <w:tcW w:w="695" w:type="dxa"/>
            <w:vMerge w:val="continue"/>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p>
        </w:tc>
        <w:tc>
          <w:tcPr>
            <w:tcW w:w="1131" w:type="dxa"/>
            <w:vMerge w:val="continue"/>
            <w:noWrap/>
            <w:vAlign w:val="center"/>
          </w:tcPr>
          <w:p>
            <w:pPr>
              <w:adjustRightInd w:val="0"/>
              <w:snapToGrid w:val="0"/>
              <w:spacing w:after="0" w:line="240" w:lineRule="atLeast"/>
              <w:jc w:val="center"/>
              <w:rPr>
                <w:rFonts w:ascii="微软雅黑" w:hAnsi="微软雅黑"/>
                <w:color w:val="000000" w:themeColor="text1"/>
                <w:highlight w:val="none"/>
                <w:lang w:val="zh-CN"/>
                <w14:textFill>
                  <w14:solidFill>
                    <w14:schemeClr w14:val="tx1"/>
                  </w14:solidFill>
                </w14:textFill>
              </w:rPr>
            </w:pPr>
          </w:p>
        </w:tc>
        <w:tc>
          <w:tcPr>
            <w:tcW w:w="7261" w:type="dxa"/>
            <w:noWrap/>
            <w:vAlign w:val="center"/>
          </w:tcPr>
          <w:p>
            <w:pPr>
              <w:adjustRightInd w:val="0"/>
              <w:snapToGrid w:val="0"/>
              <w:spacing w:after="0" w:line="240" w:lineRule="atLeast"/>
              <w:jc w:val="left"/>
              <w:rPr>
                <w:rFonts w:ascii="微软雅黑" w:hAnsi="微软雅黑"/>
                <w:bCs/>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1.5项目服务期内供应商针对安全文明礼貌的承诺及所提供的保障措施。（3-6分）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jc w:val="center"/>
        </w:trPr>
        <w:tc>
          <w:tcPr>
            <w:tcW w:w="695" w:type="dxa"/>
            <w:vMerge w:val="continue"/>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p>
        </w:tc>
        <w:tc>
          <w:tcPr>
            <w:tcW w:w="1131" w:type="dxa"/>
            <w:vMerge w:val="continue"/>
            <w:noWrap/>
            <w:vAlign w:val="center"/>
          </w:tcPr>
          <w:p>
            <w:pPr>
              <w:adjustRightInd w:val="0"/>
              <w:snapToGrid w:val="0"/>
              <w:spacing w:after="0" w:line="240" w:lineRule="atLeast"/>
              <w:jc w:val="center"/>
              <w:rPr>
                <w:rFonts w:ascii="微软雅黑" w:hAnsi="微软雅黑"/>
                <w:color w:val="000000" w:themeColor="text1"/>
                <w:highlight w:val="none"/>
                <w:lang w:val="zh-CN"/>
                <w14:textFill>
                  <w14:solidFill>
                    <w14:schemeClr w14:val="tx1"/>
                  </w14:solidFill>
                </w14:textFill>
              </w:rPr>
            </w:pPr>
          </w:p>
        </w:tc>
        <w:tc>
          <w:tcPr>
            <w:tcW w:w="7261" w:type="dxa"/>
            <w:noWrap/>
            <w:vAlign w:val="center"/>
          </w:tcPr>
          <w:p>
            <w:pPr>
              <w:adjustRightInd w:val="0"/>
              <w:snapToGrid w:val="0"/>
              <w:spacing w:after="0" w:line="240" w:lineRule="atLeast"/>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1.6</w:t>
            </w:r>
            <w:r>
              <w:rPr>
                <w:rFonts w:hint="eastAsia" w:ascii="微软雅黑" w:hAnsi="微软雅黑"/>
                <w:bCs/>
                <w:color w:val="000000" w:themeColor="text1"/>
                <w:highlight w:val="none"/>
                <w14:textFill>
                  <w14:solidFill>
                    <w14:schemeClr w14:val="tx1"/>
                  </w14:solidFill>
                </w14:textFill>
              </w:rPr>
              <w:t>针对本项目人员的配备情况</w:t>
            </w:r>
            <w:r>
              <w:rPr>
                <w:rFonts w:hint="eastAsia" w:ascii="微软雅黑" w:hAnsi="微软雅黑"/>
                <w:b/>
                <w:color w:val="000000" w:themeColor="text1"/>
                <w:highlight w:val="none"/>
                <w14:textFill>
                  <w14:solidFill>
                    <w14:schemeClr w14:val="tx1"/>
                  </w14:solidFill>
                </w14:textFill>
              </w:rPr>
              <w:t>（包含1名驻点人员</w:t>
            </w:r>
            <w:r>
              <w:rPr>
                <w:rFonts w:hint="eastAsia" w:ascii="微软雅黑" w:hAnsi="微软雅黑"/>
                <w:b/>
                <w:color w:val="000000" w:themeColor="text1"/>
                <w:highlight w:val="none"/>
                <w:lang w:eastAsia="zh-CN"/>
                <w14:textFill>
                  <w14:solidFill>
                    <w14:schemeClr w14:val="tx1"/>
                  </w14:solidFill>
                </w14:textFill>
              </w:rPr>
              <w:t>，具有安全评价师资格证</w:t>
            </w:r>
            <w:r>
              <w:rPr>
                <w:rFonts w:hint="eastAsia" w:ascii="微软雅黑" w:hAnsi="微软雅黑"/>
                <w:b/>
                <w:color w:val="000000" w:themeColor="text1"/>
                <w:highlight w:val="none"/>
                <w14:textFill>
                  <w14:solidFill>
                    <w14:schemeClr w14:val="tx1"/>
                  </w14:solidFill>
                </w14:textFill>
              </w:rPr>
              <w:t>）</w:t>
            </w:r>
            <w:r>
              <w:rPr>
                <w:rFonts w:hint="eastAsia" w:ascii="微软雅黑" w:hAnsi="微软雅黑"/>
                <w:bCs/>
                <w:color w:val="000000" w:themeColor="text1"/>
                <w:highlight w:val="none"/>
                <w14:textFill>
                  <w14:solidFill>
                    <w14:schemeClr w14:val="tx1"/>
                  </w14:solidFill>
                </w14:textFill>
              </w:rPr>
              <w:t>，人员配置是否满足项目需求，人员结构（包含年龄、专业、学历、持证上岗、职业资格、类似项目工作业绩、特长等）合理性及匹配性，有关服务质量承诺。（</w:t>
            </w:r>
            <w:r>
              <w:rPr>
                <w:rFonts w:hint="eastAsia" w:ascii="微软雅黑" w:hAnsi="微软雅黑"/>
                <w:color w:val="000000" w:themeColor="text1"/>
                <w:highlight w:val="none"/>
                <w14:textFill>
                  <w14:solidFill>
                    <w14:schemeClr w14:val="tx1"/>
                  </w14:solidFill>
                </w14:textFill>
              </w:rPr>
              <w:t>4-</w:t>
            </w:r>
            <w:r>
              <w:rPr>
                <w:rFonts w:hint="eastAsia" w:ascii="微软雅黑" w:hAnsi="微软雅黑"/>
                <w:bCs/>
                <w:color w:val="000000" w:themeColor="text1"/>
                <w:highlight w:val="none"/>
                <w:lang w:val="en-US" w:eastAsia="zh-CN"/>
                <w14:textFill>
                  <w14:solidFill>
                    <w14:schemeClr w14:val="tx1"/>
                  </w14:solidFill>
                </w14:textFill>
              </w:rPr>
              <w:t>12</w:t>
            </w:r>
            <w:r>
              <w:rPr>
                <w:rFonts w:hint="eastAsia" w:ascii="微软雅黑" w:hAnsi="微软雅黑"/>
                <w:bCs/>
                <w:color w:val="000000" w:themeColor="text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49" w:hRule="atLeast"/>
          <w:jc w:val="center"/>
        </w:trPr>
        <w:tc>
          <w:tcPr>
            <w:tcW w:w="695" w:type="dxa"/>
            <w:vMerge w:val="continue"/>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p>
        </w:tc>
        <w:tc>
          <w:tcPr>
            <w:tcW w:w="1131" w:type="dxa"/>
            <w:vMerge w:val="continue"/>
            <w:noWrap/>
            <w:vAlign w:val="center"/>
          </w:tcPr>
          <w:p>
            <w:pPr>
              <w:adjustRightInd w:val="0"/>
              <w:snapToGrid w:val="0"/>
              <w:spacing w:after="0" w:line="240" w:lineRule="atLeast"/>
              <w:jc w:val="center"/>
              <w:rPr>
                <w:rFonts w:ascii="微软雅黑" w:hAnsi="微软雅黑"/>
                <w:color w:val="000000" w:themeColor="text1"/>
                <w:highlight w:val="none"/>
                <w:lang w:val="zh-CN"/>
                <w14:textFill>
                  <w14:solidFill>
                    <w14:schemeClr w14:val="tx1"/>
                  </w14:solidFill>
                </w14:textFill>
              </w:rPr>
            </w:pPr>
          </w:p>
        </w:tc>
        <w:tc>
          <w:tcPr>
            <w:tcW w:w="7261" w:type="dxa"/>
            <w:noWrap/>
            <w:vAlign w:val="center"/>
          </w:tcPr>
          <w:p>
            <w:pPr>
              <w:adjustRightInd w:val="0"/>
              <w:snapToGrid w:val="0"/>
              <w:spacing w:after="0" w:line="240" w:lineRule="atLeast"/>
              <w:jc w:val="left"/>
              <w:rPr>
                <w:rFonts w:ascii="微软雅黑" w:hAnsi="微软雅黑"/>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1.7根据供应商拟派人员的业务培训、</w:t>
            </w:r>
            <w:r>
              <w:rPr>
                <w:rFonts w:hint="eastAsia" w:ascii="微软雅黑" w:hAnsi="微软雅黑"/>
                <w:color w:val="000000" w:themeColor="text1"/>
                <w:highlight w:val="none"/>
                <w14:textFill>
                  <w14:solidFill>
                    <w14:schemeClr w14:val="tx1"/>
                  </w14:solidFill>
                </w14:textFill>
              </w:rPr>
              <w:t>技术培训及</w:t>
            </w:r>
            <w:r>
              <w:rPr>
                <w:rFonts w:hint="eastAsia" w:ascii="微软雅黑" w:hAnsi="微软雅黑"/>
                <w:bCs/>
                <w:color w:val="000000" w:themeColor="text1"/>
                <w:highlight w:val="none"/>
                <w14:textFill>
                  <w14:solidFill>
                    <w14:schemeClr w14:val="tx1"/>
                  </w14:solidFill>
                </w14:textFill>
              </w:rPr>
              <w:t>教育措施方案评分。（</w:t>
            </w:r>
            <w:r>
              <w:rPr>
                <w:rFonts w:hint="eastAsia" w:ascii="微软雅黑" w:hAnsi="微软雅黑"/>
                <w:color w:val="000000" w:themeColor="text1"/>
                <w:highlight w:val="none"/>
                <w14:textFill>
                  <w14:solidFill>
                    <w14:schemeClr w14:val="tx1"/>
                  </w14:solidFill>
                </w14:textFill>
              </w:rPr>
              <w:t>3-</w:t>
            </w:r>
            <w:r>
              <w:rPr>
                <w:rFonts w:hint="eastAsia" w:ascii="微软雅黑" w:hAnsi="微软雅黑"/>
                <w:bCs/>
                <w:color w:val="000000" w:themeColor="text1"/>
                <w:highlight w:val="none"/>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48" w:hRule="atLeast"/>
          <w:jc w:val="center"/>
        </w:trPr>
        <w:tc>
          <w:tcPr>
            <w:tcW w:w="695" w:type="dxa"/>
            <w:vMerge w:val="continue"/>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p>
        </w:tc>
        <w:tc>
          <w:tcPr>
            <w:tcW w:w="1131" w:type="dxa"/>
            <w:vMerge w:val="continue"/>
            <w:noWrap/>
            <w:vAlign w:val="center"/>
          </w:tcPr>
          <w:p>
            <w:pPr>
              <w:adjustRightInd w:val="0"/>
              <w:snapToGrid w:val="0"/>
              <w:spacing w:after="0" w:line="240" w:lineRule="atLeast"/>
              <w:jc w:val="center"/>
              <w:rPr>
                <w:rFonts w:ascii="微软雅黑" w:hAnsi="微软雅黑"/>
                <w:color w:val="000000" w:themeColor="text1"/>
                <w:highlight w:val="none"/>
                <w:lang w:val="zh-CN"/>
                <w14:textFill>
                  <w14:solidFill>
                    <w14:schemeClr w14:val="tx1"/>
                  </w14:solidFill>
                </w14:textFill>
              </w:rPr>
            </w:pPr>
          </w:p>
        </w:tc>
        <w:tc>
          <w:tcPr>
            <w:tcW w:w="7261" w:type="dxa"/>
            <w:noWrap/>
            <w:vAlign w:val="center"/>
          </w:tcPr>
          <w:p>
            <w:pPr>
              <w:adjustRightInd w:val="0"/>
              <w:snapToGrid w:val="0"/>
              <w:spacing w:after="0" w:line="240" w:lineRule="atLeast"/>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1.8针对本项目信息化管理方案及措施，是否完整，契合项目需求等综合评分。</w:t>
            </w:r>
            <w:r>
              <w:rPr>
                <w:rFonts w:hint="eastAsia" w:ascii="微软雅黑" w:hAnsi="微软雅黑"/>
                <w:bCs/>
                <w:color w:val="000000" w:themeColor="text1"/>
                <w:highlight w:val="none"/>
                <w14:textFill>
                  <w14:solidFill>
                    <w14:schemeClr w14:val="tx1"/>
                  </w14:solidFill>
                </w14:textFill>
              </w:rPr>
              <w:t>（</w:t>
            </w:r>
            <w:r>
              <w:rPr>
                <w:rFonts w:hint="eastAsia" w:ascii="微软雅黑" w:hAnsi="微软雅黑"/>
                <w:color w:val="000000" w:themeColor="text1"/>
                <w:highlight w:val="none"/>
                <w14:textFill>
                  <w14:solidFill>
                    <w14:schemeClr w14:val="tx1"/>
                  </w14:solidFill>
                </w14:textFill>
              </w:rPr>
              <w:t>4-</w:t>
            </w:r>
            <w:r>
              <w:rPr>
                <w:rFonts w:hint="eastAsia" w:ascii="微软雅黑" w:hAnsi="微软雅黑"/>
                <w:bCs/>
                <w:color w:val="000000" w:themeColor="text1"/>
                <w:highlight w:val="none"/>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57" w:hRule="atLeast"/>
          <w:jc w:val="center"/>
        </w:trPr>
        <w:tc>
          <w:tcPr>
            <w:tcW w:w="695" w:type="dxa"/>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w:t>
            </w:r>
          </w:p>
        </w:tc>
        <w:tc>
          <w:tcPr>
            <w:tcW w:w="1131" w:type="dxa"/>
            <w:noWrap/>
            <w:vAlign w:val="center"/>
          </w:tcPr>
          <w:p>
            <w:pPr>
              <w:adjustRightInd w:val="0"/>
              <w:snapToGrid w:val="0"/>
              <w:spacing w:after="0" w:line="240" w:lineRule="atLeast"/>
              <w:jc w:val="center"/>
              <w:rPr>
                <w:rFonts w:ascii="微软雅黑" w:hAnsi="微软雅黑"/>
                <w:color w:val="000000" w:themeColor="text1"/>
                <w:highlight w:val="none"/>
                <w:lang w:val="zh-CN"/>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投入</w:t>
            </w:r>
            <w:r>
              <w:rPr>
                <w:rFonts w:hint="eastAsia" w:ascii="微软雅黑" w:hAnsi="微软雅黑"/>
                <w:color w:val="000000" w:themeColor="text1"/>
                <w:highlight w:val="none"/>
                <w:lang w:val="zh-CN"/>
                <w14:textFill>
                  <w14:solidFill>
                    <w14:schemeClr w14:val="tx1"/>
                  </w14:solidFill>
                </w14:textFill>
              </w:rPr>
              <w:t>设备及条件</w:t>
            </w:r>
          </w:p>
          <w:p>
            <w:pPr>
              <w:adjustRightInd w:val="0"/>
              <w:snapToGrid w:val="0"/>
              <w:spacing w:after="0" w:line="240" w:lineRule="atLeast"/>
              <w:jc w:val="center"/>
              <w:rPr>
                <w:rFonts w:ascii="微软雅黑" w:hAnsi="微软雅黑"/>
                <w:color w:val="000000" w:themeColor="text1"/>
                <w:highlight w:val="none"/>
                <w:lang w:val="zh-CN"/>
                <w14:textFill>
                  <w14:solidFill>
                    <w14:schemeClr w14:val="tx1"/>
                  </w14:solidFill>
                </w14:textFill>
              </w:rPr>
            </w:pPr>
            <w:r>
              <w:rPr>
                <w:rFonts w:hint="eastAsia" w:ascii="微软雅黑" w:hAnsi="微软雅黑"/>
                <w:color w:val="000000" w:themeColor="text1"/>
                <w:highlight w:val="none"/>
                <w:lang w:val="zh-CN"/>
                <w14:textFill>
                  <w14:solidFill>
                    <w14:schemeClr w14:val="tx1"/>
                  </w14:solidFill>
                </w14:textFill>
              </w:rPr>
              <w:t>（</w:t>
            </w:r>
            <w:r>
              <w:rPr>
                <w:rFonts w:hint="eastAsia" w:ascii="微软雅黑" w:hAnsi="微软雅黑"/>
                <w:color w:val="000000" w:themeColor="text1"/>
                <w:highlight w:val="none"/>
                <w14:textFill>
                  <w14:solidFill>
                    <w14:schemeClr w14:val="tx1"/>
                  </w14:solidFill>
                </w14:textFill>
              </w:rPr>
              <w:t>3</w:t>
            </w:r>
            <w:r>
              <w:rPr>
                <w:rFonts w:hint="eastAsia" w:ascii="微软雅黑" w:hAnsi="微软雅黑"/>
                <w:color w:val="000000" w:themeColor="text1"/>
                <w:highlight w:val="none"/>
                <w:lang w:val="zh-CN"/>
                <w14:textFill>
                  <w14:solidFill>
                    <w14:schemeClr w14:val="tx1"/>
                  </w14:solidFill>
                </w14:textFill>
              </w:rPr>
              <w:t>分）</w:t>
            </w:r>
          </w:p>
        </w:tc>
        <w:tc>
          <w:tcPr>
            <w:tcW w:w="7261" w:type="dxa"/>
            <w:noWrap/>
            <w:vAlign w:val="center"/>
          </w:tcPr>
          <w:p>
            <w:pPr>
              <w:adjustRightInd w:val="0"/>
              <w:snapToGrid w:val="0"/>
              <w:spacing w:after="0" w:line="240" w:lineRule="atLeast"/>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根据供应商服务本项目提供的相应设备（如浓度报警器、防爆相机、防爆手机、车辆等）及系统，结合本项目需求的契合度评分。（0-3分）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57" w:hRule="atLeast"/>
          <w:jc w:val="center"/>
        </w:trPr>
        <w:tc>
          <w:tcPr>
            <w:tcW w:w="695" w:type="dxa"/>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3</w:t>
            </w:r>
          </w:p>
        </w:tc>
        <w:tc>
          <w:tcPr>
            <w:tcW w:w="1131" w:type="dxa"/>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认证情况</w:t>
            </w:r>
          </w:p>
          <w:p>
            <w:pPr>
              <w:adjustRightInd w:val="0"/>
              <w:snapToGrid w:val="0"/>
              <w:spacing w:after="0" w:line="240" w:lineRule="atLeast"/>
              <w:jc w:val="center"/>
              <w:rPr>
                <w:rFonts w:ascii="微软雅黑" w:hAnsi="微软雅黑"/>
                <w:color w:val="000000" w:themeColor="text1"/>
                <w:highlight w:val="none"/>
                <w:lang w:val="zh-CN"/>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w:t>
            </w:r>
            <w:r>
              <w:rPr>
                <w:rFonts w:hint="eastAsia" w:ascii="微软雅黑" w:hAnsi="微软雅黑"/>
                <w:color w:val="000000" w:themeColor="text1"/>
                <w:highlight w:val="none"/>
                <w:lang w:val="en-US" w:eastAsia="zh-CN"/>
                <w14:textFill>
                  <w14:solidFill>
                    <w14:schemeClr w14:val="tx1"/>
                  </w14:solidFill>
                </w14:textFill>
              </w:rPr>
              <w:t>3</w:t>
            </w:r>
            <w:r>
              <w:rPr>
                <w:rFonts w:hint="eastAsia" w:ascii="微软雅黑" w:hAnsi="微软雅黑"/>
                <w:color w:val="000000" w:themeColor="text1"/>
                <w:highlight w:val="none"/>
                <w14:textFill>
                  <w14:solidFill>
                    <w14:schemeClr w14:val="tx1"/>
                  </w14:solidFill>
                </w14:textFill>
              </w:rPr>
              <w:t>分）</w:t>
            </w:r>
          </w:p>
        </w:tc>
        <w:tc>
          <w:tcPr>
            <w:tcW w:w="7261" w:type="dxa"/>
            <w:noWrap/>
            <w:vAlign w:val="center"/>
          </w:tcPr>
          <w:p>
            <w:pPr>
              <w:adjustRightInd w:val="0"/>
              <w:snapToGrid w:val="0"/>
              <w:spacing w:after="0" w:line="240" w:lineRule="atLeast"/>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供应商具有有效期内的质量体系认证、环境管理体系认证、职业健康安全管理体系认证证书的，每有1项得</w:t>
            </w:r>
            <w:r>
              <w:rPr>
                <w:rFonts w:hint="eastAsia" w:ascii="微软雅黑" w:hAnsi="微软雅黑"/>
                <w:color w:val="000000" w:themeColor="text1"/>
                <w:highlight w:val="none"/>
                <w:lang w:val="en-US" w:eastAsia="zh-CN"/>
                <w14:textFill>
                  <w14:solidFill>
                    <w14:schemeClr w14:val="tx1"/>
                  </w14:solidFill>
                </w14:textFill>
              </w:rPr>
              <w:t>1</w:t>
            </w:r>
            <w:r>
              <w:rPr>
                <w:rFonts w:hint="eastAsia" w:ascii="微软雅黑" w:hAnsi="微软雅黑"/>
                <w:color w:val="000000" w:themeColor="text1"/>
                <w:highlight w:val="none"/>
                <w14:textFill>
                  <w14:solidFill>
                    <w14:schemeClr w14:val="tx1"/>
                  </w14:solidFill>
                </w14:textFill>
              </w:rPr>
              <w:t>分，本项最高得</w:t>
            </w:r>
            <w:r>
              <w:rPr>
                <w:rFonts w:hint="eastAsia" w:ascii="微软雅黑" w:hAnsi="微软雅黑"/>
                <w:color w:val="000000" w:themeColor="text1"/>
                <w:highlight w:val="none"/>
                <w:lang w:val="en-US" w:eastAsia="zh-CN"/>
                <w14:textFill>
                  <w14:solidFill>
                    <w14:schemeClr w14:val="tx1"/>
                  </w14:solidFill>
                </w14:textFill>
              </w:rPr>
              <w:t>3</w:t>
            </w:r>
            <w:r>
              <w:rPr>
                <w:rFonts w:hint="eastAsia" w:ascii="微软雅黑" w:hAnsi="微软雅黑"/>
                <w:color w:val="000000" w:themeColor="text1"/>
                <w:highlight w:val="none"/>
                <w14:textFill>
                  <w14:solidFill>
                    <w14:schemeClr w14:val="tx1"/>
                  </w14:solidFill>
                </w14:textFill>
              </w:rPr>
              <w:t>分。（需提供有效期内认证证书清晰扫描件并加盖供应商公章）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57" w:hRule="atLeast"/>
          <w:jc w:val="center"/>
        </w:trPr>
        <w:tc>
          <w:tcPr>
            <w:tcW w:w="695" w:type="dxa"/>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4</w:t>
            </w:r>
          </w:p>
        </w:tc>
        <w:tc>
          <w:tcPr>
            <w:tcW w:w="1131" w:type="dxa"/>
            <w:noWrap/>
            <w:vAlign w:val="center"/>
          </w:tcPr>
          <w:p>
            <w:pPr>
              <w:adjustRightInd w:val="0"/>
              <w:snapToGrid w:val="0"/>
              <w:spacing w:after="0" w:line="240" w:lineRule="atLeast"/>
              <w:jc w:val="center"/>
              <w:rPr>
                <w:rFonts w:ascii="微软雅黑" w:hAnsi="微软雅黑"/>
                <w:color w:val="000000" w:themeColor="text1"/>
                <w:highlight w:val="none"/>
                <w:lang w:val="zh-CN"/>
                <w14:textFill>
                  <w14:solidFill>
                    <w14:schemeClr w14:val="tx1"/>
                  </w14:solidFill>
                </w14:textFill>
              </w:rPr>
            </w:pPr>
            <w:r>
              <w:rPr>
                <w:rFonts w:hint="eastAsia" w:ascii="微软雅黑" w:hAnsi="微软雅黑"/>
                <w:color w:val="000000" w:themeColor="text1"/>
                <w:highlight w:val="none"/>
                <w:lang w:val="zh-CN"/>
                <w14:textFill>
                  <w14:solidFill>
                    <w14:schemeClr w14:val="tx1"/>
                  </w14:solidFill>
                </w14:textFill>
              </w:rPr>
              <w:t>项目业绩</w:t>
            </w:r>
          </w:p>
          <w:p>
            <w:pPr>
              <w:adjustRightInd w:val="0"/>
              <w:snapToGrid w:val="0"/>
              <w:spacing w:after="0" w:line="240" w:lineRule="atLeast"/>
              <w:jc w:val="center"/>
              <w:rPr>
                <w:rFonts w:ascii="微软雅黑" w:hAnsi="微软雅黑"/>
                <w:color w:val="000000" w:themeColor="text1"/>
                <w:highlight w:val="none"/>
                <w:lang w:val="zh-CN"/>
                <w14:textFill>
                  <w14:solidFill>
                    <w14:schemeClr w14:val="tx1"/>
                  </w14:solidFill>
                </w14:textFill>
              </w:rPr>
            </w:pPr>
            <w:r>
              <w:rPr>
                <w:rFonts w:hint="eastAsia" w:ascii="微软雅黑" w:hAnsi="微软雅黑"/>
                <w:color w:val="000000" w:themeColor="text1"/>
                <w:highlight w:val="none"/>
                <w:lang w:val="zh-CN"/>
                <w14:textFill>
                  <w14:solidFill>
                    <w14:schemeClr w14:val="tx1"/>
                  </w14:solidFill>
                </w14:textFill>
              </w:rPr>
              <w:t>（</w:t>
            </w:r>
            <w:r>
              <w:rPr>
                <w:rFonts w:hint="eastAsia" w:ascii="微软雅黑" w:hAnsi="微软雅黑"/>
                <w:color w:val="000000" w:themeColor="text1"/>
                <w:highlight w:val="none"/>
                <w14:textFill>
                  <w14:solidFill>
                    <w14:schemeClr w14:val="tx1"/>
                  </w14:solidFill>
                </w14:textFill>
              </w:rPr>
              <w:t>1</w:t>
            </w:r>
            <w:r>
              <w:rPr>
                <w:rFonts w:hint="eastAsia" w:ascii="微软雅黑" w:hAnsi="微软雅黑"/>
                <w:color w:val="000000" w:themeColor="text1"/>
                <w:highlight w:val="none"/>
                <w:lang w:val="zh-CN"/>
                <w14:textFill>
                  <w14:solidFill>
                    <w14:schemeClr w14:val="tx1"/>
                  </w14:solidFill>
                </w14:textFill>
              </w:rPr>
              <w:t>分）</w:t>
            </w:r>
          </w:p>
        </w:tc>
        <w:tc>
          <w:tcPr>
            <w:tcW w:w="7261" w:type="dxa"/>
            <w:noWrap/>
            <w:vAlign w:val="center"/>
          </w:tcPr>
          <w:p>
            <w:pPr>
              <w:adjustRightInd w:val="0"/>
              <w:snapToGrid w:val="0"/>
              <w:spacing w:after="0" w:line="240" w:lineRule="atLeast"/>
              <w:jc w:val="left"/>
              <w:rPr>
                <w:rFonts w:ascii="微软雅黑" w:hAnsi="微软雅黑"/>
                <w:color w:val="000000" w:themeColor="text1"/>
                <w:highlight w:val="none"/>
                <w:lang w:val="zh-CN"/>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供应商自2019年1月1日（以合同签订时间为准）以来承担过</w:t>
            </w:r>
            <w:r>
              <w:rPr>
                <w:rFonts w:hint="eastAsia" w:ascii="微软雅黑" w:hAnsi="微软雅黑"/>
                <w:color w:val="000000" w:themeColor="text1"/>
                <w:highlight w:val="none"/>
                <w:lang w:val="zh-CN"/>
                <w14:textFill>
                  <w14:solidFill>
                    <w14:schemeClr w14:val="tx1"/>
                  </w14:solidFill>
                </w14:textFill>
              </w:rPr>
              <w:t>同类项目</w:t>
            </w:r>
            <w:r>
              <w:rPr>
                <w:rFonts w:hint="eastAsia" w:ascii="微软雅黑" w:hAnsi="微软雅黑"/>
                <w:color w:val="000000" w:themeColor="text1"/>
                <w:highlight w:val="none"/>
                <w14:textFill>
                  <w14:solidFill>
                    <w14:schemeClr w14:val="tx1"/>
                  </w14:solidFill>
                </w14:textFill>
              </w:rPr>
              <w:t>业绩：每提供1个业绩得0.5分，最高得1分。（需提供</w:t>
            </w:r>
            <w:r>
              <w:rPr>
                <w:rFonts w:hint="eastAsia" w:ascii="微软雅黑" w:hAnsi="微软雅黑"/>
                <w:b/>
                <w:bCs/>
                <w:color w:val="000000" w:themeColor="text1"/>
                <w:highlight w:val="none"/>
                <w14:textFill>
                  <w14:solidFill>
                    <w14:schemeClr w14:val="tx1"/>
                  </w14:solidFill>
                </w14:textFill>
              </w:rPr>
              <w:t>合同清晰扫描件</w:t>
            </w:r>
            <w:r>
              <w:rPr>
                <w:rFonts w:hint="eastAsia" w:ascii="微软雅黑" w:hAnsi="微软雅黑"/>
                <w:color w:val="000000" w:themeColor="text1"/>
                <w:highlight w:val="none"/>
                <w14:textFill>
                  <w14:solidFill>
                    <w14:schemeClr w14:val="tx1"/>
                  </w14:solidFill>
                </w14:textFill>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57" w:hRule="atLeast"/>
          <w:jc w:val="center"/>
        </w:trPr>
        <w:tc>
          <w:tcPr>
            <w:tcW w:w="695" w:type="dxa"/>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5</w:t>
            </w:r>
          </w:p>
        </w:tc>
        <w:tc>
          <w:tcPr>
            <w:tcW w:w="1131" w:type="dxa"/>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服务保障能力</w:t>
            </w:r>
          </w:p>
          <w:p>
            <w:pPr>
              <w:adjustRightInd w:val="0"/>
              <w:snapToGrid w:val="0"/>
              <w:spacing w:after="0" w:line="240" w:lineRule="atLeast"/>
              <w:jc w:val="center"/>
              <w:rPr>
                <w:rFonts w:ascii="微软雅黑" w:hAnsi="微软雅黑"/>
                <w:color w:val="000000" w:themeColor="text1"/>
                <w:highlight w:val="none"/>
                <w:lang w:val="zh-CN"/>
                <w14:textFill>
                  <w14:solidFill>
                    <w14:schemeClr w14:val="tx1"/>
                  </w14:solidFill>
                </w14:textFill>
              </w:rPr>
            </w:pPr>
            <w:r>
              <w:rPr>
                <w:rFonts w:hint="eastAsia" w:ascii="微软雅黑" w:hAnsi="微软雅黑"/>
                <w:color w:val="000000" w:themeColor="text1"/>
                <w:highlight w:val="none"/>
                <w:lang w:val="zh-CN"/>
                <w14:textFill>
                  <w14:solidFill>
                    <w14:schemeClr w14:val="tx1"/>
                  </w14:solidFill>
                </w14:textFill>
              </w:rPr>
              <w:t>（</w:t>
            </w:r>
            <w:r>
              <w:rPr>
                <w:rFonts w:hint="eastAsia" w:ascii="微软雅黑" w:hAnsi="微软雅黑"/>
                <w:color w:val="000000" w:themeColor="text1"/>
                <w:highlight w:val="none"/>
                <w14:textFill>
                  <w14:solidFill>
                    <w14:schemeClr w14:val="tx1"/>
                  </w14:solidFill>
                </w14:textFill>
              </w:rPr>
              <w:t>8</w:t>
            </w:r>
            <w:r>
              <w:rPr>
                <w:rFonts w:hint="eastAsia" w:ascii="微软雅黑" w:hAnsi="微软雅黑"/>
                <w:color w:val="000000" w:themeColor="text1"/>
                <w:highlight w:val="none"/>
                <w:lang w:val="zh-CN"/>
                <w14:textFill>
                  <w14:solidFill>
                    <w14:schemeClr w14:val="tx1"/>
                  </w14:solidFill>
                </w14:textFill>
              </w:rPr>
              <w:t>分）</w:t>
            </w:r>
          </w:p>
        </w:tc>
        <w:tc>
          <w:tcPr>
            <w:tcW w:w="7261" w:type="dxa"/>
            <w:noWrap/>
            <w:vAlign w:val="center"/>
          </w:tcPr>
          <w:p>
            <w:pPr>
              <w:pStyle w:val="2"/>
              <w:numPr>
                <w:ilvl w:val="0"/>
                <w:numId w:val="34"/>
              </w:numPr>
              <w:adjustRightInd w:val="0"/>
              <w:snapToGrid w:val="0"/>
              <w:spacing w:after="0" w:line="240" w:lineRule="atLeast"/>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供应商办公场所、综合技术及人员力量以及服务保障措施等进行评分；（2-5分）</w:t>
            </w:r>
          </w:p>
          <w:p>
            <w:pPr>
              <w:pStyle w:val="2"/>
              <w:numPr>
                <w:ilvl w:val="0"/>
                <w:numId w:val="34"/>
              </w:numPr>
              <w:adjustRightInd w:val="0"/>
              <w:snapToGrid w:val="0"/>
              <w:spacing w:after="0" w:line="240" w:lineRule="atLeast"/>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项目负责人具有高级工程师（</w:t>
            </w:r>
            <w:r>
              <w:rPr>
                <w:rFonts w:hint="eastAsia" w:ascii="微软雅黑" w:hAnsi="微软雅黑"/>
                <w:color w:val="000000" w:themeColor="text1"/>
                <w:highlight w:val="none"/>
                <w:lang w:val="en-US" w:eastAsia="zh-CN"/>
                <w14:textFill>
                  <w14:solidFill>
                    <w14:schemeClr w14:val="tx1"/>
                  </w14:solidFill>
                </w14:textFill>
              </w:rPr>
              <w:t>化工或</w:t>
            </w:r>
            <w:r>
              <w:rPr>
                <w:rFonts w:hint="eastAsia" w:ascii="微软雅黑" w:hAnsi="微软雅黑"/>
                <w:color w:val="000000" w:themeColor="text1"/>
                <w:highlight w:val="none"/>
                <w14:textFill>
                  <w14:solidFill>
                    <w14:schemeClr w14:val="tx1"/>
                  </w14:solidFill>
                </w14:textFill>
              </w:rPr>
              <w:t>安全技术</w:t>
            </w:r>
            <w:r>
              <w:rPr>
                <w:rFonts w:hint="eastAsia" w:ascii="微软雅黑" w:hAnsi="微软雅黑"/>
                <w:color w:val="000000" w:themeColor="text1"/>
                <w:highlight w:val="none"/>
                <w:lang w:val="en-US" w:eastAsia="zh-CN"/>
                <w14:textFill>
                  <w14:solidFill>
                    <w14:schemeClr w14:val="tx1"/>
                  </w14:solidFill>
                </w14:textFill>
              </w:rPr>
              <w:t>服务</w:t>
            </w:r>
            <w:r>
              <w:rPr>
                <w:rFonts w:hint="eastAsia" w:ascii="微软雅黑" w:hAnsi="微软雅黑"/>
                <w:color w:val="000000" w:themeColor="text1"/>
                <w:highlight w:val="none"/>
                <w14:textFill>
                  <w14:solidFill>
                    <w14:schemeClr w14:val="tx1"/>
                  </w14:solidFill>
                </w14:textFill>
              </w:rPr>
              <w:t>相关专业）及以上技术职称的，得3分，须提供项目负责人职称证书清晰复印件编制在响应文件中，否则不得分。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57" w:hRule="atLeast"/>
          <w:jc w:val="center"/>
        </w:trPr>
        <w:tc>
          <w:tcPr>
            <w:tcW w:w="695" w:type="dxa"/>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6</w:t>
            </w:r>
          </w:p>
        </w:tc>
        <w:tc>
          <w:tcPr>
            <w:tcW w:w="1131" w:type="dxa"/>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合理化建议（3分）</w:t>
            </w:r>
          </w:p>
        </w:tc>
        <w:tc>
          <w:tcPr>
            <w:tcW w:w="7261" w:type="dxa"/>
            <w:noWrap/>
            <w:vAlign w:val="center"/>
          </w:tcPr>
          <w:p>
            <w:pPr>
              <w:pStyle w:val="2"/>
              <w:adjustRightInd w:val="0"/>
              <w:snapToGrid w:val="0"/>
              <w:spacing w:after="0" w:line="240" w:lineRule="atLeast"/>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针对本项目的合理化建议及改进措施，经评审小组一致认可，对本项目的实施具有积极作用的，每有一项得1分，最多得3分。</w:t>
            </w:r>
            <w:r>
              <w:rPr>
                <w:rFonts w:hint="eastAsia" w:ascii="微软雅黑" w:hAnsi="微软雅黑"/>
                <w:bCs/>
                <w:color w:val="000000" w:themeColor="text1"/>
                <w:highlight w:val="none"/>
                <w14:textFill>
                  <w14:solidFill>
                    <w14:schemeClr w14:val="tx1"/>
                  </w14:solidFill>
                </w14:textFill>
              </w:rPr>
              <w:t>（</w:t>
            </w:r>
            <w:r>
              <w:rPr>
                <w:rFonts w:hint="eastAsia" w:ascii="微软雅黑" w:hAnsi="微软雅黑"/>
                <w:color w:val="000000" w:themeColor="text1"/>
                <w:highlight w:val="none"/>
                <w14:textFill>
                  <w14:solidFill>
                    <w14:schemeClr w14:val="tx1"/>
                  </w14:solidFill>
                </w14:textFill>
              </w:rPr>
              <w:t>0-</w:t>
            </w:r>
            <w:r>
              <w:rPr>
                <w:rFonts w:hint="eastAsia" w:ascii="微软雅黑" w:hAnsi="微软雅黑"/>
                <w:bCs/>
                <w:color w:val="000000" w:themeColor="text1"/>
                <w:highlight w:val="none"/>
                <w14:textFill>
                  <w14:solidFill>
                    <w14:schemeClr w14:val="tx1"/>
                  </w14:solidFill>
                </w14:textFill>
              </w:rPr>
              <w:t>3</w:t>
            </w:r>
            <w:r>
              <w:rPr>
                <w:rFonts w:hint="eastAsia" w:ascii="微软雅黑" w:hAnsi="微软雅黑"/>
                <w:color w:val="000000" w:themeColor="text1"/>
                <w:highlight w:val="none"/>
                <w14:textFill>
                  <w14:solidFill>
                    <w14:schemeClr w14:val="tx1"/>
                  </w14:solidFill>
                </w14:textFill>
              </w:rPr>
              <w:t>分</w:t>
            </w:r>
            <w:r>
              <w:rPr>
                <w:rFonts w:hint="eastAsia" w:ascii="微软雅黑" w:hAnsi="微软雅黑"/>
                <w:bCs/>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57" w:hRule="atLeast"/>
          <w:jc w:val="center"/>
        </w:trPr>
        <w:tc>
          <w:tcPr>
            <w:tcW w:w="695" w:type="dxa"/>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7</w:t>
            </w:r>
          </w:p>
        </w:tc>
        <w:tc>
          <w:tcPr>
            <w:tcW w:w="1131" w:type="dxa"/>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诚信分</w:t>
            </w:r>
          </w:p>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（2分）</w:t>
            </w:r>
          </w:p>
        </w:tc>
        <w:tc>
          <w:tcPr>
            <w:tcW w:w="7261" w:type="dxa"/>
            <w:noWrap/>
            <w:vAlign w:val="center"/>
          </w:tcPr>
          <w:p>
            <w:pPr>
              <w:pStyle w:val="2"/>
              <w:adjustRightInd w:val="0"/>
              <w:snapToGrid w:val="0"/>
              <w:spacing w:after="0" w:line="240" w:lineRule="atLeast"/>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凡在投标截止时间前三年受到行政处罚、行政处理(含通报)或记入不良行为的，此项得分为0;若无处罚、行政处理(含通)报)或记入不良行为的得2分（投标供应商自行提供承诺函，不提供承诺函的得0分，如有不良记录又虚假承诺的，一经发现将取消中标资格并报监管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57" w:hRule="atLeast"/>
          <w:jc w:val="center"/>
        </w:trPr>
        <w:tc>
          <w:tcPr>
            <w:tcW w:w="695" w:type="dxa"/>
            <w:noWrap/>
            <w:vAlign w:val="center"/>
          </w:tcPr>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8</w:t>
            </w:r>
          </w:p>
        </w:tc>
        <w:tc>
          <w:tcPr>
            <w:tcW w:w="1131" w:type="dxa"/>
            <w:noWrap/>
            <w:vAlign w:val="center"/>
          </w:tcPr>
          <w:p>
            <w:pPr>
              <w:adjustRightInd w:val="0"/>
              <w:snapToGrid w:val="0"/>
              <w:spacing w:after="0" w:line="240" w:lineRule="atLeast"/>
              <w:jc w:val="center"/>
              <w:rPr>
                <w:rFonts w:ascii="微软雅黑" w:hAnsi="微软雅黑"/>
                <w:bCs/>
                <w:color w:val="000000" w:themeColor="text1"/>
                <w:spacing w:val="-4"/>
                <w:highlight w:val="none"/>
                <w14:textFill>
                  <w14:solidFill>
                    <w14:schemeClr w14:val="tx1"/>
                  </w14:solidFill>
                </w14:textFill>
              </w:rPr>
            </w:pPr>
            <w:r>
              <w:rPr>
                <w:rFonts w:hint="eastAsia" w:ascii="微软雅黑" w:hAnsi="微软雅黑"/>
                <w:bCs/>
                <w:color w:val="000000" w:themeColor="text1"/>
                <w:spacing w:val="-4"/>
                <w:highlight w:val="none"/>
                <w14:textFill>
                  <w14:solidFill>
                    <w14:schemeClr w14:val="tx1"/>
                  </w14:solidFill>
                </w14:textFill>
              </w:rPr>
              <w:t>响应文件关联</w:t>
            </w:r>
          </w:p>
          <w:p>
            <w:pPr>
              <w:adjustRightInd w:val="0"/>
              <w:snapToGrid w:val="0"/>
              <w:spacing w:after="0" w:line="240" w:lineRule="atLeast"/>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（2分）</w:t>
            </w:r>
          </w:p>
        </w:tc>
        <w:tc>
          <w:tcPr>
            <w:tcW w:w="7261" w:type="dxa"/>
            <w:noWrap/>
            <w:vAlign w:val="center"/>
          </w:tcPr>
          <w:p>
            <w:pPr>
              <w:pStyle w:val="2"/>
              <w:adjustRightInd w:val="0"/>
              <w:snapToGrid w:val="0"/>
              <w:spacing w:after="0" w:line="240" w:lineRule="atLeast"/>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响应文件编制完整、格式规范，合格供应商资格要求、响应文件的编制及评分标准等内容关联到位并符合采购文件要求的，得2分；响应文件有关内容前后矛盾、与采购文件要求不一致等，评标委员会允许且需要通过询标等程序进行澄清的，该项不得分；响应文件存在其他错漏的，每项（次）扣 0.5分，扣完该项得分为止；合格供应商资格要求、响应文件的编制及评分标准等内容未进行一一关联，得0分。</w:t>
            </w:r>
          </w:p>
        </w:tc>
      </w:tr>
    </w:tbl>
    <w:p>
      <w:pPr>
        <w:pStyle w:val="2"/>
        <w:tabs>
          <w:tab w:val="left" w:pos="630"/>
        </w:tabs>
        <w:adjustRightInd w:val="0"/>
        <w:snapToGrid w:val="0"/>
        <w:spacing w:line="240" w:lineRule="auto"/>
        <w:rPr>
          <w:color w:val="000000" w:themeColor="text1"/>
          <w:highlight w:val="none"/>
          <w14:textFill>
            <w14:solidFill>
              <w14:schemeClr w14:val="tx1"/>
            </w14:solidFill>
          </w14:textFill>
        </w:rPr>
      </w:pPr>
    </w:p>
    <w:p>
      <w:pPr>
        <w:spacing w:after="0" w:line="360" w:lineRule="auto"/>
        <w:ind w:firstLine="420" w:firstLineChars="200"/>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注：</w:t>
      </w:r>
    </w:p>
    <w:p>
      <w:pPr>
        <w:spacing w:after="0" w:line="360" w:lineRule="auto"/>
        <w:ind w:firstLine="420" w:firstLineChars="200"/>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上述评分表中所涉及到的所有证书、合同及相关证明材料，必须真实可信，所有证书及证明材料扫描件附入电子投标响应文件并加盖电子签章。若提供的材料被核实为虚假的，则作废标处理。</w:t>
      </w:r>
    </w:p>
    <w:p>
      <w:pPr>
        <w:spacing w:after="0" w:line="360" w:lineRule="auto"/>
        <w:ind w:firstLine="420" w:firstLineChars="200"/>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评审小组根据评分因素表，对各有效投标人的商务技术及资信标进行评审，商务技术由各专家独立评分，评分值保留小数1位，</w:t>
      </w:r>
      <w:r>
        <w:rPr>
          <w:rFonts w:hint="eastAsia" w:ascii="微软雅黑" w:hAnsi="微软雅黑"/>
          <w:b/>
          <w:color w:val="000000" w:themeColor="text1"/>
          <w:highlight w:val="none"/>
          <w14:textFill>
            <w14:solidFill>
              <w14:schemeClr w14:val="tx1"/>
            </w14:solidFill>
          </w14:textFill>
        </w:rPr>
        <w:t>缺项则该项得“0”分</w:t>
      </w:r>
      <w:r>
        <w:rPr>
          <w:rFonts w:hint="eastAsia" w:ascii="微软雅黑" w:hAnsi="微软雅黑"/>
          <w:bCs/>
          <w:color w:val="000000" w:themeColor="text1"/>
          <w:highlight w:val="none"/>
          <w14:textFill>
            <w14:solidFill>
              <w14:schemeClr w14:val="tx1"/>
            </w14:solidFill>
          </w14:textFill>
        </w:rPr>
        <w:t>。投标人最终商务技术及资信标得分为评审小组所有成员的有效评分的算术平均值，计算时保留小数2位。</w:t>
      </w:r>
    </w:p>
    <w:p>
      <w:pPr>
        <w:pStyle w:val="4"/>
        <w:tabs>
          <w:tab w:val="left" w:pos="630"/>
        </w:tabs>
        <w:adjustRightInd w:val="0"/>
        <w:snapToGrid w:val="0"/>
        <w:spacing w:beforeLines="0" w:line="240" w:lineRule="auto"/>
        <w:jc w:val="center"/>
        <w:rPr>
          <w:rFonts w:ascii="微软雅黑" w:hAnsi="微软雅黑"/>
          <w:color w:val="000000" w:themeColor="text1"/>
          <w:szCs w:val="21"/>
          <w:highlight w:val="none"/>
          <w14:textFill>
            <w14:solidFill>
              <w14:schemeClr w14:val="tx1"/>
            </w14:solidFill>
          </w14:textFill>
        </w:rPr>
        <w:sectPr>
          <w:pgSz w:w="11906" w:h="16838"/>
          <w:pgMar w:top="1134" w:right="1474" w:bottom="1134" w:left="1474" w:header="851" w:footer="510" w:gutter="0"/>
          <w:cols w:space="0" w:num="1"/>
          <w:docGrid w:linePitch="312" w:charSpace="0"/>
        </w:sectPr>
      </w:pPr>
    </w:p>
    <w:p>
      <w:pPr>
        <w:pStyle w:val="4"/>
        <w:spacing w:before="360"/>
        <w:jc w:val="center"/>
        <w:rPr>
          <w:rFonts w:ascii="微软雅黑" w:hAnsi="微软雅黑"/>
          <w:color w:val="000000" w:themeColor="text1"/>
          <w:szCs w:val="21"/>
          <w:highlight w:val="none"/>
          <w14:textFill>
            <w14:solidFill>
              <w14:schemeClr w14:val="tx1"/>
            </w14:solidFill>
          </w14:textFill>
        </w:rPr>
      </w:pPr>
      <w:bookmarkStart w:id="603" w:name="_Toc5502"/>
      <w:r>
        <w:rPr>
          <w:rFonts w:hint="eastAsia" w:ascii="微软雅黑" w:hAnsi="微软雅黑"/>
          <w:color w:val="000000" w:themeColor="text1"/>
          <w:szCs w:val="21"/>
          <w:highlight w:val="none"/>
          <w14:textFill>
            <w14:solidFill>
              <w14:schemeClr w14:val="tx1"/>
            </w14:solidFill>
          </w14:textFill>
        </w:rPr>
        <w:t>第六章 磋商相关文件格式</w:t>
      </w:r>
      <w:bookmarkEnd w:id="597"/>
      <w:bookmarkEnd w:id="600"/>
      <w:bookmarkEnd w:id="601"/>
      <w:bookmarkEnd w:id="602"/>
      <w:bookmarkEnd w:id="603"/>
      <w:bookmarkStart w:id="604" w:name="_Toc15805942"/>
      <w:bookmarkStart w:id="605" w:name="_Toc15813259"/>
      <w:bookmarkStart w:id="606" w:name="_Toc45506740"/>
      <w:bookmarkStart w:id="607" w:name="_Toc47756041"/>
    </w:p>
    <w:p>
      <w:pPr>
        <w:adjustRightInd w:val="0"/>
        <w:spacing w:line="360" w:lineRule="auto"/>
        <w:jc w:val="center"/>
        <w:outlineLvl w:val="0"/>
        <w:rPr>
          <w:rFonts w:ascii="微软雅黑" w:hAnsi="微软雅黑"/>
          <w:b/>
          <w:color w:val="000000" w:themeColor="text1"/>
          <w:spacing w:val="28"/>
          <w:sz w:val="28"/>
          <w:szCs w:val="28"/>
          <w:highlight w:val="none"/>
          <w14:textFill>
            <w14:solidFill>
              <w14:schemeClr w14:val="tx1"/>
            </w14:solidFill>
          </w14:textFill>
        </w:rPr>
      </w:pPr>
      <w:bookmarkStart w:id="608" w:name="_Toc22413"/>
      <w:r>
        <w:rPr>
          <w:rFonts w:hint="eastAsia" w:ascii="微软雅黑" w:hAnsi="微软雅黑"/>
          <w:b/>
          <w:color w:val="000000" w:themeColor="text1"/>
          <w:spacing w:val="28"/>
          <w:sz w:val="28"/>
          <w:szCs w:val="28"/>
          <w:highlight w:val="none"/>
          <w14:textFill>
            <w14:solidFill>
              <w14:schemeClr w14:val="tx1"/>
            </w14:solidFill>
          </w14:textFill>
        </w:rPr>
        <w:t>磋商响应函</w:t>
      </w:r>
      <w:bookmarkEnd w:id="608"/>
    </w:p>
    <w:p>
      <w:pPr>
        <w:adjustRightInd w:val="0"/>
        <w:spacing w:line="360" w:lineRule="auto"/>
        <w:rPr>
          <w:rFonts w:ascii="微软雅黑" w:hAnsi="微软雅黑"/>
          <w:color w:val="000000" w:themeColor="text1"/>
          <w:highlight w:val="none"/>
          <w:u w:val="singl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致：嘉兴经济技术开发区建设交通局</w:t>
      </w:r>
    </w:p>
    <w:p>
      <w:pPr>
        <w:adjustRightIn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根据贵方为</w:t>
      </w:r>
      <w:r>
        <w:rPr>
          <w:rFonts w:hint="eastAsia" w:ascii="微软雅黑" w:hAnsi="微软雅黑"/>
          <w:b/>
          <w:bCs/>
          <w:color w:val="000000" w:themeColor="text1"/>
          <w:highlight w:val="none"/>
          <w:u w:val="single"/>
          <w14:textFill>
            <w14:solidFill>
              <w14:schemeClr w14:val="tx1"/>
            </w14:solidFill>
          </w14:textFill>
        </w:rPr>
        <w:t>嘉兴经济技术开发区燃气管家服务采购项目</w:t>
      </w:r>
      <w:r>
        <w:rPr>
          <w:rFonts w:hint="eastAsia" w:ascii="微软雅黑" w:hAnsi="微软雅黑"/>
          <w:color w:val="000000" w:themeColor="text1"/>
          <w:highlight w:val="none"/>
          <w14:textFill>
            <w14:solidFill>
              <w14:schemeClr w14:val="tx1"/>
            </w14:solidFill>
          </w14:textFill>
        </w:rPr>
        <w:t>的磋商[</w:t>
      </w:r>
      <w:r>
        <w:rPr>
          <w:rFonts w:hint="eastAsia" w:ascii="微软雅黑" w:hAnsi="微软雅黑"/>
          <w:color w:val="000000" w:themeColor="text1"/>
          <w:highlight w:val="none"/>
          <w:u w:val="single"/>
          <w:lang w:eastAsia="zh-CN"/>
          <w14:textFill>
            <w14:solidFill>
              <w14:schemeClr w14:val="tx1"/>
            </w14:solidFill>
          </w14:textFill>
        </w:rPr>
        <w:t>SHHR-2022-053</w:t>
      </w:r>
      <w:r>
        <w:rPr>
          <w:rFonts w:hint="eastAsia" w:ascii="微软雅黑" w:hAnsi="微软雅黑"/>
          <w:color w:val="000000" w:themeColor="text1"/>
          <w:highlight w:val="none"/>
          <w14:textFill>
            <w14:solidFill>
              <w14:schemeClr w14:val="tx1"/>
            </w14:solidFill>
          </w14:textFill>
        </w:rPr>
        <w:t>]（项目编号），签字代表____________（全名）经正式授权并代表磋商响应方____________（磋商响应方名称）提交</w:t>
      </w:r>
      <w:r>
        <w:rPr>
          <w:rFonts w:hint="eastAsia" w:ascii="微软雅黑" w:hAnsi="微软雅黑"/>
          <w:b/>
          <w:color w:val="000000" w:themeColor="text1"/>
          <w:highlight w:val="none"/>
          <w14:textFill>
            <w14:solidFill>
              <w14:schemeClr w14:val="tx1"/>
            </w14:solidFill>
          </w14:textFill>
        </w:rPr>
        <w:t>资格响应文件、商务技术文件、报价文件</w:t>
      </w:r>
      <w:r>
        <w:rPr>
          <w:rFonts w:hint="eastAsia" w:ascii="微软雅黑" w:hAnsi="微软雅黑"/>
          <w:color w:val="000000" w:themeColor="text1"/>
          <w:highlight w:val="none"/>
          <w14:textFill>
            <w14:solidFill>
              <w14:schemeClr w14:val="tx1"/>
            </w14:solidFill>
          </w14:textFill>
        </w:rPr>
        <w:t>各一份。</w:t>
      </w:r>
    </w:p>
    <w:p>
      <w:pPr>
        <w:adjustRightIn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据此函，签字代表宣布同意如下：</w:t>
      </w:r>
    </w:p>
    <w:p>
      <w:pPr>
        <w:adjustRightIn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磋商响应方将按“磋商文件”的规定履行协议责任和义务。磋商响应方已详细审查全部“磋商文件”，包括修改文件（如有的话）以及全部参考资料和有关附件。我们完全理解并同意放弃对这方面有不明及误解的权利。</w:t>
      </w:r>
    </w:p>
    <w:p>
      <w:pPr>
        <w:adjustRightIn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本磋商响应文件有效期自开标日起</w:t>
      </w:r>
      <w:r>
        <w:rPr>
          <w:rFonts w:hint="eastAsia" w:ascii="微软雅黑" w:hAnsi="微软雅黑"/>
          <w:color w:val="000000" w:themeColor="text1"/>
          <w:highlight w:val="none"/>
          <w:u w:val="single"/>
          <w14:textFill>
            <w14:solidFill>
              <w14:schemeClr w14:val="tx1"/>
            </w14:solidFill>
          </w14:textFill>
        </w:rPr>
        <w:t>__60天__</w:t>
      </w:r>
      <w:r>
        <w:rPr>
          <w:rFonts w:hint="eastAsia" w:ascii="微软雅黑" w:hAnsi="微软雅黑"/>
          <w:color w:val="000000" w:themeColor="text1"/>
          <w:highlight w:val="none"/>
          <w14:textFill>
            <w14:solidFill>
              <w14:schemeClr w14:val="tx1"/>
            </w14:solidFill>
          </w14:textFill>
        </w:rPr>
        <w:t>内有效。磋商响应方同意提供按照贵方要求与磋商有关的一切数据或资料，理解贵方不一定接受最低的磋商报价。</w:t>
      </w:r>
    </w:p>
    <w:p>
      <w:pPr>
        <w:adjustRightIn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与本次磋商有关的一切正式往来通讯请寄：</w:t>
      </w:r>
    </w:p>
    <w:p>
      <w:pPr>
        <w:adjustRightIn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地址：_______________邮编：______________电话：_______________</w:t>
      </w:r>
    </w:p>
    <w:p>
      <w:pPr>
        <w:adjustRightIn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传真：______________磋商响应方被授权人姓名 ____________</w:t>
      </w:r>
    </w:p>
    <w:p>
      <w:pPr>
        <w:adjustRightIn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职务：_____________电话：___________________</w:t>
      </w:r>
    </w:p>
    <w:p>
      <w:pPr>
        <w:adjustRightIn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磋商响应方名称(公章):___________________</w:t>
      </w:r>
    </w:p>
    <w:p>
      <w:pPr>
        <w:adjustRightIn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开户银行：银行帐号：</w:t>
      </w:r>
    </w:p>
    <w:p>
      <w:pPr>
        <w:adjustRightIn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日期:_____年___月___日</w:t>
      </w:r>
    </w:p>
    <w:p>
      <w:pPr>
        <w:adjustRightInd w:val="0"/>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法定代表人或被授权人（签字或盖章）:_______ ____</w:t>
      </w:r>
    </w:p>
    <w:bookmarkEnd w:id="604"/>
    <w:bookmarkEnd w:id="605"/>
    <w:bookmarkEnd w:id="606"/>
    <w:bookmarkEnd w:id="607"/>
    <w:p>
      <w:pPr>
        <w:snapToGrid w:val="0"/>
        <w:spacing w:line="360" w:lineRule="auto"/>
        <w:rPr>
          <w:rFonts w:ascii="微软雅黑" w:hAnsi="微软雅黑"/>
          <w:color w:val="000000" w:themeColor="text1"/>
          <w:highlight w:val="none"/>
          <w14:textFill>
            <w14:solidFill>
              <w14:schemeClr w14:val="tx1"/>
            </w14:solidFill>
          </w14:textFill>
        </w:rPr>
      </w:pPr>
    </w:p>
    <w:p>
      <w:pPr>
        <w:rPr>
          <w:rFonts w:ascii="微软雅黑" w:hAnsi="微软雅黑"/>
          <w:color w:val="000000" w:themeColor="text1"/>
          <w:highlight w:val="none"/>
          <w14:textFill>
            <w14:solidFill>
              <w14:schemeClr w14:val="tx1"/>
            </w14:solidFill>
          </w14:textFill>
        </w:rPr>
      </w:pPr>
      <w:r>
        <w:rPr>
          <w:rFonts w:ascii="微软雅黑" w:hAnsi="微软雅黑"/>
          <w:color w:val="000000" w:themeColor="text1"/>
          <w:highlight w:val="none"/>
          <w14:textFill>
            <w14:solidFill>
              <w14:schemeClr w14:val="tx1"/>
            </w14:solidFill>
          </w14:textFill>
        </w:rPr>
        <w:br w:type="page"/>
      </w:r>
    </w:p>
    <w:p>
      <w:pPr>
        <w:snapToGrid w:val="0"/>
        <w:ind w:leftChars="-50" w:hanging="105" w:hangingChars="50"/>
        <w:rPr>
          <w:rFonts w:ascii="微软雅黑" w:hAnsi="微软雅黑"/>
          <w:b/>
          <w:color w:val="000000" w:themeColor="text1"/>
          <w:highlight w:val="none"/>
          <w14:textFill>
            <w14:solidFill>
              <w14:schemeClr w14:val="tx1"/>
            </w14:solidFill>
          </w14:textFill>
        </w:rPr>
      </w:pPr>
      <w:r>
        <w:rPr>
          <w:rFonts w:ascii="微软雅黑" w:hAnsi="微软雅黑"/>
          <w:color w:val="000000" w:themeColor="text1"/>
          <w:highlight w:val="none"/>
          <w14:textFill>
            <w14:solidFill>
              <w14:schemeClr w14:val="tx1"/>
            </w14:solidFill>
          </w14:textFill>
        </w:rPr>
        <w:t>供应商书面承诺符合参与政府采购活动资格条件的</w:t>
      </w:r>
      <w:r>
        <w:rPr>
          <w:rFonts w:hint="eastAsia" w:ascii="微软雅黑" w:hAnsi="微软雅黑"/>
          <w:color w:val="000000" w:themeColor="text1"/>
          <w:highlight w:val="none"/>
          <w14:textFill>
            <w14:solidFill>
              <w14:schemeClr w14:val="tx1"/>
            </w14:solidFill>
          </w14:textFill>
        </w:rPr>
        <w:t>的承诺函</w:t>
      </w:r>
      <w:r>
        <w:rPr>
          <w:rFonts w:hint="eastAsia" w:ascii="微软雅黑" w:hAnsi="微软雅黑"/>
          <w:b/>
          <w:color w:val="000000" w:themeColor="text1"/>
          <w:highlight w:val="none"/>
          <w14:textFill>
            <w14:solidFill>
              <w14:schemeClr w14:val="tx1"/>
            </w14:solidFill>
          </w14:textFill>
        </w:rPr>
        <w:t>：</w:t>
      </w:r>
    </w:p>
    <w:p>
      <w:pPr>
        <w:ind w:firstLine="420"/>
        <w:jc w:val="center"/>
        <w:rPr>
          <w:rFonts w:ascii="微软雅黑" w:hAnsi="微软雅黑"/>
          <w:b/>
          <w:color w:val="000000" w:themeColor="text1"/>
          <w:highlight w:val="none"/>
          <w14:textFill>
            <w14:solidFill>
              <w14:schemeClr w14:val="tx1"/>
            </w14:solidFill>
          </w14:textFill>
        </w:rPr>
      </w:pPr>
    </w:p>
    <w:p>
      <w:pPr>
        <w:ind w:firstLine="420"/>
        <w:jc w:val="center"/>
        <w:rPr>
          <w:rFonts w:ascii="微软雅黑" w:hAnsi="微软雅黑"/>
          <w:b/>
          <w:color w:val="000000" w:themeColor="text1"/>
          <w:highlight w:val="none"/>
          <w14:textFill>
            <w14:solidFill>
              <w14:schemeClr w14:val="tx1"/>
            </w14:solidFill>
          </w14:textFill>
        </w:rPr>
      </w:pPr>
      <w:r>
        <w:rPr>
          <w:rFonts w:ascii="微软雅黑" w:hAnsi="微软雅黑"/>
          <w:b/>
          <w:bCs/>
          <w:color w:val="000000" w:themeColor="text1"/>
          <w:sz w:val="24"/>
          <w:szCs w:val="24"/>
          <w:highlight w:val="none"/>
          <w14:textFill>
            <w14:solidFill>
              <w14:schemeClr w14:val="tx1"/>
            </w14:solidFill>
          </w14:textFill>
        </w:rPr>
        <w:t>符合参与政府采购活动资格条件的</w:t>
      </w:r>
      <w:r>
        <w:rPr>
          <w:rFonts w:hint="eastAsia" w:ascii="微软雅黑" w:hAnsi="微软雅黑"/>
          <w:b/>
          <w:bCs/>
          <w:color w:val="000000" w:themeColor="text1"/>
          <w:sz w:val="24"/>
          <w:szCs w:val="24"/>
          <w:highlight w:val="none"/>
          <w14:textFill>
            <w14:solidFill>
              <w14:schemeClr w14:val="tx1"/>
            </w14:solidFill>
          </w14:textFill>
        </w:rPr>
        <w:t>的承诺函</w:t>
      </w:r>
    </w:p>
    <w:p>
      <w:pPr>
        <w:ind w:firstLine="420"/>
        <w:jc w:val="center"/>
        <w:rPr>
          <w:rFonts w:ascii="微软雅黑" w:hAnsi="微软雅黑"/>
          <w:b/>
          <w:color w:val="000000" w:themeColor="text1"/>
          <w:highlight w:val="none"/>
          <w14:textFill>
            <w14:solidFill>
              <w14:schemeClr w14:val="tx1"/>
            </w14:solidFill>
          </w14:textFill>
        </w:rPr>
      </w:pPr>
    </w:p>
    <w:p>
      <w:pPr>
        <w:ind w:firstLine="444"/>
        <w:rPr>
          <w:rFonts w:ascii="微软雅黑" w:hAnsi="微软雅黑"/>
          <w:b/>
          <w:bCs/>
          <w:color w:val="000000" w:themeColor="text1"/>
          <w:highlight w:val="none"/>
          <w:u w:val="single"/>
          <w14:textFill>
            <w14:solidFill>
              <w14:schemeClr w14:val="tx1"/>
            </w14:solidFill>
          </w14:textFill>
        </w:rPr>
      </w:pPr>
      <w:r>
        <w:rPr>
          <w:rFonts w:hint="eastAsia" w:ascii="微软雅黑" w:hAnsi="微软雅黑"/>
          <w:b/>
          <w:bCs/>
          <w:color w:val="000000" w:themeColor="text1"/>
          <w:highlight w:val="none"/>
          <w:u w:val="single"/>
          <w14:textFill>
            <w14:solidFill>
              <w14:schemeClr w14:val="tx1"/>
            </w14:solidFill>
          </w14:textFill>
        </w:rPr>
        <w:t>嘉兴经济技术开发区建设交通局：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20" w:beforeLines="50" w:after="0" w:line="360" w:lineRule="auto"/>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我方参与</w:t>
      </w:r>
      <w:r>
        <w:rPr>
          <w:rFonts w:hint="eastAsia" w:ascii="微软雅黑" w:hAnsi="微软雅黑"/>
          <w:color w:val="000000" w:themeColor="text1"/>
          <w:highlight w:val="none"/>
          <w:u w:val="single"/>
          <w14:textFill>
            <w14:solidFill>
              <w14:schemeClr w14:val="tx1"/>
            </w14:solidFill>
          </w14:textFill>
        </w:rPr>
        <w:t xml:space="preserve">（项目名称） </w:t>
      </w:r>
      <w:r>
        <w:rPr>
          <w:rFonts w:hint="eastAsia" w:ascii="微软雅黑" w:hAnsi="微软雅黑"/>
          <w:color w:val="000000" w:themeColor="text1"/>
          <w:highlight w:val="none"/>
          <w14:textFill>
            <w14:solidFill>
              <w14:schemeClr w14:val="tx1"/>
            </w14:solidFill>
          </w14:textFill>
        </w:rPr>
        <w:t>【采购项目编号：</w:t>
      </w:r>
      <w:r>
        <w:rPr>
          <w:rFonts w:hint="eastAsia" w:ascii="微软雅黑" w:hAnsi="微软雅黑"/>
          <w:color w:val="000000" w:themeColor="text1"/>
          <w:highlight w:val="none"/>
          <w:u w:val="single"/>
          <w14:textFill>
            <w14:solidFill>
              <w14:schemeClr w14:val="tx1"/>
            </w14:solidFill>
          </w14:textFill>
        </w:rPr>
        <w:t xml:space="preserve">  </w:t>
      </w:r>
      <w:r>
        <w:rPr>
          <w:rFonts w:hint="eastAsia" w:ascii="微软雅黑" w:hAnsi="微软雅黑"/>
          <w:color w:val="000000" w:themeColor="text1"/>
          <w:highlight w:val="none"/>
          <w:u w:val="single"/>
          <w:lang w:eastAsia="zh-CN"/>
          <w14:textFill>
            <w14:solidFill>
              <w14:schemeClr w14:val="tx1"/>
            </w14:solidFill>
          </w14:textFill>
        </w:rPr>
        <w:t>SHHR-2022-053</w:t>
      </w:r>
      <w:r>
        <w:rPr>
          <w:rFonts w:hint="eastAsia" w:ascii="微软雅黑" w:hAnsi="微软雅黑"/>
          <w:color w:val="000000" w:themeColor="text1"/>
          <w:highlight w:val="none"/>
          <w:u w:val="single"/>
          <w14:textFill>
            <w14:solidFill>
              <w14:schemeClr w14:val="tx1"/>
            </w14:solidFill>
          </w14:textFill>
        </w:rPr>
        <w:t xml:space="preserve"> </w:t>
      </w:r>
      <w:r>
        <w:rPr>
          <w:rFonts w:hint="eastAsia" w:ascii="微软雅黑" w:hAnsi="微软雅黑"/>
          <w:color w:val="000000" w:themeColor="text1"/>
          <w:highlight w:val="none"/>
          <w14:textFill>
            <w14:solidFill>
              <w14:schemeClr w14:val="tx1"/>
            </w14:solidFill>
          </w14:textFill>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60" w:lineRule="auto"/>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（一）我方具备《中华人民共和国政府采购法》第二十二条第一款规定的条件：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60" w:lineRule="auto"/>
        <w:ind w:firstLine="840" w:firstLineChars="4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60" w:lineRule="auto"/>
        <w:ind w:firstLine="840" w:firstLineChars="4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 xml:space="preserve">2、具有良好的商业信誉和健全的财务会计制度；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60" w:lineRule="auto"/>
        <w:ind w:firstLine="840" w:firstLineChars="4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60" w:lineRule="auto"/>
        <w:ind w:firstLine="840" w:firstLineChars="4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60" w:lineRule="auto"/>
        <w:ind w:firstLine="840" w:firstLineChars="4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60" w:lineRule="auto"/>
        <w:ind w:firstLine="840" w:firstLineChars="4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60" w:lineRule="auto"/>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（二）我方未被信用中国（www.creditchina.gov.cn)、中国政府采购网（www.ccgp.gov.cn）列入失信被执行人、重大税收违法案件当事人名单、政府采购严重违法失信行为记录名单。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60" w:lineRule="auto"/>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（三）我方不存在以下情况：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60" w:lineRule="auto"/>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60" w:lineRule="auto"/>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2、为采购项目提供整体设计、规范编制或者项目管理、监理、检测等服务后再参加该采购项目的其他采购活动的。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ascii="微软雅黑" w:hAnsi="微软雅黑"/>
          <w:color w:val="000000" w:themeColor="text1"/>
          <w:highlight w:val="none"/>
          <w:lang w:val="zh-CN"/>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val="zh-CN"/>
          <w14:textFill>
            <w14:solidFill>
              <w14:schemeClr w14:val="tx1"/>
            </w14:solidFill>
          </w14:textFill>
        </w:rPr>
        <w:t>供应商名称(电子签</w:t>
      </w:r>
      <w:r>
        <w:rPr>
          <w:rFonts w:hint="eastAsia" w:ascii="微软雅黑" w:hAnsi="微软雅黑"/>
          <w:color w:val="000000" w:themeColor="text1"/>
          <w:highlight w:val="none"/>
          <w14:textFill>
            <w14:solidFill>
              <w14:schemeClr w14:val="tx1"/>
            </w14:solidFill>
          </w14:textFill>
        </w:rPr>
        <w:t>章</w:t>
      </w:r>
      <w:r>
        <w:rPr>
          <w:rFonts w:hint="eastAsia" w:ascii="微软雅黑" w:hAnsi="微软雅黑"/>
          <w:color w:val="000000" w:themeColor="text1"/>
          <w:highlight w:val="none"/>
          <w:lang w:val="zh-CN"/>
          <w14:textFill>
            <w14:solidFill>
              <w14:schemeClr w14:val="tx1"/>
            </w14:solidFill>
          </w14:textFill>
        </w:rPr>
        <w:t>)：</w:t>
      </w:r>
    </w:p>
    <w:p>
      <w:pPr>
        <w:adjustRightInd w:val="0"/>
        <w:snapToGrid w:val="0"/>
        <w:spacing w:line="360" w:lineRule="auto"/>
        <w:jc w:val="center"/>
        <w:rPr>
          <w:rFonts w:ascii="微软雅黑" w:hAnsi="微软雅黑"/>
          <w:color w:val="000000" w:themeColor="text1"/>
          <w:highlight w:val="none"/>
          <w:lang w:val="zh-CN"/>
          <w14:textFill>
            <w14:solidFill>
              <w14:schemeClr w14:val="tx1"/>
            </w14:solidFill>
          </w14:textFill>
        </w:rPr>
      </w:pPr>
      <w:r>
        <w:rPr>
          <w:rFonts w:hint="eastAsia" w:ascii="微软雅黑" w:hAnsi="微软雅黑"/>
          <w:color w:val="000000" w:themeColor="text1"/>
          <w:highlight w:val="none"/>
          <w:lang w:val="en-US" w:eastAsia="zh-CN"/>
          <w14:textFill>
            <w14:solidFill>
              <w14:schemeClr w14:val="tx1"/>
            </w14:solidFill>
          </w14:textFill>
        </w:rPr>
        <w:t xml:space="preserve">                                </w:t>
      </w:r>
      <w:r>
        <w:rPr>
          <w:rFonts w:hint="eastAsia" w:ascii="微软雅黑" w:hAnsi="微软雅黑"/>
          <w:color w:val="000000" w:themeColor="text1"/>
          <w:highlight w:val="none"/>
          <w:lang w:val="zh-CN"/>
          <w14:textFill>
            <w14:solidFill>
              <w14:schemeClr w14:val="tx1"/>
            </w14:solidFill>
          </w14:textFill>
        </w:rPr>
        <w:t>日期</w:t>
      </w:r>
      <w:r>
        <w:rPr>
          <w:rFonts w:hint="eastAsia" w:ascii="微软雅黑" w:hAnsi="微软雅黑"/>
          <w:color w:val="000000" w:themeColor="text1"/>
          <w:highlight w:val="none"/>
          <w14:textFill>
            <w14:solidFill>
              <w14:schemeClr w14:val="tx1"/>
            </w14:solidFill>
          </w14:textFill>
        </w:rPr>
        <w:t xml:space="preserve">：    年  </w:t>
      </w:r>
      <w:r>
        <w:rPr>
          <w:rFonts w:hint="eastAsia" w:ascii="微软雅黑" w:hAnsi="微软雅黑"/>
          <w:color w:val="000000" w:themeColor="text1"/>
          <w:highlight w:val="none"/>
          <w:lang w:val="en-US" w:eastAsia="zh-CN"/>
          <w14:textFill>
            <w14:solidFill>
              <w14:schemeClr w14:val="tx1"/>
            </w14:solidFill>
          </w14:textFill>
        </w:rPr>
        <w:t xml:space="preserve"> </w:t>
      </w:r>
      <w:r>
        <w:rPr>
          <w:rFonts w:hint="eastAsia" w:ascii="微软雅黑" w:hAnsi="微软雅黑"/>
          <w:color w:val="000000" w:themeColor="text1"/>
          <w:highlight w:val="none"/>
          <w:lang w:val="zh-CN"/>
          <w14:textFill>
            <w14:solidFill>
              <w14:schemeClr w14:val="tx1"/>
            </w14:solidFill>
          </w14:textFill>
        </w:rPr>
        <w:t>月</w:t>
      </w:r>
      <w:r>
        <w:rPr>
          <w:rFonts w:hint="eastAsia" w:ascii="微软雅黑" w:hAnsi="微软雅黑"/>
          <w:color w:val="000000" w:themeColor="text1"/>
          <w:highlight w:val="none"/>
          <w:lang w:val="en-US" w:eastAsia="zh-CN"/>
          <w14:textFill>
            <w14:solidFill>
              <w14:schemeClr w14:val="tx1"/>
            </w14:solidFill>
          </w14:textFill>
        </w:rPr>
        <w:t xml:space="preserve">   </w:t>
      </w:r>
      <w:r>
        <w:rPr>
          <w:rFonts w:hint="eastAsia" w:ascii="微软雅黑" w:hAnsi="微软雅黑"/>
          <w:color w:val="000000" w:themeColor="text1"/>
          <w:highlight w:val="none"/>
          <w:lang w:val="zh-CN"/>
          <w14:textFill>
            <w14:solidFill>
              <w14:schemeClr w14:val="tx1"/>
            </w14:solidFill>
          </w14:textFill>
        </w:rPr>
        <w:t>日</w:t>
      </w:r>
    </w:p>
    <w:p>
      <w:pPr>
        <w:snapToGrid w:val="0"/>
        <w:spacing w:line="360" w:lineRule="auto"/>
        <w:ind w:firstLine="420" w:firstLineChars="200"/>
        <w:jc w:val="right"/>
        <w:rPr>
          <w:rFonts w:ascii="微软雅黑" w:hAnsi="微软雅黑"/>
          <w:color w:val="000000" w:themeColor="text1"/>
          <w:highlight w:val="none"/>
          <w14:textFill>
            <w14:solidFill>
              <w14:schemeClr w14:val="tx1"/>
            </w14:solidFill>
          </w14:textFill>
        </w:rPr>
        <w:sectPr>
          <w:pgSz w:w="11906" w:h="16838"/>
          <w:pgMar w:top="1134" w:right="1474" w:bottom="1134" w:left="1474" w:header="851" w:footer="510" w:gutter="0"/>
          <w:cols w:space="0" w:num="1"/>
          <w:docGrid w:linePitch="312" w:charSpace="0"/>
        </w:sectPr>
      </w:pPr>
    </w:p>
    <w:p>
      <w:pPr>
        <w:spacing w:line="360" w:lineRule="auto"/>
        <w:jc w:val="center"/>
        <w:outlineLvl w:val="0"/>
        <w:rPr>
          <w:rFonts w:ascii="微软雅黑" w:hAnsi="微软雅黑"/>
          <w:b/>
          <w:color w:val="000000" w:themeColor="text1"/>
          <w:sz w:val="24"/>
          <w:szCs w:val="24"/>
          <w:highlight w:val="none"/>
          <w14:textFill>
            <w14:solidFill>
              <w14:schemeClr w14:val="tx1"/>
            </w14:solidFill>
          </w14:textFill>
        </w:rPr>
      </w:pPr>
      <w:bookmarkStart w:id="609" w:name="_Toc566"/>
      <w:r>
        <w:rPr>
          <w:rFonts w:hint="eastAsia" w:ascii="微软雅黑" w:hAnsi="微软雅黑"/>
          <w:b/>
          <w:color w:val="000000" w:themeColor="text1"/>
          <w:sz w:val="24"/>
          <w:szCs w:val="24"/>
          <w:highlight w:val="none"/>
          <w14:textFill>
            <w14:solidFill>
              <w14:schemeClr w14:val="tx1"/>
            </w14:solidFill>
          </w14:textFill>
        </w:rPr>
        <w:t>法定代表人授权书</w:t>
      </w:r>
      <w:bookmarkEnd w:id="609"/>
    </w:p>
    <w:p>
      <w:pPr>
        <w:spacing w:line="360" w:lineRule="auto"/>
        <w:rPr>
          <w:rFonts w:ascii="微软雅黑" w:hAnsi="微软雅黑"/>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致：</w:t>
      </w:r>
      <w:r>
        <w:rPr>
          <w:rFonts w:hint="eastAsia" w:ascii="微软雅黑" w:hAnsi="微软雅黑"/>
          <w:color w:val="000000" w:themeColor="text1"/>
          <w:highlight w:val="none"/>
          <w14:textFill>
            <w14:solidFill>
              <w14:schemeClr w14:val="tx1"/>
            </w14:solidFill>
          </w14:textFill>
        </w:rPr>
        <w:t>嘉兴经济技术开发区建设交通局</w:t>
      </w:r>
    </w:p>
    <w:p>
      <w:pPr>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u w:val="single"/>
          <w14:textFill>
            <w14:solidFill>
              <w14:schemeClr w14:val="tx1"/>
            </w14:solidFill>
          </w14:textFill>
        </w:rPr>
        <w:t>（供应商名称）</w:t>
      </w:r>
      <w:r>
        <w:rPr>
          <w:rFonts w:hint="eastAsia" w:ascii="微软雅黑" w:hAnsi="微软雅黑"/>
          <w:color w:val="000000" w:themeColor="text1"/>
          <w:highlight w:val="none"/>
          <w14:textFill>
            <w14:solidFill>
              <w14:schemeClr w14:val="tx1"/>
            </w14:solidFill>
          </w14:textFill>
        </w:rPr>
        <w:t>系中华人民共和国合法企业，法定地址。</w:t>
      </w:r>
    </w:p>
    <w:p>
      <w:pPr>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lang w:val="zh-CN"/>
          <w14:textFill>
            <w14:solidFill>
              <w14:schemeClr w14:val="tx1"/>
            </w14:solidFill>
          </w14:textFill>
        </w:rPr>
        <w:t>兹委派我公司先生/女士(其在本公司的职务是：，联系电话：</w:t>
      </w:r>
      <w:r>
        <w:rPr>
          <w:rFonts w:hint="eastAsia" w:ascii="微软雅黑" w:hAnsi="微软雅黑"/>
          <w:color w:val="000000" w:themeColor="text1"/>
          <w:highlight w:val="none"/>
          <w14:textFill>
            <w14:solidFill>
              <w14:schemeClr w14:val="tx1"/>
            </w14:solidFill>
          </w14:textFill>
        </w:rPr>
        <w:t>，</w:t>
      </w:r>
      <w:r>
        <w:rPr>
          <w:rFonts w:hint="eastAsia" w:ascii="微软雅黑" w:hAnsi="微软雅黑"/>
          <w:color w:val="000000" w:themeColor="text1"/>
          <w:highlight w:val="none"/>
          <w:lang w:val="zh-CN"/>
          <w14:textFill>
            <w14:solidFill>
              <w14:schemeClr w14:val="tx1"/>
            </w14:solidFill>
          </w14:textFill>
        </w:rPr>
        <w:t>手机：传真：)，</w:t>
      </w:r>
      <w:r>
        <w:rPr>
          <w:rFonts w:hint="eastAsia" w:ascii="微软雅黑" w:hAnsi="微软雅黑"/>
          <w:color w:val="000000" w:themeColor="text1"/>
          <w:highlight w:val="none"/>
          <w14:textFill>
            <w14:solidFill>
              <w14:schemeClr w14:val="tx1"/>
            </w14:solidFill>
          </w14:textFill>
        </w:rPr>
        <w:t>代表我单位全权办理针对</w:t>
      </w:r>
      <w:r>
        <w:rPr>
          <w:rFonts w:hint="eastAsia" w:ascii="微软雅黑" w:hAnsi="微软雅黑"/>
          <w:color w:val="000000" w:themeColor="text1"/>
          <w:highlight w:val="none"/>
          <w:lang w:val="zh-CN"/>
          <w14:textFill>
            <w14:solidFill>
              <w14:schemeClr w14:val="tx1"/>
            </w14:solidFill>
          </w14:textFill>
        </w:rPr>
        <w:t>处理</w:t>
      </w:r>
      <w:r>
        <w:rPr>
          <w:rFonts w:hint="eastAsia" w:ascii="微软雅黑" w:hAnsi="微软雅黑"/>
          <w:color w:val="000000" w:themeColor="text1"/>
          <w:highlight w:val="none"/>
          <w:u w:val="single"/>
          <w:lang w:val="en-US" w:eastAsia="zh-CN"/>
          <w14:textFill>
            <w14:solidFill>
              <w14:schemeClr w14:val="tx1"/>
            </w14:solidFill>
          </w14:textFill>
        </w:rPr>
        <w:t xml:space="preserve">  </w:t>
      </w:r>
      <w:r>
        <w:rPr>
          <w:rFonts w:hint="eastAsia" w:ascii="微软雅黑" w:hAnsi="微软雅黑"/>
          <w:b/>
          <w:bCs/>
          <w:color w:val="000000" w:themeColor="text1"/>
          <w:highlight w:val="none"/>
          <w:u w:val="single"/>
          <w14:textFill>
            <w14:solidFill>
              <w14:schemeClr w14:val="tx1"/>
            </w14:solidFill>
          </w14:textFill>
        </w:rPr>
        <w:t>嘉兴经济技术开发区燃气管家服务采购项目</w:t>
      </w:r>
      <w:r>
        <w:rPr>
          <w:rFonts w:hint="eastAsia" w:ascii="微软雅黑" w:hAnsi="微软雅黑"/>
          <w:b/>
          <w:bCs/>
          <w:color w:val="000000" w:themeColor="text1"/>
          <w:highlight w:val="none"/>
          <w:u w:val="single"/>
          <w:lang w:val="en-US" w:eastAsia="zh-CN"/>
          <w14:textFill>
            <w14:solidFill>
              <w14:schemeClr w14:val="tx1"/>
            </w14:solidFill>
          </w14:textFill>
        </w:rPr>
        <w:t xml:space="preserve"> </w:t>
      </w:r>
      <w:r>
        <w:rPr>
          <w:rFonts w:hint="eastAsia" w:ascii="微软雅黑" w:hAnsi="微软雅黑"/>
          <w:color w:val="000000" w:themeColor="text1"/>
          <w:highlight w:val="none"/>
          <w14:textFill>
            <w14:solidFill>
              <w14:schemeClr w14:val="tx1"/>
            </w14:solidFill>
          </w14:textFill>
        </w:rPr>
        <w:t>（项目编号：</w:t>
      </w:r>
      <w:r>
        <w:rPr>
          <w:rFonts w:hint="eastAsia" w:ascii="微软雅黑" w:hAnsi="微软雅黑"/>
          <w:color w:val="000000" w:themeColor="text1"/>
          <w:highlight w:val="none"/>
          <w:lang w:eastAsia="zh-CN"/>
          <w14:textFill>
            <w14:solidFill>
              <w14:schemeClr w14:val="tx1"/>
            </w14:solidFill>
          </w14:textFill>
        </w:rPr>
        <w:t>SHHR-2022-053</w:t>
      </w:r>
      <w:r>
        <w:rPr>
          <w:rFonts w:hint="eastAsia" w:ascii="微软雅黑" w:hAnsi="微软雅黑"/>
          <w:color w:val="000000" w:themeColor="text1"/>
          <w:highlight w:val="none"/>
          <w14:textFill>
            <w14:solidFill>
              <w14:schemeClr w14:val="tx1"/>
            </w14:solidFill>
          </w14:textFill>
        </w:rPr>
        <w:t>)上述项目的磋商、签约等具体工作，并签署全部有关的文件、协议。</w:t>
      </w:r>
    </w:p>
    <w:p>
      <w:pPr>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我单位对被授权人的签名负全部责任。</w:t>
      </w:r>
    </w:p>
    <w:p>
      <w:pPr>
        <w:spacing w:after="0" w:line="360" w:lineRule="auto"/>
        <w:ind w:firstLine="420" w:firstLineChars="200"/>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在撤销授权的书面通知以前，本授权书一直有效。被授权人签署的所有文件（在授权书有效期内签署的）不因授权的撤销而失效。</w:t>
      </w:r>
    </w:p>
    <w:p>
      <w:pPr>
        <w:spacing w:line="360" w:lineRule="auto"/>
        <w:rPr>
          <w:rFonts w:ascii="微软雅黑" w:hAnsi="微软雅黑"/>
          <w:color w:val="000000" w:themeColor="text1"/>
          <w:highlight w:val="none"/>
          <w14:textFill>
            <w14:solidFill>
              <w14:schemeClr w14:val="tx1"/>
            </w14:solidFill>
          </w14:textFill>
        </w:rPr>
      </w:pPr>
    </w:p>
    <w:p>
      <w:pPr>
        <w:spacing w:line="360" w:lineRule="auto"/>
        <w:rPr>
          <w:rFonts w:ascii="微软雅黑" w:hAnsi="微软雅黑"/>
          <w:color w:val="000000" w:themeColor="text1"/>
          <w:highlight w:val="none"/>
          <w:u w:val="singl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被授权人签名：                 授权人签名：</w:t>
      </w:r>
    </w:p>
    <w:p>
      <w:pPr>
        <w:spacing w:line="360" w:lineRule="auto"/>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职务：                         职务：</w:t>
      </w:r>
    </w:p>
    <w:p>
      <w:pPr>
        <w:spacing w:line="360" w:lineRule="auto"/>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被授权人身份证号码：</w:t>
      </w:r>
    </w:p>
    <w:p>
      <w:pPr>
        <w:spacing w:line="360" w:lineRule="auto"/>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附授权人(法定代表人)及被授权人的身份证复印件正反面:</w:t>
      </w:r>
    </w:p>
    <w:p>
      <w:pPr>
        <w:spacing w:line="360" w:lineRule="auto"/>
        <w:jc w:val="center"/>
        <w:rPr>
          <w:rFonts w:ascii="微软雅黑" w:hAnsi="微软雅黑"/>
          <w:color w:val="000000" w:themeColor="text1"/>
          <w:highlight w:val="none"/>
          <w14:textFill>
            <w14:solidFill>
              <w14:schemeClr w14:val="tx1"/>
            </w14:solidFill>
          </w14:textFill>
        </w:rPr>
      </w:pPr>
    </w:p>
    <w:p>
      <w:pPr>
        <w:spacing w:line="360" w:lineRule="auto"/>
        <w:jc w:val="right"/>
        <w:rPr>
          <w:rFonts w:ascii="微软雅黑" w:hAnsi="微软雅黑"/>
          <w:color w:val="000000" w:themeColor="text1"/>
          <w:highlight w:val="none"/>
          <w:u w:val="singl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供应商公章：</w:t>
      </w:r>
    </w:p>
    <w:p>
      <w:pPr>
        <w:spacing w:line="360" w:lineRule="auto"/>
        <w:ind w:firstLine="3150" w:firstLineChars="1500"/>
        <w:jc w:val="righ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年  月   日</w:t>
      </w:r>
    </w:p>
    <w:p>
      <w:pPr>
        <w:spacing w:line="360" w:lineRule="auto"/>
        <w:ind w:firstLine="3360" w:firstLineChars="1600"/>
        <w:rPr>
          <w:rFonts w:ascii="微软雅黑" w:hAnsi="微软雅黑"/>
          <w:color w:val="000000" w:themeColor="text1"/>
          <w:highlight w:val="none"/>
          <w14:textFill>
            <w14:solidFill>
              <w14:schemeClr w14:val="tx1"/>
            </w14:solidFill>
          </w14:textFill>
        </w:rPr>
        <w:sectPr>
          <w:pgSz w:w="11906" w:h="16838"/>
          <w:pgMar w:top="1134" w:right="1474" w:bottom="1134" w:left="1474" w:header="851" w:footer="510" w:gutter="0"/>
          <w:cols w:space="0" w:num="1"/>
          <w:docGrid w:linePitch="312" w:charSpace="0"/>
        </w:sectPr>
      </w:pPr>
    </w:p>
    <w:p>
      <w:pPr>
        <w:snapToGrid w:val="0"/>
        <w:spacing w:line="360" w:lineRule="auto"/>
        <w:jc w:val="left"/>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供应商的类似成功案例的业绩证明文件：</w:t>
      </w:r>
    </w:p>
    <w:p>
      <w:pPr>
        <w:pStyle w:val="41"/>
        <w:snapToGrid w:val="0"/>
        <w:spacing w:line="360" w:lineRule="auto"/>
        <w:ind w:left="480" w:hanging="480"/>
        <w:jc w:val="center"/>
        <w:rPr>
          <w:rFonts w:ascii="微软雅黑" w:hAnsi="微软雅黑"/>
          <w:b/>
          <w:bCs/>
          <w:color w:val="000000" w:themeColor="text1"/>
          <w:sz w:val="24"/>
          <w:szCs w:val="24"/>
          <w:highlight w:val="none"/>
          <w14:textFill>
            <w14:solidFill>
              <w14:schemeClr w14:val="tx1"/>
            </w14:solidFill>
          </w14:textFill>
        </w:rPr>
      </w:pPr>
      <w:r>
        <w:rPr>
          <w:rFonts w:hint="eastAsia" w:ascii="微软雅黑" w:hAnsi="微软雅黑"/>
          <w:b/>
          <w:bCs/>
          <w:color w:val="000000" w:themeColor="text1"/>
          <w:sz w:val="24"/>
          <w:szCs w:val="24"/>
          <w:highlight w:val="none"/>
          <w14:textFill>
            <w14:solidFill>
              <w14:schemeClr w14:val="tx1"/>
            </w14:solidFill>
          </w14:textFill>
        </w:rPr>
        <w:t>供应商同类项目实施情况一览表</w:t>
      </w:r>
    </w:p>
    <w:tbl>
      <w:tblPr>
        <w:tblStyle w:val="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4"/>
        <w:gridCol w:w="3581"/>
        <w:gridCol w:w="1730"/>
        <w:gridCol w:w="2553"/>
        <w:gridCol w:w="1935"/>
        <w:gridCol w:w="2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5" w:hRule="atLeast"/>
        </w:trPr>
        <w:tc>
          <w:tcPr>
            <w:tcW w:w="191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采购单位名称</w:t>
            </w:r>
          </w:p>
        </w:tc>
        <w:tc>
          <w:tcPr>
            <w:tcW w:w="358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项目名称</w:t>
            </w:r>
          </w:p>
        </w:tc>
        <w:tc>
          <w:tcPr>
            <w:tcW w:w="17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日期</w:t>
            </w:r>
          </w:p>
        </w:tc>
        <w:tc>
          <w:tcPr>
            <w:tcW w:w="255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合同金额</w:t>
            </w:r>
          </w:p>
          <w:p>
            <w:pPr>
              <w:snapToGrid w:val="0"/>
              <w:spacing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（万元）</w:t>
            </w:r>
          </w:p>
        </w:tc>
        <w:tc>
          <w:tcPr>
            <w:tcW w:w="1935" w:type="dxa"/>
            <w:tcBorders>
              <w:top w:val="single" w:color="auto" w:sz="4" w:space="0"/>
              <w:left w:val="single" w:color="auto" w:sz="4" w:space="0"/>
              <w:right w:val="single" w:color="auto" w:sz="4" w:space="0"/>
            </w:tcBorders>
            <w:vAlign w:val="center"/>
          </w:tcPr>
          <w:p>
            <w:pPr>
              <w:snapToGrid w:val="0"/>
              <w:spacing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有效证明文件</w:t>
            </w:r>
          </w:p>
        </w:tc>
        <w:tc>
          <w:tcPr>
            <w:tcW w:w="241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采购单位联系人及</w:t>
            </w:r>
          </w:p>
          <w:p>
            <w:pPr>
              <w:snapToGrid w:val="0"/>
              <w:spacing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3581"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2553"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1935"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2419"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3581"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2553"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1935"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2419"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3581"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2553"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1935"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2419"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3581"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2553"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1935"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c>
          <w:tcPr>
            <w:tcW w:w="2419" w:type="dxa"/>
            <w:tcBorders>
              <w:top w:val="single" w:color="auto" w:sz="4" w:space="0"/>
              <w:left w:val="single" w:color="auto" w:sz="4" w:space="0"/>
              <w:bottom w:val="single" w:color="auto" w:sz="4" w:space="0"/>
              <w:right w:val="single" w:color="auto" w:sz="4" w:space="0"/>
            </w:tcBorders>
          </w:tcPr>
          <w:p>
            <w:pPr>
              <w:snapToGrid w:val="0"/>
              <w:spacing w:line="240" w:lineRule="auto"/>
              <w:jc w:val="left"/>
              <w:rPr>
                <w:rFonts w:ascii="微软雅黑" w:hAnsi="微软雅黑"/>
                <w:color w:val="000000" w:themeColor="text1"/>
                <w:highlight w:val="none"/>
                <w14:textFill>
                  <w14:solidFill>
                    <w14:schemeClr w14:val="tx1"/>
                  </w14:solidFill>
                </w14:textFill>
              </w:rPr>
            </w:pPr>
          </w:p>
        </w:tc>
      </w:tr>
    </w:tbl>
    <w:p>
      <w:pPr>
        <w:pStyle w:val="18"/>
        <w:snapToGrid w:val="0"/>
        <w:spacing w:before="0" w:after="0" w:line="360" w:lineRule="auto"/>
        <w:rPr>
          <w:rFonts w:ascii="微软雅黑" w:hAnsi="微软雅黑" w:eastAsia="微软雅黑" w:cs="微软雅黑"/>
          <w:color w:val="000000" w:themeColor="text1"/>
          <w:sz w:val="21"/>
          <w:szCs w:val="21"/>
          <w:highlight w:val="none"/>
          <w14:textFill>
            <w14:solidFill>
              <w14:schemeClr w14:val="tx1"/>
            </w14:solidFill>
          </w14:textFill>
        </w:rPr>
      </w:pPr>
    </w:p>
    <w:p>
      <w:pPr>
        <w:snapToGrid w:val="0"/>
        <w:spacing w:line="360" w:lineRule="auto"/>
        <w:rPr>
          <w:rFonts w:ascii="微软雅黑" w:hAnsi="微软雅黑"/>
          <w:color w:val="000000" w:themeColor="text1"/>
          <w:highlight w:val="none"/>
          <w:shd w:val="clear" w:color="auto" w:fill="FFFFFF"/>
          <w14:textFill>
            <w14:solidFill>
              <w14:schemeClr w14:val="tx1"/>
            </w14:solidFill>
          </w14:textFill>
        </w:rPr>
      </w:pPr>
      <w:r>
        <w:rPr>
          <w:rFonts w:hint="eastAsia" w:ascii="微软雅黑" w:hAnsi="微软雅黑"/>
          <w:color w:val="000000" w:themeColor="text1"/>
          <w:highlight w:val="none"/>
          <w:shd w:val="clear" w:color="auto" w:fill="FFFFFF"/>
          <w14:textFill>
            <w14:solidFill>
              <w14:schemeClr w14:val="tx1"/>
            </w14:solidFill>
          </w14:textFill>
        </w:rPr>
        <w:t>供应商名称：（盖章）</w:t>
      </w:r>
    </w:p>
    <w:p>
      <w:pPr>
        <w:snapToGrid w:val="0"/>
        <w:spacing w:line="360" w:lineRule="auto"/>
        <w:rPr>
          <w:rFonts w:ascii="微软雅黑" w:hAnsi="微软雅黑"/>
          <w:color w:val="000000" w:themeColor="text1"/>
          <w:highlight w:val="none"/>
          <w:shd w:val="clear" w:color="auto" w:fill="FFFFFF"/>
          <w14:textFill>
            <w14:solidFill>
              <w14:schemeClr w14:val="tx1"/>
            </w14:solidFill>
          </w14:textFill>
        </w:rPr>
      </w:pPr>
      <w:r>
        <w:rPr>
          <w:rFonts w:hint="eastAsia" w:ascii="微软雅黑" w:hAnsi="微软雅黑"/>
          <w:color w:val="000000" w:themeColor="text1"/>
          <w:highlight w:val="none"/>
          <w:shd w:val="clear" w:color="auto" w:fill="FFFFFF"/>
          <w14:textFill>
            <w14:solidFill>
              <w14:schemeClr w14:val="tx1"/>
            </w14:solidFill>
          </w14:textFill>
        </w:rPr>
        <w:t>法定代表人或</w:t>
      </w:r>
      <w:r>
        <w:rPr>
          <w:rFonts w:hint="eastAsia" w:ascii="微软雅黑" w:hAnsi="微软雅黑"/>
          <w:color w:val="000000" w:themeColor="text1"/>
          <w:highlight w:val="none"/>
          <w14:textFill>
            <w14:solidFill>
              <w14:schemeClr w14:val="tx1"/>
            </w14:solidFill>
          </w14:textFill>
        </w:rPr>
        <w:t>被授权人</w:t>
      </w:r>
      <w:r>
        <w:rPr>
          <w:rFonts w:hint="eastAsia" w:ascii="微软雅黑" w:hAnsi="微软雅黑"/>
          <w:color w:val="000000" w:themeColor="text1"/>
          <w:highlight w:val="none"/>
          <w:shd w:val="clear" w:color="auto" w:fill="FFFFFF"/>
          <w14:textFill>
            <w14:solidFill>
              <w14:schemeClr w14:val="tx1"/>
            </w14:solidFill>
          </w14:textFill>
        </w:rPr>
        <w:t>（签字或盖章）：</w:t>
      </w:r>
    </w:p>
    <w:p>
      <w:pPr>
        <w:snapToGrid w:val="0"/>
        <w:spacing w:line="360" w:lineRule="auto"/>
        <w:rPr>
          <w:rFonts w:ascii="微软雅黑" w:hAnsi="微软雅黑"/>
          <w:color w:val="000000" w:themeColor="text1"/>
          <w:highlight w:val="none"/>
          <w:u w:val="single"/>
          <w14:textFill>
            <w14:solidFill>
              <w14:schemeClr w14:val="tx1"/>
            </w14:solidFill>
          </w14:textFill>
        </w:rPr>
      </w:pPr>
      <w:r>
        <w:rPr>
          <w:rFonts w:hint="eastAsia" w:ascii="微软雅黑" w:hAnsi="微软雅黑"/>
          <w:color w:val="000000" w:themeColor="text1"/>
          <w:highlight w:val="none"/>
          <w:shd w:val="clear" w:color="auto" w:fill="FFFFFF"/>
          <w14:textFill>
            <w14:solidFill>
              <w14:schemeClr w14:val="tx1"/>
            </w14:solidFill>
          </w14:textFill>
        </w:rPr>
        <w:t>投标日期：年月日</w:t>
      </w:r>
    </w:p>
    <w:p>
      <w:pPr>
        <w:snapToGrid w:val="0"/>
        <w:spacing w:line="360" w:lineRule="auto"/>
        <w:jc w:val="left"/>
        <w:rPr>
          <w:rFonts w:ascii="微软雅黑" w:hAnsi="微软雅黑"/>
          <w:b/>
          <w:color w:val="000000" w:themeColor="text1"/>
          <w:highlight w:val="none"/>
          <w14:textFill>
            <w14:solidFill>
              <w14:schemeClr w14:val="tx1"/>
            </w14:solidFill>
          </w14:textFill>
        </w:rPr>
        <w:sectPr>
          <w:pgSz w:w="16838" w:h="11906" w:orient="landscape"/>
          <w:pgMar w:top="1474" w:right="1134" w:bottom="1474" w:left="1134" w:header="851" w:footer="510" w:gutter="0"/>
          <w:cols w:space="0" w:num="1"/>
        </w:sectPr>
      </w:pPr>
    </w:p>
    <w:p>
      <w:pPr>
        <w:snapToGrid w:val="0"/>
        <w:spacing w:line="360" w:lineRule="auto"/>
        <w:jc w:val="left"/>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项目实施人员一览表格式：</w:t>
      </w:r>
    </w:p>
    <w:p>
      <w:pPr>
        <w:snapToGrid w:val="0"/>
        <w:spacing w:line="360" w:lineRule="auto"/>
        <w:jc w:val="center"/>
        <w:outlineLvl w:val="0"/>
        <w:rPr>
          <w:rFonts w:ascii="微软雅黑" w:hAnsi="微软雅黑"/>
          <w:b/>
          <w:color w:val="000000" w:themeColor="text1"/>
          <w:sz w:val="24"/>
          <w:szCs w:val="24"/>
          <w:highlight w:val="none"/>
          <w14:textFill>
            <w14:solidFill>
              <w14:schemeClr w14:val="tx1"/>
            </w14:solidFill>
          </w14:textFill>
        </w:rPr>
      </w:pPr>
      <w:bookmarkStart w:id="610" w:name="_Toc4651"/>
      <w:r>
        <w:rPr>
          <w:rFonts w:hint="eastAsia" w:ascii="微软雅黑" w:hAnsi="微软雅黑"/>
          <w:b/>
          <w:color w:val="000000" w:themeColor="text1"/>
          <w:sz w:val="24"/>
          <w:szCs w:val="24"/>
          <w:highlight w:val="none"/>
          <w14:textFill>
            <w14:solidFill>
              <w14:schemeClr w14:val="tx1"/>
            </w14:solidFill>
          </w14:textFill>
        </w:rPr>
        <w:t>项目实施人员（主要从业人员及其技术资格）一览表</w:t>
      </w:r>
      <w:bookmarkEnd w:id="610"/>
    </w:p>
    <w:p>
      <w:pPr>
        <w:snapToGrid w:val="0"/>
        <w:spacing w:line="360" w:lineRule="auto"/>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项目名称：</w:t>
      </w:r>
    </w:p>
    <w:tbl>
      <w:tblPr>
        <w:tblStyle w:val="55"/>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1"/>
        <w:gridCol w:w="1155"/>
        <w:gridCol w:w="1680"/>
        <w:gridCol w:w="1470"/>
        <w:gridCol w:w="1365"/>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vAlign w:val="bottom"/>
          </w:tcPr>
          <w:p>
            <w:pPr>
              <w:snapToGrid w:val="0"/>
              <w:spacing w:line="240" w:lineRule="auto"/>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姓名</w:t>
            </w:r>
          </w:p>
        </w:tc>
        <w:tc>
          <w:tcPr>
            <w:tcW w:w="1155" w:type="dxa"/>
            <w:tcBorders>
              <w:top w:val="single" w:color="auto" w:sz="4" w:space="0"/>
              <w:left w:val="single" w:color="auto" w:sz="4" w:space="0"/>
              <w:bottom w:val="single" w:color="auto" w:sz="4" w:space="0"/>
              <w:right w:val="single" w:color="auto" w:sz="4" w:space="0"/>
            </w:tcBorders>
            <w:vAlign w:val="bottom"/>
          </w:tcPr>
          <w:p>
            <w:pPr>
              <w:snapToGrid w:val="0"/>
              <w:spacing w:line="240" w:lineRule="auto"/>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职务</w:t>
            </w:r>
          </w:p>
        </w:tc>
        <w:tc>
          <w:tcPr>
            <w:tcW w:w="1680" w:type="dxa"/>
            <w:tcBorders>
              <w:top w:val="single" w:color="auto" w:sz="4" w:space="0"/>
              <w:left w:val="single" w:color="auto" w:sz="4" w:space="0"/>
              <w:bottom w:val="single" w:color="auto" w:sz="4" w:space="0"/>
              <w:right w:val="single" w:color="auto" w:sz="4" w:space="0"/>
            </w:tcBorders>
            <w:vAlign w:val="bottom"/>
          </w:tcPr>
          <w:p>
            <w:pPr>
              <w:snapToGrid w:val="0"/>
              <w:spacing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专业技术资格</w:t>
            </w:r>
          </w:p>
        </w:tc>
        <w:tc>
          <w:tcPr>
            <w:tcW w:w="1470" w:type="dxa"/>
            <w:tcBorders>
              <w:top w:val="single" w:color="auto" w:sz="4" w:space="0"/>
              <w:left w:val="single" w:color="auto" w:sz="4" w:space="0"/>
              <w:bottom w:val="single" w:color="auto" w:sz="4" w:space="0"/>
              <w:right w:val="single" w:color="auto" w:sz="4" w:space="0"/>
            </w:tcBorders>
            <w:vAlign w:val="bottom"/>
          </w:tcPr>
          <w:p>
            <w:pPr>
              <w:snapToGrid w:val="0"/>
              <w:spacing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证书编号</w:t>
            </w:r>
          </w:p>
        </w:tc>
        <w:tc>
          <w:tcPr>
            <w:tcW w:w="1365" w:type="dxa"/>
            <w:tcBorders>
              <w:top w:val="single" w:color="auto" w:sz="4" w:space="0"/>
              <w:left w:val="single" w:color="auto" w:sz="4" w:space="0"/>
              <w:bottom w:val="single" w:color="auto" w:sz="4" w:space="0"/>
              <w:right w:val="single" w:color="auto" w:sz="4" w:space="0"/>
            </w:tcBorders>
            <w:vAlign w:val="bottom"/>
          </w:tcPr>
          <w:p>
            <w:pPr>
              <w:snapToGrid w:val="0"/>
              <w:spacing w:line="240" w:lineRule="auto"/>
              <w:jc w:val="center"/>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参加本单位工作时间</w:t>
            </w:r>
          </w:p>
        </w:tc>
        <w:tc>
          <w:tcPr>
            <w:tcW w:w="1560" w:type="dxa"/>
            <w:tcBorders>
              <w:top w:val="single" w:color="auto" w:sz="4" w:space="0"/>
              <w:left w:val="single" w:color="auto" w:sz="4" w:space="0"/>
              <w:bottom w:val="single" w:color="auto" w:sz="4" w:space="0"/>
              <w:right w:val="single" w:color="auto" w:sz="4" w:space="0"/>
            </w:tcBorders>
            <w:vAlign w:val="bottom"/>
          </w:tcPr>
          <w:p>
            <w:pPr>
              <w:snapToGrid w:val="0"/>
              <w:spacing w:line="240" w:lineRule="auto"/>
              <w:jc w:val="center"/>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tcPr>
          <w:p>
            <w:pPr>
              <w:pStyle w:val="33"/>
              <w:snapToGrid w:val="0"/>
              <w:spacing w:line="240" w:lineRule="auto"/>
              <w:ind w:left="5250"/>
              <w:rPr>
                <w:rFonts w:ascii="微软雅黑" w:hAnsi="微软雅黑" w:eastAsia="微软雅黑"/>
                <w:color w:val="000000" w:themeColor="text1"/>
                <w:sz w:val="21"/>
                <w:szCs w:val="21"/>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微软雅黑" w:hAnsi="微软雅黑"/>
                <w:color w:val="000000" w:themeColor="text1"/>
                <w:highlight w:val="none"/>
                <w14:textFill>
                  <w14:solidFill>
                    <w14:schemeClr w14:val="tx1"/>
                  </w14:solidFill>
                </w14:textFill>
              </w:rPr>
            </w:pPr>
          </w:p>
        </w:tc>
      </w:tr>
    </w:tbl>
    <w:p>
      <w:pPr>
        <w:snapToGrid w:val="0"/>
        <w:spacing w:before="240" w:beforeLines="100" w:line="360" w:lineRule="auto"/>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注：在填写时，如本表格不适合供应商的实际情况，可根据本表格式自行划表填写。</w:t>
      </w:r>
    </w:p>
    <w:p>
      <w:pPr>
        <w:snapToGrid w:val="0"/>
        <w:spacing w:before="50" w:line="360" w:lineRule="auto"/>
        <w:jc w:val="left"/>
        <w:rPr>
          <w:rFonts w:ascii="微软雅黑" w:hAnsi="微软雅黑"/>
          <w:color w:val="000000" w:themeColor="text1"/>
          <w:highlight w:val="none"/>
          <w:shd w:val="clear" w:color="auto" w:fill="FFFFFF"/>
          <w14:textFill>
            <w14:solidFill>
              <w14:schemeClr w14:val="tx1"/>
            </w14:solidFill>
          </w14:textFill>
        </w:rPr>
      </w:pPr>
      <w:r>
        <w:rPr>
          <w:rFonts w:hint="eastAsia" w:ascii="微软雅黑" w:hAnsi="微软雅黑"/>
          <w:color w:val="000000" w:themeColor="text1"/>
          <w:highlight w:val="none"/>
          <w:shd w:val="clear" w:color="auto" w:fill="FFFFFF"/>
          <w14:textFill>
            <w14:solidFill>
              <w14:schemeClr w14:val="tx1"/>
            </w14:solidFill>
          </w14:textFill>
        </w:rPr>
        <w:t>供应商名称：（盖章）</w:t>
      </w:r>
    </w:p>
    <w:p>
      <w:pPr>
        <w:snapToGrid w:val="0"/>
        <w:spacing w:before="50" w:line="360" w:lineRule="auto"/>
        <w:jc w:val="left"/>
        <w:rPr>
          <w:rFonts w:ascii="微软雅黑" w:hAnsi="微软雅黑"/>
          <w:color w:val="000000" w:themeColor="text1"/>
          <w:highlight w:val="none"/>
          <w:shd w:val="clear" w:color="auto" w:fill="FFFFFF"/>
          <w14:textFill>
            <w14:solidFill>
              <w14:schemeClr w14:val="tx1"/>
            </w14:solidFill>
          </w14:textFill>
        </w:rPr>
      </w:pPr>
      <w:r>
        <w:rPr>
          <w:rFonts w:hint="eastAsia" w:ascii="微软雅黑" w:hAnsi="微软雅黑"/>
          <w:color w:val="000000" w:themeColor="text1"/>
          <w:highlight w:val="none"/>
          <w:shd w:val="clear" w:color="auto" w:fill="FFFFFF"/>
          <w14:textFill>
            <w14:solidFill>
              <w14:schemeClr w14:val="tx1"/>
            </w14:solidFill>
          </w14:textFill>
        </w:rPr>
        <w:t>法定代表人或</w:t>
      </w:r>
      <w:r>
        <w:rPr>
          <w:rFonts w:hint="eastAsia" w:ascii="微软雅黑" w:hAnsi="微软雅黑"/>
          <w:color w:val="000000" w:themeColor="text1"/>
          <w:highlight w:val="none"/>
          <w14:textFill>
            <w14:solidFill>
              <w14:schemeClr w14:val="tx1"/>
            </w14:solidFill>
          </w14:textFill>
        </w:rPr>
        <w:t>被授权人</w:t>
      </w:r>
      <w:r>
        <w:rPr>
          <w:rFonts w:hint="eastAsia" w:ascii="微软雅黑" w:hAnsi="微软雅黑"/>
          <w:color w:val="000000" w:themeColor="text1"/>
          <w:highlight w:val="none"/>
          <w:shd w:val="clear" w:color="auto" w:fill="FFFFFF"/>
          <w14:textFill>
            <w14:solidFill>
              <w14:schemeClr w14:val="tx1"/>
            </w14:solidFill>
          </w14:textFill>
        </w:rPr>
        <w:t>（签字或盖章）：</w:t>
      </w:r>
    </w:p>
    <w:p>
      <w:pPr>
        <w:snapToGrid w:val="0"/>
        <w:spacing w:before="50" w:line="360" w:lineRule="auto"/>
        <w:jc w:val="left"/>
        <w:rPr>
          <w:rFonts w:ascii="微软雅黑" w:hAnsi="微软雅黑"/>
          <w:b/>
          <w:color w:val="000000" w:themeColor="text1"/>
          <w:highlight w:val="none"/>
          <w14:textFill>
            <w14:solidFill>
              <w14:schemeClr w14:val="tx1"/>
            </w14:solidFill>
          </w14:textFill>
        </w:rPr>
      </w:pPr>
      <w:r>
        <w:rPr>
          <w:rFonts w:hint="eastAsia" w:ascii="微软雅黑" w:hAnsi="微软雅黑"/>
          <w:color w:val="000000" w:themeColor="text1"/>
          <w:highlight w:val="none"/>
          <w:shd w:val="clear" w:color="auto" w:fill="FFFFFF"/>
          <w14:textFill>
            <w14:solidFill>
              <w14:schemeClr w14:val="tx1"/>
            </w14:solidFill>
          </w14:textFill>
        </w:rPr>
        <w:t>日期： 年 月 日</w:t>
      </w:r>
      <w:r>
        <w:rPr>
          <w:rFonts w:hint="eastAsia" w:ascii="微软雅黑" w:hAnsi="微软雅黑"/>
          <w:b/>
          <w:color w:val="000000" w:themeColor="text1"/>
          <w:highlight w:val="none"/>
          <w14:textFill>
            <w14:solidFill>
              <w14:schemeClr w14:val="tx1"/>
            </w14:solidFill>
          </w14:textFill>
        </w:rPr>
        <w:br w:type="page"/>
      </w:r>
      <w:r>
        <w:rPr>
          <w:rFonts w:hint="eastAsia" w:ascii="微软雅黑" w:hAnsi="微软雅黑"/>
          <w:b/>
          <w:color w:val="000000" w:themeColor="text1"/>
          <w:highlight w:val="none"/>
          <w14:textFill>
            <w14:solidFill>
              <w14:schemeClr w14:val="tx1"/>
            </w14:solidFill>
          </w14:textFill>
        </w:rPr>
        <w:t>商务响应表格式：</w:t>
      </w:r>
    </w:p>
    <w:p>
      <w:pPr>
        <w:snapToGrid w:val="0"/>
        <w:spacing w:before="50" w:line="360" w:lineRule="auto"/>
        <w:jc w:val="center"/>
        <w:rPr>
          <w:rFonts w:ascii="微软雅黑" w:hAnsi="微软雅黑"/>
          <w:color w:val="000000" w:themeColor="text1"/>
          <w:spacing w:val="20"/>
          <w:sz w:val="24"/>
          <w:szCs w:val="24"/>
          <w:highlight w:val="none"/>
          <w14:textFill>
            <w14:solidFill>
              <w14:schemeClr w14:val="tx1"/>
            </w14:solidFill>
          </w14:textFill>
        </w:rPr>
      </w:pPr>
      <w:r>
        <w:rPr>
          <w:rFonts w:hint="eastAsia" w:ascii="微软雅黑" w:hAnsi="微软雅黑"/>
          <w:b/>
          <w:color w:val="000000" w:themeColor="text1"/>
          <w:spacing w:val="20"/>
          <w:sz w:val="24"/>
          <w:szCs w:val="24"/>
          <w:highlight w:val="none"/>
          <w14:textFill>
            <w14:solidFill>
              <w14:schemeClr w14:val="tx1"/>
            </w14:solidFill>
          </w14:textFill>
        </w:rPr>
        <w:t>商务响应表</w:t>
      </w:r>
    </w:p>
    <w:p>
      <w:pPr>
        <w:snapToGrid w:val="0"/>
        <w:spacing w:line="360" w:lineRule="auto"/>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项目名称：</w:t>
      </w:r>
    </w:p>
    <w:p>
      <w:pPr>
        <w:pStyle w:val="75"/>
        <w:ind w:firstLine="400"/>
        <w:rPr>
          <w:color w:val="000000" w:themeColor="text1"/>
          <w:highlight w:val="none"/>
          <w14:textFill>
            <w14:solidFill>
              <w14:schemeClr w14:val="tx1"/>
            </w14:solidFill>
          </w14:textFill>
        </w:rPr>
      </w:pPr>
    </w:p>
    <w:tbl>
      <w:tblPr>
        <w:tblStyle w:val="55"/>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606"/>
        <w:gridCol w:w="2001"/>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vAlign w:val="center"/>
          </w:tcPr>
          <w:p>
            <w:pPr>
              <w:pStyle w:val="31"/>
              <w:spacing w:after="0" w:line="240" w:lineRule="auto"/>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序号</w:t>
            </w:r>
          </w:p>
        </w:tc>
        <w:tc>
          <w:tcPr>
            <w:tcW w:w="1701" w:type="dxa"/>
            <w:vAlign w:val="center"/>
          </w:tcPr>
          <w:p>
            <w:pPr>
              <w:pStyle w:val="31"/>
              <w:spacing w:after="0" w:line="240" w:lineRule="auto"/>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项目</w:t>
            </w:r>
          </w:p>
        </w:tc>
        <w:tc>
          <w:tcPr>
            <w:tcW w:w="2606" w:type="dxa"/>
            <w:vAlign w:val="center"/>
          </w:tcPr>
          <w:p>
            <w:pPr>
              <w:pStyle w:val="31"/>
              <w:spacing w:after="0" w:line="240" w:lineRule="auto"/>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采购文件要求</w:t>
            </w:r>
          </w:p>
        </w:tc>
        <w:tc>
          <w:tcPr>
            <w:tcW w:w="2001" w:type="dxa"/>
            <w:vAlign w:val="center"/>
          </w:tcPr>
          <w:p>
            <w:pPr>
              <w:pStyle w:val="31"/>
              <w:spacing w:after="0" w:line="240" w:lineRule="auto"/>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供应商响应情况</w:t>
            </w:r>
          </w:p>
        </w:tc>
        <w:tc>
          <w:tcPr>
            <w:tcW w:w="1757" w:type="dxa"/>
            <w:vAlign w:val="center"/>
          </w:tcPr>
          <w:p>
            <w:pPr>
              <w:pStyle w:val="31"/>
              <w:spacing w:after="0" w:line="240" w:lineRule="auto"/>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tcPr>
          <w:p>
            <w:pPr>
              <w:pStyle w:val="31"/>
              <w:spacing w:after="0" w:line="240" w:lineRule="auto"/>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1701" w:type="dxa"/>
            <w:vAlign w:val="center"/>
          </w:tcPr>
          <w:p>
            <w:pPr>
              <w:snapToGrid w:val="0"/>
              <w:spacing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服务时间</w:t>
            </w:r>
          </w:p>
        </w:tc>
        <w:tc>
          <w:tcPr>
            <w:tcW w:w="2606" w:type="dxa"/>
          </w:tcPr>
          <w:p>
            <w:pPr>
              <w:spacing w:after="0" w:line="240" w:lineRule="auto"/>
              <w:rPr>
                <w:rFonts w:ascii="微软雅黑" w:hAnsi="微软雅黑"/>
                <w:color w:val="000000" w:themeColor="text1"/>
                <w:highlight w:val="none"/>
                <w14:textFill>
                  <w14:solidFill>
                    <w14:schemeClr w14:val="tx1"/>
                  </w14:solidFill>
                </w14:textFill>
              </w:rPr>
            </w:pPr>
          </w:p>
        </w:tc>
        <w:tc>
          <w:tcPr>
            <w:tcW w:w="2001" w:type="dxa"/>
          </w:tcPr>
          <w:p>
            <w:pPr>
              <w:pStyle w:val="31"/>
              <w:spacing w:after="0" w:line="240" w:lineRule="auto"/>
              <w:rPr>
                <w:rFonts w:ascii="微软雅黑" w:hAnsi="微软雅黑"/>
                <w:color w:val="000000" w:themeColor="text1"/>
                <w:szCs w:val="21"/>
                <w:highlight w:val="none"/>
                <w14:textFill>
                  <w14:solidFill>
                    <w14:schemeClr w14:val="tx1"/>
                  </w14:solidFill>
                </w14:textFill>
              </w:rPr>
            </w:pPr>
          </w:p>
        </w:tc>
        <w:tc>
          <w:tcPr>
            <w:tcW w:w="1757" w:type="dxa"/>
          </w:tcPr>
          <w:p>
            <w:pPr>
              <w:pStyle w:val="31"/>
              <w:spacing w:after="0" w:line="240" w:lineRule="auto"/>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tcPr>
          <w:p>
            <w:pPr>
              <w:pStyle w:val="31"/>
              <w:spacing w:after="0" w:line="240" w:lineRule="auto"/>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1701" w:type="dxa"/>
            <w:vAlign w:val="center"/>
          </w:tcPr>
          <w:p>
            <w:pPr>
              <w:snapToGrid w:val="0"/>
              <w:spacing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付款方式</w:t>
            </w:r>
          </w:p>
        </w:tc>
        <w:tc>
          <w:tcPr>
            <w:tcW w:w="2606" w:type="dxa"/>
          </w:tcPr>
          <w:p>
            <w:pPr>
              <w:spacing w:after="0" w:line="240" w:lineRule="auto"/>
              <w:ind w:firstLine="420" w:firstLineChars="200"/>
              <w:rPr>
                <w:rFonts w:ascii="微软雅黑" w:hAnsi="微软雅黑"/>
                <w:color w:val="000000" w:themeColor="text1"/>
                <w:highlight w:val="none"/>
                <w14:textFill>
                  <w14:solidFill>
                    <w14:schemeClr w14:val="tx1"/>
                  </w14:solidFill>
                </w14:textFill>
              </w:rPr>
            </w:pPr>
          </w:p>
        </w:tc>
        <w:tc>
          <w:tcPr>
            <w:tcW w:w="2001" w:type="dxa"/>
          </w:tcPr>
          <w:p>
            <w:pPr>
              <w:pStyle w:val="31"/>
              <w:spacing w:after="0" w:line="240" w:lineRule="auto"/>
              <w:rPr>
                <w:rFonts w:ascii="微软雅黑" w:hAnsi="微软雅黑"/>
                <w:color w:val="000000" w:themeColor="text1"/>
                <w:szCs w:val="21"/>
                <w:highlight w:val="none"/>
                <w14:textFill>
                  <w14:solidFill>
                    <w14:schemeClr w14:val="tx1"/>
                  </w14:solidFill>
                </w14:textFill>
              </w:rPr>
            </w:pPr>
          </w:p>
        </w:tc>
        <w:tc>
          <w:tcPr>
            <w:tcW w:w="1757" w:type="dxa"/>
          </w:tcPr>
          <w:p>
            <w:pPr>
              <w:pStyle w:val="31"/>
              <w:spacing w:after="0" w:line="240" w:lineRule="auto"/>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tcPr>
          <w:p>
            <w:pPr>
              <w:pStyle w:val="31"/>
              <w:spacing w:after="0" w:line="240" w:lineRule="auto"/>
              <w:jc w:val="center"/>
              <w:rPr>
                <w:rFonts w:ascii="微软雅黑" w:hAnsi="微软雅黑"/>
                <w:color w:val="000000" w:themeColor="text1"/>
                <w:szCs w:val="21"/>
                <w:highlight w:val="none"/>
                <w14:textFill>
                  <w14:solidFill>
                    <w14:schemeClr w14:val="tx1"/>
                  </w14:solidFill>
                </w14:textFill>
              </w:rPr>
            </w:pPr>
          </w:p>
        </w:tc>
        <w:tc>
          <w:tcPr>
            <w:tcW w:w="1701" w:type="dxa"/>
            <w:vAlign w:val="center"/>
          </w:tcPr>
          <w:p>
            <w:pPr>
              <w:snapToGrid w:val="0"/>
              <w:spacing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w:t>
            </w:r>
          </w:p>
        </w:tc>
        <w:tc>
          <w:tcPr>
            <w:tcW w:w="2606" w:type="dxa"/>
          </w:tcPr>
          <w:p>
            <w:pPr>
              <w:spacing w:after="0" w:line="240" w:lineRule="auto"/>
              <w:ind w:firstLine="420" w:firstLineChars="200"/>
              <w:rPr>
                <w:rFonts w:ascii="微软雅黑" w:hAnsi="微软雅黑"/>
                <w:color w:val="000000" w:themeColor="text1"/>
                <w:highlight w:val="none"/>
                <w14:textFill>
                  <w14:solidFill>
                    <w14:schemeClr w14:val="tx1"/>
                  </w14:solidFill>
                </w14:textFill>
              </w:rPr>
            </w:pPr>
          </w:p>
        </w:tc>
        <w:tc>
          <w:tcPr>
            <w:tcW w:w="2001" w:type="dxa"/>
          </w:tcPr>
          <w:p>
            <w:pPr>
              <w:pStyle w:val="31"/>
              <w:spacing w:after="0" w:line="240" w:lineRule="auto"/>
              <w:rPr>
                <w:rFonts w:ascii="微软雅黑" w:hAnsi="微软雅黑"/>
                <w:color w:val="000000" w:themeColor="text1"/>
                <w:szCs w:val="21"/>
                <w:highlight w:val="none"/>
                <w14:textFill>
                  <w14:solidFill>
                    <w14:schemeClr w14:val="tx1"/>
                  </w14:solidFill>
                </w14:textFill>
              </w:rPr>
            </w:pPr>
          </w:p>
        </w:tc>
        <w:tc>
          <w:tcPr>
            <w:tcW w:w="1757" w:type="dxa"/>
          </w:tcPr>
          <w:p>
            <w:pPr>
              <w:pStyle w:val="31"/>
              <w:spacing w:after="0" w:line="240" w:lineRule="auto"/>
              <w:rPr>
                <w:rFonts w:ascii="微软雅黑" w:hAnsi="微软雅黑"/>
                <w:color w:val="000000" w:themeColor="text1"/>
                <w:szCs w:val="21"/>
                <w:highlight w:val="none"/>
                <w14:textFill>
                  <w14:solidFill>
                    <w14:schemeClr w14:val="tx1"/>
                  </w14:solidFill>
                </w14:textFill>
              </w:rPr>
            </w:pPr>
          </w:p>
        </w:tc>
      </w:tr>
    </w:tbl>
    <w:p>
      <w:pPr>
        <w:widowControl/>
        <w:spacing w:line="360" w:lineRule="auto"/>
        <w:jc w:val="left"/>
        <w:rPr>
          <w:rFonts w:ascii="微软雅黑" w:hAnsi="微软雅黑"/>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供应商的响应文件（除技术规格部分）与磋商文件之规定存在偏离的，应在此表中如实说明。未在上表中说明的，将被认为完全响应磋商文件的规定.</w:t>
      </w:r>
    </w:p>
    <w:p>
      <w:pPr>
        <w:widowControl/>
        <w:spacing w:line="360" w:lineRule="auto"/>
        <w:jc w:val="left"/>
        <w:rPr>
          <w:rFonts w:ascii="微软雅黑" w:hAnsi="微软雅黑"/>
          <w:color w:val="000000" w:themeColor="text1"/>
          <w:highlight w:val="none"/>
          <w14:textFill>
            <w14:solidFill>
              <w14:schemeClr w14:val="tx1"/>
            </w14:solidFill>
          </w14:textFill>
        </w:rPr>
      </w:pPr>
    </w:p>
    <w:p>
      <w:pPr>
        <w:widowControl/>
        <w:spacing w:line="360" w:lineRule="auto"/>
        <w:jc w:val="left"/>
        <w:rPr>
          <w:rFonts w:ascii="微软雅黑" w:hAnsi="微软雅黑"/>
          <w:color w:val="000000" w:themeColor="text1"/>
          <w:highlight w:val="none"/>
          <w:shd w:val="clear" w:color="auto" w:fill="FFFFFF"/>
          <w14:textFill>
            <w14:solidFill>
              <w14:schemeClr w14:val="tx1"/>
            </w14:solidFill>
          </w14:textFill>
        </w:rPr>
      </w:pPr>
      <w:r>
        <w:rPr>
          <w:rFonts w:hint="eastAsia" w:ascii="微软雅黑" w:hAnsi="微软雅黑"/>
          <w:color w:val="000000" w:themeColor="text1"/>
          <w:highlight w:val="none"/>
          <w:shd w:val="clear" w:color="auto" w:fill="FFFFFF"/>
          <w14:textFill>
            <w14:solidFill>
              <w14:schemeClr w14:val="tx1"/>
            </w14:solidFill>
          </w14:textFill>
        </w:rPr>
        <w:t>供应商名称：（盖章）</w:t>
      </w:r>
    </w:p>
    <w:p>
      <w:pPr>
        <w:widowControl/>
        <w:spacing w:line="360" w:lineRule="auto"/>
        <w:jc w:val="left"/>
        <w:rPr>
          <w:rFonts w:ascii="微软雅黑" w:hAnsi="微软雅黑"/>
          <w:color w:val="000000" w:themeColor="text1"/>
          <w:highlight w:val="none"/>
          <w:shd w:val="clear" w:color="auto" w:fill="FFFFFF"/>
          <w14:textFill>
            <w14:solidFill>
              <w14:schemeClr w14:val="tx1"/>
            </w14:solidFill>
          </w14:textFill>
        </w:rPr>
      </w:pPr>
      <w:r>
        <w:rPr>
          <w:rFonts w:hint="eastAsia" w:ascii="微软雅黑" w:hAnsi="微软雅黑"/>
          <w:color w:val="000000" w:themeColor="text1"/>
          <w:highlight w:val="none"/>
          <w:shd w:val="clear" w:color="auto" w:fill="FFFFFF"/>
          <w14:textFill>
            <w14:solidFill>
              <w14:schemeClr w14:val="tx1"/>
            </w14:solidFill>
          </w14:textFill>
        </w:rPr>
        <w:t>法定代表人或</w:t>
      </w:r>
      <w:r>
        <w:rPr>
          <w:rFonts w:hint="eastAsia" w:ascii="微软雅黑" w:hAnsi="微软雅黑"/>
          <w:color w:val="000000" w:themeColor="text1"/>
          <w:highlight w:val="none"/>
          <w14:textFill>
            <w14:solidFill>
              <w14:schemeClr w14:val="tx1"/>
            </w14:solidFill>
          </w14:textFill>
        </w:rPr>
        <w:t>被授权人</w:t>
      </w:r>
      <w:r>
        <w:rPr>
          <w:rFonts w:hint="eastAsia" w:ascii="微软雅黑" w:hAnsi="微软雅黑"/>
          <w:color w:val="000000" w:themeColor="text1"/>
          <w:highlight w:val="none"/>
          <w:shd w:val="clear" w:color="auto" w:fill="FFFFFF"/>
          <w14:textFill>
            <w14:solidFill>
              <w14:schemeClr w14:val="tx1"/>
            </w14:solidFill>
          </w14:textFill>
        </w:rPr>
        <w:t>（签字或盖章）：</w:t>
      </w:r>
    </w:p>
    <w:p>
      <w:pPr>
        <w:widowControl/>
        <w:spacing w:line="360" w:lineRule="auto"/>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shd w:val="clear" w:color="auto" w:fill="FFFFFF"/>
          <w14:textFill>
            <w14:solidFill>
              <w14:schemeClr w14:val="tx1"/>
            </w14:solidFill>
          </w14:textFill>
        </w:rPr>
        <w:t xml:space="preserve">日期：  </w:t>
      </w:r>
      <w:r>
        <w:rPr>
          <w:rFonts w:hint="eastAsia" w:ascii="微软雅黑" w:hAnsi="微软雅黑"/>
          <w:color w:val="000000" w:themeColor="text1"/>
          <w:highlight w:val="none"/>
          <w:shd w:val="clear" w:color="auto" w:fill="FFFFFF"/>
          <w:lang w:val="en-US" w:eastAsia="zh-CN"/>
          <w14:textFill>
            <w14:solidFill>
              <w14:schemeClr w14:val="tx1"/>
            </w14:solidFill>
          </w14:textFill>
        </w:rPr>
        <w:t xml:space="preserve"> </w:t>
      </w:r>
      <w:r>
        <w:rPr>
          <w:rFonts w:hint="eastAsia" w:ascii="微软雅黑" w:hAnsi="微软雅黑"/>
          <w:color w:val="000000" w:themeColor="text1"/>
          <w:highlight w:val="none"/>
          <w:shd w:val="clear" w:color="auto" w:fill="FFFFFF"/>
          <w14:textFill>
            <w14:solidFill>
              <w14:schemeClr w14:val="tx1"/>
            </w14:solidFill>
          </w14:textFill>
        </w:rPr>
        <w:t>年  月  日</w:t>
      </w:r>
    </w:p>
    <w:p>
      <w:pPr>
        <w:snapToGrid w:val="0"/>
        <w:spacing w:before="50" w:line="360" w:lineRule="auto"/>
        <w:jc w:val="left"/>
        <w:rPr>
          <w:rFonts w:ascii="微软雅黑" w:hAnsi="微软雅黑"/>
          <w:b/>
          <w:color w:val="000000" w:themeColor="text1"/>
          <w:highlight w:val="none"/>
          <w14:textFill>
            <w14:solidFill>
              <w14:schemeClr w14:val="tx1"/>
            </w14:solidFill>
          </w14:textFill>
        </w:rPr>
        <w:sectPr>
          <w:pgSz w:w="11906" w:h="16838"/>
          <w:pgMar w:top="1134" w:right="1474" w:bottom="1134" w:left="1474" w:header="851" w:footer="510" w:gutter="0"/>
          <w:cols w:space="0" w:num="1"/>
        </w:sectPr>
      </w:pPr>
    </w:p>
    <w:p>
      <w:pPr>
        <w:snapToGrid w:val="0"/>
        <w:spacing w:before="50" w:line="360" w:lineRule="auto"/>
        <w:jc w:val="left"/>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技术响应表格式：</w:t>
      </w:r>
    </w:p>
    <w:p>
      <w:pPr>
        <w:snapToGrid w:val="0"/>
        <w:spacing w:before="50" w:line="360" w:lineRule="auto"/>
        <w:jc w:val="center"/>
        <w:rPr>
          <w:rFonts w:ascii="微软雅黑" w:hAnsi="微软雅黑"/>
          <w:b/>
          <w:color w:val="000000" w:themeColor="text1"/>
          <w:spacing w:val="20"/>
          <w:sz w:val="24"/>
          <w:szCs w:val="24"/>
          <w:highlight w:val="none"/>
          <w14:textFill>
            <w14:solidFill>
              <w14:schemeClr w14:val="tx1"/>
            </w14:solidFill>
          </w14:textFill>
        </w:rPr>
      </w:pPr>
      <w:r>
        <w:rPr>
          <w:rFonts w:hint="eastAsia" w:ascii="微软雅黑" w:hAnsi="微软雅黑"/>
          <w:b/>
          <w:color w:val="000000" w:themeColor="text1"/>
          <w:spacing w:val="20"/>
          <w:sz w:val="24"/>
          <w:szCs w:val="24"/>
          <w:highlight w:val="none"/>
          <w14:textFill>
            <w14:solidFill>
              <w14:schemeClr w14:val="tx1"/>
            </w14:solidFill>
          </w14:textFill>
        </w:rPr>
        <w:t>技术响应表</w:t>
      </w:r>
    </w:p>
    <w:p>
      <w:pPr>
        <w:snapToGrid w:val="0"/>
        <w:spacing w:line="360" w:lineRule="auto"/>
        <w:rPr>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项目名称：</w:t>
      </w:r>
    </w:p>
    <w:tbl>
      <w:tblPr>
        <w:tblStyle w:val="55"/>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17"/>
        <w:gridCol w:w="1701"/>
        <w:gridCol w:w="2486"/>
        <w:gridCol w:w="2121"/>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817" w:type="dxa"/>
            <w:vAlign w:val="center"/>
          </w:tcPr>
          <w:p>
            <w:pPr>
              <w:pStyle w:val="31"/>
              <w:spacing w:line="360" w:lineRule="auto"/>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序号</w:t>
            </w:r>
          </w:p>
        </w:tc>
        <w:tc>
          <w:tcPr>
            <w:tcW w:w="1701" w:type="dxa"/>
            <w:vAlign w:val="center"/>
          </w:tcPr>
          <w:p>
            <w:pPr>
              <w:pStyle w:val="31"/>
              <w:spacing w:line="360" w:lineRule="auto"/>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项目</w:t>
            </w:r>
          </w:p>
        </w:tc>
        <w:tc>
          <w:tcPr>
            <w:tcW w:w="2486" w:type="dxa"/>
            <w:vAlign w:val="center"/>
          </w:tcPr>
          <w:p>
            <w:pPr>
              <w:pStyle w:val="31"/>
              <w:spacing w:line="360" w:lineRule="auto"/>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采购文件要求</w:t>
            </w:r>
          </w:p>
        </w:tc>
        <w:tc>
          <w:tcPr>
            <w:tcW w:w="2121" w:type="dxa"/>
            <w:vAlign w:val="center"/>
          </w:tcPr>
          <w:p>
            <w:pPr>
              <w:pStyle w:val="31"/>
              <w:spacing w:line="360" w:lineRule="auto"/>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供应商响应情况</w:t>
            </w:r>
          </w:p>
        </w:tc>
        <w:tc>
          <w:tcPr>
            <w:tcW w:w="1757" w:type="dxa"/>
            <w:vAlign w:val="center"/>
          </w:tcPr>
          <w:p>
            <w:pPr>
              <w:pStyle w:val="31"/>
              <w:spacing w:line="360" w:lineRule="auto"/>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817" w:type="dxa"/>
            <w:vAlign w:val="center"/>
          </w:tcPr>
          <w:p>
            <w:pPr>
              <w:pStyle w:val="31"/>
              <w:spacing w:line="360" w:lineRule="auto"/>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1701" w:type="dxa"/>
            <w:vAlign w:val="center"/>
          </w:tcPr>
          <w:p>
            <w:pPr>
              <w:snapToGrid w:val="0"/>
              <w:spacing w:line="360" w:lineRule="auto"/>
              <w:jc w:val="center"/>
              <w:rPr>
                <w:rFonts w:ascii="微软雅黑" w:hAnsi="微软雅黑"/>
                <w:color w:val="000000" w:themeColor="text1"/>
                <w:highlight w:val="none"/>
                <w14:textFill>
                  <w14:solidFill>
                    <w14:schemeClr w14:val="tx1"/>
                  </w14:solidFill>
                </w14:textFill>
              </w:rPr>
            </w:pPr>
          </w:p>
        </w:tc>
        <w:tc>
          <w:tcPr>
            <w:tcW w:w="2486" w:type="dxa"/>
            <w:vAlign w:val="center"/>
          </w:tcPr>
          <w:p>
            <w:pPr>
              <w:spacing w:line="360" w:lineRule="auto"/>
              <w:jc w:val="center"/>
              <w:rPr>
                <w:rFonts w:ascii="微软雅黑" w:hAnsi="微软雅黑"/>
                <w:color w:val="000000" w:themeColor="text1"/>
                <w:highlight w:val="none"/>
                <w14:textFill>
                  <w14:solidFill>
                    <w14:schemeClr w14:val="tx1"/>
                  </w14:solidFill>
                </w14:textFill>
              </w:rPr>
            </w:pPr>
          </w:p>
        </w:tc>
        <w:tc>
          <w:tcPr>
            <w:tcW w:w="2121" w:type="dxa"/>
            <w:vAlign w:val="center"/>
          </w:tcPr>
          <w:p>
            <w:pPr>
              <w:pStyle w:val="31"/>
              <w:spacing w:line="360" w:lineRule="auto"/>
              <w:jc w:val="center"/>
              <w:rPr>
                <w:rFonts w:ascii="微软雅黑" w:hAnsi="微软雅黑"/>
                <w:color w:val="000000" w:themeColor="text1"/>
                <w:szCs w:val="21"/>
                <w:highlight w:val="none"/>
                <w14:textFill>
                  <w14:solidFill>
                    <w14:schemeClr w14:val="tx1"/>
                  </w14:solidFill>
                </w14:textFill>
              </w:rPr>
            </w:pPr>
          </w:p>
        </w:tc>
        <w:tc>
          <w:tcPr>
            <w:tcW w:w="1757" w:type="dxa"/>
            <w:vAlign w:val="center"/>
          </w:tcPr>
          <w:p>
            <w:pPr>
              <w:pStyle w:val="31"/>
              <w:spacing w:line="360" w:lineRule="auto"/>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817" w:type="dxa"/>
            <w:vAlign w:val="center"/>
          </w:tcPr>
          <w:p>
            <w:pPr>
              <w:pStyle w:val="31"/>
              <w:spacing w:line="360" w:lineRule="auto"/>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1701" w:type="dxa"/>
            <w:vAlign w:val="center"/>
          </w:tcPr>
          <w:p>
            <w:pPr>
              <w:snapToGrid w:val="0"/>
              <w:spacing w:line="360" w:lineRule="auto"/>
              <w:jc w:val="center"/>
              <w:rPr>
                <w:rFonts w:ascii="微软雅黑" w:hAnsi="微软雅黑"/>
                <w:color w:val="000000" w:themeColor="text1"/>
                <w:highlight w:val="none"/>
                <w14:textFill>
                  <w14:solidFill>
                    <w14:schemeClr w14:val="tx1"/>
                  </w14:solidFill>
                </w14:textFill>
              </w:rPr>
            </w:pPr>
          </w:p>
        </w:tc>
        <w:tc>
          <w:tcPr>
            <w:tcW w:w="2486" w:type="dxa"/>
            <w:vAlign w:val="center"/>
          </w:tcPr>
          <w:p>
            <w:pPr>
              <w:spacing w:line="440" w:lineRule="exact"/>
              <w:ind w:firstLine="420" w:firstLineChars="200"/>
              <w:jc w:val="center"/>
              <w:rPr>
                <w:rFonts w:ascii="微软雅黑" w:hAnsi="微软雅黑"/>
                <w:color w:val="000000" w:themeColor="text1"/>
                <w:highlight w:val="none"/>
                <w14:textFill>
                  <w14:solidFill>
                    <w14:schemeClr w14:val="tx1"/>
                  </w14:solidFill>
                </w14:textFill>
              </w:rPr>
            </w:pPr>
          </w:p>
        </w:tc>
        <w:tc>
          <w:tcPr>
            <w:tcW w:w="2121" w:type="dxa"/>
            <w:vAlign w:val="center"/>
          </w:tcPr>
          <w:p>
            <w:pPr>
              <w:pStyle w:val="31"/>
              <w:spacing w:line="360" w:lineRule="auto"/>
              <w:jc w:val="center"/>
              <w:rPr>
                <w:rFonts w:ascii="微软雅黑" w:hAnsi="微软雅黑"/>
                <w:color w:val="000000" w:themeColor="text1"/>
                <w:szCs w:val="21"/>
                <w:highlight w:val="none"/>
                <w14:textFill>
                  <w14:solidFill>
                    <w14:schemeClr w14:val="tx1"/>
                  </w14:solidFill>
                </w14:textFill>
              </w:rPr>
            </w:pPr>
          </w:p>
        </w:tc>
        <w:tc>
          <w:tcPr>
            <w:tcW w:w="1757" w:type="dxa"/>
            <w:vAlign w:val="center"/>
          </w:tcPr>
          <w:p>
            <w:pPr>
              <w:pStyle w:val="31"/>
              <w:spacing w:line="360" w:lineRule="auto"/>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817" w:type="dxa"/>
            <w:vAlign w:val="center"/>
          </w:tcPr>
          <w:p>
            <w:pPr>
              <w:pStyle w:val="31"/>
              <w:spacing w:line="360" w:lineRule="auto"/>
              <w:jc w:val="center"/>
              <w:rPr>
                <w:rFonts w:ascii="微软雅黑" w:hAnsi="微软雅黑"/>
                <w:color w:val="000000" w:themeColor="text1"/>
                <w:szCs w:val="21"/>
                <w:highlight w:val="none"/>
                <w14:textFill>
                  <w14:solidFill>
                    <w14:schemeClr w14:val="tx1"/>
                  </w14:solidFill>
                </w14:textFill>
              </w:rPr>
            </w:pPr>
          </w:p>
        </w:tc>
        <w:tc>
          <w:tcPr>
            <w:tcW w:w="1701" w:type="dxa"/>
            <w:vAlign w:val="center"/>
          </w:tcPr>
          <w:p>
            <w:pPr>
              <w:snapToGrid w:val="0"/>
              <w:spacing w:line="36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w:t>
            </w:r>
          </w:p>
        </w:tc>
        <w:tc>
          <w:tcPr>
            <w:tcW w:w="2486" w:type="dxa"/>
            <w:vAlign w:val="center"/>
          </w:tcPr>
          <w:p>
            <w:pPr>
              <w:pStyle w:val="31"/>
              <w:spacing w:line="360" w:lineRule="auto"/>
              <w:jc w:val="center"/>
              <w:rPr>
                <w:rFonts w:ascii="微软雅黑" w:hAnsi="微软雅黑"/>
                <w:color w:val="000000" w:themeColor="text1"/>
                <w:szCs w:val="21"/>
                <w:highlight w:val="none"/>
                <w14:textFill>
                  <w14:solidFill>
                    <w14:schemeClr w14:val="tx1"/>
                  </w14:solidFill>
                </w14:textFill>
              </w:rPr>
            </w:pPr>
          </w:p>
        </w:tc>
        <w:tc>
          <w:tcPr>
            <w:tcW w:w="2121" w:type="dxa"/>
            <w:vAlign w:val="center"/>
          </w:tcPr>
          <w:p>
            <w:pPr>
              <w:pStyle w:val="31"/>
              <w:spacing w:line="360" w:lineRule="auto"/>
              <w:jc w:val="center"/>
              <w:rPr>
                <w:rFonts w:ascii="微软雅黑" w:hAnsi="微软雅黑"/>
                <w:color w:val="000000" w:themeColor="text1"/>
                <w:szCs w:val="21"/>
                <w:highlight w:val="none"/>
                <w14:textFill>
                  <w14:solidFill>
                    <w14:schemeClr w14:val="tx1"/>
                  </w14:solidFill>
                </w14:textFill>
              </w:rPr>
            </w:pPr>
          </w:p>
        </w:tc>
        <w:tc>
          <w:tcPr>
            <w:tcW w:w="1757" w:type="dxa"/>
            <w:vAlign w:val="center"/>
          </w:tcPr>
          <w:p>
            <w:pPr>
              <w:pStyle w:val="31"/>
              <w:spacing w:line="360" w:lineRule="auto"/>
              <w:jc w:val="center"/>
              <w:rPr>
                <w:rFonts w:ascii="微软雅黑" w:hAnsi="微软雅黑"/>
                <w:color w:val="000000" w:themeColor="text1"/>
                <w:szCs w:val="21"/>
                <w:highlight w:val="none"/>
                <w14:textFill>
                  <w14:solidFill>
                    <w14:schemeClr w14:val="tx1"/>
                  </w14:solidFill>
                </w14:textFill>
              </w:rPr>
            </w:pPr>
          </w:p>
        </w:tc>
      </w:tr>
    </w:tbl>
    <w:p>
      <w:pPr>
        <w:widowControl/>
        <w:spacing w:before="120" w:beforeLines="50" w:line="360" w:lineRule="auto"/>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供应商</w:t>
      </w:r>
      <w:r>
        <w:rPr>
          <w:rFonts w:ascii="微软雅黑" w:hAnsi="微软雅黑"/>
          <w:color w:val="000000" w:themeColor="text1"/>
          <w:highlight w:val="none"/>
          <w14:textFill>
            <w14:solidFill>
              <w14:schemeClr w14:val="tx1"/>
            </w14:solidFill>
          </w14:textFill>
        </w:rPr>
        <w:t>应根据投标设备的性能指标、对照</w:t>
      </w:r>
      <w:r>
        <w:rPr>
          <w:rFonts w:hint="eastAsia" w:ascii="微软雅黑" w:hAnsi="微软雅黑"/>
          <w:color w:val="000000" w:themeColor="text1"/>
          <w:highlight w:val="none"/>
          <w14:textFill>
            <w14:solidFill>
              <w14:schemeClr w14:val="tx1"/>
            </w14:solidFill>
          </w14:textFill>
        </w:rPr>
        <w:t>采购文件</w:t>
      </w:r>
      <w:r>
        <w:rPr>
          <w:rFonts w:ascii="微软雅黑" w:hAnsi="微软雅黑"/>
          <w:color w:val="000000" w:themeColor="text1"/>
          <w:highlight w:val="none"/>
          <w14:textFill>
            <w14:solidFill>
              <w14:schemeClr w14:val="tx1"/>
            </w14:solidFill>
          </w14:textFill>
        </w:rPr>
        <w:t>要求在“偏离情况”栏注明“正偏离”、“负偏离”或“无偏离”。</w:t>
      </w:r>
    </w:p>
    <w:p>
      <w:pPr>
        <w:snapToGrid w:val="0"/>
        <w:spacing w:before="50" w:after="50" w:line="500" w:lineRule="exact"/>
        <w:rPr>
          <w:rFonts w:ascii="微软雅黑" w:hAnsi="微软雅黑"/>
          <w:color w:val="000000" w:themeColor="text1"/>
          <w:highlight w:val="none"/>
          <w:u w:val="singl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法定代表人或被授权人（签字或盖章）：</w:t>
      </w:r>
    </w:p>
    <w:p>
      <w:pPr>
        <w:pStyle w:val="114"/>
        <w:spacing w:after="120" w:line="500" w:lineRule="exact"/>
        <w:ind w:right="480"/>
        <w:rPr>
          <w:rFonts w:ascii="微软雅黑" w:hAnsi="微软雅黑"/>
          <w:color w:val="000000" w:themeColor="text1"/>
          <w:sz w:val="21"/>
          <w:szCs w:val="21"/>
          <w:highlight w:val="none"/>
          <w14:textFill>
            <w14:solidFill>
              <w14:schemeClr w14:val="tx1"/>
            </w14:solidFill>
          </w14:textFill>
        </w:rPr>
      </w:pPr>
      <w:r>
        <w:rPr>
          <w:rFonts w:hint="eastAsia" w:ascii="微软雅黑" w:hAnsi="微软雅黑"/>
          <w:color w:val="000000" w:themeColor="text1"/>
          <w:sz w:val="21"/>
          <w:szCs w:val="21"/>
          <w:highlight w:val="none"/>
          <w14:textFill>
            <w14:solidFill>
              <w14:schemeClr w14:val="tx1"/>
            </w14:solidFill>
          </w14:textFill>
        </w:rPr>
        <w:t>供应商公章：</w:t>
      </w:r>
    </w:p>
    <w:p>
      <w:pPr>
        <w:pStyle w:val="114"/>
        <w:spacing w:after="120" w:line="500" w:lineRule="exact"/>
        <w:ind w:right="480"/>
        <w:rPr>
          <w:rFonts w:ascii="微软雅黑" w:hAnsi="微软雅黑"/>
          <w:color w:val="000000" w:themeColor="text1"/>
          <w:sz w:val="21"/>
          <w:szCs w:val="21"/>
          <w:highlight w:val="none"/>
          <w14:textFill>
            <w14:solidFill>
              <w14:schemeClr w14:val="tx1"/>
            </w14:solidFill>
          </w14:textFill>
        </w:rPr>
      </w:pPr>
      <w:r>
        <w:rPr>
          <w:rFonts w:hint="eastAsia" w:ascii="微软雅黑" w:hAnsi="微软雅黑"/>
          <w:color w:val="000000" w:themeColor="text1"/>
          <w:sz w:val="21"/>
          <w:szCs w:val="21"/>
          <w:highlight w:val="none"/>
          <w14:textFill>
            <w14:solidFill>
              <w14:schemeClr w14:val="tx1"/>
            </w14:solidFill>
          </w14:textFill>
        </w:rPr>
        <w:t>日期： 年 月 日</w:t>
      </w:r>
    </w:p>
    <w:p>
      <w:pPr>
        <w:snapToGrid w:val="0"/>
        <w:spacing w:before="50" w:after="120" w:afterLines="50"/>
        <w:jc w:val="left"/>
        <w:rPr>
          <w:rFonts w:ascii="微软雅黑" w:hAnsi="微软雅黑"/>
          <w:b/>
          <w:color w:val="000000" w:themeColor="text1"/>
          <w:highlight w:val="none"/>
          <w14:textFill>
            <w14:solidFill>
              <w14:schemeClr w14:val="tx1"/>
            </w14:solidFill>
          </w14:textFill>
        </w:rPr>
      </w:pPr>
    </w:p>
    <w:p>
      <w:pPr>
        <w:snapToGrid w:val="0"/>
        <w:spacing w:line="360" w:lineRule="auto"/>
        <w:jc w:val="left"/>
        <w:rPr>
          <w:rFonts w:ascii="微软雅黑" w:hAnsi="微软雅黑"/>
          <w:b/>
          <w:color w:val="000000" w:themeColor="text1"/>
          <w:highlight w:val="none"/>
          <w14:textFill>
            <w14:solidFill>
              <w14:schemeClr w14:val="tx1"/>
            </w14:solidFill>
          </w14:textFill>
        </w:rPr>
        <w:sectPr>
          <w:pgSz w:w="11906" w:h="16838"/>
          <w:pgMar w:top="1134" w:right="1474" w:bottom="1134" w:left="1474" w:header="851" w:footer="510" w:gutter="0"/>
          <w:cols w:space="0" w:num="1"/>
        </w:sectPr>
      </w:pPr>
    </w:p>
    <w:p>
      <w:pPr>
        <w:snapToGrid w:val="0"/>
        <w:spacing w:line="360" w:lineRule="auto"/>
        <w:jc w:val="left"/>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中小企业声明函</w:t>
      </w:r>
    </w:p>
    <w:p>
      <w:pPr>
        <w:snapToGrid w:val="0"/>
        <w:spacing w:before="50" w:after="50" w:line="360" w:lineRule="auto"/>
        <w:jc w:val="center"/>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sz w:val="24"/>
          <w:szCs w:val="24"/>
          <w:highlight w:val="none"/>
          <w14:textFill>
            <w14:solidFill>
              <w14:schemeClr w14:val="tx1"/>
            </w14:solidFill>
          </w14:textFill>
        </w:rPr>
        <w:t>中小企业声明函</w:t>
      </w:r>
    </w:p>
    <w:p>
      <w:pPr>
        <w:pStyle w:val="202"/>
        <w:spacing w:line="360" w:lineRule="auto"/>
        <w:ind w:right="157" w:firstLine="875" w:firstLineChars="417"/>
        <w:rPr>
          <w:rFonts w:hint="default" w:ascii="微软雅黑" w:hAnsi="微软雅黑" w:eastAsia="微软雅黑" w:cs="微软雅黑"/>
          <w:color w:val="000000" w:themeColor="text1"/>
          <w:sz w:val="21"/>
          <w:szCs w:val="21"/>
          <w:highlight w:val="none"/>
          <w14:textFill>
            <w14:solidFill>
              <w14:schemeClr w14:val="tx1"/>
            </w14:solidFill>
          </w14:textFill>
        </w:rPr>
      </w:pPr>
      <w:r>
        <w:rPr>
          <w:rFonts w:ascii="微软雅黑" w:hAnsi="微软雅黑" w:eastAsia="微软雅黑" w:cs="微软雅黑"/>
          <w:color w:val="000000" w:themeColor="text1"/>
          <w:sz w:val="21"/>
          <w:szCs w:val="21"/>
          <w:highlight w:val="none"/>
          <w14:textFill>
            <w14:solidFill>
              <w14:schemeClr w14:val="tx1"/>
            </w14:solidFill>
          </w14:textFill>
        </w:rPr>
        <w:t>本公司（联合体）郑重声明，根据《政府采购促进中小企业发展管理办法》（财库﹝2020﹞46 号）的规定，本公司（联合体）参加</w:t>
      </w:r>
      <w:r>
        <w:rPr>
          <w:rFonts w:ascii="微软雅黑" w:hAnsi="微软雅黑" w:eastAsia="微软雅黑" w:cs="微软雅黑"/>
          <w:color w:val="000000" w:themeColor="text1"/>
          <w:sz w:val="21"/>
          <w:szCs w:val="21"/>
          <w:highlight w:val="none"/>
          <w:u w:val="single"/>
          <w14:textFill>
            <w14:solidFill>
              <w14:schemeClr w14:val="tx1"/>
            </w14:solidFill>
          </w14:textFill>
        </w:rPr>
        <w:t>（单位名称）</w:t>
      </w:r>
      <w:r>
        <w:rPr>
          <w:rFonts w:ascii="微软雅黑" w:hAnsi="微软雅黑" w:eastAsia="微软雅黑" w:cs="微软雅黑"/>
          <w:color w:val="000000" w:themeColor="text1"/>
          <w:sz w:val="21"/>
          <w:szCs w:val="21"/>
          <w:highlight w:val="none"/>
          <w14:textFill>
            <w14:solidFill>
              <w14:schemeClr w14:val="tx1"/>
            </w14:solidFill>
          </w14:textFill>
        </w:rPr>
        <w:t>的</w:t>
      </w:r>
      <w:r>
        <w:rPr>
          <w:rFonts w:ascii="微软雅黑" w:hAnsi="微软雅黑" w:eastAsia="微软雅黑" w:cs="微软雅黑"/>
          <w:color w:val="000000" w:themeColor="text1"/>
          <w:sz w:val="21"/>
          <w:szCs w:val="21"/>
          <w:highlight w:val="none"/>
          <w:u w:val="single"/>
          <w14:textFill>
            <w14:solidFill>
              <w14:schemeClr w14:val="tx1"/>
            </w14:solidFill>
          </w14:textFill>
        </w:rPr>
        <w:t>（项目名称）</w:t>
      </w:r>
      <w:r>
        <w:rPr>
          <w:rFonts w:ascii="微软雅黑" w:hAnsi="微软雅黑" w:eastAsia="微软雅黑" w:cs="微软雅黑"/>
          <w:color w:val="000000" w:themeColor="text1"/>
          <w:sz w:val="21"/>
          <w:szCs w:val="21"/>
          <w:highlight w:val="none"/>
          <w14:textFill>
            <w14:solidFill>
              <w14:schemeClr w14:val="tx1"/>
            </w14:solidFill>
          </w14:textFill>
        </w:rPr>
        <w:t>采购活动，</w:t>
      </w:r>
      <w:r>
        <w:rPr>
          <w:rFonts w:ascii="微软雅黑" w:hAnsi="微软雅黑" w:eastAsia="微软雅黑" w:cs="微软雅黑"/>
          <w:b/>
          <w:bCs/>
          <w:color w:val="000000" w:themeColor="text1"/>
          <w:sz w:val="21"/>
          <w:szCs w:val="21"/>
          <w:highlight w:val="none"/>
          <w14:textFill>
            <w14:solidFill>
              <w14:schemeClr w14:val="tx1"/>
            </w14:solidFill>
          </w14:textFill>
        </w:rPr>
        <w:t>服务全部由符合政策要求的中小企业承接</w:t>
      </w:r>
      <w:r>
        <w:rPr>
          <w:rFonts w:ascii="微软雅黑" w:hAnsi="微软雅黑" w:eastAsia="微软雅黑" w:cs="微软雅黑"/>
          <w:color w:val="000000" w:themeColor="text1"/>
          <w:sz w:val="21"/>
          <w:szCs w:val="21"/>
          <w:highlight w:val="none"/>
          <w14:textFill>
            <w14:solidFill>
              <w14:schemeClr w14:val="tx1"/>
            </w14:solidFill>
          </w14:textFill>
        </w:rPr>
        <w:t>。相关企业（含联合体中的中小企业、签订分包意向协议的中小企业）的具体情况如下：</w:t>
      </w:r>
    </w:p>
    <w:p>
      <w:pPr>
        <w:pStyle w:val="202"/>
        <w:spacing w:line="360" w:lineRule="auto"/>
        <w:ind w:right="157" w:firstLine="875" w:firstLineChars="417"/>
        <w:rPr>
          <w:rFonts w:hint="default" w:ascii="微软雅黑" w:hAnsi="微软雅黑" w:eastAsia="微软雅黑" w:cs="微软雅黑"/>
          <w:color w:val="000000" w:themeColor="text1"/>
          <w:sz w:val="21"/>
          <w:szCs w:val="21"/>
          <w:highlight w:val="none"/>
          <w14:textFill>
            <w14:solidFill>
              <w14:schemeClr w14:val="tx1"/>
            </w14:solidFill>
          </w14:textFill>
        </w:rPr>
      </w:pPr>
      <w:r>
        <w:rPr>
          <w:rFonts w:ascii="微软雅黑" w:hAnsi="微软雅黑" w:eastAsia="微软雅黑" w:cs="微软雅黑"/>
          <w:color w:val="000000" w:themeColor="text1"/>
          <w:sz w:val="21"/>
          <w:szCs w:val="21"/>
          <w:highlight w:val="none"/>
          <w14:textFill>
            <w14:solidFill>
              <w14:schemeClr w14:val="tx1"/>
            </w14:solidFill>
          </w14:textFill>
        </w:rPr>
        <w:t xml:space="preserve">1. </w:t>
      </w:r>
      <w:r>
        <w:rPr>
          <w:rFonts w:ascii="微软雅黑" w:hAnsi="微软雅黑" w:eastAsia="微软雅黑" w:cs="微软雅黑"/>
          <w:color w:val="000000" w:themeColor="text1"/>
          <w:sz w:val="21"/>
          <w:szCs w:val="21"/>
          <w:highlight w:val="none"/>
          <w:u w:val="single"/>
          <w14:textFill>
            <w14:solidFill>
              <w14:schemeClr w14:val="tx1"/>
            </w14:solidFill>
          </w14:textFill>
        </w:rPr>
        <w:t>（标的名称）</w:t>
      </w:r>
      <w:r>
        <w:rPr>
          <w:rFonts w:ascii="微软雅黑" w:hAnsi="微软雅黑" w:eastAsia="微软雅黑" w:cs="微软雅黑"/>
          <w:color w:val="000000" w:themeColor="text1"/>
          <w:sz w:val="21"/>
          <w:szCs w:val="21"/>
          <w:highlight w:val="none"/>
          <w14:textFill>
            <w14:solidFill>
              <w14:schemeClr w14:val="tx1"/>
            </w14:solidFill>
          </w14:textFill>
        </w:rPr>
        <w:t>，属于</w:t>
      </w:r>
      <w:r>
        <w:rPr>
          <w:rFonts w:ascii="微软雅黑" w:hAnsi="微软雅黑" w:eastAsia="微软雅黑" w:cs="微软雅黑"/>
          <w:color w:val="000000" w:themeColor="text1"/>
          <w:sz w:val="21"/>
          <w:szCs w:val="21"/>
          <w:highlight w:val="none"/>
          <w:u w:val="single"/>
          <w14:textFill>
            <w14:solidFill>
              <w14:schemeClr w14:val="tx1"/>
            </w14:solidFill>
          </w14:textFill>
        </w:rPr>
        <w:t>（采购文件中明确的所属行业）</w:t>
      </w:r>
      <w:r>
        <w:rPr>
          <w:rFonts w:ascii="微软雅黑" w:hAnsi="微软雅黑" w:eastAsia="微软雅黑" w:cs="微软雅黑"/>
          <w:color w:val="000000" w:themeColor="text1"/>
          <w:sz w:val="21"/>
          <w:szCs w:val="21"/>
          <w:highlight w:val="none"/>
          <w14:textFill>
            <w14:solidFill>
              <w14:schemeClr w14:val="tx1"/>
            </w14:solidFill>
          </w14:textFill>
        </w:rPr>
        <w:t>；承建（承接）企业为</w:t>
      </w:r>
      <w:r>
        <w:rPr>
          <w:rFonts w:ascii="微软雅黑" w:hAnsi="微软雅黑" w:eastAsia="微软雅黑" w:cs="微软雅黑"/>
          <w:color w:val="000000" w:themeColor="text1"/>
          <w:sz w:val="21"/>
          <w:szCs w:val="21"/>
          <w:highlight w:val="none"/>
          <w:u w:val="single"/>
          <w14:textFill>
            <w14:solidFill>
              <w14:schemeClr w14:val="tx1"/>
            </w14:solidFill>
          </w14:textFill>
        </w:rPr>
        <w:t>（企业名称）</w:t>
      </w:r>
      <w:r>
        <w:rPr>
          <w:rFonts w:ascii="微软雅黑" w:hAnsi="微软雅黑" w:eastAsia="微软雅黑" w:cs="微软雅黑"/>
          <w:color w:val="000000" w:themeColor="text1"/>
          <w:sz w:val="21"/>
          <w:szCs w:val="21"/>
          <w:highlight w:val="none"/>
          <w14:textFill>
            <w14:solidFill>
              <w14:schemeClr w14:val="tx1"/>
            </w14:solidFill>
          </w14:textFill>
        </w:rPr>
        <w:t>，从业人员人，营业收入为万元，资产总额为万元，属于（</w:t>
      </w:r>
      <w:r>
        <w:rPr>
          <w:rFonts w:ascii="微软雅黑" w:hAnsi="微软雅黑" w:eastAsia="微软雅黑" w:cs="微软雅黑"/>
          <w:color w:val="000000" w:themeColor="text1"/>
          <w:sz w:val="21"/>
          <w:szCs w:val="21"/>
          <w:highlight w:val="none"/>
          <w14:textFill>
            <w14:solidFill>
              <w14:schemeClr w14:val="tx1"/>
            </w14:solidFill>
          </w14:textFill>
        </w:rPr>
        <w:sym w:font="Wingdings 2" w:char="00A3"/>
      </w:r>
      <w:r>
        <w:rPr>
          <w:rFonts w:ascii="微软雅黑" w:hAnsi="微软雅黑" w:eastAsia="微软雅黑" w:cs="微软雅黑"/>
          <w:color w:val="000000" w:themeColor="text1"/>
          <w:sz w:val="21"/>
          <w:szCs w:val="21"/>
          <w:highlight w:val="none"/>
          <w14:textFill>
            <w14:solidFill>
              <w14:schemeClr w14:val="tx1"/>
            </w14:solidFill>
          </w14:textFill>
        </w:rPr>
        <w:t>中型企业、</w:t>
      </w:r>
      <w:r>
        <w:rPr>
          <w:rFonts w:ascii="微软雅黑" w:hAnsi="微软雅黑" w:eastAsia="微软雅黑" w:cs="微软雅黑"/>
          <w:color w:val="000000" w:themeColor="text1"/>
          <w:sz w:val="21"/>
          <w:szCs w:val="21"/>
          <w:highlight w:val="none"/>
          <w14:textFill>
            <w14:solidFill>
              <w14:schemeClr w14:val="tx1"/>
            </w14:solidFill>
          </w14:textFill>
        </w:rPr>
        <w:sym w:font="Wingdings 2" w:char="00A3"/>
      </w:r>
      <w:r>
        <w:rPr>
          <w:rFonts w:ascii="微软雅黑" w:hAnsi="微软雅黑" w:eastAsia="微软雅黑" w:cs="微软雅黑"/>
          <w:color w:val="000000" w:themeColor="text1"/>
          <w:sz w:val="21"/>
          <w:szCs w:val="21"/>
          <w:highlight w:val="none"/>
          <w14:textFill>
            <w14:solidFill>
              <w14:schemeClr w14:val="tx1"/>
            </w14:solidFill>
          </w14:textFill>
        </w:rPr>
        <w:t>小型企业、</w:t>
      </w:r>
      <w:r>
        <w:rPr>
          <w:rFonts w:ascii="微软雅黑" w:hAnsi="微软雅黑" w:eastAsia="微软雅黑" w:cs="微软雅黑"/>
          <w:color w:val="000000" w:themeColor="text1"/>
          <w:sz w:val="21"/>
          <w:szCs w:val="21"/>
          <w:highlight w:val="none"/>
          <w14:textFill>
            <w14:solidFill>
              <w14:schemeClr w14:val="tx1"/>
            </w14:solidFill>
          </w14:textFill>
        </w:rPr>
        <w:sym w:font="Wingdings 2" w:char="00A3"/>
      </w:r>
      <w:r>
        <w:rPr>
          <w:rFonts w:ascii="微软雅黑" w:hAnsi="微软雅黑" w:eastAsia="微软雅黑" w:cs="微软雅黑"/>
          <w:color w:val="000000" w:themeColor="text1"/>
          <w:sz w:val="21"/>
          <w:szCs w:val="21"/>
          <w:highlight w:val="none"/>
          <w14:textFill>
            <w14:solidFill>
              <w14:schemeClr w14:val="tx1"/>
            </w14:solidFill>
          </w14:textFill>
        </w:rPr>
        <w:t>微型企业）；</w:t>
      </w:r>
    </w:p>
    <w:p>
      <w:pPr>
        <w:pStyle w:val="202"/>
        <w:spacing w:line="360" w:lineRule="auto"/>
        <w:ind w:right="157" w:firstLine="875" w:firstLineChars="417"/>
        <w:rPr>
          <w:rFonts w:hint="default" w:ascii="微软雅黑" w:hAnsi="微软雅黑" w:eastAsia="微软雅黑" w:cs="微软雅黑"/>
          <w:color w:val="000000" w:themeColor="text1"/>
          <w:sz w:val="21"/>
          <w:szCs w:val="21"/>
          <w:highlight w:val="none"/>
          <w14:textFill>
            <w14:solidFill>
              <w14:schemeClr w14:val="tx1"/>
            </w14:solidFill>
          </w14:textFill>
        </w:rPr>
      </w:pPr>
      <w:r>
        <w:rPr>
          <w:rFonts w:ascii="微软雅黑" w:hAnsi="微软雅黑" w:eastAsia="微软雅黑" w:cs="微软雅黑"/>
          <w:color w:val="000000" w:themeColor="text1"/>
          <w:sz w:val="21"/>
          <w:szCs w:val="21"/>
          <w:highlight w:val="none"/>
          <w14:textFill>
            <w14:solidFill>
              <w14:schemeClr w14:val="tx1"/>
            </w14:solidFill>
          </w14:textFill>
        </w:rPr>
        <w:t xml:space="preserve">2. </w:t>
      </w:r>
      <w:r>
        <w:rPr>
          <w:rFonts w:ascii="微软雅黑" w:hAnsi="微软雅黑" w:eastAsia="微软雅黑" w:cs="微软雅黑"/>
          <w:color w:val="000000" w:themeColor="text1"/>
          <w:sz w:val="21"/>
          <w:szCs w:val="21"/>
          <w:highlight w:val="none"/>
          <w:u w:val="single"/>
          <w14:textFill>
            <w14:solidFill>
              <w14:schemeClr w14:val="tx1"/>
            </w14:solidFill>
          </w14:textFill>
        </w:rPr>
        <w:t>（标的名称）</w:t>
      </w:r>
      <w:r>
        <w:rPr>
          <w:rFonts w:ascii="微软雅黑" w:hAnsi="微软雅黑" w:eastAsia="微软雅黑" w:cs="微软雅黑"/>
          <w:color w:val="000000" w:themeColor="text1"/>
          <w:sz w:val="21"/>
          <w:szCs w:val="21"/>
          <w:highlight w:val="none"/>
          <w14:textFill>
            <w14:solidFill>
              <w14:schemeClr w14:val="tx1"/>
            </w14:solidFill>
          </w14:textFill>
        </w:rPr>
        <w:t>，属于</w:t>
      </w:r>
      <w:r>
        <w:rPr>
          <w:rFonts w:ascii="微软雅黑" w:hAnsi="微软雅黑" w:eastAsia="微软雅黑" w:cs="微软雅黑"/>
          <w:color w:val="000000" w:themeColor="text1"/>
          <w:sz w:val="21"/>
          <w:szCs w:val="21"/>
          <w:highlight w:val="none"/>
          <w:u w:val="single"/>
          <w14:textFill>
            <w14:solidFill>
              <w14:schemeClr w14:val="tx1"/>
            </w14:solidFill>
          </w14:textFill>
        </w:rPr>
        <w:t>（采购文件中明确的所属行业）</w:t>
      </w:r>
      <w:r>
        <w:rPr>
          <w:rFonts w:ascii="微软雅黑" w:hAnsi="微软雅黑" w:eastAsia="微软雅黑" w:cs="微软雅黑"/>
          <w:color w:val="000000" w:themeColor="text1"/>
          <w:sz w:val="21"/>
          <w:szCs w:val="21"/>
          <w:highlight w:val="none"/>
          <w14:textFill>
            <w14:solidFill>
              <w14:schemeClr w14:val="tx1"/>
            </w14:solidFill>
          </w14:textFill>
        </w:rPr>
        <w:t>；承建（承接）企业为</w:t>
      </w:r>
      <w:r>
        <w:rPr>
          <w:rFonts w:ascii="微软雅黑" w:hAnsi="微软雅黑" w:eastAsia="微软雅黑" w:cs="微软雅黑"/>
          <w:color w:val="000000" w:themeColor="text1"/>
          <w:sz w:val="21"/>
          <w:szCs w:val="21"/>
          <w:highlight w:val="none"/>
          <w:u w:val="single"/>
          <w14:textFill>
            <w14:solidFill>
              <w14:schemeClr w14:val="tx1"/>
            </w14:solidFill>
          </w14:textFill>
        </w:rPr>
        <w:t>（企业名称）</w:t>
      </w:r>
      <w:r>
        <w:rPr>
          <w:rFonts w:ascii="微软雅黑" w:hAnsi="微软雅黑" w:eastAsia="微软雅黑" w:cs="微软雅黑"/>
          <w:color w:val="000000" w:themeColor="text1"/>
          <w:sz w:val="21"/>
          <w:szCs w:val="21"/>
          <w:highlight w:val="none"/>
          <w14:textFill>
            <w14:solidFill>
              <w14:schemeClr w14:val="tx1"/>
            </w14:solidFill>
          </w14:textFill>
        </w:rPr>
        <w:t>，从业人员人，营业收入为万元，资产总额为万元，属于</w:t>
      </w:r>
      <w:r>
        <w:rPr>
          <w:rFonts w:ascii="微软雅黑" w:hAnsi="微软雅黑" w:eastAsia="微软雅黑" w:cs="微软雅黑"/>
          <w:color w:val="000000" w:themeColor="text1"/>
          <w:sz w:val="21"/>
          <w:szCs w:val="21"/>
          <w:highlight w:val="none"/>
          <w:u w:val="single"/>
          <w14:textFill>
            <w14:solidFill>
              <w14:schemeClr w14:val="tx1"/>
            </w14:solidFill>
          </w14:textFill>
        </w:rPr>
        <w:t>（</w:t>
      </w:r>
      <w:r>
        <w:rPr>
          <w:rFonts w:ascii="微软雅黑" w:hAnsi="微软雅黑" w:eastAsia="微软雅黑" w:cs="微软雅黑"/>
          <w:color w:val="000000" w:themeColor="text1"/>
          <w:sz w:val="21"/>
          <w:szCs w:val="21"/>
          <w:highlight w:val="none"/>
          <w:u w:val="single"/>
          <w14:textFill>
            <w14:solidFill>
              <w14:schemeClr w14:val="tx1"/>
            </w14:solidFill>
          </w14:textFill>
        </w:rPr>
        <w:sym w:font="Wingdings 2" w:char="00A3"/>
      </w:r>
      <w:r>
        <w:rPr>
          <w:rFonts w:ascii="微软雅黑" w:hAnsi="微软雅黑" w:eastAsia="微软雅黑" w:cs="微软雅黑"/>
          <w:color w:val="000000" w:themeColor="text1"/>
          <w:sz w:val="21"/>
          <w:szCs w:val="21"/>
          <w:highlight w:val="none"/>
          <w:u w:val="single"/>
          <w14:textFill>
            <w14:solidFill>
              <w14:schemeClr w14:val="tx1"/>
            </w14:solidFill>
          </w14:textFill>
        </w:rPr>
        <w:t>中型企业、</w:t>
      </w:r>
      <w:r>
        <w:rPr>
          <w:rFonts w:ascii="微软雅黑" w:hAnsi="微软雅黑" w:eastAsia="微软雅黑" w:cs="微软雅黑"/>
          <w:color w:val="000000" w:themeColor="text1"/>
          <w:sz w:val="21"/>
          <w:szCs w:val="21"/>
          <w:highlight w:val="none"/>
          <w:u w:val="single"/>
          <w14:textFill>
            <w14:solidFill>
              <w14:schemeClr w14:val="tx1"/>
            </w14:solidFill>
          </w14:textFill>
        </w:rPr>
        <w:sym w:font="Wingdings 2" w:char="00A3"/>
      </w:r>
      <w:r>
        <w:rPr>
          <w:rFonts w:ascii="微软雅黑" w:hAnsi="微软雅黑" w:eastAsia="微软雅黑" w:cs="微软雅黑"/>
          <w:color w:val="000000" w:themeColor="text1"/>
          <w:sz w:val="21"/>
          <w:szCs w:val="21"/>
          <w:highlight w:val="none"/>
          <w:u w:val="single"/>
          <w14:textFill>
            <w14:solidFill>
              <w14:schemeClr w14:val="tx1"/>
            </w14:solidFill>
          </w14:textFill>
        </w:rPr>
        <w:t>小型企业、</w:t>
      </w:r>
      <w:r>
        <w:rPr>
          <w:rFonts w:ascii="微软雅黑" w:hAnsi="微软雅黑" w:eastAsia="微软雅黑" w:cs="微软雅黑"/>
          <w:color w:val="000000" w:themeColor="text1"/>
          <w:sz w:val="21"/>
          <w:szCs w:val="21"/>
          <w:highlight w:val="none"/>
          <w:u w:val="single"/>
          <w14:textFill>
            <w14:solidFill>
              <w14:schemeClr w14:val="tx1"/>
            </w14:solidFill>
          </w14:textFill>
        </w:rPr>
        <w:sym w:font="Wingdings 2" w:char="00A3"/>
      </w:r>
      <w:r>
        <w:rPr>
          <w:rFonts w:ascii="微软雅黑" w:hAnsi="微软雅黑" w:eastAsia="微软雅黑" w:cs="微软雅黑"/>
          <w:color w:val="000000" w:themeColor="text1"/>
          <w:sz w:val="21"/>
          <w:szCs w:val="21"/>
          <w:highlight w:val="none"/>
          <w:u w:val="single"/>
          <w14:textFill>
            <w14:solidFill>
              <w14:schemeClr w14:val="tx1"/>
            </w14:solidFill>
          </w14:textFill>
        </w:rPr>
        <w:t>微型企业）</w:t>
      </w:r>
      <w:r>
        <w:rPr>
          <w:rFonts w:ascii="微软雅黑" w:hAnsi="微软雅黑" w:eastAsia="微软雅黑" w:cs="微软雅黑"/>
          <w:color w:val="000000" w:themeColor="text1"/>
          <w:sz w:val="21"/>
          <w:szCs w:val="21"/>
          <w:highlight w:val="none"/>
          <w14:textFill>
            <w14:solidFill>
              <w14:schemeClr w14:val="tx1"/>
            </w14:solidFill>
          </w14:textFill>
        </w:rPr>
        <w:t>；</w:t>
      </w:r>
    </w:p>
    <w:p>
      <w:pPr>
        <w:pStyle w:val="202"/>
        <w:spacing w:line="360" w:lineRule="auto"/>
        <w:ind w:right="157" w:firstLine="875" w:firstLineChars="417"/>
        <w:rPr>
          <w:rFonts w:hint="default" w:ascii="微软雅黑" w:hAnsi="微软雅黑" w:eastAsia="微软雅黑" w:cs="微软雅黑"/>
          <w:color w:val="000000" w:themeColor="text1"/>
          <w:sz w:val="21"/>
          <w:szCs w:val="21"/>
          <w:highlight w:val="none"/>
          <w14:textFill>
            <w14:solidFill>
              <w14:schemeClr w14:val="tx1"/>
            </w14:solidFill>
          </w14:textFill>
        </w:rPr>
      </w:pPr>
      <w:r>
        <w:rPr>
          <w:rFonts w:ascii="微软雅黑" w:hAnsi="微软雅黑" w:eastAsia="微软雅黑" w:cs="微软雅黑"/>
          <w:color w:val="000000" w:themeColor="text1"/>
          <w:sz w:val="21"/>
          <w:szCs w:val="21"/>
          <w:highlight w:val="none"/>
          <w14:textFill>
            <w14:solidFill>
              <w14:schemeClr w14:val="tx1"/>
            </w14:solidFill>
          </w14:textFill>
        </w:rPr>
        <w:t>……</w:t>
      </w:r>
    </w:p>
    <w:p>
      <w:pPr>
        <w:pStyle w:val="202"/>
        <w:spacing w:line="360" w:lineRule="auto"/>
        <w:ind w:right="157" w:firstLine="642"/>
        <w:rPr>
          <w:rFonts w:hint="default" w:ascii="微软雅黑" w:hAnsi="微软雅黑" w:eastAsia="微软雅黑" w:cs="微软雅黑"/>
          <w:color w:val="000000" w:themeColor="text1"/>
          <w:sz w:val="21"/>
          <w:szCs w:val="21"/>
          <w:highlight w:val="none"/>
          <w14:textFill>
            <w14:solidFill>
              <w14:schemeClr w14:val="tx1"/>
            </w14:solidFill>
          </w14:textFill>
        </w:rPr>
      </w:pPr>
      <w:r>
        <w:rPr>
          <w:rFonts w:ascii="微软雅黑" w:hAnsi="微软雅黑" w:eastAsia="微软雅黑" w:cs="微软雅黑"/>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pPr>
        <w:pStyle w:val="202"/>
        <w:spacing w:line="360" w:lineRule="auto"/>
        <w:ind w:right="157" w:firstLine="642"/>
        <w:rPr>
          <w:rFonts w:hint="default" w:ascii="微软雅黑" w:hAnsi="微软雅黑" w:eastAsia="微软雅黑" w:cs="微软雅黑"/>
          <w:color w:val="000000" w:themeColor="text1"/>
          <w:sz w:val="21"/>
          <w:szCs w:val="21"/>
          <w:highlight w:val="none"/>
          <w14:textFill>
            <w14:solidFill>
              <w14:schemeClr w14:val="tx1"/>
            </w14:solidFill>
          </w14:textFill>
        </w:rPr>
      </w:pPr>
      <w:r>
        <w:rPr>
          <w:rFonts w:ascii="微软雅黑" w:hAnsi="微软雅黑" w:eastAsia="微软雅黑" w:cs="微软雅黑"/>
          <w:color w:val="000000" w:themeColor="text1"/>
          <w:sz w:val="21"/>
          <w:szCs w:val="21"/>
          <w:highlight w:val="none"/>
          <w14:textFill>
            <w14:solidFill>
              <w14:schemeClr w14:val="tx1"/>
            </w14:solidFill>
          </w14:textFill>
        </w:rPr>
        <w:t>本企业对上述声明内容的真实性负责。如有虚假，将依法承担相应责任。</w:t>
      </w:r>
    </w:p>
    <w:p>
      <w:pPr>
        <w:pStyle w:val="202"/>
        <w:spacing w:line="360" w:lineRule="auto"/>
        <w:ind w:right="157" w:firstLine="642"/>
        <w:rPr>
          <w:rFonts w:ascii="微软雅黑" w:hAnsi="微软雅黑" w:eastAsia="微软雅黑" w:cs="微软雅黑"/>
          <w:color w:val="000000" w:themeColor="text1"/>
          <w:sz w:val="21"/>
          <w:szCs w:val="21"/>
          <w:highlight w:val="none"/>
          <w14:textFill>
            <w14:solidFill>
              <w14:schemeClr w14:val="tx1"/>
            </w14:solidFill>
          </w14:textFill>
        </w:rPr>
      </w:pPr>
    </w:p>
    <w:p>
      <w:pPr>
        <w:pStyle w:val="202"/>
        <w:spacing w:line="360" w:lineRule="auto"/>
        <w:ind w:right="157" w:firstLine="642"/>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pPr>
      <w:r>
        <w:rPr>
          <w:rFonts w:ascii="微软雅黑" w:hAnsi="微软雅黑" w:eastAsia="微软雅黑" w:cs="微软雅黑"/>
          <w:color w:val="000000" w:themeColor="text1"/>
          <w:sz w:val="21"/>
          <w:szCs w:val="21"/>
          <w:highlight w:val="none"/>
          <w14:textFill>
            <w14:solidFill>
              <w14:schemeClr w14:val="tx1"/>
            </w14:solidFill>
          </w14:textFill>
        </w:rPr>
        <w:t>供应商名称：</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r>
        <w:rPr>
          <w:rFonts w:ascii="微软雅黑" w:hAnsi="微软雅黑" w:eastAsia="微软雅黑" w:cs="微软雅黑"/>
          <w:color w:val="000000" w:themeColor="text1"/>
          <w:sz w:val="21"/>
          <w:szCs w:val="21"/>
          <w:highlight w:val="none"/>
          <w:u w:val="single"/>
          <w14:textFill>
            <w14:solidFill>
              <w14:schemeClr w14:val="tx1"/>
            </w14:solidFill>
          </w14:textFill>
        </w:rPr>
        <w:t>（盖章）</w:t>
      </w:r>
      <w:r>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t xml:space="preserve">   </w:t>
      </w:r>
    </w:p>
    <w:p>
      <w:pPr>
        <w:pStyle w:val="202"/>
        <w:spacing w:line="360" w:lineRule="auto"/>
        <w:ind w:right="157" w:firstLine="642"/>
        <w:rPr>
          <w:rFonts w:hint="eastAsia" w:ascii="微软雅黑" w:hAnsi="微软雅黑" w:eastAsia="微软雅黑" w:cs="微软雅黑"/>
          <w:color w:val="000000" w:themeColor="text1"/>
          <w:sz w:val="21"/>
          <w:szCs w:val="21"/>
          <w:highlight w:val="none"/>
          <w:u w:val="single"/>
          <w:lang w:val="en-US" w:eastAsia="zh-CN"/>
          <w14:textFill>
            <w14:solidFill>
              <w14:schemeClr w14:val="tx1"/>
            </w14:solidFill>
          </w14:textFill>
        </w:rPr>
      </w:pPr>
      <w:r>
        <w:rPr>
          <w:rFonts w:ascii="微软雅黑" w:hAnsi="微软雅黑" w:eastAsia="微软雅黑" w:cs="微软雅黑"/>
          <w:color w:val="000000" w:themeColor="text1"/>
          <w:sz w:val="21"/>
          <w:szCs w:val="21"/>
          <w:highlight w:val="none"/>
          <w14:textFill>
            <w14:solidFill>
              <w14:schemeClr w14:val="tx1"/>
            </w14:solidFill>
          </w14:textFill>
        </w:rPr>
        <w:t>日</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 xml:space="preserve">  </w:t>
      </w:r>
      <w:r>
        <w:rPr>
          <w:rFonts w:ascii="微软雅黑" w:hAnsi="微软雅黑" w:eastAsia="微软雅黑" w:cs="微软雅黑"/>
          <w:color w:val="000000" w:themeColor="text1"/>
          <w:sz w:val="21"/>
          <w:szCs w:val="21"/>
          <w:highlight w:val="none"/>
          <w14:textFill>
            <w14:solidFill>
              <w14:schemeClr w14:val="tx1"/>
            </w14:solidFill>
          </w14:textFill>
        </w:rPr>
        <w:t>期：</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微软雅黑" w:hAnsi="微软雅黑"/>
          <w:color w:val="000000" w:themeColor="text1"/>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0" w:line="264" w:lineRule="auto"/>
        <w:ind w:firstLine="420" w:firstLineChars="200"/>
        <w:jc w:val="left"/>
        <w:textAlignment w:val="auto"/>
        <w:rPr>
          <w:rFonts w:hint="eastAsia" w:ascii="微软雅黑" w:hAnsi="微软雅黑" w:eastAsia="微软雅黑"/>
          <w:color w:val="000000" w:themeColor="text1"/>
          <w:sz w:val="21"/>
          <w:highlight w:val="none"/>
          <w:lang w:eastAsia="zh-CN"/>
          <w14:textFill>
            <w14:solidFill>
              <w14:schemeClr w14:val="tx1"/>
            </w14:solidFill>
          </w14:textFill>
        </w:rPr>
      </w:pPr>
      <w:r>
        <w:rPr>
          <w:rFonts w:hint="eastAsia" w:ascii="微软雅黑" w:hAnsi="微软雅黑"/>
          <w:color w:val="000000" w:themeColor="text1"/>
          <w:sz w:val="21"/>
          <w:highlight w:val="none"/>
          <w14:textFill>
            <w14:solidFill>
              <w14:schemeClr w14:val="tx1"/>
            </w14:solidFill>
          </w14:textFill>
        </w:rPr>
        <w:t>注：1.¹从业人员、营业收入、资产总额填报上一年度数据，无上一年度数据的新成立企业可不填报</w:t>
      </w:r>
      <w:r>
        <w:rPr>
          <w:rFonts w:hint="eastAsia" w:ascii="微软雅黑" w:hAnsi="微软雅黑"/>
          <w:color w:val="000000" w:themeColor="text1"/>
          <w:sz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after="0" w:line="264" w:lineRule="auto"/>
        <w:ind w:firstLine="420" w:firstLineChars="200"/>
        <w:jc w:val="left"/>
        <w:textAlignment w:val="auto"/>
        <w:rPr>
          <w:rFonts w:hint="eastAsia" w:ascii="微软雅黑" w:hAnsi="微软雅黑"/>
          <w:color w:val="000000" w:themeColor="text1"/>
          <w:sz w:val="21"/>
          <w:highlight w:val="none"/>
          <w14:textFill>
            <w14:solidFill>
              <w14:schemeClr w14:val="tx1"/>
            </w14:solidFill>
          </w14:textFill>
        </w:rPr>
      </w:pPr>
      <w:r>
        <w:rPr>
          <w:rFonts w:hint="eastAsia" w:ascii="微软雅黑" w:hAnsi="微软雅黑"/>
          <w:color w:val="000000" w:themeColor="text1"/>
          <w:sz w:val="21"/>
          <w:highlight w:val="none"/>
          <w14:textFill>
            <w14:solidFill>
              <w14:schemeClr w14:val="tx1"/>
            </w14:solidFill>
          </w14:textFill>
        </w:rPr>
        <w:t>2.根据财库〔2020〕46号的第十三条、第二十条规定：中标供应商享受本办法规定的中小企业扶持政策的，采购人、采购代理机构应当随中标结果公开中标供应商的《中小企业声明函》。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val="0"/>
        <w:spacing w:after="0" w:line="264" w:lineRule="auto"/>
        <w:ind w:firstLine="420" w:firstLineChars="200"/>
        <w:jc w:val="left"/>
        <w:textAlignment w:val="auto"/>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sz w:val="21"/>
          <w:highlight w:val="none"/>
          <w14:textFill>
            <w14:solidFill>
              <w14:schemeClr w14:val="tx1"/>
            </w14:solidFill>
          </w14:textFill>
        </w:rPr>
        <w:t>3.根据实际情况，在（中型企业、小型企业、微型企业）处进行勾选。</w:t>
      </w:r>
    </w:p>
    <w:p>
      <w:pPr>
        <w:rPr>
          <w:rFonts w:ascii="微软雅黑" w:hAnsi="微软雅黑"/>
          <w:b/>
          <w:color w:val="000000" w:themeColor="text1"/>
          <w:highlight w:val="none"/>
          <w14:textFill>
            <w14:solidFill>
              <w14:schemeClr w14:val="tx1"/>
            </w14:solidFill>
          </w14:textFill>
        </w:rPr>
      </w:pPr>
      <w:bookmarkStart w:id="611" w:name="_Toc19248"/>
      <w:r>
        <w:rPr>
          <w:rFonts w:hint="eastAsia" w:ascii="微软雅黑" w:hAnsi="微软雅黑"/>
          <w:b/>
          <w:color w:val="000000" w:themeColor="text1"/>
          <w:highlight w:val="none"/>
          <w14:textFill>
            <w14:solidFill>
              <w14:schemeClr w14:val="tx1"/>
            </w14:solidFill>
          </w14:textFill>
        </w:rPr>
        <w:br w:type="page"/>
      </w:r>
    </w:p>
    <w:p>
      <w:pPr>
        <w:widowControl/>
        <w:spacing w:line="360" w:lineRule="auto"/>
        <w:jc w:val="left"/>
        <w:outlineLvl w:val="0"/>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残疾人福利性单位声明函（非残疾人福利性单位无需提供）</w:t>
      </w:r>
      <w:bookmarkEnd w:id="611"/>
    </w:p>
    <w:p>
      <w:pPr>
        <w:widowControl/>
        <w:spacing w:line="360" w:lineRule="auto"/>
        <w:jc w:val="center"/>
        <w:outlineLvl w:val="0"/>
        <w:rPr>
          <w:rFonts w:ascii="微软雅黑" w:hAnsi="微软雅黑"/>
          <w:b/>
          <w:color w:val="000000" w:themeColor="text1"/>
          <w:sz w:val="24"/>
          <w:szCs w:val="24"/>
          <w:highlight w:val="none"/>
          <w14:textFill>
            <w14:solidFill>
              <w14:schemeClr w14:val="tx1"/>
            </w14:solidFill>
          </w14:textFill>
        </w:rPr>
      </w:pPr>
      <w:bookmarkStart w:id="612" w:name="_Toc23394"/>
      <w:r>
        <w:rPr>
          <w:rFonts w:hint="eastAsia" w:ascii="微软雅黑" w:hAnsi="微软雅黑"/>
          <w:b/>
          <w:color w:val="000000" w:themeColor="text1"/>
          <w:sz w:val="24"/>
          <w:szCs w:val="24"/>
          <w:highlight w:val="none"/>
          <w14:textFill>
            <w14:solidFill>
              <w14:schemeClr w14:val="tx1"/>
            </w14:solidFill>
          </w14:textFill>
        </w:rPr>
        <w:t>残疾人福利性单位声明函</w:t>
      </w:r>
      <w:bookmarkEnd w:id="612"/>
    </w:p>
    <w:p>
      <w:pPr>
        <w:widowControl/>
        <w:spacing w:line="360" w:lineRule="auto"/>
        <w:ind w:firstLine="420" w:firstLineChars="200"/>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jc w:val="left"/>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本单位对上述声明的真实性负责。如有虚假，将依法承担相应责任。</w:t>
      </w:r>
    </w:p>
    <w:p>
      <w:pPr>
        <w:widowControl/>
        <w:spacing w:line="360" w:lineRule="auto"/>
        <w:jc w:val="center"/>
        <w:outlineLvl w:val="0"/>
        <w:rPr>
          <w:rFonts w:ascii="微软雅黑" w:hAnsi="微软雅黑"/>
          <w:color w:val="000000" w:themeColor="text1"/>
          <w:highlight w:val="none"/>
          <w14:textFill>
            <w14:solidFill>
              <w14:schemeClr w14:val="tx1"/>
            </w14:solidFill>
          </w14:textFill>
        </w:rPr>
      </w:pPr>
      <w:bookmarkStart w:id="613" w:name="_Toc806"/>
      <w:bookmarkStart w:id="614" w:name="_Toc22328"/>
      <w:r>
        <w:rPr>
          <w:rFonts w:hint="eastAsia" w:ascii="微软雅黑" w:hAnsi="微软雅黑"/>
          <w:color w:val="000000" w:themeColor="text1"/>
          <w:highlight w:val="none"/>
          <w14:textFill>
            <w14:solidFill>
              <w14:schemeClr w14:val="tx1"/>
            </w14:solidFill>
          </w14:textFill>
        </w:rPr>
        <w:t>供应商（盖章）：</w:t>
      </w:r>
      <w:bookmarkEnd w:id="613"/>
      <w:bookmarkEnd w:id="614"/>
    </w:p>
    <w:p>
      <w:pPr>
        <w:widowControl/>
        <w:spacing w:line="360" w:lineRule="auto"/>
        <w:jc w:val="center"/>
        <w:outlineLvl w:val="0"/>
        <w:rPr>
          <w:rFonts w:ascii="微软雅黑" w:hAnsi="微软雅黑"/>
          <w:color w:val="000000" w:themeColor="text1"/>
          <w:highlight w:val="none"/>
          <w14:textFill>
            <w14:solidFill>
              <w14:schemeClr w14:val="tx1"/>
            </w14:solidFill>
          </w14:textFill>
        </w:rPr>
      </w:pPr>
      <w:bookmarkStart w:id="615" w:name="_Toc19957"/>
      <w:bookmarkStart w:id="616" w:name="_Toc998"/>
      <w:r>
        <w:rPr>
          <w:rFonts w:hint="eastAsia" w:ascii="微软雅黑" w:hAnsi="微软雅黑"/>
          <w:color w:val="000000" w:themeColor="text1"/>
          <w:highlight w:val="none"/>
          <w14:textFill>
            <w14:solidFill>
              <w14:schemeClr w14:val="tx1"/>
            </w14:solidFill>
          </w14:textFill>
        </w:rPr>
        <w:t>日期：</w:t>
      </w:r>
      <w:bookmarkEnd w:id="615"/>
      <w:bookmarkEnd w:id="616"/>
    </w:p>
    <w:p>
      <w:pPr>
        <w:pStyle w:val="2"/>
        <w:rPr>
          <w:rFonts w:ascii="微软雅黑" w:hAnsi="微软雅黑"/>
          <w:color w:val="000000" w:themeColor="text1"/>
          <w:highlight w:val="none"/>
          <w14:textFill>
            <w14:solidFill>
              <w14:schemeClr w14:val="tx1"/>
            </w14:solidFill>
          </w14:textFill>
        </w:rPr>
      </w:pPr>
    </w:p>
    <w:p>
      <w:pPr>
        <w:pStyle w:val="3"/>
        <w:ind w:firstLine="210"/>
        <w:rPr>
          <w:rFonts w:ascii="微软雅黑" w:hAnsi="微软雅黑"/>
          <w:color w:val="000000" w:themeColor="text1"/>
          <w:highlight w:val="none"/>
          <w14:textFill>
            <w14:solidFill>
              <w14:schemeClr w14:val="tx1"/>
            </w14:solidFill>
          </w14:textFill>
        </w:rPr>
      </w:pPr>
    </w:p>
    <w:p>
      <w:pPr>
        <w:rPr>
          <w:rFonts w:ascii="微软雅黑" w:hAnsi="微软雅黑"/>
          <w:color w:val="000000" w:themeColor="text1"/>
          <w:highlight w:val="none"/>
          <w14:textFill>
            <w14:solidFill>
              <w14:schemeClr w14:val="tx1"/>
            </w14:solidFill>
          </w14:textFill>
        </w:rPr>
      </w:pPr>
    </w:p>
    <w:p>
      <w:pPr>
        <w:pStyle w:val="2"/>
        <w:rPr>
          <w:rFonts w:ascii="微软雅黑" w:hAnsi="微软雅黑"/>
          <w:color w:val="000000" w:themeColor="text1"/>
          <w:highlight w:val="none"/>
          <w14:textFill>
            <w14:solidFill>
              <w14:schemeClr w14:val="tx1"/>
            </w14:solidFill>
          </w14:textFill>
        </w:rPr>
      </w:pPr>
    </w:p>
    <w:p>
      <w:pPr>
        <w:pStyle w:val="3"/>
        <w:ind w:firstLine="210"/>
        <w:rPr>
          <w:rFonts w:ascii="微软雅黑" w:hAnsi="微软雅黑"/>
          <w:color w:val="000000" w:themeColor="text1"/>
          <w:highlight w:val="none"/>
          <w14:textFill>
            <w14:solidFill>
              <w14:schemeClr w14:val="tx1"/>
            </w14:solidFill>
          </w14:textFill>
        </w:rPr>
      </w:pPr>
    </w:p>
    <w:p>
      <w:pPr>
        <w:rPr>
          <w:rFonts w:ascii="微软雅黑" w:hAnsi="微软雅黑"/>
          <w:color w:val="000000" w:themeColor="text1"/>
          <w:highlight w:val="none"/>
          <w14:textFill>
            <w14:solidFill>
              <w14:schemeClr w14:val="tx1"/>
            </w14:solidFill>
          </w14:textFill>
        </w:rPr>
      </w:pPr>
    </w:p>
    <w:p>
      <w:pPr>
        <w:pStyle w:val="2"/>
        <w:rPr>
          <w:rFonts w:ascii="微软雅黑" w:hAnsi="微软雅黑"/>
          <w:color w:val="000000" w:themeColor="text1"/>
          <w:highlight w:val="none"/>
          <w14:textFill>
            <w14:solidFill>
              <w14:schemeClr w14:val="tx1"/>
            </w14:solidFill>
          </w14:textFill>
        </w:rPr>
      </w:pPr>
    </w:p>
    <w:p>
      <w:pPr>
        <w:pStyle w:val="3"/>
        <w:ind w:firstLine="210"/>
        <w:rPr>
          <w:rFonts w:ascii="微软雅黑" w:hAnsi="微软雅黑"/>
          <w:color w:val="000000" w:themeColor="text1"/>
          <w:highlight w:val="none"/>
          <w14:textFill>
            <w14:solidFill>
              <w14:schemeClr w14:val="tx1"/>
            </w14:solidFill>
          </w14:textFill>
        </w:rPr>
      </w:pPr>
    </w:p>
    <w:p>
      <w:pPr>
        <w:rPr>
          <w:rFonts w:ascii="微软雅黑" w:hAnsi="微软雅黑"/>
          <w:color w:val="000000" w:themeColor="text1"/>
          <w:highlight w:val="none"/>
          <w14:textFill>
            <w14:solidFill>
              <w14:schemeClr w14:val="tx1"/>
            </w14:solidFill>
          </w14:textFill>
        </w:rPr>
      </w:pPr>
    </w:p>
    <w:p>
      <w:pPr>
        <w:pStyle w:val="2"/>
        <w:rPr>
          <w:rFonts w:ascii="微软雅黑" w:hAnsi="微软雅黑"/>
          <w:color w:val="000000" w:themeColor="text1"/>
          <w:highlight w:val="none"/>
          <w14:textFill>
            <w14:solidFill>
              <w14:schemeClr w14:val="tx1"/>
            </w14:solidFill>
          </w14:textFill>
        </w:rPr>
      </w:pPr>
    </w:p>
    <w:p>
      <w:pPr>
        <w:pStyle w:val="3"/>
        <w:ind w:firstLine="210"/>
        <w:rPr>
          <w:rFonts w:ascii="微软雅黑" w:hAnsi="微软雅黑"/>
          <w:color w:val="000000" w:themeColor="text1"/>
          <w:highlight w:val="none"/>
          <w14:textFill>
            <w14:solidFill>
              <w14:schemeClr w14:val="tx1"/>
            </w14:solidFill>
          </w14:textFill>
        </w:rPr>
      </w:pPr>
    </w:p>
    <w:p>
      <w:pPr>
        <w:rPr>
          <w:rFonts w:ascii="微软雅黑" w:hAnsi="微软雅黑"/>
          <w:color w:val="000000" w:themeColor="text1"/>
          <w:highlight w:val="none"/>
          <w14:textFill>
            <w14:solidFill>
              <w14:schemeClr w14:val="tx1"/>
            </w14:solidFill>
          </w14:textFill>
        </w:rPr>
      </w:pPr>
    </w:p>
    <w:p>
      <w:pPr>
        <w:pStyle w:val="2"/>
        <w:rPr>
          <w:rFonts w:ascii="微软雅黑" w:hAnsi="微软雅黑"/>
          <w:color w:val="000000" w:themeColor="text1"/>
          <w:highlight w:val="none"/>
          <w14:textFill>
            <w14:solidFill>
              <w14:schemeClr w14:val="tx1"/>
            </w14:solidFill>
          </w14:textFill>
        </w:rPr>
      </w:pPr>
    </w:p>
    <w:p>
      <w:pPr>
        <w:pStyle w:val="3"/>
        <w:ind w:firstLine="210"/>
        <w:rPr>
          <w:rFonts w:ascii="微软雅黑" w:hAnsi="微软雅黑"/>
          <w:color w:val="000000" w:themeColor="text1"/>
          <w:highlight w:val="none"/>
          <w14:textFill>
            <w14:solidFill>
              <w14:schemeClr w14:val="tx1"/>
            </w14:solidFill>
          </w14:textFill>
        </w:rPr>
      </w:pPr>
    </w:p>
    <w:p>
      <w:pPr>
        <w:rPr>
          <w:rFonts w:ascii="微软雅黑" w:hAnsi="微软雅黑"/>
          <w:color w:val="000000" w:themeColor="text1"/>
          <w:highlight w:val="none"/>
          <w14:textFill>
            <w14:solidFill>
              <w14:schemeClr w14:val="tx1"/>
            </w14:solidFill>
          </w14:textFill>
        </w:rPr>
      </w:pPr>
    </w:p>
    <w:p>
      <w:pPr>
        <w:pStyle w:val="3"/>
        <w:ind w:firstLine="210"/>
        <w:rPr>
          <w:rFonts w:ascii="微软雅黑" w:hAnsi="微软雅黑"/>
          <w:color w:val="000000" w:themeColor="text1"/>
          <w:highlight w:val="none"/>
          <w14:textFill>
            <w14:solidFill>
              <w14:schemeClr w14:val="tx1"/>
            </w14:solidFill>
          </w14:textFill>
        </w:rPr>
      </w:pPr>
    </w:p>
    <w:p>
      <w:pPr>
        <w:outlineLvl w:val="0"/>
        <w:rPr>
          <w:rFonts w:ascii="微软雅黑" w:hAnsi="微软雅黑"/>
          <w:b/>
          <w:color w:val="000000" w:themeColor="text1"/>
          <w:highlight w:val="none"/>
          <w14:textFill>
            <w14:solidFill>
              <w14:schemeClr w14:val="tx1"/>
            </w14:solidFill>
          </w14:textFill>
        </w:rPr>
      </w:pPr>
      <w:bookmarkStart w:id="617" w:name="_Toc27900"/>
      <w:r>
        <w:rPr>
          <w:rFonts w:hint="eastAsia" w:ascii="微软雅黑" w:hAnsi="微软雅黑"/>
          <w:b/>
          <w:color w:val="000000" w:themeColor="text1"/>
          <w:highlight w:val="none"/>
          <w14:textFill>
            <w14:solidFill>
              <w14:schemeClr w14:val="tx1"/>
            </w14:solidFill>
          </w14:textFill>
        </w:rPr>
        <w:t>监狱企业证明文件</w:t>
      </w:r>
      <w:bookmarkEnd w:id="617"/>
    </w:p>
    <w:p>
      <w:pPr>
        <w:spacing w:line="360" w:lineRule="auto"/>
        <w:jc w:val="center"/>
        <w:outlineLvl w:val="0"/>
        <w:rPr>
          <w:rFonts w:ascii="微软雅黑" w:hAnsi="微软雅黑"/>
          <w:b/>
          <w:color w:val="000000" w:themeColor="text1"/>
          <w:highlight w:val="none"/>
          <w14:textFill>
            <w14:solidFill>
              <w14:schemeClr w14:val="tx1"/>
            </w14:solidFill>
          </w14:textFill>
        </w:rPr>
      </w:pPr>
      <w:bookmarkStart w:id="618" w:name="_Toc13644"/>
      <w:r>
        <w:rPr>
          <w:rFonts w:hint="eastAsia" w:ascii="微软雅黑" w:hAnsi="微软雅黑"/>
          <w:b/>
          <w:color w:val="000000" w:themeColor="text1"/>
          <w:sz w:val="24"/>
          <w:szCs w:val="24"/>
          <w:highlight w:val="none"/>
          <w14:textFill>
            <w14:solidFill>
              <w14:schemeClr w14:val="tx1"/>
            </w14:solidFill>
          </w14:textFill>
        </w:rPr>
        <w:t>监狱企业证明文件</w:t>
      </w:r>
      <w:bookmarkEnd w:id="618"/>
    </w:p>
    <w:tbl>
      <w:tblPr>
        <w:tblStyle w:val="55"/>
        <w:tblW w:w="864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64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8647" w:type="dxa"/>
            <w:vAlign w:val="center"/>
          </w:tcPr>
          <w:p>
            <w:pPr>
              <w:spacing w:line="360" w:lineRule="auto"/>
              <w:jc w:val="center"/>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相关部门出具的监狱企业证明文件</w:t>
            </w:r>
          </w:p>
          <w:p>
            <w:pPr>
              <w:spacing w:line="360" w:lineRule="auto"/>
              <w:jc w:val="center"/>
              <w:rPr>
                <w:rFonts w:ascii="微软雅黑" w:hAnsi="微软雅黑"/>
                <w:b/>
                <w:i/>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（如是，提供复印件加盖投标供应商公章）</w:t>
            </w:r>
          </w:p>
        </w:tc>
      </w:tr>
    </w:tbl>
    <w:p>
      <w:pPr>
        <w:spacing w:line="360" w:lineRule="auto"/>
        <w:rPr>
          <w:rFonts w:ascii="微软雅黑" w:hAnsi="微软雅黑"/>
          <w:i/>
          <w:color w:val="000000" w:themeColor="text1"/>
          <w:highlight w:val="none"/>
          <w14:textFill>
            <w14:solidFill>
              <w14:schemeClr w14:val="tx1"/>
            </w14:solidFill>
          </w14:textFill>
        </w:rPr>
      </w:pPr>
    </w:p>
    <w:p>
      <w:pPr>
        <w:snapToGrid w:val="0"/>
        <w:spacing w:line="360" w:lineRule="auto"/>
        <w:jc w:val="left"/>
        <w:rPr>
          <w:rFonts w:ascii="微软雅黑" w:hAnsi="微软雅黑"/>
          <w:color w:val="000000" w:themeColor="text1"/>
          <w:highlight w:val="none"/>
          <w:shd w:val="clear" w:color="auto" w:fill="FFFFFF"/>
          <w14:textFill>
            <w14:solidFill>
              <w14:schemeClr w14:val="tx1"/>
            </w14:solidFill>
          </w14:textFill>
        </w:rPr>
      </w:pPr>
      <w:r>
        <w:rPr>
          <w:rFonts w:hint="eastAsia" w:ascii="微软雅黑" w:hAnsi="微软雅黑"/>
          <w:color w:val="000000" w:themeColor="text1"/>
          <w:highlight w:val="none"/>
          <w:shd w:val="clear" w:color="auto" w:fill="FFFFFF"/>
          <w14:textFill>
            <w14:solidFill>
              <w14:schemeClr w14:val="tx1"/>
            </w14:solidFill>
          </w14:textFill>
        </w:rPr>
        <w:t>供应商名称：（盖章）</w:t>
      </w:r>
    </w:p>
    <w:p>
      <w:pPr>
        <w:snapToGrid w:val="0"/>
        <w:spacing w:line="360" w:lineRule="auto"/>
        <w:jc w:val="left"/>
        <w:rPr>
          <w:rFonts w:ascii="微软雅黑" w:hAnsi="微软雅黑"/>
          <w:color w:val="000000" w:themeColor="text1"/>
          <w:highlight w:val="none"/>
          <w:shd w:val="clear" w:color="auto" w:fill="FFFFFF"/>
          <w14:textFill>
            <w14:solidFill>
              <w14:schemeClr w14:val="tx1"/>
            </w14:solidFill>
          </w14:textFill>
        </w:rPr>
      </w:pPr>
      <w:r>
        <w:rPr>
          <w:rFonts w:hint="eastAsia" w:ascii="微软雅黑" w:hAnsi="微软雅黑"/>
          <w:color w:val="000000" w:themeColor="text1"/>
          <w:highlight w:val="none"/>
          <w:shd w:val="clear" w:color="auto" w:fill="FFFFFF"/>
          <w14:textFill>
            <w14:solidFill>
              <w14:schemeClr w14:val="tx1"/>
            </w14:solidFill>
          </w14:textFill>
        </w:rPr>
        <w:t>法定代表人或授权代表（签字或盖章）：</w:t>
      </w:r>
    </w:p>
    <w:p>
      <w:pPr>
        <w:snapToGrid w:val="0"/>
        <w:spacing w:line="360" w:lineRule="auto"/>
        <w:jc w:val="left"/>
        <w:rPr>
          <w:rFonts w:ascii="微软雅黑" w:hAnsi="微软雅黑"/>
          <w:color w:val="000000" w:themeColor="text1"/>
          <w:highlight w:val="none"/>
          <w:u w:val="single"/>
          <w14:textFill>
            <w14:solidFill>
              <w14:schemeClr w14:val="tx1"/>
            </w14:solidFill>
          </w14:textFill>
        </w:rPr>
      </w:pPr>
      <w:r>
        <w:rPr>
          <w:rFonts w:hint="eastAsia" w:ascii="微软雅黑" w:hAnsi="微软雅黑"/>
          <w:color w:val="000000" w:themeColor="text1"/>
          <w:highlight w:val="none"/>
          <w:shd w:val="clear" w:color="auto" w:fill="FFFFFF"/>
          <w14:textFill>
            <w14:solidFill>
              <w14:schemeClr w14:val="tx1"/>
            </w14:solidFill>
          </w14:textFill>
        </w:rPr>
        <w:t>投标日期： 年 月 日</w:t>
      </w:r>
    </w:p>
    <w:p>
      <w:pPr>
        <w:pStyle w:val="553"/>
        <w:rPr>
          <w:rFonts w:ascii="微软雅黑" w:hAnsi="微软雅黑" w:eastAsia="微软雅黑" w:cs="微软雅黑"/>
          <w:color w:val="000000" w:themeColor="text1"/>
          <w:szCs w:val="21"/>
          <w:highlight w:val="none"/>
          <w14:textFill>
            <w14:solidFill>
              <w14:schemeClr w14:val="tx1"/>
            </w14:solidFill>
          </w14:textFill>
        </w:rPr>
      </w:pPr>
    </w:p>
    <w:p>
      <w:pPr>
        <w:rPr>
          <w:rFonts w:ascii="微软雅黑" w:hAnsi="微软雅黑"/>
          <w:color w:val="000000" w:themeColor="text1"/>
          <w:highlight w:val="none"/>
          <w14:textFill>
            <w14:solidFill>
              <w14:schemeClr w14:val="tx1"/>
            </w14:solidFill>
          </w14:textFill>
        </w:rPr>
        <w:sectPr>
          <w:pgSz w:w="11906" w:h="16838"/>
          <w:pgMar w:top="1134" w:right="1474" w:bottom="850" w:left="1474" w:header="851" w:footer="283" w:gutter="0"/>
          <w:cols w:space="0" w:num="1"/>
        </w:sectPr>
      </w:pPr>
    </w:p>
    <w:p>
      <w:pPr>
        <w:snapToGrid w:val="0"/>
        <w:spacing w:line="360" w:lineRule="auto"/>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初次报价表</w:t>
      </w:r>
    </w:p>
    <w:p>
      <w:pPr>
        <w:snapToGrid w:val="0"/>
        <w:spacing w:line="360" w:lineRule="auto"/>
        <w:jc w:val="center"/>
        <w:rPr>
          <w:rFonts w:ascii="微软雅黑" w:hAnsi="微软雅黑" w:cs="Tahoma"/>
          <w:b/>
          <w:bCs/>
          <w:color w:val="000000" w:themeColor="text1"/>
          <w:kern w:val="36"/>
          <w:sz w:val="24"/>
          <w:szCs w:val="24"/>
          <w:highlight w:val="none"/>
          <w14:textFill>
            <w14:solidFill>
              <w14:schemeClr w14:val="tx1"/>
            </w14:solidFill>
          </w14:textFill>
        </w:rPr>
      </w:pPr>
      <w:r>
        <w:rPr>
          <w:rFonts w:ascii="微软雅黑" w:hAnsi="微软雅黑"/>
          <w:b/>
          <w:color w:val="000000" w:themeColor="text1"/>
          <w:sz w:val="24"/>
          <w:szCs w:val="24"/>
          <w:highlight w:val="none"/>
          <w14:textFill>
            <w14:solidFill>
              <w14:schemeClr w14:val="tx1"/>
            </w14:solidFill>
          </w14:textFill>
        </w:rPr>
        <w:t>开标一览表</w:t>
      </w:r>
    </w:p>
    <w:p>
      <w:pPr>
        <w:spacing w:line="360" w:lineRule="auto"/>
        <w:rPr>
          <w:rFonts w:ascii="微软雅黑" w:hAnsi="微软雅黑" w:cs="Tahoma"/>
          <w:bCs/>
          <w:color w:val="000000" w:themeColor="text1"/>
          <w:kern w:val="36"/>
          <w:highlight w:val="none"/>
          <w14:textFill>
            <w14:solidFill>
              <w14:schemeClr w14:val="tx1"/>
            </w14:solidFill>
          </w14:textFill>
        </w:rPr>
      </w:pPr>
    </w:p>
    <w:p>
      <w:pPr>
        <w:adjustRightInd w:val="0"/>
        <w:snapToGrid w:val="0"/>
        <w:spacing w:after="0" w:line="360" w:lineRule="auto"/>
        <w:rPr>
          <w:rFonts w:ascii="微软雅黑" w:hAnsi="微软雅黑" w:cs="Tahoma"/>
          <w:bCs/>
          <w:color w:val="000000" w:themeColor="text1"/>
          <w:kern w:val="36"/>
          <w:highlight w:val="none"/>
          <w14:textFill>
            <w14:solidFill>
              <w14:schemeClr w14:val="tx1"/>
            </w14:solidFill>
          </w14:textFill>
        </w:rPr>
      </w:pPr>
      <w:r>
        <w:rPr>
          <w:rFonts w:hint="eastAsia" w:ascii="微软雅黑" w:hAnsi="微软雅黑" w:cs="Tahoma"/>
          <w:bCs/>
          <w:color w:val="000000" w:themeColor="text1"/>
          <w:kern w:val="36"/>
          <w:highlight w:val="none"/>
          <w14:textFill>
            <w14:solidFill>
              <w14:schemeClr w14:val="tx1"/>
            </w14:solidFill>
          </w14:textFill>
        </w:rPr>
        <w:t>项目名称：</w:t>
      </w:r>
      <w:r>
        <w:rPr>
          <w:rFonts w:hint="eastAsia" w:ascii="微软雅黑" w:hAnsi="微软雅黑"/>
          <w:bCs/>
          <w:color w:val="000000" w:themeColor="text1"/>
          <w:highlight w:val="none"/>
          <w14:textFill>
            <w14:solidFill>
              <w14:schemeClr w14:val="tx1"/>
            </w14:solidFill>
          </w14:textFill>
        </w:rPr>
        <w:t>嘉兴经济技术开发区燃气管家服务采购项目</w:t>
      </w:r>
    </w:p>
    <w:p>
      <w:pPr>
        <w:adjustRightInd w:val="0"/>
        <w:snapToGrid w:val="0"/>
        <w:spacing w:after="0" w:line="360" w:lineRule="auto"/>
        <w:jc w:val="right"/>
        <w:rPr>
          <w:rFonts w:ascii="微软雅黑" w:hAnsi="微软雅黑" w:cs="Tahoma"/>
          <w:bCs/>
          <w:color w:val="000000" w:themeColor="text1"/>
          <w:kern w:val="36"/>
          <w:highlight w:val="none"/>
          <w14:textFill>
            <w14:solidFill>
              <w14:schemeClr w14:val="tx1"/>
            </w14:solidFill>
          </w14:textFill>
        </w:rPr>
      </w:pPr>
      <w:r>
        <w:rPr>
          <w:rFonts w:hint="eastAsia" w:ascii="微软雅黑" w:hAnsi="微软雅黑" w:cs="Tahoma"/>
          <w:bCs/>
          <w:color w:val="000000" w:themeColor="text1"/>
          <w:kern w:val="36"/>
          <w:highlight w:val="none"/>
          <w14:textFill>
            <w14:solidFill>
              <w14:schemeClr w14:val="tx1"/>
            </w14:solidFill>
          </w14:textFill>
        </w:rPr>
        <w:t>报价单位：元</w:t>
      </w:r>
    </w:p>
    <w:tbl>
      <w:tblPr>
        <w:tblStyle w:val="55"/>
        <w:tblW w:w="91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9"/>
        <w:gridCol w:w="2459"/>
        <w:gridCol w:w="1825"/>
        <w:gridCol w:w="1500"/>
        <w:gridCol w:w="1464"/>
        <w:gridCol w:w="10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839" w:type="dxa"/>
            <w:tcBorders>
              <w:tl2br w:val="nil"/>
              <w:tr2bl w:val="nil"/>
            </w:tcBorders>
            <w:noWrap/>
            <w:vAlign w:val="center"/>
          </w:tcPr>
          <w:p>
            <w:pPr>
              <w:adjustRightInd w:val="0"/>
              <w:snapToGrid w:val="0"/>
              <w:spacing w:after="0" w:line="240" w:lineRule="auto"/>
              <w:jc w:val="center"/>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序号</w:t>
            </w:r>
          </w:p>
        </w:tc>
        <w:tc>
          <w:tcPr>
            <w:tcW w:w="2459" w:type="dxa"/>
            <w:tcBorders>
              <w:tl2br w:val="nil"/>
              <w:tr2bl w:val="nil"/>
            </w:tcBorders>
            <w:noWrap/>
            <w:vAlign w:val="center"/>
          </w:tcPr>
          <w:p>
            <w:pPr>
              <w:adjustRightInd w:val="0"/>
              <w:snapToGrid w:val="0"/>
              <w:spacing w:after="0" w:line="240" w:lineRule="auto"/>
              <w:jc w:val="center"/>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项目名称</w:t>
            </w:r>
          </w:p>
        </w:tc>
        <w:tc>
          <w:tcPr>
            <w:tcW w:w="1825" w:type="dxa"/>
            <w:tcBorders>
              <w:tl2br w:val="nil"/>
              <w:tr2bl w:val="nil"/>
            </w:tcBorders>
            <w:noWrap/>
            <w:vAlign w:val="center"/>
          </w:tcPr>
          <w:p>
            <w:pPr>
              <w:adjustRightInd w:val="0"/>
              <w:snapToGrid w:val="0"/>
              <w:spacing w:after="0" w:line="240" w:lineRule="auto"/>
              <w:jc w:val="center"/>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初次响应总报价（元）</w:t>
            </w:r>
          </w:p>
        </w:tc>
        <w:tc>
          <w:tcPr>
            <w:tcW w:w="1500" w:type="dxa"/>
            <w:tcBorders>
              <w:tl2br w:val="nil"/>
              <w:tr2bl w:val="nil"/>
            </w:tcBorders>
            <w:noWrap/>
            <w:vAlign w:val="center"/>
          </w:tcPr>
          <w:p>
            <w:pPr>
              <w:adjustRightInd w:val="0"/>
              <w:snapToGrid w:val="0"/>
              <w:spacing w:after="0" w:line="240" w:lineRule="auto"/>
              <w:jc w:val="center"/>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服务期</w:t>
            </w:r>
          </w:p>
        </w:tc>
        <w:tc>
          <w:tcPr>
            <w:tcW w:w="1464" w:type="dxa"/>
            <w:tcBorders>
              <w:tl2br w:val="nil"/>
              <w:tr2bl w:val="nil"/>
            </w:tcBorders>
            <w:noWrap/>
            <w:vAlign w:val="center"/>
          </w:tcPr>
          <w:p>
            <w:pPr>
              <w:adjustRightInd w:val="0"/>
              <w:snapToGrid w:val="0"/>
              <w:spacing w:after="0" w:line="240" w:lineRule="auto"/>
              <w:jc w:val="center"/>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项目负责人</w:t>
            </w:r>
          </w:p>
        </w:tc>
        <w:tc>
          <w:tcPr>
            <w:tcW w:w="1092" w:type="dxa"/>
            <w:tcBorders>
              <w:tl2br w:val="nil"/>
              <w:tr2bl w:val="nil"/>
            </w:tcBorders>
            <w:noWrap/>
            <w:vAlign w:val="center"/>
          </w:tcPr>
          <w:p>
            <w:pPr>
              <w:adjustRightInd w:val="0"/>
              <w:snapToGrid w:val="0"/>
              <w:spacing w:after="0" w:line="240" w:lineRule="auto"/>
              <w:jc w:val="center"/>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1" w:hRule="atLeast"/>
          <w:jc w:val="center"/>
        </w:trPr>
        <w:tc>
          <w:tcPr>
            <w:tcW w:w="839" w:type="dxa"/>
            <w:tcBorders>
              <w:tl2br w:val="nil"/>
              <w:tr2bl w:val="nil"/>
            </w:tcBorders>
            <w:noWrap/>
            <w:vAlign w:val="center"/>
          </w:tcPr>
          <w:p>
            <w:pPr>
              <w:adjustRightInd w:val="0"/>
              <w:snapToGrid w:val="0"/>
              <w:spacing w:after="0"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1</w:t>
            </w:r>
          </w:p>
        </w:tc>
        <w:tc>
          <w:tcPr>
            <w:tcW w:w="2459" w:type="dxa"/>
            <w:tcBorders>
              <w:tl2br w:val="nil"/>
              <w:tr2bl w:val="nil"/>
            </w:tcBorders>
            <w:noWrap/>
            <w:vAlign w:val="center"/>
          </w:tcPr>
          <w:p>
            <w:pPr>
              <w:adjustRightInd w:val="0"/>
              <w:snapToGrid w:val="0"/>
              <w:spacing w:after="0"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嘉兴经济技术开发区燃气管家服务采购项目</w:t>
            </w:r>
          </w:p>
        </w:tc>
        <w:tc>
          <w:tcPr>
            <w:tcW w:w="1825" w:type="dxa"/>
            <w:tcBorders>
              <w:tl2br w:val="nil"/>
              <w:tr2bl w:val="nil"/>
            </w:tcBorders>
            <w:noWrap/>
            <w:vAlign w:val="center"/>
          </w:tcPr>
          <w:p>
            <w:pPr>
              <w:adjustRightInd w:val="0"/>
              <w:snapToGrid w:val="0"/>
              <w:spacing w:after="0" w:line="240" w:lineRule="auto"/>
              <w:jc w:val="center"/>
              <w:rPr>
                <w:rFonts w:ascii="微软雅黑" w:hAnsi="微软雅黑"/>
                <w:color w:val="000000" w:themeColor="text1"/>
                <w:highlight w:val="none"/>
                <w14:textFill>
                  <w14:solidFill>
                    <w14:schemeClr w14:val="tx1"/>
                  </w14:solidFill>
                </w14:textFill>
              </w:rPr>
            </w:pPr>
          </w:p>
        </w:tc>
        <w:tc>
          <w:tcPr>
            <w:tcW w:w="1500" w:type="dxa"/>
            <w:tcBorders>
              <w:tl2br w:val="nil"/>
              <w:tr2bl w:val="nil"/>
            </w:tcBorders>
            <w:noWrap/>
            <w:vAlign w:val="center"/>
          </w:tcPr>
          <w:p>
            <w:pPr>
              <w:adjustRightInd w:val="0"/>
              <w:snapToGrid w:val="0"/>
              <w:spacing w:after="0" w:line="240" w:lineRule="auto"/>
              <w:jc w:val="center"/>
              <w:rPr>
                <w:rFonts w:ascii="微软雅黑" w:hAnsi="微软雅黑"/>
                <w:color w:val="000000" w:themeColor="text1"/>
                <w:highlight w:val="none"/>
                <w14:textFill>
                  <w14:solidFill>
                    <w14:schemeClr w14:val="tx1"/>
                  </w14:solidFill>
                </w14:textFill>
              </w:rPr>
            </w:pPr>
            <w:r>
              <w:rPr>
                <w:rFonts w:hint="eastAsia" w:ascii="微软雅黑" w:hAnsi="微软雅黑"/>
                <w:color w:val="000000" w:themeColor="text1"/>
                <w:highlight w:val="none"/>
                <w14:textFill>
                  <w14:solidFill>
                    <w14:schemeClr w14:val="tx1"/>
                  </w14:solidFill>
                </w14:textFill>
              </w:rPr>
              <w:t>自合同生效之日起一年。</w:t>
            </w:r>
          </w:p>
        </w:tc>
        <w:tc>
          <w:tcPr>
            <w:tcW w:w="1464" w:type="dxa"/>
            <w:tcBorders>
              <w:tl2br w:val="nil"/>
              <w:tr2bl w:val="nil"/>
            </w:tcBorders>
            <w:noWrap/>
            <w:vAlign w:val="center"/>
          </w:tcPr>
          <w:p>
            <w:pPr>
              <w:adjustRightInd w:val="0"/>
              <w:snapToGrid w:val="0"/>
              <w:spacing w:after="0" w:line="240" w:lineRule="auto"/>
              <w:jc w:val="center"/>
              <w:rPr>
                <w:rFonts w:ascii="微软雅黑" w:hAnsi="微软雅黑"/>
                <w:color w:val="000000" w:themeColor="text1"/>
                <w:highlight w:val="none"/>
                <w14:textFill>
                  <w14:solidFill>
                    <w14:schemeClr w14:val="tx1"/>
                  </w14:solidFill>
                </w14:textFill>
              </w:rPr>
            </w:pPr>
          </w:p>
        </w:tc>
        <w:tc>
          <w:tcPr>
            <w:tcW w:w="1092" w:type="dxa"/>
            <w:tcBorders>
              <w:tl2br w:val="nil"/>
              <w:tr2bl w:val="nil"/>
            </w:tcBorders>
            <w:noWrap/>
            <w:vAlign w:val="center"/>
          </w:tcPr>
          <w:p>
            <w:pPr>
              <w:adjustRightInd w:val="0"/>
              <w:snapToGrid w:val="0"/>
              <w:spacing w:after="0" w:line="240" w:lineRule="auto"/>
              <w:jc w:val="center"/>
              <w:rPr>
                <w:rFonts w:ascii="微软雅黑" w:hAnsi="微软雅黑"/>
                <w:color w:val="000000" w:themeColor="text1"/>
                <w:highlight w:val="none"/>
                <w14:textFill>
                  <w14:solidFill>
                    <w14:schemeClr w14:val="tx1"/>
                  </w14:solidFill>
                </w14:textFill>
              </w:rPr>
            </w:pPr>
          </w:p>
        </w:tc>
      </w:tr>
    </w:tbl>
    <w:p>
      <w:pPr>
        <w:pStyle w:val="75"/>
        <w:adjustRightInd w:val="0"/>
        <w:spacing w:line="240" w:lineRule="auto"/>
        <w:ind w:firstLine="400"/>
        <w:rPr>
          <w:rFonts w:ascii="微软雅黑" w:hAnsi="微软雅黑" w:cs="Tahoma"/>
          <w:bCs/>
          <w:color w:val="000000" w:themeColor="text1"/>
          <w:kern w:val="36"/>
          <w:highlight w:val="none"/>
          <w14:textFill>
            <w14:solidFill>
              <w14:schemeClr w14:val="tx1"/>
            </w14:solidFill>
          </w14:textFill>
        </w:rPr>
      </w:pPr>
    </w:p>
    <w:p>
      <w:pPr>
        <w:pStyle w:val="31"/>
        <w:adjustRightInd w:val="0"/>
        <w:snapToGrid w:val="0"/>
        <w:spacing w:after="0" w:line="240" w:lineRule="auto"/>
        <w:ind w:firstLine="420" w:firstLineChars="20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1、报价一经涂改，应在涂改处加盖单位公章或者由法定代表人或授权委托人签字或盖章，否则其投标作无效标处理。</w:t>
      </w:r>
    </w:p>
    <w:p>
      <w:pPr>
        <w:pStyle w:val="31"/>
        <w:snapToGrid w:val="0"/>
        <w:spacing w:line="240" w:lineRule="auto"/>
        <w:ind w:firstLine="420" w:firstLineChars="20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2、投标费用包括项目实施所需的人工费、</w:t>
      </w:r>
      <w:r>
        <w:rPr>
          <w:rFonts w:hint="eastAsia" w:ascii="微软雅黑" w:hAnsi="微软雅黑"/>
          <w:color w:val="000000" w:themeColor="text1"/>
          <w:szCs w:val="21"/>
          <w:highlight w:val="none"/>
          <w14:textFill>
            <w14:solidFill>
              <w14:schemeClr w14:val="tx1"/>
            </w14:solidFill>
          </w14:textFill>
        </w:rPr>
        <w:t>机械设备费、办公费、交通费、企业管理费、利润</w:t>
      </w:r>
      <w:r>
        <w:rPr>
          <w:rFonts w:ascii="微软雅黑" w:hAnsi="微软雅黑"/>
          <w:color w:val="000000" w:themeColor="text1"/>
          <w:szCs w:val="21"/>
          <w:highlight w:val="none"/>
          <w14:textFill>
            <w14:solidFill>
              <w14:schemeClr w14:val="tx1"/>
            </w14:solidFill>
          </w14:textFill>
        </w:rPr>
        <w:t>、税费及其他一切费用。</w:t>
      </w:r>
    </w:p>
    <w:p>
      <w:pPr>
        <w:pStyle w:val="31"/>
        <w:snapToGrid w:val="0"/>
        <w:spacing w:line="240" w:lineRule="auto"/>
        <w:ind w:firstLine="420" w:firstLineChars="20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3</w:t>
      </w:r>
      <w:r>
        <w:rPr>
          <w:rFonts w:ascii="微软雅黑" w:hAnsi="微软雅黑"/>
          <w:color w:val="000000" w:themeColor="text1"/>
          <w:szCs w:val="21"/>
          <w:highlight w:val="none"/>
          <w14:textFill>
            <w14:solidFill>
              <w14:schemeClr w14:val="tx1"/>
            </w14:solidFill>
          </w14:textFill>
        </w:rPr>
        <w:t>、以上报价不得超过上限价，任何超过上限价的报价均导致投标被否决。</w:t>
      </w:r>
    </w:p>
    <w:p>
      <w:pPr>
        <w:pStyle w:val="31"/>
        <w:snapToGrid w:val="0"/>
        <w:spacing w:after="0" w:line="360" w:lineRule="auto"/>
        <w:ind w:firstLine="420" w:firstLineChars="200"/>
        <w:outlineLvl w:val="0"/>
        <w:rPr>
          <w:rFonts w:ascii="微软雅黑" w:hAnsi="微软雅黑"/>
          <w:b/>
          <w:color w:val="000000" w:themeColor="text1"/>
          <w:szCs w:val="21"/>
          <w:highlight w:val="none"/>
          <w14:textFill>
            <w14:solidFill>
              <w14:schemeClr w14:val="tx1"/>
            </w14:solidFill>
          </w14:textFill>
        </w:rPr>
      </w:pPr>
      <w:bookmarkStart w:id="619" w:name="_Toc7894"/>
    </w:p>
    <w:p>
      <w:pPr>
        <w:pStyle w:val="31"/>
        <w:snapToGrid w:val="0"/>
        <w:spacing w:after="0" w:line="360" w:lineRule="auto"/>
        <w:ind w:firstLine="420" w:firstLineChars="200"/>
        <w:outlineLvl w:val="0"/>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供应商名称：（盖章）</w:t>
      </w:r>
      <w:bookmarkEnd w:id="619"/>
    </w:p>
    <w:p>
      <w:pPr>
        <w:pStyle w:val="31"/>
        <w:snapToGrid w:val="0"/>
        <w:spacing w:after="0" w:line="360" w:lineRule="auto"/>
        <w:ind w:firstLine="420" w:firstLineChars="200"/>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法定代表人或授权代表（签字或盖章）：</w:t>
      </w:r>
    </w:p>
    <w:p>
      <w:pPr>
        <w:pStyle w:val="31"/>
        <w:snapToGrid w:val="0"/>
        <w:spacing w:after="0" w:line="360" w:lineRule="auto"/>
        <w:ind w:firstLine="420" w:firstLineChars="200"/>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投标日期： 年 月 日</w:t>
      </w:r>
    </w:p>
    <w:p>
      <w:pPr>
        <w:rPr>
          <w:rFonts w:ascii="微软雅黑" w:hAnsi="微软雅黑"/>
          <w:b/>
          <w:color w:val="000000" w:themeColor="text1"/>
          <w:highlight w:val="none"/>
          <w14:textFill>
            <w14:solidFill>
              <w14:schemeClr w14:val="tx1"/>
            </w14:solidFill>
          </w14:textFill>
        </w:rPr>
      </w:pPr>
      <w:r>
        <w:rPr>
          <w:rFonts w:hint="eastAsia" w:ascii="微软雅黑" w:hAnsi="微软雅黑"/>
          <w:b/>
          <w:color w:val="000000" w:themeColor="text1"/>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157" w:afterLines="50" w:line="260" w:lineRule="auto"/>
        <w:jc w:val="center"/>
        <w:textAlignment w:val="auto"/>
        <w:rPr>
          <w:rFonts w:ascii="微软雅黑" w:hAnsi="微软雅黑"/>
          <w:color w:val="000000" w:themeColor="text1"/>
          <w:sz w:val="24"/>
          <w:szCs w:val="24"/>
          <w:highlight w:val="none"/>
          <w14:textFill>
            <w14:solidFill>
              <w14:schemeClr w14:val="tx1"/>
            </w14:solidFill>
          </w14:textFill>
        </w:rPr>
      </w:pPr>
      <w:r>
        <w:rPr>
          <w:rFonts w:hint="eastAsia" w:ascii="微软雅黑" w:hAnsi="微软雅黑"/>
          <w:b/>
          <w:bCs/>
          <w:color w:val="000000" w:themeColor="text1"/>
          <w:sz w:val="24"/>
          <w:szCs w:val="24"/>
          <w:highlight w:val="none"/>
          <w14:textFill>
            <w14:solidFill>
              <w14:schemeClr w14:val="tx1"/>
            </w14:solidFill>
          </w14:textFill>
        </w:rPr>
        <w:t>响应报价明细表</w:t>
      </w:r>
    </w:p>
    <w:p>
      <w:pPr>
        <w:pStyle w:val="550"/>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textAlignment w:val="baseline"/>
        <w:rPr>
          <w:rFonts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项目名称：嘉兴经济技术开发区燃气管家服务采购项目</w:t>
      </w:r>
    </w:p>
    <w:p>
      <w:pPr>
        <w:pStyle w:val="550"/>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textAlignment w:val="baseline"/>
        <w:rPr>
          <w:rFonts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供应商名称：</w:t>
      </w:r>
      <w:r>
        <w:rPr>
          <w:rFonts w:hint="eastAsia" w:ascii="微软雅黑" w:hAnsi="微软雅黑" w:eastAsia="微软雅黑"/>
          <w:color w:val="000000" w:themeColor="text1"/>
          <w:sz w:val="21"/>
          <w:szCs w:val="21"/>
          <w:highlight w:val="none"/>
          <w:u w:val="single"/>
          <w14:textFill>
            <w14:solidFill>
              <w14:schemeClr w14:val="tx1"/>
            </w14:solidFill>
          </w14:textFill>
        </w:rPr>
        <w:t>　　           　</w:t>
      </w:r>
      <w:r>
        <w:rPr>
          <w:rFonts w:hint="eastAsia" w:ascii="微软雅黑" w:hAnsi="微软雅黑" w:eastAsia="微软雅黑"/>
          <w:color w:val="000000" w:themeColor="text1"/>
          <w:sz w:val="21"/>
          <w:szCs w:val="21"/>
          <w:highlight w:val="none"/>
          <w14:textFill>
            <w14:solidFill>
              <w14:schemeClr w14:val="tx1"/>
            </w14:solidFill>
          </w14:textFill>
        </w:rPr>
        <w:t xml:space="preserve">                            金额单位：人民币（元）</w:t>
      </w:r>
    </w:p>
    <w:tbl>
      <w:tblPr>
        <w:tblStyle w:val="5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left w:w="108" w:type="dxa"/>
          <w:bottom w:w="57" w:type="dxa"/>
          <w:right w:w="108" w:type="dxa"/>
        </w:tblCellMar>
      </w:tblPr>
      <w:tblGrid>
        <w:gridCol w:w="596"/>
        <w:gridCol w:w="1556"/>
        <w:gridCol w:w="2268"/>
        <w:gridCol w:w="850"/>
        <w:gridCol w:w="850"/>
        <w:gridCol w:w="763"/>
        <w:gridCol w:w="806"/>
        <w:gridCol w:w="16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left w:w="108" w:type="dxa"/>
            <w:bottom w:w="57" w:type="dxa"/>
            <w:right w:w="108" w:type="dxa"/>
          </w:tblCellMar>
        </w:tblPrEx>
        <w:trPr>
          <w:trHeight w:val="567" w:hRule="atLeast"/>
          <w:jc w:val="center"/>
        </w:trPr>
        <w:tc>
          <w:tcPr>
            <w:tcW w:w="59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b/>
                <w:bCs/>
                <w:color w:val="000000" w:themeColor="text1"/>
                <w:kern w:val="2"/>
                <w:highlight w:val="none"/>
                <w14:textFill>
                  <w14:solidFill>
                    <w14:schemeClr w14:val="tx1"/>
                  </w14:solidFill>
                </w14:textFill>
              </w:rPr>
            </w:pPr>
            <w:r>
              <w:rPr>
                <w:rFonts w:hint="eastAsia" w:ascii="微软雅黑" w:hAnsi="微软雅黑"/>
                <w:b/>
                <w:bCs/>
                <w:color w:val="000000" w:themeColor="text1"/>
                <w:kern w:val="2"/>
                <w:highlight w:val="none"/>
                <w14:textFill>
                  <w14:solidFill>
                    <w14:schemeClr w14:val="tx1"/>
                  </w14:solidFill>
                </w14:textFill>
              </w:rPr>
              <w:t>序号</w:t>
            </w:r>
          </w:p>
        </w:tc>
        <w:tc>
          <w:tcPr>
            <w:tcW w:w="155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b/>
                <w:bCs/>
                <w:color w:val="000000" w:themeColor="text1"/>
                <w:kern w:val="2"/>
                <w:highlight w:val="none"/>
                <w14:textFill>
                  <w14:solidFill>
                    <w14:schemeClr w14:val="tx1"/>
                  </w14:solidFill>
                </w14:textFill>
              </w:rPr>
            </w:pPr>
            <w:r>
              <w:rPr>
                <w:rFonts w:hint="eastAsia" w:ascii="微软雅黑" w:hAnsi="微软雅黑"/>
                <w:b/>
                <w:bCs/>
                <w:color w:val="000000" w:themeColor="text1"/>
                <w:kern w:val="2"/>
                <w:highlight w:val="none"/>
                <w14:textFill>
                  <w14:solidFill>
                    <w14:schemeClr w14:val="tx1"/>
                  </w14:solidFill>
                </w14:textFill>
              </w:rPr>
              <w:t>标的（服务）名称、类别</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b/>
                <w:bCs/>
                <w:color w:val="000000" w:themeColor="text1"/>
                <w:kern w:val="2"/>
                <w:highlight w:val="none"/>
                <w14:textFill>
                  <w14:solidFill>
                    <w14:schemeClr w14:val="tx1"/>
                  </w14:solidFill>
                </w14:textFill>
              </w:rPr>
            </w:pPr>
            <w:r>
              <w:rPr>
                <w:rFonts w:hint="eastAsia" w:ascii="微软雅黑" w:hAnsi="微软雅黑"/>
                <w:b/>
                <w:bCs/>
                <w:color w:val="000000" w:themeColor="text1"/>
                <w:kern w:val="2"/>
                <w:highlight w:val="none"/>
                <w14:textFill>
                  <w14:solidFill>
                    <w14:schemeClr w14:val="tx1"/>
                  </w14:solidFill>
                </w14:textFill>
              </w:rPr>
              <w:t>主要服务内容</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b/>
                <w:bCs/>
                <w:color w:val="000000" w:themeColor="text1"/>
                <w:kern w:val="2"/>
                <w:highlight w:val="none"/>
                <w14:textFill>
                  <w14:solidFill>
                    <w14:schemeClr w14:val="tx1"/>
                  </w14:solidFill>
                </w14:textFill>
              </w:rPr>
            </w:pPr>
            <w:r>
              <w:rPr>
                <w:rFonts w:hint="eastAsia" w:ascii="微软雅黑" w:hAnsi="微软雅黑"/>
                <w:b/>
                <w:bCs/>
                <w:color w:val="000000" w:themeColor="text1"/>
                <w:kern w:val="2"/>
                <w:highlight w:val="none"/>
                <w14:textFill>
                  <w14:solidFill>
                    <w14:schemeClr w14:val="tx1"/>
                  </w14:solidFill>
                </w14:textFill>
              </w:rPr>
              <w:t>数量</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b/>
                <w:bCs/>
                <w:color w:val="000000" w:themeColor="text1"/>
                <w:kern w:val="2"/>
                <w:highlight w:val="none"/>
                <w14:textFill>
                  <w14:solidFill>
                    <w14:schemeClr w14:val="tx1"/>
                  </w14:solidFill>
                </w14:textFill>
              </w:rPr>
            </w:pPr>
            <w:r>
              <w:rPr>
                <w:rFonts w:hint="eastAsia" w:ascii="微软雅黑" w:hAnsi="微软雅黑"/>
                <w:b/>
                <w:bCs/>
                <w:color w:val="000000" w:themeColor="text1"/>
                <w:kern w:val="2"/>
                <w:highlight w:val="none"/>
                <w14:textFill>
                  <w14:solidFill>
                    <w14:schemeClr w14:val="tx1"/>
                  </w14:solidFill>
                </w14:textFill>
              </w:rPr>
              <w:t>单位</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b/>
                <w:bCs/>
                <w:color w:val="000000" w:themeColor="text1"/>
                <w:kern w:val="2"/>
                <w:highlight w:val="none"/>
                <w14:textFill>
                  <w14:solidFill>
                    <w14:schemeClr w14:val="tx1"/>
                  </w14:solidFill>
                </w14:textFill>
              </w:rPr>
            </w:pPr>
            <w:r>
              <w:rPr>
                <w:rFonts w:hint="eastAsia" w:ascii="微软雅黑" w:hAnsi="微软雅黑"/>
                <w:b/>
                <w:bCs/>
                <w:color w:val="000000" w:themeColor="text1"/>
                <w:kern w:val="2"/>
                <w:highlight w:val="none"/>
                <w14:textFill>
                  <w14:solidFill>
                    <w14:schemeClr w14:val="tx1"/>
                  </w14:solidFill>
                </w14:textFill>
              </w:rPr>
              <w:t>单价（元）</w:t>
            </w:r>
          </w:p>
        </w:tc>
        <w:tc>
          <w:tcPr>
            <w:tcW w:w="80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b/>
                <w:bCs/>
                <w:color w:val="000000" w:themeColor="text1"/>
                <w:kern w:val="2"/>
                <w:highlight w:val="none"/>
                <w14:textFill>
                  <w14:solidFill>
                    <w14:schemeClr w14:val="tx1"/>
                  </w14:solidFill>
                </w14:textFill>
              </w:rPr>
            </w:pPr>
            <w:r>
              <w:rPr>
                <w:rFonts w:hint="eastAsia" w:ascii="微软雅黑" w:hAnsi="微软雅黑"/>
                <w:b/>
                <w:bCs/>
                <w:color w:val="000000" w:themeColor="text1"/>
                <w:kern w:val="2"/>
                <w:highlight w:val="none"/>
                <w14:textFill>
                  <w14:solidFill>
                    <w14:schemeClr w14:val="tx1"/>
                  </w14:solidFill>
                </w14:textFill>
              </w:rPr>
              <w:t>合价（元）</w:t>
            </w:r>
          </w:p>
        </w:tc>
        <w:tc>
          <w:tcPr>
            <w:tcW w:w="1603"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b/>
                <w:bCs/>
                <w:color w:val="000000" w:themeColor="text1"/>
                <w:kern w:val="2"/>
                <w:highlight w:val="none"/>
                <w14:textFill>
                  <w14:solidFill>
                    <w14:schemeClr w14:val="tx1"/>
                  </w14:solidFill>
                </w14:textFill>
              </w:rPr>
            </w:pPr>
            <w:r>
              <w:rPr>
                <w:rFonts w:hint="eastAsia" w:ascii="微软雅黑" w:hAnsi="微软雅黑"/>
                <w:b/>
                <w:bCs/>
                <w:color w:val="000000" w:themeColor="text1"/>
                <w:kern w:val="2"/>
                <w:highlight w:val="none"/>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left w:w="108" w:type="dxa"/>
            <w:bottom w:w="57" w:type="dxa"/>
            <w:right w:w="108" w:type="dxa"/>
          </w:tblCellMar>
        </w:tblPrEx>
        <w:trPr>
          <w:trHeight w:val="567" w:hRule="atLeast"/>
          <w:jc w:val="center"/>
        </w:trPr>
        <w:tc>
          <w:tcPr>
            <w:tcW w:w="59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1</w:t>
            </w:r>
          </w:p>
        </w:tc>
        <w:tc>
          <w:tcPr>
            <w:tcW w:w="155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定期排查</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（重点用户）</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定期排查（重点用户），每季度一次，排查用户数暂定1500户。</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4</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次/年</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p>
        </w:tc>
        <w:tc>
          <w:tcPr>
            <w:tcW w:w="80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p>
        </w:tc>
        <w:tc>
          <w:tcPr>
            <w:tcW w:w="1603"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微软雅黑" w:hAnsi="微软雅黑" w:eastAsia="微软雅黑"/>
                <w:color w:val="000000" w:themeColor="text1"/>
                <w:kern w:val="2"/>
                <w:highlight w:val="none"/>
                <w:lang w:val="en-US" w:eastAsia="zh-CN"/>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排查用户数按实结算</w:t>
            </w:r>
            <w:r>
              <w:rPr>
                <w:rFonts w:hint="eastAsia" w:ascii="微软雅黑" w:hAnsi="微软雅黑"/>
                <w:color w:val="000000" w:themeColor="text1"/>
                <w:kern w:val="2"/>
                <w:highlight w:val="none"/>
                <w:lang w:eastAsia="zh-CN"/>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left w:w="108" w:type="dxa"/>
            <w:bottom w:w="57" w:type="dxa"/>
            <w:right w:w="108" w:type="dxa"/>
          </w:tblCellMar>
        </w:tblPrEx>
        <w:trPr>
          <w:trHeight w:val="567" w:hRule="atLeast"/>
          <w:jc w:val="center"/>
        </w:trPr>
        <w:tc>
          <w:tcPr>
            <w:tcW w:w="59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2</w:t>
            </w:r>
          </w:p>
        </w:tc>
        <w:tc>
          <w:tcPr>
            <w:tcW w:w="155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定期排查</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（一般用户）</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定期排查（一般用户），每半年一次，排查用户数暂定2000户。</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2</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次/年</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p>
        </w:tc>
        <w:tc>
          <w:tcPr>
            <w:tcW w:w="80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p>
        </w:tc>
        <w:tc>
          <w:tcPr>
            <w:tcW w:w="1603"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微软雅黑" w:hAnsi="微软雅黑" w:eastAsia="微软雅黑"/>
                <w:color w:val="000000" w:themeColor="text1"/>
                <w:kern w:val="2"/>
                <w:highlight w:val="none"/>
                <w:lang w:eastAsia="zh-CN"/>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排查用户数按实结算</w:t>
            </w:r>
            <w:r>
              <w:rPr>
                <w:rFonts w:hint="eastAsia" w:ascii="微软雅黑" w:hAnsi="微软雅黑"/>
                <w:color w:val="000000" w:themeColor="text1"/>
                <w:kern w:val="2"/>
                <w:highlight w:val="none"/>
                <w:lang w:eastAsia="zh-CN"/>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left w:w="108" w:type="dxa"/>
            <w:bottom w:w="57" w:type="dxa"/>
            <w:right w:w="108" w:type="dxa"/>
          </w:tblCellMar>
        </w:tblPrEx>
        <w:trPr>
          <w:trHeight w:val="567" w:hRule="atLeast"/>
          <w:jc w:val="center"/>
        </w:trPr>
        <w:tc>
          <w:tcPr>
            <w:tcW w:w="59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3</w:t>
            </w:r>
          </w:p>
        </w:tc>
        <w:tc>
          <w:tcPr>
            <w:tcW w:w="155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技术培训</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按采购人要求安排采购人有关人员进行技术培训，包含但不限于培训师资、场地等。</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3</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次</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p>
        </w:tc>
        <w:tc>
          <w:tcPr>
            <w:tcW w:w="80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p>
        </w:tc>
        <w:tc>
          <w:tcPr>
            <w:tcW w:w="1603"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left w:w="108" w:type="dxa"/>
            <w:bottom w:w="57" w:type="dxa"/>
            <w:right w:w="108" w:type="dxa"/>
          </w:tblCellMar>
        </w:tblPrEx>
        <w:trPr>
          <w:trHeight w:val="567" w:hRule="atLeast"/>
          <w:jc w:val="center"/>
        </w:trPr>
        <w:tc>
          <w:tcPr>
            <w:tcW w:w="59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4</w:t>
            </w:r>
          </w:p>
        </w:tc>
        <w:tc>
          <w:tcPr>
            <w:tcW w:w="155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事故应急救援方案编制</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完成编制及专家评审等</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1</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项</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p>
        </w:tc>
        <w:tc>
          <w:tcPr>
            <w:tcW w:w="80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p>
        </w:tc>
        <w:tc>
          <w:tcPr>
            <w:tcW w:w="1603"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left w:w="108" w:type="dxa"/>
            <w:bottom w:w="57" w:type="dxa"/>
            <w:right w:w="108" w:type="dxa"/>
          </w:tblCellMar>
        </w:tblPrEx>
        <w:trPr>
          <w:trHeight w:val="567" w:hRule="atLeast"/>
          <w:jc w:val="center"/>
        </w:trPr>
        <w:tc>
          <w:tcPr>
            <w:tcW w:w="59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5</w:t>
            </w:r>
          </w:p>
        </w:tc>
        <w:tc>
          <w:tcPr>
            <w:tcW w:w="155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驻点服务</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含开展飞行检查并辅助进行燃气管理等工作</w:t>
            </w:r>
            <w:r>
              <w:rPr>
                <w:rFonts w:hint="eastAsia" w:ascii="微软雅黑" w:hAnsi="微软雅黑"/>
                <w:color w:val="000000" w:themeColor="text1"/>
                <w:kern w:val="2"/>
                <w:highlight w:val="none"/>
                <w:lang w:eastAsia="zh-CN"/>
                <w14:textFill>
                  <w14:solidFill>
                    <w14:schemeClr w14:val="tx1"/>
                  </w14:solidFill>
                </w14:textFill>
              </w:rPr>
              <w:t>，</w:t>
            </w:r>
            <w:r>
              <w:rPr>
                <w:rFonts w:hint="eastAsia" w:ascii="微软雅黑" w:hAnsi="微软雅黑"/>
                <w:color w:val="000000" w:themeColor="text1"/>
                <w:kern w:val="2"/>
                <w:highlight w:val="none"/>
                <w:lang w:val="en-US" w:eastAsia="zh-CN"/>
                <w14:textFill>
                  <w14:solidFill>
                    <w14:schemeClr w14:val="tx1"/>
                  </w14:solidFill>
                </w14:textFill>
              </w:rPr>
              <w:t>拟派人员具有安全评价师资格证</w:t>
            </w:r>
            <w:r>
              <w:rPr>
                <w:rFonts w:hint="eastAsia" w:ascii="微软雅黑" w:hAnsi="微软雅黑"/>
                <w:color w:val="000000" w:themeColor="text1"/>
                <w:kern w:val="2"/>
                <w:highlight w:val="none"/>
                <w14:textFill>
                  <w14:solidFill>
                    <w14:schemeClr w14:val="tx1"/>
                  </w14:solidFill>
                </w14:textFill>
              </w:rPr>
              <w:t>。</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1</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人</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p>
        </w:tc>
        <w:tc>
          <w:tcPr>
            <w:tcW w:w="80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p>
        </w:tc>
        <w:tc>
          <w:tcPr>
            <w:tcW w:w="1603"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微软雅黑" w:hAnsi="微软雅黑" w:eastAsia="微软雅黑"/>
                <w:color w:val="000000" w:themeColor="text1"/>
                <w:kern w:val="2"/>
                <w:highlight w:val="none"/>
                <w:lang w:eastAsia="zh-CN"/>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驻点人员要求合同签订日起开始驻点，工作时间参照建设交通局工作时间，服从建设交通局工作安排</w:t>
            </w:r>
            <w:r>
              <w:rPr>
                <w:rFonts w:hint="eastAsia" w:ascii="微软雅黑" w:hAnsi="微软雅黑"/>
                <w:color w:val="000000" w:themeColor="text1"/>
                <w:kern w:val="2"/>
                <w:highlight w:val="none"/>
                <w:lang w:eastAsia="zh-CN"/>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left w:w="108" w:type="dxa"/>
            <w:bottom w:w="57" w:type="dxa"/>
            <w:right w:w="108" w:type="dxa"/>
          </w:tblCellMar>
        </w:tblPrEx>
        <w:trPr>
          <w:trHeight w:val="567" w:hRule="atLeast"/>
          <w:jc w:val="center"/>
        </w:trPr>
        <w:tc>
          <w:tcPr>
            <w:tcW w:w="59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6</w:t>
            </w:r>
          </w:p>
        </w:tc>
        <w:tc>
          <w:tcPr>
            <w:tcW w:w="155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事故调查</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现场调查并出具报告等。</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1</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微软雅黑" w:hAnsi="微软雅黑" w:eastAsia="微软雅黑"/>
                <w:color w:val="000000" w:themeColor="text1"/>
                <w:kern w:val="2"/>
                <w:highlight w:val="none"/>
                <w:lang w:eastAsia="zh-CN"/>
                <w14:textFill>
                  <w14:solidFill>
                    <w14:schemeClr w14:val="tx1"/>
                  </w14:solidFill>
                </w14:textFill>
              </w:rPr>
            </w:pPr>
            <w:r>
              <w:rPr>
                <w:rFonts w:hint="eastAsia" w:ascii="微软雅黑" w:hAnsi="微软雅黑"/>
                <w:color w:val="000000" w:themeColor="text1"/>
                <w:kern w:val="2"/>
                <w:highlight w:val="none"/>
                <w:lang w:val="en-US" w:eastAsia="zh-CN"/>
                <w14:textFill>
                  <w14:solidFill>
                    <w14:schemeClr w14:val="tx1"/>
                  </w14:solidFill>
                </w14:textFill>
              </w:rPr>
              <w:t>次</w:t>
            </w:r>
          </w:p>
        </w:tc>
        <w:tc>
          <w:tcPr>
            <w:tcW w:w="763"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p>
        </w:tc>
        <w:tc>
          <w:tcPr>
            <w:tcW w:w="80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p>
        </w:tc>
        <w:tc>
          <w:tcPr>
            <w:tcW w:w="1603"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color w:val="000000" w:themeColor="text1"/>
                <w:kern w:val="2"/>
                <w:highlight w:val="none"/>
                <w14:textFill>
                  <w14:solidFill>
                    <w14:schemeClr w14:val="tx1"/>
                  </w14:solidFill>
                </w14:textFill>
              </w:rPr>
              <w:t>数量按实结算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left w:w="108" w:type="dxa"/>
            <w:bottom w:w="57" w:type="dxa"/>
            <w:right w:w="108" w:type="dxa"/>
          </w:tblCellMar>
        </w:tblPrEx>
        <w:trPr>
          <w:trHeight w:val="454" w:hRule="atLeast"/>
          <w:jc w:val="center"/>
        </w:trPr>
        <w:tc>
          <w:tcPr>
            <w:tcW w:w="596"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微软雅黑" w:hAnsi="微软雅黑" w:eastAsia="微软雅黑"/>
                <w:color w:val="000000" w:themeColor="text1"/>
                <w:kern w:val="2"/>
                <w:highlight w:val="none"/>
                <w:lang w:eastAsia="zh-CN"/>
                <w14:textFill>
                  <w14:solidFill>
                    <w14:schemeClr w14:val="tx1"/>
                  </w14:solidFill>
                </w14:textFill>
              </w:rPr>
            </w:pPr>
            <w:r>
              <w:rPr>
                <w:rFonts w:hint="eastAsia" w:ascii="微软雅黑" w:hAnsi="微软雅黑"/>
                <w:color w:val="000000" w:themeColor="text1"/>
                <w:kern w:val="2"/>
                <w:highlight w:val="none"/>
                <w:lang w:val="en-US" w:eastAsia="zh-CN"/>
                <w14:textFill>
                  <w14:solidFill>
                    <w14:schemeClr w14:val="tx1"/>
                  </w14:solidFill>
                </w14:textFill>
              </w:rPr>
              <w:t>7</w:t>
            </w:r>
          </w:p>
        </w:tc>
        <w:tc>
          <w:tcPr>
            <w:tcW w:w="2268" w:type="dxa"/>
            <w:gridSpan w:val="7"/>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ascii="微软雅黑" w:hAnsi="微软雅黑"/>
                <w:color w:val="000000" w:themeColor="text1"/>
                <w:kern w:val="2"/>
                <w:highlight w:val="none"/>
                <w14:textFill>
                  <w14:solidFill>
                    <w14:schemeClr w14:val="tx1"/>
                  </w14:solidFill>
                </w14:textFill>
              </w:rPr>
            </w:pPr>
            <w:r>
              <w:rPr>
                <w:rFonts w:hint="eastAsia" w:ascii="微软雅黑" w:hAnsi="微软雅黑"/>
                <w:b/>
                <w:bCs/>
                <w:color w:val="000000" w:themeColor="text1"/>
                <w:kern w:val="2"/>
                <w:highlight w:val="none"/>
                <w14:textFill>
                  <w14:solidFill>
                    <w14:schemeClr w14:val="tx1"/>
                  </w14:solidFill>
                </w14:textFill>
              </w:rPr>
              <w:t>响应总报价：人民币（大写）</w:t>
            </w:r>
            <w:r>
              <w:rPr>
                <w:rFonts w:hint="eastAsia" w:ascii="微软雅黑" w:hAnsi="微软雅黑"/>
                <w:b/>
                <w:bCs/>
                <w:color w:val="000000" w:themeColor="text1"/>
                <w:kern w:val="2"/>
                <w:highlight w:val="none"/>
                <w:u w:val="single"/>
                <w14:textFill>
                  <w14:solidFill>
                    <w14:schemeClr w14:val="tx1"/>
                  </w14:solidFill>
                </w14:textFill>
              </w:rPr>
              <w:t xml:space="preserve">              </w:t>
            </w:r>
            <w:r>
              <w:rPr>
                <w:rFonts w:hint="eastAsia" w:ascii="微软雅黑" w:hAnsi="微软雅黑"/>
                <w:b/>
                <w:bCs/>
                <w:color w:val="000000" w:themeColor="text1"/>
                <w:kern w:val="2"/>
                <w:highlight w:val="none"/>
                <w14:textFill>
                  <w14:solidFill>
                    <w14:schemeClr w14:val="tx1"/>
                  </w14:solidFill>
                </w14:textFill>
              </w:rPr>
              <w:t>元整（小写：</w:t>
            </w:r>
            <w:r>
              <w:rPr>
                <w:rFonts w:hint="eastAsia" w:ascii="微软雅黑" w:hAnsi="微软雅黑"/>
                <w:b/>
                <w:bCs/>
                <w:color w:val="000000" w:themeColor="text1"/>
                <w:kern w:val="2"/>
                <w:highlight w:val="none"/>
                <w:u w:val="single"/>
                <w14:textFill>
                  <w14:solidFill>
                    <w14:schemeClr w14:val="tx1"/>
                  </w14:solidFill>
                </w14:textFill>
              </w:rPr>
              <w:t xml:space="preserve">          </w:t>
            </w:r>
            <w:r>
              <w:rPr>
                <w:rFonts w:hint="eastAsia" w:ascii="微软雅黑" w:hAnsi="微软雅黑"/>
                <w:b/>
                <w:bCs/>
                <w:color w:val="000000" w:themeColor="text1"/>
                <w:kern w:val="2"/>
                <w:highlight w:val="none"/>
                <w14:textFill>
                  <w14:solidFill>
                    <w14:schemeClr w14:val="tx1"/>
                  </w14:solidFill>
                </w14:textFill>
              </w:rPr>
              <w:t>元）</w:t>
            </w:r>
          </w:p>
        </w:tc>
      </w:tr>
    </w:tbl>
    <w:p>
      <w:pPr>
        <w:keepNext w:val="0"/>
        <w:keepLines w:val="0"/>
        <w:pageBreakBefore w:val="0"/>
        <w:widowControl w:val="0"/>
        <w:kinsoku/>
        <w:wordWrap/>
        <w:overflowPunct/>
        <w:topLinePunct w:val="0"/>
        <w:autoSpaceDE/>
        <w:autoSpaceDN/>
        <w:bidi w:val="0"/>
        <w:adjustRightInd/>
        <w:snapToGrid w:val="0"/>
        <w:spacing w:before="120" w:beforeLines="50" w:after="0" w:line="276" w:lineRule="auto"/>
        <w:ind w:firstLine="420" w:firstLineChars="200"/>
        <w:jc w:val="left"/>
        <w:textAlignment w:val="auto"/>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注: 1.报价一经涂改，应在涂改处加盖单位公章或者由法定代表人或被授权人签字（或盖章），否则其投标响应作无效标处理；</w:t>
      </w:r>
    </w:p>
    <w:p>
      <w:pPr>
        <w:keepNext w:val="0"/>
        <w:keepLines w:val="0"/>
        <w:pageBreakBefore w:val="0"/>
        <w:widowControl w:val="0"/>
        <w:numPr>
          <w:ilvl w:val="0"/>
          <w:numId w:val="35"/>
        </w:numPr>
        <w:kinsoku/>
        <w:wordWrap/>
        <w:overflowPunct/>
        <w:topLinePunct w:val="0"/>
        <w:autoSpaceDE/>
        <w:autoSpaceDN/>
        <w:bidi w:val="0"/>
        <w:adjustRightInd/>
        <w:snapToGrid w:val="0"/>
        <w:spacing w:after="0" w:line="276" w:lineRule="auto"/>
        <w:ind w:firstLine="420" w:firstLineChars="200"/>
        <w:jc w:val="left"/>
        <w:textAlignment w:val="auto"/>
        <w:rPr>
          <w:rFonts w:ascii="微软雅黑" w:hAnsi="微软雅黑"/>
          <w:bCs/>
          <w:color w:val="000000" w:themeColor="text1"/>
          <w:highlight w:val="none"/>
          <w14:textFill>
            <w14:solidFill>
              <w14:schemeClr w14:val="tx1"/>
            </w14:solidFill>
          </w14:textFill>
        </w:rPr>
      </w:pPr>
      <w:r>
        <w:rPr>
          <w:rFonts w:hint="eastAsia" w:ascii="微软雅黑" w:hAnsi="微软雅黑"/>
          <w:bCs/>
          <w:color w:val="000000" w:themeColor="text1"/>
          <w:highlight w:val="none"/>
          <w14:textFill>
            <w14:solidFill>
              <w14:schemeClr w14:val="tx1"/>
            </w14:solidFill>
          </w14:textFill>
        </w:rPr>
        <w:t>须按采购清单顺序填制，要求细分项目及报价，上表响应总报价应与“开标一览表”中的“初次响应总报价”相一致；</w:t>
      </w:r>
    </w:p>
    <w:p>
      <w:pPr>
        <w:keepNext w:val="0"/>
        <w:keepLines w:val="0"/>
        <w:pageBreakBefore w:val="0"/>
        <w:widowControl w:val="0"/>
        <w:numPr>
          <w:ilvl w:val="0"/>
          <w:numId w:val="35"/>
        </w:numPr>
        <w:kinsoku/>
        <w:wordWrap/>
        <w:overflowPunct/>
        <w:topLinePunct w:val="0"/>
        <w:autoSpaceDE/>
        <w:autoSpaceDN/>
        <w:bidi w:val="0"/>
        <w:adjustRightInd/>
        <w:snapToGrid w:val="0"/>
        <w:spacing w:after="0" w:line="276" w:lineRule="auto"/>
        <w:ind w:firstLine="420" w:firstLineChars="200"/>
        <w:jc w:val="left"/>
        <w:textAlignment w:val="auto"/>
        <w:rPr>
          <w:rFonts w:ascii="微软雅黑" w:hAnsi="微软雅黑"/>
          <w:b w:val="0"/>
          <w:bCs/>
          <w:color w:val="000000" w:themeColor="text1"/>
          <w:highlight w:val="none"/>
          <w14:textFill>
            <w14:solidFill>
              <w14:schemeClr w14:val="tx1"/>
            </w14:solidFill>
          </w14:textFill>
        </w:rPr>
      </w:pPr>
      <w:r>
        <w:rPr>
          <w:rFonts w:hint="eastAsia" w:ascii="微软雅黑" w:hAnsi="微软雅黑"/>
          <w:b w:val="0"/>
          <w:bCs/>
          <w:color w:val="000000" w:themeColor="text1"/>
          <w:highlight w:val="none"/>
          <w14:textFill>
            <w14:solidFill>
              <w14:schemeClr w14:val="tx1"/>
            </w14:solidFill>
          </w14:textFill>
        </w:rPr>
        <w:t>合同签订时具体合同单价和总价按最终磋商响应报价与初次响应报价同比例下浮。项目结算时具体排查用户数按实结算，结算单价按响应报价折算为“元/户/次”固定单价进行结算，最终项目结算总价不得超过项目预算价75.00万元，超过部分成交供应商应无条件让利，相关风险因素各投标供应商应充分踏勘项目现场、了解项目实际情况后综合计入投标响应报价。</w:t>
      </w:r>
    </w:p>
    <w:p>
      <w:pPr>
        <w:pStyle w:val="31"/>
        <w:keepNext w:val="0"/>
        <w:keepLines w:val="0"/>
        <w:pageBreakBefore w:val="0"/>
        <w:widowControl w:val="0"/>
        <w:kinsoku/>
        <w:wordWrap/>
        <w:overflowPunct/>
        <w:topLinePunct w:val="0"/>
        <w:autoSpaceDE/>
        <w:autoSpaceDN/>
        <w:bidi w:val="0"/>
        <w:adjustRightInd/>
        <w:snapToGrid w:val="0"/>
        <w:spacing w:after="0" w:line="360" w:lineRule="auto"/>
        <w:ind w:firstLine="4200" w:firstLineChars="2000"/>
        <w:jc w:val="left"/>
        <w:textAlignment w:val="auto"/>
        <w:outlineLvl w:val="0"/>
        <w:rPr>
          <w:rFonts w:hint="eastAsia" w:ascii="微软雅黑" w:hAnsi="微软雅黑"/>
          <w:bCs/>
          <w:color w:val="000000" w:themeColor="text1"/>
          <w:szCs w:val="21"/>
          <w:highlight w:val="none"/>
          <w14:textFill>
            <w14:solidFill>
              <w14:schemeClr w14:val="tx1"/>
            </w14:solidFill>
          </w14:textFill>
        </w:rPr>
      </w:pPr>
    </w:p>
    <w:p>
      <w:pPr>
        <w:pStyle w:val="31"/>
        <w:keepNext w:val="0"/>
        <w:keepLines w:val="0"/>
        <w:pageBreakBefore w:val="0"/>
        <w:widowControl w:val="0"/>
        <w:kinsoku/>
        <w:wordWrap/>
        <w:overflowPunct/>
        <w:topLinePunct w:val="0"/>
        <w:autoSpaceDE/>
        <w:autoSpaceDN/>
        <w:bidi w:val="0"/>
        <w:adjustRightInd/>
        <w:snapToGrid w:val="0"/>
        <w:spacing w:after="0" w:line="360" w:lineRule="auto"/>
        <w:ind w:firstLine="4200" w:firstLineChars="2000"/>
        <w:jc w:val="left"/>
        <w:textAlignment w:val="auto"/>
        <w:outlineLvl w:val="0"/>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供应商名称：（盖章）</w:t>
      </w:r>
    </w:p>
    <w:p>
      <w:pPr>
        <w:pStyle w:val="31"/>
        <w:keepNext w:val="0"/>
        <w:keepLines w:val="0"/>
        <w:pageBreakBefore w:val="0"/>
        <w:widowControl w:val="0"/>
        <w:kinsoku/>
        <w:wordWrap/>
        <w:overflowPunct/>
        <w:topLinePunct w:val="0"/>
        <w:autoSpaceDE/>
        <w:autoSpaceDN/>
        <w:bidi w:val="0"/>
        <w:adjustRightInd/>
        <w:snapToGrid w:val="0"/>
        <w:spacing w:after="0" w:line="360" w:lineRule="auto"/>
        <w:ind w:firstLine="4200" w:firstLineChars="2000"/>
        <w:jc w:val="left"/>
        <w:textAlignment w:val="auto"/>
        <w:rPr>
          <w:rFonts w:ascii="微软雅黑" w:hAnsi="微软雅黑"/>
          <w:bCs/>
          <w:color w:val="000000" w:themeColor="text1"/>
          <w:szCs w:val="2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法定代表人或授权代表（签字或盖章）：</w:t>
      </w:r>
    </w:p>
    <w:p>
      <w:pPr>
        <w:pStyle w:val="31"/>
        <w:keepNext w:val="0"/>
        <w:keepLines w:val="0"/>
        <w:pageBreakBefore w:val="0"/>
        <w:widowControl w:val="0"/>
        <w:kinsoku/>
        <w:wordWrap/>
        <w:overflowPunct/>
        <w:topLinePunct w:val="0"/>
        <w:autoSpaceDE/>
        <w:autoSpaceDN/>
        <w:bidi w:val="0"/>
        <w:adjustRightInd/>
        <w:snapToGrid w:val="0"/>
        <w:spacing w:after="0" w:line="360" w:lineRule="auto"/>
        <w:ind w:firstLine="4200" w:firstLineChars="2000"/>
        <w:jc w:val="left"/>
        <w:textAlignment w:val="auto"/>
        <w:rPr>
          <w:color w:val="000000" w:themeColor="text1"/>
          <w:highlight w:val="none"/>
          <w14:textFill>
            <w14:solidFill>
              <w14:schemeClr w14:val="tx1"/>
            </w14:solidFill>
          </w14:textFill>
        </w:rPr>
      </w:pPr>
      <w:r>
        <w:rPr>
          <w:rFonts w:hint="eastAsia" w:ascii="微软雅黑" w:hAnsi="微软雅黑"/>
          <w:bCs/>
          <w:color w:val="000000" w:themeColor="text1"/>
          <w:szCs w:val="21"/>
          <w:highlight w:val="none"/>
          <w14:textFill>
            <w14:solidFill>
              <w14:schemeClr w14:val="tx1"/>
            </w14:solidFill>
          </w14:textFill>
        </w:rPr>
        <w:t xml:space="preserve">投标日期： </w:t>
      </w:r>
      <w:r>
        <w:rPr>
          <w:rFonts w:hint="eastAsia" w:ascii="微软雅黑" w:hAnsi="微软雅黑"/>
          <w:bCs/>
          <w:color w:val="000000" w:themeColor="text1"/>
          <w:szCs w:val="21"/>
          <w:highlight w:val="none"/>
          <w:lang w:val="en-US" w:eastAsia="zh-CN"/>
          <w14:textFill>
            <w14:solidFill>
              <w14:schemeClr w14:val="tx1"/>
            </w14:solidFill>
          </w14:textFill>
        </w:rPr>
        <w:t xml:space="preserve"> </w:t>
      </w:r>
      <w:r>
        <w:rPr>
          <w:rFonts w:hint="eastAsia" w:ascii="微软雅黑" w:hAnsi="微软雅黑"/>
          <w:bCs/>
          <w:color w:val="000000" w:themeColor="text1"/>
          <w:szCs w:val="21"/>
          <w:highlight w:val="none"/>
          <w14:textFill>
            <w14:solidFill>
              <w14:schemeClr w14:val="tx1"/>
            </w14:solidFill>
          </w14:textFill>
        </w:rPr>
        <w:t xml:space="preserve">年 </w:t>
      </w:r>
      <w:r>
        <w:rPr>
          <w:rFonts w:hint="eastAsia" w:ascii="微软雅黑" w:hAnsi="微软雅黑"/>
          <w:bCs/>
          <w:color w:val="000000" w:themeColor="text1"/>
          <w:szCs w:val="21"/>
          <w:highlight w:val="none"/>
          <w:lang w:val="en-US" w:eastAsia="zh-CN"/>
          <w14:textFill>
            <w14:solidFill>
              <w14:schemeClr w14:val="tx1"/>
            </w14:solidFill>
          </w14:textFill>
        </w:rPr>
        <w:t xml:space="preserve"> </w:t>
      </w:r>
      <w:r>
        <w:rPr>
          <w:rFonts w:hint="eastAsia" w:ascii="微软雅黑" w:hAnsi="微软雅黑"/>
          <w:bCs/>
          <w:color w:val="000000" w:themeColor="text1"/>
          <w:szCs w:val="21"/>
          <w:highlight w:val="none"/>
          <w14:textFill>
            <w14:solidFill>
              <w14:schemeClr w14:val="tx1"/>
            </w14:solidFill>
          </w14:textFill>
        </w:rPr>
        <w:t>月</w:t>
      </w:r>
      <w:r>
        <w:rPr>
          <w:rFonts w:hint="eastAsia" w:ascii="微软雅黑" w:hAnsi="微软雅黑"/>
          <w:bCs/>
          <w:color w:val="000000" w:themeColor="text1"/>
          <w:szCs w:val="21"/>
          <w:highlight w:val="none"/>
          <w:lang w:val="en-US" w:eastAsia="zh-CN"/>
          <w14:textFill>
            <w14:solidFill>
              <w14:schemeClr w14:val="tx1"/>
            </w14:solidFill>
          </w14:textFill>
        </w:rPr>
        <w:t xml:space="preserve"> </w:t>
      </w:r>
      <w:r>
        <w:rPr>
          <w:rFonts w:hint="eastAsia" w:ascii="微软雅黑" w:hAnsi="微软雅黑"/>
          <w:bCs/>
          <w:color w:val="000000" w:themeColor="text1"/>
          <w:szCs w:val="21"/>
          <w:highlight w:val="none"/>
          <w14:textFill>
            <w14:solidFill>
              <w14:schemeClr w14:val="tx1"/>
            </w14:solidFill>
          </w14:textFill>
        </w:rPr>
        <w:t xml:space="preserve"> 日</w:t>
      </w:r>
    </w:p>
    <w:sectPr>
      <w:pgSz w:w="11906" w:h="16838"/>
      <w:pgMar w:top="1134" w:right="1474" w:bottom="1134" w:left="1474" w:header="851" w:footer="51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roid Serif">
    <w:altName w:val="Segoe Print"/>
    <w:panose1 w:val="00000000000000000000"/>
    <w:charset w:val="00"/>
    <w:family w:val="auto"/>
    <w:pitch w:val="default"/>
    <w:sig w:usb0="00000000" w:usb1="00000000" w:usb2="00000028" w:usb3="00000000" w:csb0="2000019F"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Algerian">
    <w:altName w:val="Gabriola"/>
    <w:panose1 w:val="04020705040A02060702"/>
    <w:charset w:val="00"/>
    <w:family w:val="decorative"/>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Trebuchet MS">
    <w:panose1 w:val="020B0603020202020204"/>
    <w:charset w:val="00"/>
    <w:family w:val="swiss"/>
    <w:pitch w:val="default"/>
    <w:sig w:usb0="00000687" w:usb1="00000000" w:usb2="00000000" w:usb3="00000000" w:csb0="2000009F" w:csb1="00000000"/>
  </w:font>
  <w:font w:name="汉仪仿宋简">
    <w:altName w:val="仿宋"/>
    <w:panose1 w:val="00000000000000000000"/>
    <w:charset w:val="80"/>
    <w:family w:val="auto"/>
    <w:pitch w:val="default"/>
    <w:sig w:usb0="00000000" w:usb1="00000000" w:usb2="00000012" w:usb3="00000000" w:csb0="0002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PMingLiU-ExtB">
    <w:panose1 w:val="02020500000000000000"/>
    <w:charset w:val="88"/>
    <w:family w:val="roman"/>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720" w:firstLine="210" w:firstLineChars="10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6"/>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8jcBM0BAACn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ijMnLD345fu3y49fl59f2c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8jcBM0BAACnAwAADgAAAAAAAAABACAAAAAeAQAAZHJzL2Uy&#10;b0RvYy54bWxQSwUGAAAAAAYABgBZAQAAXQUAAAAA&#10;">
              <v:fill on="f" focussize="0,0"/>
              <v:stroke on="f"/>
              <v:imagedata o:title=""/>
              <o:lock v:ext="edit" aspectratio="f"/>
              <v:textbox inset="0mm,0mm,0mm,0mm" style="mso-fit-shape-to-text:t;">
                <w:txbxContent>
                  <w:p>
                    <w:pPr>
                      <w:pStyle w:val="3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60"/>
      </w:rPr>
    </w:pPr>
    <w:r>
      <w:fldChar w:fldCharType="begin"/>
    </w:r>
    <w:r>
      <w:rPr>
        <w:rStyle w:val="60"/>
      </w:rPr>
      <w:instrText xml:space="preserve">PAGE  </w:instrText>
    </w:r>
    <w:r>
      <w:fldChar w:fldCharType="end"/>
    </w:r>
  </w:p>
  <w:p>
    <w:pPr>
      <w:pStyle w:val="3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spacing w:before="120" w:after="120"/>
      <w:ind w:firstLine="36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6"/>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2oaIyAgAAY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NrSjRTaPj5+7fz&#10;j1/nn1/JV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sLkWRa2&#10;+tHyCB3l8XZ1CJAzqRxF6ZRAd+IBs5f61O9JHO4/zynq6b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fahojICAABjBAAADgAAAAAAAAABACAAAAAfAQAAZHJzL2Uyb0RvYy54bWxQSwUG&#10;AAAAAAYABgBZAQAAwwUAAAAA&#10;">
              <v:fill on="f" focussize="0,0"/>
              <v:stroke on="f" weight="0.5pt"/>
              <v:imagedata o:title=""/>
              <o:lock v:ext="edit" aspectratio="f"/>
              <v:textbox inset="0mm,0mm,0mm,0mm" style="mso-fit-shape-to-text:t;">
                <w:txbxContent>
                  <w:p>
                    <w:pPr>
                      <w:pStyle w:val="36"/>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60"/>
      </w:rPr>
    </w:pPr>
    <w:r>
      <w:fldChar w:fldCharType="begin"/>
    </w:r>
    <w:r>
      <w:rPr>
        <w:rStyle w:val="60"/>
      </w:rPr>
      <w:instrText xml:space="preserve">PAGE  </w:instrText>
    </w:r>
    <w:r>
      <w:fldChar w:fldCharType="end"/>
    </w:r>
  </w:p>
  <w:p>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center"/>
      <w:rPr>
        <w:rStyle w:val="6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6"/>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zWjAx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nM1owMQIAAGMEAAAOAAAAAAAAAAEAIAAAAB8BAABkcnMvZTJvRG9jLnhtbFBLBQYA&#10;AAAABgAGAFkBAADCBQAAAAA=&#10;">
              <v:fill on="f" focussize="0,0"/>
              <v:stroke on="f" weight="0.5pt"/>
              <v:imagedata o:title=""/>
              <o:lock v:ext="edit" aspectratio="f"/>
              <v:textbox inset="0mm,0mm,0mm,0mm" style="mso-fit-shape-to-text:t;">
                <w:txbxContent>
                  <w:p>
                    <w:pPr>
                      <w:pStyle w:val="36"/>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pStyle w:val="36"/>
      <w:ind w:firstLine="7920" w:firstLineChars="4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pict>
        <v:shape id="PowerPlusWaterMarkObject4865175" o:spid="_x0000_s3079" o:spt="136" type="#_x0000_t136" style="position:absolute;left:0pt;height:45.15pt;width:587.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pict>
        <v:shape id="PowerPlusWaterMarkObject4865174" o:spid="_x0000_s3077" o:spt="136" type="#_x0000_t136" style="position:absolute;left:0pt;height:45.15pt;width:587.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pict>
        <v:shape id="PowerPlusWaterMarkObject4865181" o:spid="_x0000_s3081" o:spt="136" type="#_x0000_t136" style="position:absolute;left:0pt;height:45.15pt;width:587.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pict>
        <v:shape id="PowerPlusWaterMarkObject4865180" o:spid="_x0000_s3080" o:spt="136" type="#_x0000_t136" style="position:absolute;left:0pt;height:45.15pt;width:587.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091FE"/>
    <w:multiLevelType w:val="singleLevel"/>
    <w:tmpl w:val="92A091FE"/>
    <w:lvl w:ilvl="0" w:tentative="0">
      <w:start w:val="1"/>
      <w:numFmt w:val="decimal"/>
      <w:lvlText w:val="%1."/>
      <w:lvlJc w:val="left"/>
      <w:pPr>
        <w:ind w:left="425" w:hanging="425"/>
      </w:pPr>
      <w:rPr>
        <w:rFonts w:hint="default"/>
      </w:rPr>
    </w:lvl>
  </w:abstractNum>
  <w:abstractNum w:abstractNumId="1">
    <w:nsid w:val="AD9957D5"/>
    <w:multiLevelType w:val="singleLevel"/>
    <w:tmpl w:val="AD9957D5"/>
    <w:lvl w:ilvl="0" w:tentative="0">
      <w:start w:val="2"/>
      <w:numFmt w:val="chineseCounting"/>
      <w:suff w:val="nothing"/>
      <w:lvlText w:val="（%1）"/>
      <w:lvlJc w:val="left"/>
      <w:rPr>
        <w:rFonts w:hint="eastAsia"/>
      </w:rPr>
    </w:lvl>
  </w:abstractNum>
  <w:abstractNum w:abstractNumId="2">
    <w:nsid w:val="D7037E7A"/>
    <w:multiLevelType w:val="singleLevel"/>
    <w:tmpl w:val="D7037E7A"/>
    <w:lvl w:ilvl="0" w:tentative="0">
      <w:start w:val="1"/>
      <w:numFmt w:val="decimal"/>
      <w:lvlText w:val="(%1)"/>
      <w:lvlJc w:val="left"/>
      <w:pPr>
        <w:ind w:left="425" w:hanging="425"/>
      </w:pPr>
      <w:rPr>
        <w:rFonts w:hint="default"/>
        <w:b w:val="0"/>
      </w:rPr>
    </w:lvl>
  </w:abstractNum>
  <w:abstractNum w:abstractNumId="3">
    <w:nsid w:val="DE0CD718"/>
    <w:multiLevelType w:val="singleLevel"/>
    <w:tmpl w:val="DE0CD718"/>
    <w:lvl w:ilvl="0" w:tentative="0">
      <w:start w:val="1"/>
      <w:numFmt w:val="decimal"/>
      <w:suff w:val="nothing"/>
      <w:lvlText w:val="%1．"/>
      <w:lvlJc w:val="left"/>
      <w:pPr>
        <w:ind w:left="0" w:firstLine="400"/>
      </w:pPr>
      <w:rPr>
        <w:rFonts w:hint="default"/>
      </w:rPr>
    </w:lvl>
  </w:abstractNum>
  <w:abstractNum w:abstractNumId="4">
    <w:nsid w:val="E06A2B26"/>
    <w:multiLevelType w:val="singleLevel"/>
    <w:tmpl w:val="E06A2B26"/>
    <w:lvl w:ilvl="0" w:tentative="0">
      <w:start w:val="1"/>
      <w:numFmt w:val="decimal"/>
      <w:suff w:val="nothing"/>
      <w:lvlText w:val="%1．"/>
      <w:lvlJc w:val="left"/>
      <w:pPr>
        <w:ind w:left="0" w:firstLine="400"/>
      </w:pPr>
      <w:rPr>
        <w:rFonts w:hint="default"/>
      </w:rPr>
    </w:lvl>
  </w:abstractNum>
  <w:abstractNum w:abstractNumId="5">
    <w:nsid w:val="00684585"/>
    <w:multiLevelType w:val="multilevel"/>
    <w:tmpl w:val="00684585"/>
    <w:lvl w:ilvl="0" w:tentative="0">
      <w:start w:val="1"/>
      <w:numFmt w:val="decimal"/>
      <w:pStyle w:val="53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3AB67EE"/>
    <w:multiLevelType w:val="multilevel"/>
    <w:tmpl w:val="03AB67EE"/>
    <w:lvl w:ilvl="0" w:tentative="0">
      <w:start w:val="1"/>
      <w:numFmt w:val="bullet"/>
      <w:pStyle w:val="497"/>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6F212CC"/>
    <w:multiLevelType w:val="multilevel"/>
    <w:tmpl w:val="06F212CC"/>
    <w:lvl w:ilvl="0" w:tentative="0">
      <w:start w:val="1"/>
      <w:numFmt w:val="decimal"/>
      <w:pStyle w:val="285"/>
      <w:lvlText w:val="2.%1."/>
      <w:lvlJc w:val="left"/>
      <w:pPr>
        <w:tabs>
          <w:tab w:val="left" w:pos="1145"/>
        </w:tabs>
        <w:ind w:left="114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943B44C"/>
    <w:multiLevelType w:val="singleLevel"/>
    <w:tmpl w:val="0943B44C"/>
    <w:lvl w:ilvl="0" w:tentative="0">
      <w:start w:val="1"/>
      <w:numFmt w:val="chineseCounting"/>
      <w:suff w:val="nothing"/>
      <w:lvlText w:val="%1、"/>
      <w:lvlJc w:val="left"/>
      <w:pPr>
        <w:ind w:left="0" w:firstLine="420"/>
      </w:pPr>
      <w:rPr>
        <w:rFonts w:hint="eastAsia"/>
      </w:rPr>
    </w:lvl>
  </w:abstractNum>
  <w:abstractNum w:abstractNumId="9">
    <w:nsid w:val="10722508"/>
    <w:multiLevelType w:val="singleLevel"/>
    <w:tmpl w:val="10722508"/>
    <w:lvl w:ilvl="0" w:tentative="0">
      <w:start w:val="1"/>
      <w:numFmt w:val="decimal"/>
      <w:suff w:val="nothing"/>
      <w:lvlText w:val="%1．"/>
      <w:lvlJc w:val="left"/>
      <w:pPr>
        <w:ind w:left="0" w:firstLine="400"/>
      </w:pPr>
      <w:rPr>
        <w:rFonts w:hint="default"/>
      </w:rPr>
    </w:lvl>
  </w:abstractNum>
  <w:abstractNum w:abstractNumId="10">
    <w:nsid w:val="16240AB4"/>
    <w:multiLevelType w:val="multilevel"/>
    <w:tmpl w:val="16240AB4"/>
    <w:lvl w:ilvl="0" w:tentative="0">
      <w:start w:val="1"/>
      <w:numFmt w:val="bullet"/>
      <w:pStyle w:val="24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D033215"/>
    <w:multiLevelType w:val="multilevel"/>
    <w:tmpl w:val="1D033215"/>
    <w:lvl w:ilvl="0" w:tentative="0">
      <w:start w:val="1"/>
      <w:numFmt w:val="bullet"/>
      <w:pStyle w:val="534"/>
      <w:lvlText w:val="◇"/>
      <w:lvlJc w:val="left"/>
      <w:pPr>
        <w:ind w:left="0" w:hanging="420"/>
      </w:pPr>
      <w:rPr>
        <w:rFonts w:hint="eastAsia" w:ascii="微软雅黑" w:hAnsi="微软雅黑" w:eastAsia="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2387661"/>
    <w:multiLevelType w:val="multilevel"/>
    <w:tmpl w:val="22387661"/>
    <w:lvl w:ilvl="0" w:tentative="0">
      <w:start w:val="1"/>
      <w:numFmt w:val="decimal"/>
      <w:pStyle w:val="489"/>
      <w:lvlText w:val="8.3.3.%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8E21A39"/>
    <w:multiLevelType w:val="multilevel"/>
    <w:tmpl w:val="28E21A3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decimal"/>
      <w:lvlText w:val="%3."/>
      <w:lvlJc w:val="left"/>
      <w:pPr>
        <w:ind w:left="84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2D3B7F25"/>
    <w:multiLevelType w:val="multilevel"/>
    <w:tmpl w:val="2D3B7F25"/>
    <w:lvl w:ilvl="0" w:tentative="0">
      <w:start w:val="1"/>
      <w:numFmt w:val="decimal"/>
      <w:lvlText w:val="%1."/>
      <w:lvlJc w:val="left"/>
      <w:pPr>
        <w:ind w:left="786"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5">
    <w:nsid w:val="2EE3724F"/>
    <w:multiLevelType w:val="multilevel"/>
    <w:tmpl w:val="2EE3724F"/>
    <w:lvl w:ilvl="0" w:tentative="0">
      <w:start w:val="1"/>
      <w:numFmt w:val="bullet"/>
      <w:pStyle w:val="473"/>
      <w:lvlText w:val=""/>
      <w:lvlJc w:val="left"/>
      <w:pPr>
        <w:tabs>
          <w:tab w:val="left" w:pos="704"/>
        </w:tabs>
        <w:ind w:left="704" w:hanging="420"/>
      </w:pPr>
      <w:rPr>
        <w:rFonts w:hint="default" w:ascii="Wingdings" w:hAnsi="Wingdings"/>
      </w:rPr>
    </w:lvl>
    <w:lvl w:ilvl="1" w:tentative="0">
      <w:start w:val="1"/>
      <w:numFmt w:val="bullet"/>
      <w:pStyle w:val="472"/>
      <w:lvlText w:val=""/>
      <w:lvlJc w:val="left"/>
      <w:pPr>
        <w:tabs>
          <w:tab w:val="left" w:pos="846"/>
        </w:tabs>
        <w:ind w:left="846"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16">
    <w:nsid w:val="47583D86"/>
    <w:multiLevelType w:val="multilevel"/>
    <w:tmpl w:val="47583D86"/>
    <w:lvl w:ilvl="0" w:tentative="0">
      <w:start w:val="1"/>
      <w:numFmt w:val="decimal"/>
      <w:lvlText w:val="4.4.%1"/>
      <w:lvlJc w:val="left"/>
      <w:pPr>
        <w:tabs>
          <w:tab w:val="left" w:pos="360"/>
        </w:tabs>
        <w:ind w:left="360" w:hanging="360"/>
      </w:pPr>
      <w:rPr>
        <w:rFonts w:hint="default"/>
      </w:rPr>
    </w:lvl>
    <w:lvl w:ilvl="1" w:tentative="0">
      <w:start w:val="1"/>
      <w:numFmt w:val="decimal"/>
      <w:lvlText w:val="4.4.2.%2"/>
      <w:lvlJc w:val="left"/>
      <w:pPr>
        <w:tabs>
          <w:tab w:val="left" w:pos="840"/>
        </w:tabs>
        <w:ind w:left="840" w:hanging="420"/>
      </w:pPr>
      <w:rPr>
        <w:rFonts w:hint="eastAsia"/>
      </w:rPr>
    </w:lvl>
    <w:lvl w:ilvl="2" w:tentative="0">
      <w:start w:val="1"/>
      <w:numFmt w:val="decimalEnclosedCircle"/>
      <w:pStyle w:val="494"/>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7FA0EFA"/>
    <w:multiLevelType w:val="multilevel"/>
    <w:tmpl w:val="47FA0EFA"/>
    <w:lvl w:ilvl="0" w:tentative="0">
      <w:start w:val="1"/>
      <w:numFmt w:val="bullet"/>
      <w:pStyle w:val="287"/>
      <w:lvlText w:val="●"/>
      <w:lvlJc w:val="left"/>
      <w:pPr>
        <w:ind w:left="360" w:hanging="360"/>
      </w:pPr>
      <w:rPr>
        <w:rFonts w:hint="default" w:ascii="Trebuchet MS" w:hAnsi="Trebuchet MS"/>
        <w:b w:val="0"/>
        <w:i w:val="0"/>
        <w:color w:val="AAAAAA"/>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48484612"/>
    <w:multiLevelType w:val="singleLevel"/>
    <w:tmpl w:val="48484612"/>
    <w:lvl w:ilvl="0" w:tentative="0">
      <w:start w:val="1"/>
      <w:numFmt w:val="bullet"/>
      <w:pStyle w:val="278"/>
      <w:lvlText w:val=""/>
      <w:lvlJc w:val="left"/>
      <w:pPr>
        <w:tabs>
          <w:tab w:val="left" w:pos="1843"/>
        </w:tabs>
        <w:ind w:left="1843" w:hanging="425"/>
      </w:pPr>
      <w:rPr>
        <w:rFonts w:hint="default" w:ascii="Wingdings" w:hAnsi="Wingdings"/>
        <w:sz w:val="20"/>
      </w:rPr>
    </w:lvl>
  </w:abstractNum>
  <w:abstractNum w:abstractNumId="19">
    <w:nsid w:val="4C663D50"/>
    <w:multiLevelType w:val="singleLevel"/>
    <w:tmpl w:val="4C663D50"/>
    <w:lvl w:ilvl="0" w:tentative="0">
      <w:start w:val="1"/>
      <w:numFmt w:val="decimal"/>
      <w:suff w:val="nothing"/>
      <w:lvlText w:val="%1、"/>
      <w:lvlJc w:val="left"/>
    </w:lvl>
  </w:abstractNum>
  <w:abstractNum w:abstractNumId="20">
    <w:nsid w:val="4C714CCA"/>
    <w:multiLevelType w:val="multilevel"/>
    <w:tmpl w:val="4C714CCA"/>
    <w:lvl w:ilvl="0" w:tentative="0">
      <w:start w:val="1"/>
      <w:numFmt w:val="bullet"/>
      <w:pStyle w:val="53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509821AF"/>
    <w:multiLevelType w:val="multilevel"/>
    <w:tmpl w:val="509821AF"/>
    <w:lvl w:ilvl="0" w:tentative="0">
      <w:start w:val="1"/>
      <w:numFmt w:val="none"/>
      <w:pStyle w:val="291"/>
      <w:suff w:val="nothing"/>
      <w:lvlText w:val=""/>
      <w:lvlJc w:val="left"/>
      <w:pPr>
        <w:ind w:left="0" w:firstLine="0"/>
      </w:pPr>
      <w:rPr>
        <w:rFonts w:hint="default" w:ascii="Trebuchet MS" w:hAnsi="Trebuchet MS" w:eastAsia="宋体"/>
        <w:b w:val="0"/>
        <w:i w:val="0"/>
        <w:color w:val="0085C3"/>
        <w:sz w:val="24"/>
        <w:szCs w:val="24"/>
        <w:u w:val="none"/>
      </w:rPr>
    </w:lvl>
    <w:lvl w:ilvl="1" w:tentative="0">
      <w:start w:val="1"/>
      <w:numFmt w:val="none"/>
      <w:pStyle w:val="296"/>
      <w:suff w:val="nothing"/>
      <w:lvlText w:val=""/>
      <w:lvlJc w:val="left"/>
      <w:pPr>
        <w:ind w:left="0" w:firstLine="0"/>
      </w:pPr>
      <w:rPr>
        <w:rFonts w:hint="default" w:ascii="Trebuchet MS" w:hAnsi="Trebuchet MS" w:eastAsia="宋体"/>
        <w:b w:val="0"/>
        <w:i w:val="0"/>
        <w:color w:val="0085C3"/>
        <w:sz w:val="24"/>
        <w:szCs w:val="20"/>
        <w:u w:val="none"/>
      </w:rPr>
    </w:lvl>
    <w:lvl w:ilvl="2" w:tentative="0">
      <w:start w:val="1"/>
      <w:numFmt w:val="none"/>
      <w:pStyle w:val="292"/>
      <w:suff w:val="nothing"/>
      <w:lvlText w:val=""/>
      <w:lvlJc w:val="left"/>
      <w:pPr>
        <w:ind w:left="0" w:firstLine="0"/>
      </w:pPr>
      <w:rPr>
        <w:rFonts w:hint="default" w:ascii="Trebuchet MS" w:hAnsi="Trebuchet MS" w:eastAsia="宋体"/>
        <w:b w:val="0"/>
        <w:i w:val="0"/>
        <w:color w:val="0085C3"/>
        <w:sz w:val="22"/>
        <w:szCs w:val="18"/>
        <w:u w:val="none"/>
      </w:rPr>
    </w:lvl>
    <w:lvl w:ilvl="3" w:tentative="0">
      <w:start w:val="1"/>
      <w:numFmt w:val="none"/>
      <w:pStyle w:val="293"/>
      <w:suff w:val="nothing"/>
      <w:lvlText w:val=""/>
      <w:lvlJc w:val="left"/>
      <w:pPr>
        <w:ind w:left="0" w:firstLine="0"/>
      </w:pPr>
      <w:rPr>
        <w:rFonts w:hint="default" w:ascii="Trebuchet MS" w:hAnsi="Trebuchet MS" w:eastAsia="宋体"/>
        <w:b w:val="0"/>
        <w:i w:val="0"/>
        <w:color w:val="0085C3"/>
        <w:sz w:val="20"/>
        <w:szCs w:val="16"/>
        <w:u w:val="none"/>
      </w:rPr>
    </w:lvl>
    <w:lvl w:ilvl="4" w:tentative="0">
      <w:start w:val="1"/>
      <w:numFmt w:val="none"/>
      <w:pStyle w:val="294"/>
      <w:suff w:val="nothing"/>
      <w:lvlText w:val=""/>
      <w:lvlJc w:val="left"/>
      <w:pPr>
        <w:ind w:left="0" w:firstLine="0"/>
      </w:pPr>
      <w:rPr>
        <w:rFonts w:hint="default" w:ascii="Trebuchet MS" w:hAnsi="Trebuchet MS" w:eastAsia="宋体"/>
        <w:b w:val="0"/>
        <w:i w:val="0"/>
        <w:color w:val="0085C3"/>
        <w:sz w:val="18"/>
        <w:szCs w:val="16"/>
      </w:rPr>
    </w:lvl>
    <w:lvl w:ilvl="5" w:tentative="0">
      <w:start w:val="1"/>
      <w:numFmt w:val="none"/>
      <w:pStyle w:val="295"/>
      <w:suff w:val="nothing"/>
      <w:lvlText w:val=""/>
      <w:lvlJc w:val="left"/>
      <w:pPr>
        <w:ind w:left="0" w:firstLine="0"/>
      </w:pPr>
      <w:rPr>
        <w:rFonts w:hint="default" w:ascii="Trebuchet MS" w:hAnsi="Trebuchet MS" w:eastAsia="宋体"/>
        <w:b w:val="0"/>
        <w:i w:val="0"/>
        <w:color w:val="0085C3"/>
        <w:sz w:val="16"/>
        <w:szCs w:val="24"/>
      </w:rPr>
    </w:lvl>
    <w:lvl w:ilvl="6" w:tentative="0">
      <w:start w:val="1"/>
      <w:numFmt w:val="upperLetter"/>
      <w:pStyle w:val="288"/>
      <w:suff w:val="nothing"/>
      <w:lvlText w:val="附录%7:  "/>
      <w:lvlJc w:val="left"/>
      <w:pPr>
        <w:ind w:left="0" w:firstLine="0"/>
      </w:pPr>
      <w:rPr>
        <w:rFonts w:hint="default" w:ascii="Trebuchet MS" w:hAnsi="Trebuchet MS" w:eastAsia="宋体"/>
        <w:b/>
        <w:i w:val="0"/>
        <w:caps w:val="0"/>
        <w:strike w:val="0"/>
        <w:dstrike w:val="0"/>
        <w:vanish w:val="0"/>
        <w:color w:val="0085C3"/>
        <w:sz w:val="36"/>
        <w:szCs w:val="20"/>
        <w:vertAlign w:val="baseline"/>
      </w:rPr>
    </w:lvl>
    <w:lvl w:ilvl="7" w:tentative="0">
      <w:start w:val="1"/>
      <w:numFmt w:val="decimal"/>
      <w:pStyle w:val="289"/>
      <w:suff w:val="nothing"/>
      <w:lvlText w:val="%7.%8  "/>
      <w:lvlJc w:val="left"/>
      <w:pPr>
        <w:ind w:left="0" w:firstLine="0"/>
      </w:pPr>
      <w:rPr>
        <w:rFonts w:hint="default" w:ascii="Trebuchet MS" w:hAnsi="Trebuchet MS"/>
        <w:b/>
        <w:i w:val="0"/>
        <w:color w:val="0085C3"/>
        <w:sz w:val="32"/>
        <w:szCs w:val="22"/>
      </w:rPr>
    </w:lvl>
    <w:lvl w:ilvl="8" w:tentative="0">
      <w:start w:val="1"/>
      <w:numFmt w:val="decimal"/>
      <w:pStyle w:val="290"/>
      <w:suff w:val="nothing"/>
      <w:lvlText w:val="%7.%8.%9  "/>
      <w:lvlJc w:val="left"/>
      <w:pPr>
        <w:ind w:left="0" w:firstLine="0"/>
      </w:pPr>
      <w:rPr>
        <w:rFonts w:hint="default" w:ascii="Trebuchet MS" w:hAnsi="Trebuchet MS"/>
        <w:b/>
        <w:i w:val="0"/>
        <w:color w:val="0085C3"/>
        <w:sz w:val="28"/>
        <w:szCs w:val="20"/>
      </w:rPr>
    </w:lvl>
  </w:abstractNum>
  <w:abstractNum w:abstractNumId="22">
    <w:nsid w:val="52D4844A"/>
    <w:multiLevelType w:val="singleLevel"/>
    <w:tmpl w:val="52D4844A"/>
    <w:lvl w:ilvl="0" w:tentative="0">
      <w:start w:val="2"/>
      <w:numFmt w:val="decimal"/>
      <w:lvlText w:val="%1."/>
      <w:lvlJc w:val="left"/>
      <w:pPr>
        <w:tabs>
          <w:tab w:val="left" w:pos="312"/>
        </w:tabs>
      </w:pPr>
    </w:lvl>
  </w:abstractNum>
  <w:abstractNum w:abstractNumId="23">
    <w:nsid w:val="55B005B9"/>
    <w:multiLevelType w:val="multilevel"/>
    <w:tmpl w:val="55B005B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9242093"/>
    <w:multiLevelType w:val="singleLevel"/>
    <w:tmpl w:val="59242093"/>
    <w:lvl w:ilvl="0" w:tentative="0">
      <w:start w:val="1"/>
      <w:numFmt w:val="decimal"/>
      <w:suff w:val="nothing"/>
      <w:lvlText w:val="%1、"/>
      <w:lvlJc w:val="left"/>
    </w:lvl>
  </w:abstractNum>
  <w:abstractNum w:abstractNumId="25">
    <w:nsid w:val="595675C2"/>
    <w:multiLevelType w:val="multilevel"/>
    <w:tmpl w:val="595675C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5C0C7826"/>
    <w:multiLevelType w:val="multilevel"/>
    <w:tmpl w:val="5C0C7826"/>
    <w:lvl w:ilvl="0" w:tentative="0">
      <w:start w:val="2"/>
      <w:numFmt w:val="decimal"/>
      <w:lvlText w:val="%1"/>
      <w:lvlJc w:val="left"/>
      <w:pPr>
        <w:ind w:left="600" w:hanging="600"/>
      </w:pPr>
      <w:rPr>
        <w:rFonts w:hint="default"/>
      </w:rPr>
    </w:lvl>
    <w:lvl w:ilvl="1" w:tentative="0">
      <w:start w:val="7"/>
      <w:numFmt w:val="decimal"/>
      <w:lvlText w:val="%1.%2"/>
      <w:lvlJc w:val="left"/>
      <w:pPr>
        <w:ind w:left="800" w:hanging="600"/>
      </w:pPr>
      <w:rPr>
        <w:rFonts w:hint="default"/>
      </w:rPr>
    </w:lvl>
    <w:lvl w:ilvl="2" w:tentative="0">
      <w:start w:val="7"/>
      <w:numFmt w:val="decimal"/>
      <w:lvlText w:val="%1.%2.%3"/>
      <w:lvlJc w:val="left"/>
      <w:pPr>
        <w:ind w:left="1120" w:hanging="720"/>
      </w:pPr>
      <w:rPr>
        <w:rFonts w:hint="default"/>
      </w:rPr>
    </w:lvl>
    <w:lvl w:ilvl="3" w:tentative="0">
      <w:start w:val="1"/>
      <w:numFmt w:val="decimal"/>
      <w:pStyle w:val="519"/>
      <w:lvlText w:val="%1.%2.%3.%4"/>
      <w:lvlJc w:val="left"/>
      <w:pPr>
        <w:ind w:left="1320" w:hanging="720"/>
      </w:pPr>
      <w:rPr>
        <w:rFonts w:hint="default"/>
      </w:rPr>
    </w:lvl>
    <w:lvl w:ilvl="4" w:tentative="0">
      <w:start w:val="1"/>
      <w:numFmt w:val="decimal"/>
      <w:lvlText w:val="%1.%2.%3.%4.%5"/>
      <w:lvlJc w:val="left"/>
      <w:pPr>
        <w:ind w:left="1880" w:hanging="1080"/>
      </w:pPr>
      <w:rPr>
        <w:rFonts w:hint="default"/>
      </w:rPr>
    </w:lvl>
    <w:lvl w:ilvl="5" w:tentative="0">
      <w:start w:val="1"/>
      <w:numFmt w:val="decimal"/>
      <w:lvlText w:val="%1.%2.%3.%4.%5.%6"/>
      <w:lvlJc w:val="left"/>
      <w:pPr>
        <w:ind w:left="2080" w:hanging="1080"/>
      </w:pPr>
      <w:rPr>
        <w:rFonts w:hint="default"/>
      </w:rPr>
    </w:lvl>
    <w:lvl w:ilvl="6" w:tentative="0">
      <w:start w:val="1"/>
      <w:numFmt w:val="decimal"/>
      <w:lvlText w:val="%1.%2.%3.%4.%5.%6.%7"/>
      <w:lvlJc w:val="left"/>
      <w:pPr>
        <w:ind w:left="2280" w:hanging="1080"/>
      </w:pPr>
      <w:rPr>
        <w:rFonts w:hint="default"/>
      </w:rPr>
    </w:lvl>
    <w:lvl w:ilvl="7" w:tentative="0">
      <w:start w:val="1"/>
      <w:numFmt w:val="decimal"/>
      <w:lvlText w:val="%1.%2.%3.%4.%5.%6.%7.%8"/>
      <w:lvlJc w:val="left"/>
      <w:pPr>
        <w:ind w:left="2840" w:hanging="1440"/>
      </w:pPr>
      <w:rPr>
        <w:rFonts w:hint="default"/>
      </w:rPr>
    </w:lvl>
    <w:lvl w:ilvl="8" w:tentative="0">
      <w:start w:val="1"/>
      <w:numFmt w:val="decimal"/>
      <w:lvlText w:val="%1.%2.%3.%4.%5.%6.%7.%8.%9"/>
      <w:lvlJc w:val="left"/>
      <w:pPr>
        <w:ind w:left="3040" w:hanging="1440"/>
      </w:pPr>
      <w:rPr>
        <w:rFonts w:hint="default"/>
      </w:rPr>
    </w:lvl>
  </w:abstractNum>
  <w:abstractNum w:abstractNumId="27">
    <w:nsid w:val="65F53776"/>
    <w:multiLevelType w:val="multilevel"/>
    <w:tmpl w:val="65F53776"/>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84A1E8D"/>
    <w:multiLevelType w:val="multilevel"/>
    <w:tmpl w:val="684A1E8D"/>
    <w:lvl w:ilvl="0" w:tentative="0">
      <w:start w:val="1"/>
      <w:numFmt w:val="bullet"/>
      <w:pStyle w:val="248"/>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9">
    <w:nsid w:val="69DA2676"/>
    <w:multiLevelType w:val="multilevel"/>
    <w:tmpl w:val="69DA2676"/>
    <w:lvl w:ilvl="0" w:tentative="0">
      <w:start w:val="1"/>
      <w:numFmt w:val="bullet"/>
      <w:pStyle w:val="537"/>
      <w:lvlText w:val="＞"/>
      <w:lvlJc w:val="left"/>
      <w:pPr>
        <w:ind w:left="902" w:hanging="420"/>
      </w:pPr>
      <w:rPr>
        <w:rFonts w:hint="eastAsia" w:ascii="微软雅黑" w:hAnsi="微软雅黑" w:eastAsia="微软雅黑"/>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30">
    <w:nsid w:val="6E993F20"/>
    <w:multiLevelType w:val="multilevel"/>
    <w:tmpl w:val="6E993F20"/>
    <w:lvl w:ilvl="0" w:tentative="0">
      <w:start w:val="1"/>
      <w:numFmt w:val="decimal"/>
      <w:pStyle w:val="491"/>
      <w:lvlText w:val="8.%1"/>
      <w:lvlJc w:val="left"/>
      <w:pPr>
        <w:ind w:left="420" w:hanging="420"/>
      </w:pPr>
      <w:rPr>
        <w:rFonts w:hint="eastAsia"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FB27D10"/>
    <w:multiLevelType w:val="singleLevel"/>
    <w:tmpl w:val="6FB27D10"/>
    <w:lvl w:ilvl="0" w:tentative="0">
      <w:start w:val="1"/>
      <w:numFmt w:val="decimal"/>
      <w:suff w:val="nothing"/>
      <w:lvlText w:val="%1．"/>
      <w:lvlJc w:val="left"/>
      <w:pPr>
        <w:ind w:left="0" w:firstLine="400"/>
      </w:pPr>
      <w:rPr>
        <w:rFonts w:hint="default"/>
      </w:rPr>
    </w:lvl>
  </w:abstractNum>
  <w:abstractNum w:abstractNumId="32">
    <w:nsid w:val="70023C59"/>
    <w:multiLevelType w:val="multilevel"/>
    <w:tmpl w:val="70023C59"/>
    <w:lvl w:ilvl="0" w:tentative="0">
      <w:start w:val="1"/>
      <w:numFmt w:val="bullet"/>
      <w:lvlText w:val=""/>
      <w:lvlJc w:val="left"/>
      <w:pPr>
        <w:ind w:left="846" w:hanging="420"/>
      </w:pPr>
      <w:rPr>
        <w:rFonts w:hint="default" w:ascii="Wingdings" w:hAnsi="Wingdings"/>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pStyle w:val="412"/>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3">
    <w:nsid w:val="7C564804"/>
    <w:multiLevelType w:val="multilevel"/>
    <w:tmpl w:val="7C564804"/>
    <w:lvl w:ilvl="0" w:tentative="0">
      <w:start w:val="1"/>
      <w:numFmt w:val="decimal"/>
      <w:pStyle w:val="239"/>
      <w:lvlText w:val="%1"/>
      <w:lvlJc w:val="left"/>
      <w:pPr>
        <w:ind w:left="629" w:hanging="629"/>
      </w:pPr>
      <w:rPr>
        <w:rFonts w:hint="eastAsia"/>
      </w:rPr>
    </w:lvl>
    <w:lvl w:ilvl="1" w:tentative="0">
      <w:start w:val="1"/>
      <w:numFmt w:val="decimal"/>
      <w:pStyle w:val="240"/>
      <w:lvlText w:val="%1.%2"/>
      <w:lvlJc w:val="left"/>
      <w:pPr>
        <w:ind w:left="629" w:hanging="629"/>
      </w:pPr>
      <w:rPr>
        <w:rFonts w:hint="eastAsia"/>
      </w:rPr>
    </w:lvl>
    <w:lvl w:ilvl="2" w:tentative="0">
      <w:start w:val="1"/>
      <w:numFmt w:val="decimal"/>
      <w:pStyle w:val="241"/>
      <w:lvlText w:val="%1.%2.%3"/>
      <w:lvlJc w:val="left"/>
      <w:pPr>
        <w:ind w:left="629" w:hanging="629"/>
      </w:pPr>
      <w:rPr>
        <w:rFonts w:hint="eastAsia"/>
      </w:rPr>
    </w:lvl>
    <w:lvl w:ilvl="3" w:tentative="0">
      <w:start w:val="1"/>
      <w:numFmt w:val="decimal"/>
      <w:pStyle w:val="242"/>
      <w:lvlText w:val="%1.%2.%3.%4"/>
      <w:lvlJc w:val="left"/>
      <w:pPr>
        <w:ind w:left="629" w:hanging="629"/>
      </w:pPr>
      <w:rPr>
        <w:rFonts w:hint="eastAsia"/>
      </w:rPr>
    </w:lvl>
    <w:lvl w:ilvl="4" w:tentative="0">
      <w:start w:val="1"/>
      <w:numFmt w:val="decimal"/>
      <w:pStyle w:val="243"/>
      <w:lvlText w:val="%1.%2.%3.%4.%5"/>
      <w:lvlJc w:val="left"/>
      <w:pPr>
        <w:ind w:left="629" w:hanging="629"/>
      </w:pPr>
      <w:rPr>
        <w:rFonts w:hint="eastAsia"/>
      </w:rPr>
    </w:lvl>
    <w:lvl w:ilvl="5" w:tentative="0">
      <w:start w:val="1"/>
      <w:numFmt w:val="decimal"/>
      <w:pStyle w:val="246"/>
      <w:lvlText w:val="表%6"/>
      <w:lvlJc w:val="left"/>
      <w:pPr>
        <w:ind w:left="629" w:hanging="629"/>
      </w:pPr>
      <w:rPr>
        <w:rFonts w:hint="eastAsia"/>
      </w:rPr>
    </w:lvl>
    <w:lvl w:ilvl="6" w:tentative="0">
      <w:start w:val="1"/>
      <w:numFmt w:val="decimal"/>
      <w:lvlRestart w:val="1"/>
      <w:pStyle w:val="245"/>
      <w:suff w:val="space"/>
      <w:lvlText w:val="图 %1-%7"/>
      <w:lvlJc w:val="left"/>
      <w:pPr>
        <w:ind w:left="4599" w:hanging="629"/>
      </w:pPr>
      <w:rPr>
        <w:rFonts w:hint="eastAsia"/>
      </w:rPr>
    </w:lvl>
    <w:lvl w:ilvl="7" w:tentative="0">
      <w:start w:val="1"/>
      <w:numFmt w:val="decimal"/>
      <w:lvlText w:val="%1.%2.%3.%4.%5.%6.%7.%8"/>
      <w:lvlJc w:val="left"/>
      <w:pPr>
        <w:ind w:left="629" w:hanging="629"/>
      </w:pPr>
      <w:rPr>
        <w:rFonts w:hint="eastAsia"/>
      </w:rPr>
    </w:lvl>
    <w:lvl w:ilvl="8" w:tentative="0">
      <w:start w:val="1"/>
      <w:numFmt w:val="decimal"/>
      <w:lvlText w:val="%1.%2.%3.%4.%5.%6.%7.%8.%9"/>
      <w:lvlJc w:val="left"/>
      <w:pPr>
        <w:ind w:left="629" w:hanging="629"/>
      </w:pPr>
      <w:rPr>
        <w:rFonts w:hint="eastAsia"/>
      </w:rPr>
    </w:lvl>
  </w:abstractNum>
  <w:abstractNum w:abstractNumId="34">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33"/>
  </w:num>
  <w:num w:numId="2">
    <w:abstractNumId w:val="10"/>
  </w:num>
  <w:num w:numId="3">
    <w:abstractNumId w:val="28"/>
  </w:num>
  <w:num w:numId="4">
    <w:abstractNumId w:val="18"/>
  </w:num>
  <w:num w:numId="5">
    <w:abstractNumId w:val="7"/>
  </w:num>
  <w:num w:numId="6">
    <w:abstractNumId w:val="17"/>
  </w:num>
  <w:num w:numId="7">
    <w:abstractNumId w:val="21"/>
  </w:num>
  <w:num w:numId="8">
    <w:abstractNumId w:val="32"/>
  </w:num>
  <w:num w:numId="9">
    <w:abstractNumId w:val="15"/>
  </w:num>
  <w:num w:numId="10">
    <w:abstractNumId w:val="12"/>
  </w:num>
  <w:num w:numId="11">
    <w:abstractNumId w:val="30"/>
  </w:num>
  <w:num w:numId="12">
    <w:abstractNumId w:val="16"/>
  </w:num>
  <w:num w:numId="13">
    <w:abstractNumId w:val="6"/>
  </w:num>
  <w:num w:numId="14">
    <w:abstractNumId w:val="26"/>
  </w:num>
  <w:num w:numId="15">
    <w:abstractNumId w:val="5"/>
  </w:num>
  <w:num w:numId="16">
    <w:abstractNumId w:val="11"/>
  </w:num>
  <w:num w:numId="17">
    <w:abstractNumId w:val="20"/>
  </w:num>
  <w:num w:numId="18">
    <w:abstractNumId w:val="29"/>
  </w:num>
  <w:num w:numId="19">
    <w:abstractNumId w:val="27"/>
  </w:num>
  <w:num w:numId="20">
    <w:abstractNumId w:val="31"/>
  </w:num>
  <w:num w:numId="21">
    <w:abstractNumId w:val="3"/>
  </w:num>
  <w:num w:numId="22">
    <w:abstractNumId w:val="9"/>
  </w:num>
  <w:num w:numId="23">
    <w:abstractNumId w:val="4"/>
  </w:num>
  <w:num w:numId="24">
    <w:abstractNumId w:val="14"/>
  </w:num>
  <w:num w:numId="25">
    <w:abstractNumId w:val="23"/>
  </w:num>
  <w:num w:numId="26">
    <w:abstractNumId w:val="25"/>
  </w:num>
  <w:num w:numId="27">
    <w:abstractNumId w:val="8"/>
  </w:num>
  <w:num w:numId="28">
    <w:abstractNumId w:val="24"/>
  </w:num>
  <w:num w:numId="29">
    <w:abstractNumId w:val="13"/>
  </w:num>
  <w:num w:numId="30">
    <w:abstractNumId w:val="34"/>
  </w:num>
  <w:num w:numId="31">
    <w:abstractNumId w:val="0"/>
  </w:num>
  <w:num w:numId="32">
    <w:abstractNumId w:val="2"/>
  </w:num>
  <w:num w:numId="33">
    <w:abstractNumId w:val="1"/>
  </w:num>
  <w:num w:numId="34">
    <w:abstractNumId w:val="1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gutterAtTop/>
  <w:documentProtection w:enforcement="0"/>
  <w:defaultTabStop w:val="105"/>
  <w:drawingGridHorizontalSpacing w:val="105"/>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NjIyZGQwY2FiMmE3ZjM4ODU1ZWIyNDAzYTQ4YmMifQ=="/>
  </w:docVars>
  <w:rsids>
    <w:rsidRoot w:val="00172A27"/>
    <w:rsid w:val="00000511"/>
    <w:rsid w:val="000023DC"/>
    <w:rsid w:val="00004E52"/>
    <w:rsid w:val="00005657"/>
    <w:rsid w:val="000116CD"/>
    <w:rsid w:val="00015404"/>
    <w:rsid w:val="00017A48"/>
    <w:rsid w:val="0002213E"/>
    <w:rsid w:val="00023B6B"/>
    <w:rsid w:val="0002587C"/>
    <w:rsid w:val="00035D5E"/>
    <w:rsid w:val="0004151C"/>
    <w:rsid w:val="00041EA5"/>
    <w:rsid w:val="00043839"/>
    <w:rsid w:val="00045B8D"/>
    <w:rsid w:val="000604EE"/>
    <w:rsid w:val="00062B85"/>
    <w:rsid w:val="000644A5"/>
    <w:rsid w:val="00064E3A"/>
    <w:rsid w:val="00067EE6"/>
    <w:rsid w:val="00070DF6"/>
    <w:rsid w:val="00072083"/>
    <w:rsid w:val="000733E8"/>
    <w:rsid w:val="0007441D"/>
    <w:rsid w:val="00081881"/>
    <w:rsid w:val="00081D3E"/>
    <w:rsid w:val="00087297"/>
    <w:rsid w:val="00091BDB"/>
    <w:rsid w:val="00092737"/>
    <w:rsid w:val="00093EA4"/>
    <w:rsid w:val="0009732B"/>
    <w:rsid w:val="000977D1"/>
    <w:rsid w:val="000A24D9"/>
    <w:rsid w:val="000A3958"/>
    <w:rsid w:val="000A42EA"/>
    <w:rsid w:val="000B2C9B"/>
    <w:rsid w:val="000B5CD6"/>
    <w:rsid w:val="000B6D2A"/>
    <w:rsid w:val="000B7EBB"/>
    <w:rsid w:val="000C0166"/>
    <w:rsid w:val="000C08EC"/>
    <w:rsid w:val="000C700C"/>
    <w:rsid w:val="000D04DE"/>
    <w:rsid w:val="000D4B1D"/>
    <w:rsid w:val="000D5233"/>
    <w:rsid w:val="000D5371"/>
    <w:rsid w:val="000D549B"/>
    <w:rsid w:val="000E2149"/>
    <w:rsid w:val="000E26FC"/>
    <w:rsid w:val="000E3126"/>
    <w:rsid w:val="000E58F4"/>
    <w:rsid w:val="000E5D86"/>
    <w:rsid w:val="000E7167"/>
    <w:rsid w:val="000F351C"/>
    <w:rsid w:val="000F6B7B"/>
    <w:rsid w:val="000F741D"/>
    <w:rsid w:val="000F761E"/>
    <w:rsid w:val="000F773A"/>
    <w:rsid w:val="0010113D"/>
    <w:rsid w:val="001011B5"/>
    <w:rsid w:val="00103AAA"/>
    <w:rsid w:val="001108E1"/>
    <w:rsid w:val="00110C79"/>
    <w:rsid w:val="0011197C"/>
    <w:rsid w:val="00112B16"/>
    <w:rsid w:val="00113957"/>
    <w:rsid w:val="00113FC7"/>
    <w:rsid w:val="0011414D"/>
    <w:rsid w:val="00114617"/>
    <w:rsid w:val="00114E28"/>
    <w:rsid w:val="00117238"/>
    <w:rsid w:val="001209D6"/>
    <w:rsid w:val="0012126B"/>
    <w:rsid w:val="00121BD9"/>
    <w:rsid w:val="00123B4A"/>
    <w:rsid w:val="00127AA8"/>
    <w:rsid w:val="00127E90"/>
    <w:rsid w:val="00130234"/>
    <w:rsid w:val="0013174E"/>
    <w:rsid w:val="00131DBD"/>
    <w:rsid w:val="00136E07"/>
    <w:rsid w:val="00152308"/>
    <w:rsid w:val="00152C1C"/>
    <w:rsid w:val="001561BF"/>
    <w:rsid w:val="0015726C"/>
    <w:rsid w:val="00161FD3"/>
    <w:rsid w:val="00162C95"/>
    <w:rsid w:val="00163C2C"/>
    <w:rsid w:val="00163EC2"/>
    <w:rsid w:val="0016451C"/>
    <w:rsid w:val="00166E5C"/>
    <w:rsid w:val="00172745"/>
    <w:rsid w:val="00172A27"/>
    <w:rsid w:val="00176503"/>
    <w:rsid w:val="00176925"/>
    <w:rsid w:val="00182477"/>
    <w:rsid w:val="00182DBB"/>
    <w:rsid w:val="00183317"/>
    <w:rsid w:val="001839D9"/>
    <w:rsid w:val="00185D10"/>
    <w:rsid w:val="00186B2C"/>
    <w:rsid w:val="00190127"/>
    <w:rsid w:val="00194A46"/>
    <w:rsid w:val="0019586D"/>
    <w:rsid w:val="0019645E"/>
    <w:rsid w:val="001A3617"/>
    <w:rsid w:val="001A45CD"/>
    <w:rsid w:val="001A57CB"/>
    <w:rsid w:val="001A6572"/>
    <w:rsid w:val="001A693B"/>
    <w:rsid w:val="001B03EB"/>
    <w:rsid w:val="001B3639"/>
    <w:rsid w:val="001B475E"/>
    <w:rsid w:val="001B6045"/>
    <w:rsid w:val="001B6F7D"/>
    <w:rsid w:val="001B7948"/>
    <w:rsid w:val="001B7CED"/>
    <w:rsid w:val="001C0673"/>
    <w:rsid w:val="001C0F69"/>
    <w:rsid w:val="001C2DEC"/>
    <w:rsid w:val="001C2EAF"/>
    <w:rsid w:val="001C4030"/>
    <w:rsid w:val="001C4595"/>
    <w:rsid w:val="001C564C"/>
    <w:rsid w:val="001D6C40"/>
    <w:rsid w:val="001D748F"/>
    <w:rsid w:val="001E0460"/>
    <w:rsid w:val="001E1308"/>
    <w:rsid w:val="001E1C8B"/>
    <w:rsid w:val="001E2A2A"/>
    <w:rsid w:val="001E674B"/>
    <w:rsid w:val="001F06A5"/>
    <w:rsid w:val="001F39C9"/>
    <w:rsid w:val="001F6E62"/>
    <w:rsid w:val="002016BF"/>
    <w:rsid w:val="0020404B"/>
    <w:rsid w:val="002058EF"/>
    <w:rsid w:val="002130FC"/>
    <w:rsid w:val="0021416C"/>
    <w:rsid w:val="002142B8"/>
    <w:rsid w:val="00214533"/>
    <w:rsid w:val="00214BF5"/>
    <w:rsid w:val="002158E8"/>
    <w:rsid w:val="00217D21"/>
    <w:rsid w:val="00222A49"/>
    <w:rsid w:val="00226127"/>
    <w:rsid w:val="00231144"/>
    <w:rsid w:val="00231691"/>
    <w:rsid w:val="0023255F"/>
    <w:rsid w:val="00233877"/>
    <w:rsid w:val="0023659D"/>
    <w:rsid w:val="00237EC6"/>
    <w:rsid w:val="002455BF"/>
    <w:rsid w:val="00245DC9"/>
    <w:rsid w:val="00246C65"/>
    <w:rsid w:val="00247312"/>
    <w:rsid w:val="00247466"/>
    <w:rsid w:val="0025395F"/>
    <w:rsid w:val="00253BE1"/>
    <w:rsid w:val="00256FC0"/>
    <w:rsid w:val="00257210"/>
    <w:rsid w:val="00257D38"/>
    <w:rsid w:val="00261343"/>
    <w:rsid w:val="00261496"/>
    <w:rsid w:val="00262DAB"/>
    <w:rsid w:val="002651DA"/>
    <w:rsid w:val="00267263"/>
    <w:rsid w:val="00270DED"/>
    <w:rsid w:val="00271C1C"/>
    <w:rsid w:val="00273871"/>
    <w:rsid w:val="00273AAF"/>
    <w:rsid w:val="00274EB9"/>
    <w:rsid w:val="00277F24"/>
    <w:rsid w:val="00281738"/>
    <w:rsid w:val="00281FA9"/>
    <w:rsid w:val="0028350F"/>
    <w:rsid w:val="0028580B"/>
    <w:rsid w:val="0029221A"/>
    <w:rsid w:val="00294EBD"/>
    <w:rsid w:val="00295D3A"/>
    <w:rsid w:val="002A4C97"/>
    <w:rsid w:val="002B431A"/>
    <w:rsid w:val="002B5E50"/>
    <w:rsid w:val="002B70EF"/>
    <w:rsid w:val="002B738A"/>
    <w:rsid w:val="002C5391"/>
    <w:rsid w:val="002C5645"/>
    <w:rsid w:val="002C67AD"/>
    <w:rsid w:val="002C696B"/>
    <w:rsid w:val="002D3144"/>
    <w:rsid w:val="002D329C"/>
    <w:rsid w:val="002D3DF0"/>
    <w:rsid w:val="002D61CF"/>
    <w:rsid w:val="002D7762"/>
    <w:rsid w:val="002E4C7D"/>
    <w:rsid w:val="002E5542"/>
    <w:rsid w:val="002E743E"/>
    <w:rsid w:val="002E770A"/>
    <w:rsid w:val="002F1683"/>
    <w:rsid w:val="002F1789"/>
    <w:rsid w:val="002F19DC"/>
    <w:rsid w:val="002F3C12"/>
    <w:rsid w:val="002F5B6D"/>
    <w:rsid w:val="002F73EC"/>
    <w:rsid w:val="002F7560"/>
    <w:rsid w:val="002F77AF"/>
    <w:rsid w:val="003031BB"/>
    <w:rsid w:val="003045F0"/>
    <w:rsid w:val="00313496"/>
    <w:rsid w:val="00322642"/>
    <w:rsid w:val="00322C8A"/>
    <w:rsid w:val="00324D7B"/>
    <w:rsid w:val="00330353"/>
    <w:rsid w:val="003317CC"/>
    <w:rsid w:val="00332E9F"/>
    <w:rsid w:val="00337D01"/>
    <w:rsid w:val="003459AD"/>
    <w:rsid w:val="00346B98"/>
    <w:rsid w:val="003476E0"/>
    <w:rsid w:val="0035076B"/>
    <w:rsid w:val="003509BA"/>
    <w:rsid w:val="0035575A"/>
    <w:rsid w:val="0035634D"/>
    <w:rsid w:val="00363A85"/>
    <w:rsid w:val="00365CC4"/>
    <w:rsid w:val="00366216"/>
    <w:rsid w:val="00367A55"/>
    <w:rsid w:val="003701D9"/>
    <w:rsid w:val="003705F7"/>
    <w:rsid w:val="00377345"/>
    <w:rsid w:val="0038109F"/>
    <w:rsid w:val="0038182E"/>
    <w:rsid w:val="0038266F"/>
    <w:rsid w:val="00384EBA"/>
    <w:rsid w:val="00384FF3"/>
    <w:rsid w:val="00386A98"/>
    <w:rsid w:val="00393CE9"/>
    <w:rsid w:val="0039732A"/>
    <w:rsid w:val="003A1D41"/>
    <w:rsid w:val="003A2BDC"/>
    <w:rsid w:val="003A47C5"/>
    <w:rsid w:val="003B0EA2"/>
    <w:rsid w:val="003B5D54"/>
    <w:rsid w:val="003C0AC9"/>
    <w:rsid w:val="003C14C3"/>
    <w:rsid w:val="003C464E"/>
    <w:rsid w:val="003C6425"/>
    <w:rsid w:val="003C6E0F"/>
    <w:rsid w:val="003D238A"/>
    <w:rsid w:val="003D457A"/>
    <w:rsid w:val="003D5714"/>
    <w:rsid w:val="003D6EF8"/>
    <w:rsid w:val="003D70C7"/>
    <w:rsid w:val="003D7B46"/>
    <w:rsid w:val="003E097B"/>
    <w:rsid w:val="003E4323"/>
    <w:rsid w:val="003E5776"/>
    <w:rsid w:val="003E793F"/>
    <w:rsid w:val="003F0954"/>
    <w:rsid w:val="003F3E50"/>
    <w:rsid w:val="003F58FE"/>
    <w:rsid w:val="0040064E"/>
    <w:rsid w:val="0040260D"/>
    <w:rsid w:val="00402919"/>
    <w:rsid w:val="0040435A"/>
    <w:rsid w:val="00405D62"/>
    <w:rsid w:val="00411640"/>
    <w:rsid w:val="00415963"/>
    <w:rsid w:val="00415D83"/>
    <w:rsid w:val="00416A95"/>
    <w:rsid w:val="00422D39"/>
    <w:rsid w:val="00424337"/>
    <w:rsid w:val="0042552E"/>
    <w:rsid w:val="00426764"/>
    <w:rsid w:val="00426E54"/>
    <w:rsid w:val="00426E94"/>
    <w:rsid w:val="004271A3"/>
    <w:rsid w:val="0042746B"/>
    <w:rsid w:val="004305B2"/>
    <w:rsid w:val="0043353B"/>
    <w:rsid w:val="0043483A"/>
    <w:rsid w:val="004453F8"/>
    <w:rsid w:val="0045171D"/>
    <w:rsid w:val="00456313"/>
    <w:rsid w:val="00461B48"/>
    <w:rsid w:val="00464DAA"/>
    <w:rsid w:val="00466D7D"/>
    <w:rsid w:val="0047010B"/>
    <w:rsid w:val="00477D6C"/>
    <w:rsid w:val="00480F31"/>
    <w:rsid w:val="00482768"/>
    <w:rsid w:val="00483B12"/>
    <w:rsid w:val="00487863"/>
    <w:rsid w:val="00494F9D"/>
    <w:rsid w:val="004A02B2"/>
    <w:rsid w:val="004A0DBA"/>
    <w:rsid w:val="004A0E81"/>
    <w:rsid w:val="004A2332"/>
    <w:rsid w:val="004A325D"/>
    <w:rsid w:val="004A4B4B"/>
    <w:rsid w:val="004A6689"/>
    <w:rsid w:val="004B31DD"/>
    <w:rsid w:val="004C72D3"/>
    <w:rsid w:val="004C7F59"/>
    <w:rsid w:val="004D14AD"/>
    <w:rsid w:val="004D279B"/>
    <w:rsid w:val="004E3033"/>
    <w:rsid w:val="004F571C"/>
    <w:rsid w:val="004F77A0"/>
    <w:rsid w:val="0050117A"/>
    <w:rsid w:val="00502AA0"/>
    <w:rsid w:val="005041DC"/>
    <w:rsid w:val="00505799"/>
    <w:rsid w:val="00512230"/>
    <w:rsid w:val="005254EA"/>
    <w:rsid w:val="00530901"/>
    <w:rsid w:val="00532233"/>
    <w:rsid w:val="00536146"/>
    <w:rsid w:val="0054376F"/>
    <w:rsid w:val="005442DB"/>
    <w:rsid w:val="00546EDA"/>
    <w:rsid w:val="005474A4"/>
    <w:rsid w:val="0055094F"/>
    <w:rsid w:val="00551E18"/>
    <w:rsid w:val="00552D07"/>
    <w:rsid w:val="00567B58"/>
    <w:rsid w:val="005715AD"/>
    <w:rsid w:val="0057313B"/>
    <w:rsid w:val="005806CF"/>
    <w:rsid w:val="00581601"/>
    <w:rsid w:val="00583154"/>
    <w:rsid w:val="0058518B"/>
    <w:rsid w:val="00586313"/>
    <w:rsid w:val="005910AB"/>
    <w:rsid w:val="005929DC"/>
    <w:rsid w:val="005A0173"/>
    <w:rsid w:val="005A3215"/>
    <w:rsid w:val="005A48D7"/>
    <w:rsid w:val="005A4C42"/>
    <w:rsid w:val="005A6DF5"/>
    <w:rsid w:val="005A7696"/>
    <w:rsid w:val="005A791E"/>
    <w:rsid w:val="005B1D3E"/>
    <w:rsid w:val="005B23B7"/>
    <w:rsid w:val="005B48A2"/>
    <w:rsid w:val="005C299D"/>
    <w:rsid w:val="005C4D5D"/>
    <w:rsid w:val="005D02E9"/>
    <w:rsid w:val="005D09CD"/>
    <w:rsid w:val="005D0F60"/>
    <w:rsid w:val="005D1091"/>
    <w:rsid w:val="005D1BEB"/>
    <w:rsid w:val="005D3E00"/>
    <w:rsid w:val="005D7B2F"/>
    <w:rsid w:val="005D7D8E"/>
    <w:rsid w:val="005D7DF2"/>
    <w:rsid w:val="005E15DE"/>
    <w:rsid w:val="005E17A0"/>
    <w:rsid w:val="005E2904"/>
    <w:rsid w:val="005E3514"/>
    <w:rsid w:val="005E3EA2"/>
    <w:rsid w:val="005E48C4"/>
    <w:rsid w:val="005E4AE2"/>
    <w:rsid w:val="005E4F00"/>
    <w:rsid w:val="005E682B"/>
    <w:rsid w:val="005F072E"/>
    <w:rsid w:val="005F0C64"/>
    <w:rsid w:val="005F6552"/>
    <w:rsid w:val="005F6EE9"/>
    <w:rsid w:val="00603D97"/>
    <w:rsid w:val="00605D8B"/>
    <w:rsid w:val="00607CAC"/>
    <w:rsid w:val="00612772"/>
    <w:rsid w:val="006132C0"/>
    <w:rsid w:val="00622814"/>
    <w:rsid w:val="006240CF"/>
    <w:rsid w:val="00624988"/>
    <w:rsid w:val="00626281"/>
    <w:rsid w:val="006315A3"/>
    <w:rsid w:val="00632FD3"/>
    <w:rsid w:val="00635ED1"/>
    <w:rsid w:val="0064011D"/>
    <w:rsid w:val="00640CE0"/>
    <w:rsid w:val="0064232C"/>
    <w:rsid w:val="006551A8"/>
    <w:rsid w:val="00656C46"/>
    <w:rsid w:val="00662139"/>
    <w:rsid w:val="006670DD"/>
    <w:rsid w:val="006722DD"/>
    <w:rsid w:val="0067678C"/>
    <w:rsid w:val="00676D64"/>
    <w:rsid w:val="00676F7C"/>
    <w:rsid w:val="006851EC"/>
    <w:rsid w:val="00686F48"/>
    <w:rsid w:val="00692E3A"/>
    <w:rsid w:val="00693E22"/>
    <w:rsid w:val="00696493"/>
    <w:rsid w:val="00697521"/>
    <w:rsid w:val="00697DEB"/>
    <w:rsid w:val="006A095B"/>
    <w:rsid w:val="006A1C49"/>
    <w:rsid w:val="006A1D93"/>
    <w:rsid w:val="006A3D70"/>
    <w:rsid w:val="006A6F53"/>
    <w:rsid w:val="006A7477"/>
    <w:rsid w:val="006A7EAA"/>
    <w:rsid w:val="006B43F5"/>
    <w:rsid w:val="006B5F89"/>
    <w:rsid w:val="006B7144"/>
    <w:rsid w:val="006C062D"/>
    <w:rsid w:val="006C1653"/>
    <w:rsid w:val="006C1945"/>
    <w:rsid w:val="006C3BCD"/>
    <w:rsid w:val="006C4B87"/>
    <w:rsid w:val="006C525E"/>
    <w:rsid w:val="006C7928"/>
    <w:rsid w:val="006D3568"/>
    <w:rsid w:val="006D3ED4"/>
    <w:rsid w:val="006D65FD"/>
    <w:rsid w:val="006D736E"/>
    <w:rsid w:val="006E0FC0"/>
    <w:rsid w:val="006E1BFE"/>
    <w:rsid w:val="006E25F1"/>
    <w:rsid w:val="006E3404"/>
    <w:rsid w:val="006E5A77"/>
    <w:rsid w:val="006F0289"/>
    <w:rsid w:val="006F1346"/>
    <w:rsid w:val="006F1B8E"/>
    <w:rsid w:val="006F24EC"/>
    <w:rsid w:val="006F38D1"/>
    <w:rsid w:val="006F54EB"/>
    <w:rsid w:val="007028CA"/>
    <w:rsid w:val="0070517C"/>
    <w:rsid w:val="00707EF9"/>
    <w:rsid w:val="00717DD0"/>
    <w:rsid w:val="00717E59"/>
    <w:rsid w:val="007237C8"/>
    <w:rsid w:val="00730A5D"/>
    <w:rsid w:val="0073177C"/>
    <w:rsid w:val="00733032"/>
    <w:rsid w:val="007353A6"/>
    <w:rsid w:val="00735C79"/>
    <w:rsid w:val="00740BC6"/>
    <w:rsid w:val="00744513"/>
    <w:rsid w:val="007458BB"/>
    <w:rsid w:val="00747B60"/>
    <w:rsid w:val="00760CBD"/>
    <w:rsid w:val="007619E4"/>
    <w:rsid w:val="0076237B"/>
    <w:rsid w:val="0076315B"/>
    <w:rsid w:val="00765CF0"/>
    <w:rsid w:val="00766181"/>
    <w:rsid w:val="00773888"/>
    <w:rsid w:val="007739B4"/>
    <w:rsid w:val="00774654"/>
    <w:rsid w:val="00780680"/>
    <w:rsid w:val="00790C19"/>
    <w:rsid w:val="00792B7E"/>
    <w:rsid w:val="007938AC"/>
    <w:rsid w:val="007B392C"/>
    <w:rsid w:val="007B3FE6"/>
    <w:rsid w:val="007B4277"/>
    <w:rsid w:val="007B7686"/>
    <w:rsid w:val="007C018D"/>
    <w:rsid w:val="007C03E8"/>
    <w:rsid w:val="007C32B9"/>
    <w:rsid w:val="007C6C19"/>
    <w:rsid w:val="007D1C01"/>
    <w:rsid w:val="007D3034"/>
    <w:rsid w:val="007D5A83"/>
    <w:rsid w:val="007D7157"/>
    <w:rsid w:val="007E0EC3"/>
    <w:rsid w:val="007E11F3"/>
    <w:rsid w:val="007E1B08"/>
    <w:rsid w:val="007E23FE"/>
    <w:rsid w:val="007E2FE0"/>
    <w:rsid w:val="007E4A26"/>
    <w:rsid w:val="007F3D0B"/>
    <w:rsid w:val="007F3FF1"/>
    <w:rsid w:val="007F645F"/>
    <w:rsid w:val="00805D87"/>
    <w:rsid w:val="008128E7"/>
    <w:rsid w:val="00812C9C"/>
    <w:rsid w:val="0081329A"/>
    <w:rsid w:val="00816F0B"/>
    <w:rsid w:val="00817EFD"/>
    <w:rsid w:val="0082062C"/>
    <w:rsid w:val="00820B7E"/>
    <w:rsid w:val="00825AC3"/>
    <w:rsid w:val="0082649A"/>
    <w:rsid w:val="00827727"/>
    <w:rsid w:val="00833778"/>
    <w:rsid w:val="00833DED"/>
    <w:rsid w:val="00836238"/>
    <w:rsid w:val="00836948"/>
    <w:rsid w:val="00841180"/>
    <w:rsid w:val="008421A3"/>
    <w:rsid w:val="00842B72"/>
    <w:rsid w:val="00855DF5"/>
    <w:rsid w:val="00857FE3"/>
    <w:rsid w:val="0086289B"/>
    <w:rsid w:val="00863328"/>
    <w:rsid w:val="00866119"/>
    <w:rsid w:val="00870A6A"/>
    <w:rsid w:val="008750FE"/>
    <w:rsid w:val="00876D9F"/>
    <w:rsid w:val="00880549"/>
    <w:rsid w:val="008813C4"/>
    <w:rsid w:val="00890218"/>
    <w:rsid w:val="008919A3"/>
    <w:rsid w:val="00897550"/>
    <w:rsid w:val="00897C6E"/>
    <w:rsid w:val="00897D29"/>
    <w:rsid w:val="008A060C"/>
    <w:rsid w:val="008A638A"/>
    <w:rsid w:val="008A7AFB"/>
    <w:rsid w:val="008A7DA5"/>
    <w:rsid w:val="008B218E"/>
    <w:rsid w:val="008B5E6B"/>
    <w:rsid w:val="008C0990"/>
    <w:rsid w:val="008C3B2E"/>
    <w:rsid w:val="008C4C49"/>
    <w:rsid w:val="008C6001"/>
    <w:rsid w:val="008D1F88"/>
    <w:rsid w:val="008D3DAD"/>
    <w:rsid w:val="008D4640"/>
    <w:rsid w:val="008D4FC1"/>
    <w:rsid w:val="008D54F2"/>
    <w:rsid w:val="008D79F2"/>
    <w:rsid w:val="008E2CB7"/>
    <w:rsid w:val="008E68EA"/>
    <w:rsid w:val="008F0F86"/>
    <w:rsid w:val="008F1F9A"/>
    <w:rsid w:val="008F30D0"/>
    <w:rsid w:val="008F6DBD"/>
    <w:rsid w:val="009115DA"/>
    <w:rsid w:val="0091465D"/>
    <w:rsid w:val="009150F9"/>
    <w:rsid w:val="00915133"/>
    <w:rsid w:val="00915DC2"/>
    <w:rsid w:val="009163E4"/>
    <w:rsid w:val="009210A1"/>
    <w:rsid w:val="00922508"/>
    <w:rsid w:val="0092382B"/>
    <w:rsid w:val="00924A2B"/>
    <w:rsid w:val="0092669E"/>
    <w:rsid w:val="00926BF5"/>
    <w:rsid w:val="00931C19"/>
    <w:rsid w:val="00934710"/>
    <w:rsid w:val="009429DF"/>
    <w:rsid w:val="00942F20"/>
    <w:rsid w:val="009430E0"/>
    <w:rsid w:val="009464CC"/>
    <w:rsid w:val="00947506"/>
    <w:rsid w:val="009510FC"/>
    <w:rsid w:val="00951A05"/>
    <w:rsid w:val="00952916"/>
    <w:rsid w:val="009545E8"/>
    <w:rsid w:val="00954670"/>
    <w:rsid w:val="0096022E"/>
    <w:rsid w:val="009652FF"/>
    <w:rsid w:val="00965B39"/>
    <w:rsid w:val="00965CA3"/>
    <w:rsid w:val="009723FB"/>
    <w:rsid w:val="00972670"/>
    <w:rsid w:val="0097381B"/>
    <w:rsid w:val="00980697"/>
    <w:rsid w:val="00980A21"/>
    <w:rsid w:val="00980F90"/>
    <w:rsid w:val="00982319"/>
    <w:rsid w:val="00982506"/>
    <w:rsid w:val="009857BA"/>
    <w:rsid w:val="00985C9C"/>
    <w:rsid w:val="009872EF"/>
    <w:rsid w:val="0099197C"/>
    <w:rsid w:val="00991EA4"/>
    <w:rsid w:val="00992B4C"/>
    <w:rsid w:val="009A07C8"/>
    <w:rsid w:val="009A16D8"/>
    <w:rsid w:val="009A3972"/>
    <w:rsid w:val="009A56CC"/>
    <w:rsid w:val="009B33BC"/>
    <w:rsid w:val="009B4526"/>
    <w:rsid w:val="009B6A51"/>
    <w:rsid w:val="009B7368"/>
    <w:rsid w:val="009C0244"/>
    <w:rsid w:val="009C0962"/>
    <w:rsid w:val="009C25A7"/>
    <w:rsid w:val="009C6E0C"/>
    <w:rsid w:val="009D1A95"/>
    <w:rsid w:val="009D4D3B"/>
    <w:rsid w:val="009D4FCE"/>
    <w:rsid w:val="009E3B2F"/>
    <w:rsid w:val="009E4AAD"/>
    <w:rsid w:val="009E5FFA"/>
    <w:rsid w:val="009E6A1B"/>
    <w:rsid w:val="009F1AA8"/>
    <w:rsid w:val="009F3143"/>
    <w:rsid w:val="009F3701"/>
    <w:rsid w:val="009F56BE"/>
    <w:rsid w:val="009F748A"/>
    <w:rsid w:val="009F7B93"/>
    <w:rsid w:val="00A0029B"/>
    <w:rsid w:val="00A01076"/>
    <w:rsid w:val="00A03624"/>
    <w:rsid w:val="00A04CB5"/>
    <w:rsid w:val="00A111A5"/>
    <w:rsid w:val="00A131B5"/>
    <w:rsid w:val="00A13D50"/>
    <w:rsid w:val="00A15936"/>
    <w:rsid w:val="00A226AC"/>
    <w:rsid w:val="00A244F4"/>
    <w:rsid w:val="00A307DE"/>
    <w:rsid w:val="00A343D3"/>
    <w:rsid w:val="00A41944"/>
    <w:rsid w:val="00A41E0C"/>
    <w:rsid w:val="00A45B2C"/>
    <w:rsid w:val="00A47036"/>
    <w:rsid w:val="00A50B71"/>
    <w:rsid w:val="00A5146B"/>
    <w:rsid w:val="00A52C21"/>
    <w:rsid w:val="00A55AE6"/>
    <w:rsid w:val="00A5724A"/>
    <w:rsid w:val="00A602EC"/>
    <w:rsid w:val="00A6049C"/>
    <w:rsid w:val="00A625B7"/>
    <w:rsid w:val="00A722AA"/>
    <w:rsid w:val="00A74678"/>
    <w:rsid w:val="00A75467"/>
    <w:rsid w:val="00A76ADE"/>
    <w:rsid w:val="00A820B4"/>
    <w:rsid w:val="00A82326"/>
    <w:rsid w:val="00A825FF"/>
    <w:rsid w:val="00A84D62"/>
    <w:rsid w:val="00A852F3"/>
    <w:rsid w:val="00A86285"/>
    <w:rsid w:val="00A863B5"/>
    <w:rsid w:val="00A87C86"/>
    <w:rsid w:val="00A9223F"/>
    <w:rsid w:val="00AA414B"/>
    <w:rsid w:val="00AA47D7"/>
    <w:rsid w:val="00AA557B"/>
    <w:rsid w:val="00AA7949"/>
    <w:rsid w:val="00AB0574"/>
    <w:rsid w:val="00AB0F57"/>
    <w:rsid w:val="00AB6824"/>
    <w:rsid w:val="00AB70DD"/>
    <w:rsid w:val="00AC0995"/>
    <w:rsid w:val="00AC4302"/>
    <w:rsid w:val="00AC7123"/>
    <w:rsid w:val="00AC7F96"/>
    <w:rsid w:val="00AD069B"/>
    <w:rsid w:val="00AD4FA0"/>
    <w:rsid w:val="00AE7E3C"/>
    <w:rsid w:val="00AF3C99"/>
    <w:rsid w:val="00AF3DFC"/>
    <w:rsid w:val="00AF53D3"/>
    <w:rsid w:val="00AF7C87"/>
    <w:rsid w:val="00B01960"/>
    <w:rsid w:val="00B01C41"/>
    <w:rsid w:val="00B06295"/>
    <w:rsid w:val="00B07089"/>
    <w:rsid w:val="00B103AD"/>
    <w:rsid w:val="00B15CFC"/>
    <w:rsid w:val="00B20ECE"/>
    <w:rsid w:val="00B211A8"/>
    <w:rsid w:val="00B21D8D"/>
    <w:rsid w:val="00B30F3F"/>
    <w:rsid w:val="00B31E78"/>
    <w:rsid w:val="00B331E8"/>
    <w:rsid w:val="00B33EF4"/>
    <w:rsid w:val="00B33FFA"/>
    <w:rsid w:val="00B340C4"/>
    <w:rsid w:val="00B372B4"/>
    <w:rsid w:val="00B40C25"/>
    <w:rsid w:val="00B42126"/>
    <w:rsid w:val="00B42204"/>
    <w:rsid w:val="00B43C9A"/>
    <w:rsid w:val="00B44CD4"/>
    <w:rsid w:val="00B471AC"/>
    <w:rsid w:val="00B53B7D"/>
    <w:rsid w:val="00B5500F"/>
    <w:rsid w:val="00B55A9C"/>
    <w:rsid w:val="00B64D52"/>
    <w:rsid w:val="00B6620C"/>
    <w:rsid w:val="00B73208"/>
    <w:rsid w:val="00B75F2E"/>
    <w:rsid w:val="00B77408"/>
    <w:rsid w:val="00B80632"/>
    <w:rsid w:val="00B840B0"/>
    <w:rsid w:val="00B86FC7"/>
    <w:rsid w:val="00B87561"/>
    <w:rsid w:val="00B87A3C"/>
    <w:rsid w:val="00B93F35"/>
    <w:rsid w:val="00B9429B"/>
    <w:rsid w:val="00B945F5"/>
    <w:rsid w:val="00B94DEC"/>
    <w:rsid w:val="00B958DE"/>
    <w:rsid w:val="00B97B90"/>
    <w:rsid w:val="00BA26B6"/>
    <w:rsid w:val="00BA3945"/>
    <w:rsid w:val="00BA43DA"/>
    <w:rsid w:val="00BA6594"/>
    <w:rsid w:val="00BA66B2"/>
    <w:rsid w:val="00BB093A"/>
    <w:rsid w:val="00BB1880"/>
    <w:rsid w:val="00BB28BE"/>
    <w:rsid w:val="00BB374D"/>
    <w:rsid w:val="00BB7F60"/>
    <w:rsid w:val="00BC4B30"/>
    <w:rsid w:val="00BC4DF6"/>
    <w:rsid w:val="00BC7A6E"/>
    <w:rsid w:val="00BD1967"/>
    <w:rsid w:val="00BD3E69"/>
    <w:rsid w:val="00BD532C"/>
    <w:rsid w:val="00BE1F1A"/>
    <w:rsid w:val="00BE3839"/>
    <w:rsid w:val="00BE3A80"/>
    <w:rsid w:val="00BE49DF"/>
    <w:rsid w:val="00BF0B2A"/>
    <w:rsid w:val="00BF64C8"/>
    <w:rsid w:val="00BF7339"/>
    <w:rsid w:val="00C04C7F"/>
    <w:rsid w:val="00C04F98"/>
    <w:rsid w:val="00C0681F"/>
    <w:rsid w:val="00C11409"/>
    <w:rsid w:val="00C17581"/>
    <w:rsid w:val="00C209E9"/>
    <w:rsid w:val="00C22B98"/>
    <w:rsid w:val="00C2318A"/>
    <w:rsid w:val="00C26443"/>
    <w:rsid w:val="00C26A59"/>
    <w:rsid w:val="00C27B04"/>
    <w:rsid w:val="00C3107E"/>
    <w:rsid w:val="00C312D5"/>
    <w:rsid w:val="00C31C4C"/>
    <w:rsid w:val="00C34DD2"/>
    <w:rsid w:val="00C352EB"/>
    <w:rsid w:val="00C360ED"/>
    <w:rsid w:val="00C41777"/>
    <w:rsid w:val="00C439F4"/>
    <w:rsid w:val="00C44808"/>
    <w:rsid w:val="00C5062D"/>
    <w:rsid w:val="00C554B6"/>
    <w:rsid w:val="00C6075D"/>
    <w:rsid w:val="00C61C36"/>
    <w:rsid w:val="00C6296D"/>
    <w:rsid w:val="00C63C13"/>
    <w:rsid w:val="00C643D9"/>
    <w:rsid w:val="00C659EF"/>
    <w:rsid w:val="00C65D59"/>
    <w:rsid w:val="00C706AB"/>
    <w:rsid w:val="00C70B62"/>
    <w:rsid w:val="00C7431A"/>
    <w:rsid w:val="00C7726F"/>
    <w:rsid w:val="00C8287E"/>
    <w:rsid w:val="00C82889"/>
    <w:rsid w:val="00C830AC"/>
    <w:rsid w:val="00C837C1"/>
    <w:rsid w:val="00C84A44"/>
    <w:rsid w:val="00C856CD"/>
    <w:rsid w:val="00C87907"/>
    <w:rsid w:val="00C9002C"/>
    <w:rsid w:val="00C91E86"/>
    <w:rsid w:val="00C9476D"/>
    <w:rsid w:val="00C978DC"/>
    <w:rsid w:val="00CA02F3"/>
    <w:rsid w:val="00CA0ADB"/>
    <w:rsid w:val="00CA184D"/>
    <w:rsid w:val="00CA3213"/>
    <w:rsid w:val="00CA5915"/>
    <w:rsid w:val="00CA709F"/>
    <w:rsid w:val="00CA7135"/>
    <w:rsid w:val="00CA75FD"/>
    <w:rsid w:val="00CB2371"/>
    <w:rsid w:val="00CB3350"/>
    <w:rsid w:val="00CB4394"/>
    <w:rsid w:val="00CB7206"/>
    <w:rsid w:val="00CC0020"/>
    <w:rsid w:val="00CC0276"/>
    <w:rsid w:val="00CC1F85"/>
    <w:rsid w:val="00CC49F2"/>
    <w:rsid w:val="00CC65CC"/>
    <w:rsid w:val="00CD00A0"/>
    <w:rsid w:val="00CD013D"/>
    <w:rsid w:val="00CD30C4"/>
    <w:rsid w:val="00CD7664"/>
    <w:rsid w:val="00CE27F6"/>
    <w:rsid w:val="00CE384C"/>
    <w:rsid w:val="00CE7184"/>
    <w:rsid w:val="00CF1A97"/>
    <w:rsid w:val="00CF5103"/>
    <w:rsid w:val="00D01E88"/>
    <w:rsid w:val="00D027C6"/>
    <w:rsid w:val="00D0357C"/>
    <w:rsid w:val="00D0719D"/>
    <w:rsid w:val="00D1033A"/>
    <w:rsid w:val="00D1193B"/>
    <w:rsid w:val="00D11A73"/>
    <w:rsid w:val="00D124B9"/>
    <w:rsid w:val="00D13787"/>
    <w:rsid w:val="00D145FB"/>
    <w:rsid w:val="00D168BC"/>
    <w:rsid w:val="00D20319"/>
    <w:rsid w:val="00D20518"/>
    <w:rsid w:val="00D21065"/>
    <w:rsid w:val="00D2347E"/>
    <w:rsid w:val="00D24CEE"/>
    <w:rsid w:val="00D31F21"/>
    <w:rsid w:val="00D33908"/>
    <w:rsid w:val="00D3491A"/>
    <w:rsid w:val="00D40CA2"/>
    <w:rsid w:val="00D41E4A"/>
    <w:rsid w:val="00D43E43"/>
    <w:rsid w:val="00D44718"/>
    <w:rsid w:val="00D474F7"/>
    <w:rsid w:val="00D51A59"/>
    <w:rsid w:val="00D5231B"/>
    <w:rsid w:val="00D524F1"/>
    <w:rsid w:val="00D52C6D"/>
    <w:rsid w:val="00D55420"/>
    <w:rsid w:val="00D560EC"/>
    <w:rsid w:val="00D63CA0"/>
    <w:rsid w:val="00D640CD"/>
    <w:rsid w:val="00D65239"/>
    <w:rsid w:val="00D67AE4"/>
    <w:rsid w:val="00D721F0"/>
    <w:rsid w:val="00D727FC"/>
    <w:rsid w:val="00D7479F"/>
    <w:rsid w:val="00D75A5B"/>
    <w:rsid w:val="00D800FC"/>
    <w:rsid w:val="00D8049F"/>
    <w:rsid w:val="00D806E7"/>
    <w:rsid w:val="00D85B0D"/>
    <w:rsid w:val="00D90F36"/>
    <w:rsid w:val="00D911AF"/>
    <w:rsid w:val="00D91739"/>
    <w:rsid w:val="00D95FAF"/>
    <w:rsid w:val="00DA51F5"/>
    <w:rsid w:val="00DB2D73"/>
    <w:rsid w:val="00DB496B"/>
    <w:rsid w:val="00DB52AA"/>
    <w:rsid w:val="00DB5A8E"/>
    <w:rsid w:val="00DC1106"/>
    <w:rsid w:val="00DC14D6"/>
    <w:rsid w:val="00DC1696"/>
    <w:rsid w:val="00DC39E4"/>
    <w:rsid w:val="00DC4BD4"/>
    <w:rsid w:val="00DC4D78"/>
    <w:rsid w:val="00DC5E69"/>
    <w:rsid w:val="00DD33E7"/>
    <w:rsid w:val="00DD478C"/>
    <w:rsid w:val="00DE3323"/>
    <w:rsid w:val="00DE6573"/>
    <w:rsid w:val="00DE7D1D"/>
    <w:rsid w:val="00DF2F1A"/>
    <w:rsid w:val="00DF5638"/>
    <w:rsid w:val="00DF5CF4"/>
    <w:rsid w:val="00DF62AB"/>
    <w:rsid w:val="00DF7222"/>
    <w:rsid w:val="00DF7CD1"/>
    <w:rsid w:val="00E05D2E"/>
    <w:rsid w:val="00E07306"/>
    <w:rsid w:val="00E10E0B"/>
    <w:rsid w:val="00E15104"/>
    <w:rsid w:val="00E15D4D"/>
    <w:rsid w:val="00E16577"/>
    <w:rsid w:val="00E20E37"/>
    <w:rsid w:val="00E232DC"/>
    <w:rsid w:val="00E23944"/>
    <w:rsid w:val="00E241B8"/>
    <w:rsid w:val="00E2590E"/>
    <w:rsid w:val="00E259EB"/>
    <w:rsid w:val="00E27438"/>
    <w:rsid w:val="00E300F0"/>
    <w:rsid w:val="00E30B66"/>
    <w:rsid w:val="00E30D9F"/>
    <w:rsid w:val="00E34513"/>
    <w:rsid w:val="00E34FFA"/>
    <w:rsid w:val="00E36684"/>
    <w:rsid w:val="00E402F6"/>
    <w:rsid w:val="00E40964"/>
    <w:rsid w:val="00E41FCF"/>
    <w:rsid w:val="00E42D95"/>
    <w:rsid w:val="00E4713D"/>
    <w:rsid w:val="00E50759"/>
    <w:rsid w:val="00E508AC"/>
    <w:rsid w:val="00E53597"/>
    <w:rsid w:val="00E5377F"/>
    <w:rsid w:val="00E57A20"/>
    <w:rsid w:val="00E60C3C"/>
    <w:rsid w:val="00E60C89"/>
    <w:rsid w:val="00E61ECF"/>
    <w:rsid w:val="00E640FF"/>
    <w:rsid w:val="00E64C66"/>
    <w:rsid w:val="00E70CE3"/>
    <w:rsid w:val="00E720AB"/>
    <w:rsid w:val="00E739B5"/>
    <w:rsid w:val="00E74082"/>
    <w:rsid w:val="00E756E4"/>
    <w:rsid w:val="00E80667"/>
    <w:rsid w:val="00E811FD"/>
    <w:rsid w:val="00E837AD"/>
    <w:rsid w:val="00E86E4F"/>
    <w:rsid w:val="00E9047F"/>
    <w:rsid w:val="00E9136D"/>
    <w:rsid w:val="00E93056"/>
    <w:rsid w:val="00E968FC"/>
    <w:rsid w:val="00EA0605"/>
    <w:rsid w:val="00EA06A6"/>
    <w:rsid w:val="00EA1F05"/>
    <w:rsid w:val="00EA217B"/>
    <w:rsid w:val="00EA6CB8"/>
    <w:rsid w:val="00EA7EC7"/>
    <w:rsid w:val="00EB1DD9"/>
    <w:rsid w:val="00EB2769"/>
    <w:rsid w:val="00EB45A3"/>
    <w:rsid w:val="00EB5A98"/>
    <w:rsid w:val="00EB7A98"/>
    <w:rsid w:val="00EC0EC6"/>
    <w:rsid w:val="00EC17BF"/>
    <w:rsid w:val="00EC1D34"/>
    <w:rsid w:val="00EC248A"/>
    <w:rsid w:val="00EC5225"/>
    <w:rsid w:val="00EC661F"/>
    <w:rsid w:val="00ED20FD"/>
    <w:rsid w:val="00ED27C5"/>
    <w:rsid w:val="00ED748C"/>
    <w:rsid w:val="00ED75DC"/>
    <w:rsid w:val="00ED7A53"/>
    <w:rsid w:val="00EE0D8E"/>
    <w:rsid w:val="00EE100E"/>
    <w:rsid w:val="00EE14C8"/>
    <w:rsid w:val="00EF079C"/>
    <w:rsid w:val="00EF0ED2"/>
    <w:rsid w:val="00EF4A3A"/>
    <w:rsid w:val="00F0119A"/>
    <w:rsid w:val="00F029D2"/>
    <w:rsid w:val="00F04016"/>
    <w:rsid w:val="00F0590E"/>
    <w:rsid w:val="00F07689"/>
    <w:rsid w:val="00F102EF"/>
    <w:rsid w:val="00F13460"/>
    <w:rsid w:val="00F14893"/>
    <w:rsid w:val="00F14A0A"/>
    <w:rsid w:val="00F20B55"/>
    <w:rsid w:val="00F213A4"/>
    <w:rsid w:val="00F25AFC"/>
    <w:rsid w:val="00F31A14"/>
    <w:rsid w:val="00F341D7"/>
    <w:rsid w:val="00F3515B"/>
    <w:rsid w:val="00F36047"/>
    <w:rsid w:val="00F36AF4"/>
    <w:rsid w:val="00F37A30"/>
    <w:rsid w:val="00F41457"/>
    <w:rsid w:val="00F4263A"/>
    <w:rsid w:val="00F43A0E"/>
    <w:rsid w:val="00F4660A"/>
    <w:rsid w:val="00F47C6D"/>
    <w:rsid w:val="00F5031E"/>
    <w:rsid w:val="00F50BF8"/>
    <w:rsid w:val="00F54FC7"/>
    <w:rsid w:val="00F56828"/>
    <w:rsid w:val="00F61572"/>
    <w:rsid w:val="00F67B5B"/>
    <w:rsid w:val="00F704BF"/>
    <w:rsid w:val="00F72ECC"/>
    <w:rsid w:val="00F8016A"/>
    <w:rsid w:val="00F85C6D"/>
    <w:rsid w:val="00F87ED7"/>
    <w:rsid w:val="00F9106D"/>
    <w:rsid w:val="00F916A3"/>
    <w:rsid w:val="00F93934"/>
    <w:rsid w:val="00F95FF5"/>
    <w:rsid w:val="00F97F43"/>
    <w:rsid w:val="00FA17F9"/>
    <w:rsid w:val="00FA2CE3"/>
    <w:rsid w:val="00FA2ED8"/>
    <w:rsid w:val="00FA6841"/>
    <w:rsid w:val="00FB1C3C"/>
    <w:rsid w:val="00FB276D"/>
    <w:rsid w:val="00FB2B5D"/>
    <w:rsid w:val="00FB56EB"/>
    <w:rsid w:val="00FB75D8"/>
    <w:rsid w:val="00FB7878"/>
    <w:rsid w:val="00FB7D40"/>
    <w:rsid w:val="00FC06F1"/>
    <w:rsid w:val="00FC164D"/>
    <w:rsid w:val="00FC240F"/>
    <w:rsid w:val="00FC3058"/>
    <w:rsid w:val="00FC4CEA"/>
    <w:rsid w:val="00FC6C1C"/>
    <w:rsid w:val="00FD015F"/>
    <w:rsid w:val="00FD0B91"/>
    <w:rsid w:val="00FD4038"/>
    <w:rsid w:val="00FD51D8"/>
    <w:rsid w:val="00FD5902"/>
    <w:rsid w:val="00FD6759"/>
    <w:rsid w:val="00FE048C"/>
    <w:rsid w:val="00FE0893"/>
    <w:rsid w:val="00FF0BBA"/>
    <w:rsid w:val="00FF3268"/>
    <w:rsid w:val="00FF5B08"/>
    <w:rsid w:val="017267F1"/>
    <w:rsid w:val="018F0B1E"/>
    <w:rsid w:val="01B16987"/>
    <w:rsid w:val="01EA5D5E"/>
    <w:rsid w:val="022D7E03"/>
    <w:rsid w:val="02BF15A4"/>
    <w:rsid w:val="02C13526"/>
    <w:rsid w:val="02E84657"/>
    <w:rsid w:val="03191F32"/>
    <w:rsid w:val="039E3D54"/>
    <w:rsid w:val="03AA4003"/>
    <w:rsid w:val="03CD1A9F"/>
    <w:rsid w:val="04701149"/>
    <w:rsid w:val="048B3E34"/>
    <w:rsid w:val="04B35576"/>
    <w:rsid w:val="04B50EB1"/>
    <w:rsid w:val="04E83035"/>
    <w:rsid w:val="04E92909"/>
    <w:rsid w:val="04EA1BEA"/>
    <w:rsid w:val="054A15F9"/>
    <w:rsid w:val="05524952"/>
    <w:rsid w:val="05687CD1"/>
    <w:rsid w:val="05880374"/>
    <w:rsid w:val="05F7030C"/>
    <w:rsid w:val="061A5470"/>
    <w:rsid w:val="063412BA"/>
    <w:rsid w:val="066B0739"/>
    <w:rsid w:val="06E6028D"/>
    <w:rsid w:val="07944DAE"/>
    <w:rsid w:val="07A54B0B"/>
    <w:rsid w:val="07D21D7A"/>
    <w:rsid w:val="07E31891"/>
    <w:rsid w:val="07EF46DA"/>
    <w:rsid w:val="07F65A68"/>
    <w:rsid w:val="08C34BBF"/>
    <w:rsid w:val="08E77320"/>
    <w:rsid w:val="092C7268"/>
    <w:rsid w:val="095C18FB"/>
    <w:rsid w:val="09D1170E"/>
    <w:rsid w:val="0A426D43"/>
    <w:rsid w:val="0AE0030A"/>
    <w:rsid w:val="0AFF3250"/>
    <w:rsid w:val="0B157E63"/>
    <w:rsid w:val="0B276C29"/>
    <w:rsid w:val="0BF14EFC"/>
    <w:rsid w:val="0C503E87"/>
    <w:rsid w:val="0C8D7E1C"/>
    <w:rsid w:val="0CA44632"/>
    <w:rsid w:val="0CFC35E9"/>
    <w:rsid w:val="0CFF1375"/>
    <w:rsid w:val="0D036512"/>
    <w:rsid w:val="0D3F57BC"/>
    <w:rsid w:val="0D896A37"/>
    <w:rsid w:val="0D8E04F1"/>
    <w:rsid w:val="0DAB2E51"/>
    <w:rsid w:val="0DD71E98"/>
    <w:rsid w:val="0DF26508"/>
    <w:rsid w:val="0DFC52A1"/>
    <w:rsid w:val="0EF44384"/>
    <w:rsid w:val="0F0A3BA7"/>
    <w:rsid w:val="0F5D63CD"/>
    <w:rsid w:val="103233B6"/>
    <w:rsid w:val="10526028"/>
    <w:rsid w:val="10611EED"/>
    <w:rsid w:val="10A1053B"/>
    <w:rsid w:val="10E16B8A"/>
    <w:rsid w:val="112A22DF"/>
    <w:rsid w:val="115E01DA"/>
    <w:rsid w:val="1160689C"/>
    <w:rsid w:val="11AA39D9"/>
    <w:rsid w:val="11E06E41"/>
    <w:rsid w:val="11EA319D"/>
    <w:rsid w:val="128976BA"/>
    <w:rsid w:val="129E11D6"/>
    <w:rsid w:val="13082AF4"/>
    <w:rsid w:val="137837D5"/>
    <w:rsid w:val="13D23411"/>
    <w:rsid w:val="13DC1FB6"/>
    <w:rsid w:val="13F37300"/>
    <w:rsid w:val="14522278"/>
    <w:rsid w:val="14B46A8F"/>
    <w:rsid w:val="1582093B"/>
    <w:rsid w:val="158C17BA"/>
    <w:rsid w:val="158D0509"/>
    <w:rsid w:val="160901A7"/>
    <w:rsid w:val="160B6B83"/>
    <w:rsid w:val="164976AB"/>
    <w:rsid w:val="16C3120C"/>
    <w:rsid w:val="173D342E"/>
    <w:rsid w:val="17D11706"/>
    <w:rsid w:val="18065125"/>
    <w:rsid w:val="182757CA"/>
    <w:rsid w:val="182E4DAB"/>
    <w:rsid w:val="184C73A4"/>
    <w:rsid w:val="186A5605"/>
    <w:rsid w:val="18875A50"/>
    <w:rsid w:val="188C387F"/>
    <w:rsid w:val="18DA0A8E"/>
    <w:rsid w:val="19180462"/>
    <w:rsid w:val="193C7053"/>
    <w:rsid w:val="19437C60"/>
    <w:rsid w:val="19A660C9"/>
    <w:rsid w:val="1AA20822"/>
    <w:rsid w:val="1AAE6209"/>
    <w:rsid w:val="1B09483D"/>
    <w:rsid w:val="1B245FF1"/>
    <w:rsid w:val="1B7156DA"/>
    <w:rsid w:val="1BB83309"/>
    <w:rsid w:val="1BEA2D97"/>
    <w:rsid w:val="1BEA548C"/>
    <w:rsid w:val="1C5D17BA"/>
    <w:rsid w:val="1C84143D"/>
    <w:rsid w:val="1CFA7A77"/>
    <w:rsid w:val="1D22539B"/>
    <w:rsid w:val="1D5248F2"/>
    <w:rsid w:val="1D5C5F16"/>
    <w:rsid w:val="1D7E37D5"/>
    <w:rsid w:val="1DB60B4F"/>
    <w:rsid w:val="1E1B1A24"/>
    <w:rsid w:val="1E62130A"/>
    <w:rsid w:val="1EDA3596"/>
    <w:rsid w:val="1EF26B32"/>
    <w:rsid w:val="1F933745"/>
    <w:rsid w:val="20515ADA"/>
    <w:rsid w:val="207277FE"/>
    <w:rsid w:val="20BD6CCC"/>
    <w:rsid w:val="21106911"/>
    <w:rsid w:val="21380A48"/>
    <w:rsid w:val="214271D1"/>
    <w:rsid w:val="21F407B4"/>
    <w:rsid w:val="2215539A"/>
    <w:rsid w:val="22192627"/>
    <w:rsid w:val="222571AB"/>
    <w:rsid w:val="222B18ED"/>
    <w:rsid w:val="222C0F98"/>
    <w:rsid w:val="22617B2B"/>
    <w:rsid w:val="22B27D65"/>
    <w:rsid w:val="23397F1A"/>
    <w:rsid w:val="23554F21"/>
    <w:rsid w:val="23E822B1"/>
    <w:rsid w:val="249935AC"/>
    <w:rsid w:val="24B473B2"/>
    <w:rsid w:val="25020CF3"/>
    <w:rsid w:val="26847CE6"/>
    <w:rsid w:val="269B7AAF"/>
    <w:rsid w:val="26EB042A"/>
    <w:rsid w:val="27117D71"/>
    <w:rsid w:val="272A498F"/>
    <w:rsid w:val="2764476E"/>
    <w:rsid w:val="279F4AE3"/>
    <w:rsid w:val="27F60D15"/>
    <w:rsid w:val="280A3B62"/>
    <w:rsid w:val="2828317B"/>
    <w:rsid w:val="28902F18"/>
    <w:rsid w:val="28920A3E"/>
    <w:rsid w:val="28C3509B"/>
    <w:rsid w:val="28E3573D"/>
    <w:rsid w:val="29437AAE"/>
    <w:rsid w:val="299A1F81"/>
    <w:rsid w:val="29D15596"/>
    <w:rsid w:val="29FF0355"/>
    <w:rsid w:val="2A067935"/>
    <w:rsid w:val="2A4917DD"/>
    <w:rsid w:val="2A726D79"/>
    <w:rsid w:val="2A7C7BF7"/>
    <w:rsid w:val="2AC60E73"/>
    <w:rsid w:val="2B0A5203"/>
    <w:rsid w:val="2B3776E5"/>
    <w:rsid w:val="2B397896"/>
    <w:rsid w:val="2BD31A99"/>
    <w:rsid w:val="2BEE1327"/>
    <w:rsid w:val="2BF51A0F"/>
    <w:rsid w:val="2C0F23A5"/>
    <w:rsid w:val="2C372F57"/>
    <w:rsid w:val="2C4D184B"/>
    <w:rsid w:val="2C714E0E"/>
    <w:rsid w:val="2CEB4BC0"/>
    <w:rsid w:val="2D0D2D89"/>
    <w:rsid w:val="2D71156A"/>
    <w:rsid w:val="2DD41AF8"/>
    <w:rsid w:val="2DE90FA8"/>
    <w:rsid w:val="2E3D38AA"/>
    <w:rsid w:val="2E892267"/>
    <w:rsid w:val="2FC462BA"/>
    <w:rsid w:val="302F3016"/>
    <w:rsid w:val="30326609"/>
    <w:rsid w:val="30564A47"/>
    <w:rsid w:val="30A92DC8"/>
    <w:rsid w:val="310435AE"/>
    <w:rsid w:val="31061FC9"/>
    <w:rsid w:val="31C72A95"/>
    <w:rsid w:val="3212499D"/>
    <w:rsid w:val="32C0264B"/>
    <w:rsid w:val="32DF6F75"/>
    <w:rsid w:val="331623E5"/>
    <w:rsid w:val="3346453E"/>
    <w:rsid w:val="336D632F"/>
    <w:rsid w:val="33B57CD6"/>
    <w:rsid w:val="33CF2B46"/>
    <w:rsid w:val="34126BED"/>
    <w:rsid w:val="344D7F0F"/>
    <w:rsid w:val="348C6C89"/>
    <w:rsid w:val="34B65AB4"/>
    <w:rsid w:val="34D85937"/>
    <w:rsid w:val="353A7306"/>
    <w:rsid w:val="354D7E05"/>
    <w:rsid w:val="35AF7627"/>
    <w:rsid w:val="35D16999"/>
    <w:rsid w:val="36154A5C"/>
    <w:rsid w:val="361B48D1"/>
    <w:rsid w:val="36592B9B"/>
    <w:rsid w:val="36FD34CA"/>
    <w:rsid w:val="371A67CE"/>
    <w:rsid w:val="372B09DB"/>
    <w:rsid w:val="373F6235"/>
    <w:rsid w:val="37450FB3"/>
    <w:rsid w:val="38AF6318"/>
    <w:rsid w:val="38D6254B"/>
    <w:rsid w:val="38E21650"/>
    <w:rsid w:val="3962445C"/>
    <w:rsid w:val="39D26F6B"/>
    <w:rsid w:val="3A2432CF"/>
    <w:rsid w:val="3A7E7E4B"/>
    <w:rsid w:val="3A9B7C32"/>
    <w:rsid w:val="3ACB7211"/>
    <w:rsid w:val="3AE170D4"/>
    <w:rsid w:val="3B007157"/>
    <w:rsid w:val="3B163750"/>
    <w:rsid w:val="3B196D9D"/>
    <w:rsid w:val="3B4B3061"/>
    <w:rsid w:val="3B9A7EDD"/>
    <w:rsid w:val="3BE41159"/>
    <w:rsid w:val="3D361E88"/>
    <w:rsid w:val="3D5035A9"/>
    <w:rsid w:val="3D97619E"/>
    <w:rsid w:val="3DB86A73"/>
    <w:rsid w:val="3DF71617"/>
    <w:rsid w:val="3E1F4A4C"/>
    <w:rsid w:val="3E433514"/>
    <w:rsid w:val="3E594080"/>
    <w:rsid w:val="3E8409D1"/>
    <w:rsid w:val="3E8C68AA"/>
    <w:rsid w:val="3EB412B6"/>
    <w:rsid w:val="3EC610F2"/>
    <w:rsid w:val="3F5B7984"/>
    <w:rsid w:val="3F7B1DD4"/>
    <w:rsid w:val="3FC079FF"/>
    <w:rsid w:val="40295CD4"/>
    <w:rsid w:val="40907E2C"/>
    <w:rsid w:val="40F342D4"/>
    <w:rsid w:val="417B7450"/>
    <w:rsid w:val="41B17D2F"/>
    <w:rsid w:val="42C93057"/>
    <w:rsid w:val="434A3F97"/>
    <w:rsid w:val="43C53F65"/>
    <w:rsid w:val="43DE2931"/>
    <w:rsid w:val="43F263DD"/>
    <w:rsid w:val="43F403A7"/>
    <w:rsid w:val="445C6678"/>
    <w:rsid w:val="44710ABB"/>
    <w:rsid w:val="4488746D"/>
    <w:rsid w:val="44B042CE"/>
    <w:rsid w:val="44DA134B"/>
    <w:rsid w:val="451C5E07"/>
    <w:rsid w:val="4545710C"/>
    <w:rsid w:val="45AD272F"/>
    <w:rsid w:val="45D67D64"/>
    <w:rsid w:val="462F3918"/>
    <w:rsid w:val="464D083F"/>
    <w:rsid w:val="46641814"/>
    <w:rsid w:val="46FA3F26"/>
    <w:rsid w:val="47011269"/>
    <w:rsid w:val="47372A84"/>
    <w:rsid w:val="473A07C7"/>
    <w:rsid w:val="474F4272"/>
    <w:rsid w:val="47A345BE"/>
    <w:rsid w:val="47A67C0A"/>
    <w:rsid w:val="47CF5C9F"/>
    <w:rsid w:val="47E03E04"/>
    <w:rsid w:val="47EA5D49"/>
    <w:rsid w:val="47EF335F"/>
    <w:rsid w:val="47F646ED"/>
    <w:rsid w:val="47FE17F4"/>
    <w:rsid w:val="481C6EE1"/>
    <w:rsid w:val="4839282C"/>
    <w:rsid w:val="4911104B"/>
    <w:rsid w:val="494F67AB"/>
    <w:rsid w:val="497D1385"/>
    <w:rsid w:val="49B06608"/>
    <w:rsid w:val="49B4032E"/>
    <w:rsid w:val="4A590F64"/>
    <w:rsid w:val="4B296B88"/>
    <w:rsid w:val="4B321EE0"/>
    <w:rsid w:val="4B49722A"/>
    <w:rsid w:val="4B663938"/>
    <w:rsid w:val="4C0E303B"/>
    <w:rsid w:val="4C5440D8"/>
    <w:rsid w:val="4C7A2FF8"/>
    <w:rsid w:val="4C7D2384"/>
    <w:rsid w:val="4CDE39A2"/>
    <w:rsid w:val="4CF6702F"/>
    <w:rsid w:val="4DF72F6D"/>
    <w:rsid w:val="4E0B07C7"/>
    <w:rsid w:val="4E943B74"/>
    <w:rsid w:val="4EB86BA1"/>
    <w:rsid w:val="4ED80FF1"/>
    <w:rsid w:val="4EDC7717"/>
    <w:rsid w:val="4FB76E58"/>
    <w:rsid w:val="50385CF0"/>
    <w:rsid w:val="50461F8A"/>
    <w:rsid w:val="50487AB0"/>
    <w:rsid w:val="5067032E"/>
    <w:rsid w:val="5072422C"/>
    <w:rsid w:val="50EC34D7"/>
    <w:rsid w:val="51165E00"/>
    <w:rsid w:val="51750D79"/>
    <w:rsid w:val="51A24252"/>
    <w:rsid w:val="51B01DB1"/>
    <w:rsid w:val="51C223F3"/>
    <w:rsid w:val="52045C59"/>
    <w:rsid w:val="525A3ACB"/>
    <w:rsid w:val="528D5C4E"/>
    <w:rsid w:val="52E9295F"/>
    <w:rsid w:val="52F83A10"/>
    <w:rsid w:val="53BD2563"/>
    <w:rsid w:val="53E67D0C"/>
    <w:rsid w:val="54414F42"/>
    <w:rsid w:val="54A84FC1"/>
    <w:rsid w:val="56737851"/>
    <w:rsid w:val="56BC1C24"/>
    <w:rsid w:val="56FD343E"/>
    <w:rsid w:val="57144B90"/>
    <w:rsid w:val="577367A5"/>
    <w:rsid w:val="57A16858"/>
    <w:rsid w:val="57E818EA"/>
    <w:rsid w:val="5813309A"/>
    <w:rsid w:val="582E57DE"/>
    <w:rsid w:val="5843480E"/>
    <w:rsid w:val="584D69C9"/>
    <w:rsid w:val="58564D34"/>
    <w:rsid w:val="59790718"/>
    <w:rsid w:val="59AA5338"/>
    <w:rsid w:val="59AC7302"/>
    <w:rsid w:val="59CA7788"/>
    <w:rsid w:val="59D900ED"/>
    <w:rsid w:val="59DD570D"/>
    <w:rsid w:val="59EF71EF"/>
    <w:rsid w:val="5A040EEC"/>
    <w:rsid w:val="5A1C5E3C"/>
    <w:rsid w:val="5A332DB7"/>
    <w:rsid w:val="5A490FF5"/>
    <w:rsid w:val="5A64198B"/>
    <w:rsid w:val="5A7B6CD4"/>
    <w:rsid w:val="5AD14B46"/>
    <w:rsid w:val="5ADC3C17"/>
    <w:rsid w:val="5B1E422F"/>
    <w:rsid w:val="5B4672E2"/>
    <w:rsid w:val="5B9C33A6"/>
    <w:rsid w:val="5B9C6F02"/>
    <w:rsid w:val="5BAD55B3"/>
    <w:rsid w:val="5C8005D2"/>
    <w:rsid w:val="5CD03307"/>
    <w:rsid w:val="5CD728E8"/>
    <w:rsid w:val="5CEB0141"/>
    <w:rsid w:val="5D123920"/>
    <w:rsid w:val="5D8B7EE2"/>
    <w:rsid w:val="5DE0757A"/>
    <w:rsid w:val="5E4C4C10"/>
    <w:rsid w:val="5E6B13CC"/>
    <w:rsid w:val="5F0F66F3"/>
    <w:rsid w:val="5F155949"/>
    <w:rsid w:val="5F3D09FC"/>
    <w:rsid w:val="5F5244A8"/>
    <w:rsid w:val="5F531FCE"/>
    <w:rsid w:val="5F57386C"/>
    <w:rsid w:val="5FB707AE"/>
    <w:rsid w:val="60913E6F"/>
    <w:rsid w:val="60D94755"/>
    <w:rsid w:val="60DB47ED"/>
    <w:rsid w:val="60FF065F"/>
    <w:rsid w:val="61096DE8"/>
    <w:rsid w:val="6147532E"/>
    <w:rsid w:val="61734BA9"/>
    <w:rsid w:val="617E77D6"/>
    <w:rsid w:val="61905239"/>
    <w:rsid w:val="619A0388"/>
    <w:rsid w:val="619B6B1B"/>
    <w:rsid w:val="61C01D80"/>
    <w:rsid w:val="61CB0541"/>
    <w:rsid w:val="62571DD5"/>
    <w:rsid w:val="626F5370"/>
    <w:rsid w:val="62F118C7"/>
    <w:rsid w:val="62F315A2"/>
    <w:rsid w:val="632919C3"/>
    <w:rsid w:val="632C14B3"/>
    <w:rsid w:val="63AE011A"/>
    <w:rsid w:val="63B374DF"/>
    <w:rsid w:val="64234664"/>
    <w:rsid w:val="64265F03"/>
    <w:rsid w:val="649E1F3D"/>
    <w:rsid w:val="64BF72F8"/>
    <w:rsid w:val="65146022"/>
    <w:rsid w:val="651E78CD"/>
    <w:rsid w:val="652341F0"/>
    <w:rsid w:val="65270184"/>
    <w:rsid w:val="652A557F"/>
    <w:rsid w:val="653D52B2"/>
    <w:rsid w:val="659D1442"/>
    <w:rsid w:val="666D7E19"/>
    <w:rsid w:val="66EE65C0"/>
    <w:rsid w:val="67531826"/>
    <w:rsid w:val="675E7762"/>
    <w:rsid w:val="677F5616"/>
    <w:rsid w:val="67B57CC9"/>
    <w:rsid w:val="67C12E0B"/>
    <w:rsid w:val="67E1286C"/>
    <w:rsid w:val="67FD51CC"/>
    <w:rsid w:val="68662D72"/>
    <w:rsid w:val="68E5013A"/>
    <w:rsid w:val="68F12368"/>
    <w:rsid w:val="690C1867"/>
    <w:rsid w:val="693E0F96"/>
    <w:rsid w:val="69407A67"/>
    <w:rsid w:val="698100BD"/>
    <w:rsid w:val="69F0323B"/>
    <w:rsid w:val="6A2B49FA"/>
    <w:rsid w:val="6A883473"/>
    <w:rsid w:val="6AA5642C"/>
    <w:rsid w:val="6BCC55E2"/>
    <w:rsid w:val="6C380996"/>
    <w:rsid w:val="6C4C04D0"/>
    <w:rsid w:val="6CB87914"/>
    <w:rsid w:val="6CBA731E"/>
    <w:rsid w:val="6CCB3AEB"/>
    <w:rsid w:val="6CF3388F"/>
    <w:rsid w:val="6CF43042"/>
    <w:rsid w:val="6D106D64"/>
    <w:rsid w:val="6D2F5E28"/>
    <w:rsid w:val="6D57537F"/>
    <w:rsid w:val="6D5B4F1A"/>
    <w:rsid w:val="6D5D0BE7"/>
    <w:rsid w:val="6D6852DC"/>
    <w:rsid w:val="6D6A2C5E"/>
    <w:rsid w:val="6D8819DC"/>
    <w:rsid w:val="6D8F2D6B"/>
    <w:rsid w:val="6D8F68C7"/>
    <w:rsid w:val="6D997B37"/>
    <w:rsid w:val="6DBE0F5A"/>
    <w:rsid w:val="6DD15131"/>
    <w:rsid w:val="6DD30EA9"/>
    <w:rsid w:val="6DDE70AD"/>
    <w:rsid w:val="6DE24C48"/>
    <w:rsid w:val="6E2C246E"/>
    <w:rsid w:val="6E895A0C"/>
    <w:rsid w:val="6E8D72AA"/>
    <w:rsid w:val="6EA42846"/>
    <w:rsid w:val="6FBB690A"/>
    <w:rsid w:val="6FD15E60"/>
    <w:rsid w:val="6FF15617"/>
    <w:rsid w:val="6FF9271D"/>
    <w:rsid w:val="70253CA1"/>
    <w:rsid w:val="70552D71"/>
    <w:rsid w:val="70787AE6"/>
    <w:rsid w:val="709D63E3"/>
    <w:rsid w:val="70A370D3"/>
    <w:rsid w:val="714310BC"/>
    <w:rsid w:val="71A87053"/>
    <w:rsid w:val="71B211A1"/>
    <w:rsid w:val="71B7463E"/>
    <w:rsid w:val="71DF161A"/>
    <w:rsid w:val="721B4BCD"/>
    <w:rsid w:val="724C14C1"/>
    <w:rsid w:val="727A7B45"/>
    <w:rsid w:val="729A3D44"/>
    <w:rsid w:val="732857F3"/>
    <w:rsid w:val="737219FB"/>
    <w:rsid w:val="73BC6D60"/>
    <w:rsid w:val="73EF6B8E"/>
    <w:rsid w:val="7400407A"/>
    <w:rsid w:val="74566390"/>
    <w:rsid w:val="751853F4"/>
    <w:rsid w:val="752B1E77"/>
    <w:rsid w:val="753506F2"/>
    <w:rsid w:val="755D5634"/>
    <w:rsid w:val="75654A5D"/>
    <w:rsid w:val="75D11F84"/>
    <w:rsid w:val="75EF43A6"/>
    <w:rsid w:val="76236746"/>
    <w:rsid w:val="765E6A1F"/>
    <w:rsid w:val="76840F60"/>
    <w:rsid w:val="76BF5C90"/>
    <w:rsid w:val="76FB4CC7"/>
    <w:rsid w:val="77275DC2"/>
    <w:rsid w:val="772E0EFE"/>
    <w:rsid w:val="77EF68E0"/>
    <w:rsid w:val="77FF289B"/>
    <w:rsid w:val="785B3F75"/>
    <w:rsid w:val="794F33AE"/>
    <w:rsid w:val="798C63B0"/>
    <w:rsid w:val="79966AAB"/>
    <w:rsid w:val="79C577F8"/>
    <w:rsid w:val="79F943B9"/>
    <w:rsid w:val="7A682979"/>
    <w:rsid w:val="7AAA11E4"/>
    <w:rsid w:val="7AB756AF"/>
    <w:rsid w:val="7B0C77A9"/>
    <w:rsid w:val="7B1E128A"/>
    <w:rsid w:val="7B272834"/>
    <w:rsid w:val="7B33647E"/>
    <w:rsid w:val="7B533629"/>
    <w:rsid w:val="7B733C9D"/>
    <w:rsid w:val="7BA4768F"/>
    <w:rsid w:val="7C1E59E5"/>
    <w:rsid w:val="7CAC0859"/>
    <w:rsid w:val="7D0B56CC"/>
    <w:rsid w:val="7D2012E9"/>
    <w:rsid w:val="7D692C90"/>
    <w:rsid w:val="7D9D0B8C"/>
    <w:rsid w:val="7DDC7906"/>
    <w:rsid w:val="7E3F318B"/>
    <w:rsid w:val="7E4D3BC9"/>
    <w:rsid w:val="7EB663A9"/>
    <w:rsid w:val="7ECB34D7"/>
    <w:rsid w:val="7ECF42A5"/>
    <w:rsid w:val="7F1A029F"/>
    <w:rsid w:val="7F721BA4"/>
    <w:rsid w:val="7F875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微软雅黑" w:cs="微软雅黑"/>
      <w:sz w:val="21"/>
      <w:szCs w:val="21"/>
      <w:lang w:val="en-US" w:eastAsia="zh-CN" w:bidi="ar-SA"/>
    </w:rPr>
  </w:style>
  <w:style w:type="paragraph" w:styleId="4">
    <w:name w:val="heading 1"/>
    <w:basedOn w:val="1"/>
    <w:next w:val="1"/>
    <w:link w:val="77"/>
    <w:qFormat/>
    <w:uiPriority w:val="9"/>
    <w:pPr>
      <w:keepNext/>
      <w:keepLines/>
      <w:spacing w:beforeLines="150" w:line="360" w:lineRule="auto"/>
      <w:jc w:val="left"/>
      <w:outlineLvl w:val="0"/>
    </w:pPr>
    <w:rPr>
      <w:b/>
      <w:bCs/>
      <w:kern w:val="44"/>
      <w:sz w:val="30"/>
      <w:szCs w:val="44"/>
    </w:rPr>
  </w:style>
  <w:style w:type="paragraph" w:styleId="5">
    <w:name w:val="heading 2"/>
    <w:basedOn w:val="1"/>
    <w:next w:val="6"/>
    <w:link w:val="80"/>
    <w:qFormat/>
    <w:uiPriority w:val="9"/>
    <w:pPr>
      <w:keepNext/>
      <w:adjustRightInd w:val="0"/>
      <w:snapToGrid w:val="0"/>
      <w:spacing w:before="120" w:after="120" w:line="360" w:lineRule="auto"/>
      <w:jc w:val="center"/>
      <w:textAlignment w:val="baseline"/>
      <w:outlineLvl w:val="1"/>
    </w:pPr>
    <w:rPr>
      <w:rFonts w:ascii="仿宋_GB2312" w:eastAsia="仿宋_GB2312"/>
      <w:b/>
      <w:sz w:val="36"/>
      <w:szCs w:val="20"/>
    </w:rPr>
  </w:style>
  <w:style w:type="paragraph" w:styleId="7">
    <w:name w:val="heading 3"/>
    <w:basedOn w:val="1"/>
    <w:next w:val="1"/>
    <w:link w:val="79"/>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8">
    <w:name w:val="heading 4"/>
    <w:basedOn w:val="1"/>
    <w:next w:val="1"/>
    <w:link w:val="78"/>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1"/>
    <w:link w:val="82"/>
    <w:qFormat/>
    <w:uiPriority w:val="9"/>
    <w:pPr>
      <w:keepNext/>
      <w:keepLines/>
      <w:spacing w:before="280" w:after="290" w:line="376" w:lineRule="auto"/>
      <w:outlineLvl w:val="4"/>
    </w:pPr>
    <w:rPr>
      <w:rFonts w:ascii="Calibri" w:hAnsi="Calibri"/>
      <w:b/>
      <w:bCs/>
      <w:sz w:val="28"/>
      <w:szCs w:val="28"/>
    </w:rPr>
  </w:style>
  <w:style w:type="paragraph" w:styleId="10">
    <w:name w:val="heading 6"/>
    <w:basedOn w:val="1"/>
    <w:next w:val="1"/>
    <w:link w:val="83"/>
    <w:qFormat/>
    <w:uiPriority w:val="0"/>
    <w:pPr>
      <w:keepNext/>
      <w:keepLines/>
      <w:spacing w:before="240" w:after="64" w:line="320" w:lineRule="auto"/>
      <w:outlineLvl w:val="5"/>
    </w:pPr>
    <w:rPr>
      <w:rFonts w:ascii="Cambria" w:hAnsi="Cambria"/>
      <w:b/>
      <w:bCs/>
      <w:sz w:val="24"/>
    </w:rPr>
  </w:style>
  <w:style w:type="paragraph" w:styleId="11">
    <w:name w:val="heading 7"/>
    <w:basedOn w:val="1"/>
    <w:next w:val="1"/>
    <w:link w:val="84"/>
    <w:qFormat/>
    <w:uiPriority w:val="0"/>
    <w:pPr>
      <w:keepNext/>
      <w:keepLines/>
      <w:spacing w:before="240" w:after="64" w:line="320" w:lineRule="auto"/>
      <w:ind w:left="1296" w:hanging="1296"/>
      <w:outlineLvl w:val="6"/>
    </w:pPr>
    <w:rPr>
      <w:b/>
      <w:bCs/>
      <w:sz w:val="24"/>
    </w:rPr>
  </w:style>
  <w:style w:type="paragraph" w:styleId="12">
    <w:name w:val="heading 8"/>
    <w:basedOn w:val="1"/>
    <w:next w:val="1"/>
    <w:link w:val="85"/>
    <w:qFormat/>
    <w:uiPriority w:val="0"/>
    <w:pPr>
      <w:keepNext/>
      <w:keepLines/>
      <w:spacing w:before="240" w:after="64" w:line="320" w:lineRule="auto"/>
      <w:ind w:left="1440" w:hanging="1440"/>
      <w:outlineLvl w:val="7"/>
    </w:pPr>
    <w:rPr>
      <w:rFonts w:ascii="Cambria" w:hAnsi="Cambria"/>
      <w:sz w:val="24"/>
    </w:rPr>
  </w:style>
  <w:style w:type="paragraph" w:styleId="13">
    <w:name w:val="heading 9"/>
    <w:basedOn w:val="1"/>
    <w:next w:val="1"/>
    <w:link w:val="86"/>
    <w:qFormat/>
    <w:uiPriority w:val="0"/>
    <w:pPr>
      <w:keepNext/>
      <w:keepLines/>
      <w:spacing w:before="240" w:after="64" w:line="320" w:lineRule="auto"/>
      <w:ind w:left="1584" w:hanging="1584"/>
      <w:outlineLvl w:val="8"/>
    </w:pPr>
    <w:rPr>
      <w:rFonts w:ascii="Cambria" w:hAnsi="Cambria"/>
    </w:rPr>
  </w:style>
  <w:style w:type="character" w:default="1" w:styleId="58">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4"/>
    <w:qFormat/>
    <w:uiPriority w:val="0"/>
    <w:pPr>
      <w:spacing w:after="120"/>
    </w:pPr>
  </w:style>
  <w:style w:type="paragraph" w:styleId="3">
    <w:name w:val="Body Text First Indent"/>
    <w:basedOn w:val="2"/>
    <w:next w:val="1"/>
    <w:link w:val="93"/>
    <w:unhideWhenUsed/>
    <w:qFormat/>
    <w:uiPriority w:val="0"/>
    <w:pPr>
      <w:ind w:firstLine="420" w:firstLineChars="100"/>
    </w:pPr>
    <w:rPr>
      <w:rFonts w:ascii="Calibri" w:hAnsi="Calibri"/>
    </w:rPr>
  </w:style>
  <w:style w:type="paragraph" w:customStyle="1" w:styleId="6">
    <w:name w:val="标准正文"/>
    <w:basedOn w:val="1"/>
    <w:qFormat/>
    <w:uiPriority w:val="0"/>
    <w:pPr>
      <w:spacing w:line="360" w:lineRule="auto"/>
      <w:ind w:firstLine="200" w:firstLineChars="200"/>
    </w:pPr>
    <w:rPr>
      <w:rFonts w:ascii="Calibri" w:hAnsi="Calibri"/>
      <w:sz w:val="24"/>
      <w:szCs w:val="20"/>
    </w:rPr>
  </w:style>
  <w:style w:type="paragraph" w:styleId="14">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5">
    <w:name w:val="Note Heading"/>
    <w:basedOn w:val="1"/>
    <w:next w:val="1"/>
    <w:link w:val="388"/>
    <w:qFormat/>
    <w:uiPriority w:val="0"/>
    <w:pPr>
      <w:spacing w:after="0" w:line="360" w:lineRule="auto"/>
      <w:jc w:val="center"/>
    </w:pPr>
    <w:rPr>
      <w:rFonts w:ascii="Droid Serif" w:hAnsi="Droid Serif" w:eastAsia="Droid Serif"/>
      <w:sz w:val="20"/>
      <w:szCs w:val="20"/>
    </w:rPr>
  </w:style>
  <w:style w:type="paragraph" w:styleId="16">
    <w:name w:val="List Number"/>
    <w:basedOn w:val="1"/>
    <w:qFormat/>
    <w:uiPriority w:val="0"/>
    <w:pPr>
      <w:widowControl/>
      <w:tabs>
        <w:tab w:val="left" w:pos="454"/>
        <w:tab w:val="left" w:pos="720"/>
      </w:tabs>
      <w:spacing w:afterLines="50"/>
      <w:ind w:left="454" w:hanging="284"/>
      <w:jc w:val="left"/>
    </w:pPr>
    <w:rPr>
      <w:sz w:val="24"/>
      <w:szCs w:val="20"/>
    </w:rPr>
  </w:style>
  <w:style w:type="paragraph" w:styleId="17">
    <w:name w:val="Normal Indent"/>
    <w:basedOn w:val="1"/>
    <w:link w:val="81"/>
    <w:qFormat/>
    <w:uiPriority w:val="0"/>
    <w:pPr>
      <w:ind w:firstLine="420"/>
    </w:pPr>
    <w:rPr>
      <w:szCs w:val="20"/>
    </w:rPr>
  </w:style>
  <w:style w:type="paragraph" w:styleId="18">
    <w:name w:val="caption"/>
    <w:basedOn w:val="1"/>
    <w:next w:val="1"/>
    <w:link w:val="262"/>
    <w:qFormat/>
    <w:uiPriority w:val="0"/>
    <w:pPr>
      <w:spacing w:before="152"/>
    </w:pPr>
    <w:rPr>
      <w:rFonts w:ascii="Arial" w:hAnsi="Arial" w:eastAsia="黑体" w:cs="Arial"/>
      <w:sz w:val="20"/>
      <w:szCs w:val="20"/>
    </w:rPr>
  </w:style>
  <w:style w:type="paragraph" w:styleId="19">
    <w:name w:val="Document Map"/>
    <w:basedOn w:val="1"/>
    <w:link w:val="124"/>
    <w:qFormat/>
    <w:uiPriority w:val="0"/>
    <w:pPr>
      <w:shd w:val="clear" w:color="auto" w:fill="000080"/>
    </w:pPr>
  </w:style>
  <w:style w:type="paragraph" w:styleId="20">
    <w:name w:val="annotation text"/>
    <w:basedOn w:val="1"/>
    <w:link w:val="118"/>
    <w:qFormat/>
    <w:uiPriority w:val="99"/>
    <w:pPr>
      <w:jc w:val="left"/>
    </w:pPr>
  </w:style>
  <w:style w:type="paragraph" w:styleId="21">
    <w:name w:val="Body Text 3"/>
    <w:basedOn w:val="1"/>
    <w:link w:val="104"/>
    <w:qFormat/>
    <w:uiPriority w:val="99"/>
    <w:pPr>
      <w:spacing w:after="120"/>
    </w:pPr>
    <w:rPr>
      <w:sz w:val="16"/>
      <w:szCs w:val="16"/>
    </w:rPr>
  </w:style>
  <w:style w:type="paragraph" w:styleId="22">
    <w:name w:val="Body Text Indent"/>
    <w:basedOn w:val="1"/>
    <w:next w:val="23"/>
    <w:link w:val="102"/>
    <w:qFormat/>
    <w:uiPriority w:val="99"/>
    <w:pPr>
      <w:spacing w:line="200" w:lineRule="exact"/>
      <w:ind w:firstLine="301"/>
    </w:pPr>
    <w:rPr>
      <w:rFonts w:ascii="宋体" w:hAnsi="Courier New"/>
      <w:spacing w:val="-4"/>
      <w:sz w:val="18"/>
      <w:szCs w:val="20"/>
    </w:rPr>
  </w:style>
  <w:style w:type="paragraph" w:customStyle="1" w:styleId="23">
    <w:name w:val="正文文本首行缩进 2"/>
    <w:basedOn w:val="22"/>
    <w:qFormat/>
    <w:uiPriority w:val="99"/>
    <w:pPr>
      <w:spacing w:line="200" w:lineRule="atLeast"/>
      <w:ind w:firstLine="420"/>
    </w:pPr>
  </w:style>
  <w:style w:type="paragraph" w:styleId="24">
    <w:name w:val="List Number 3"/>
    <w:basedOn w:val="1"/>
    <w:qFormat/>
    <w:uiPriority w:val="0"/>
    <w:pPr>
      <w:tabs>
        <w:tab w:val="left" w:pos="1200"/>
      </w:tabs>
      <w:spacing w:after="0" w:line="240" w:lineRule="auto"/>
      <w:ind w:left="765" w:hanging="360"/>
    </w:pPr>
  </w:style>
  <w:style w:type="paragraph" w:styleId="25">
    <w:name w:val="List 2"/>
    <w:basedOn w:val="1"/>
    <w:qFormat/>
    <w:uiPriority w:val="0"/>
    <w:pPr>
      <w:ind w:left="100" w:leftChars="200" w:hanging="200" w:hangingChars="200"/>
    </w:pPr>
  </w:style>
  <w:style w:type="paragraph" w:styleId="26">
    <w:name w:val="List Continue"/>
    <w:basedOn w:val="1"/>
    <w:qFormat/>
    <w:uiPriority w:val="0"/>
    <w:pPr>
      <w:spacing w:after="120" w:line="360" w:lineRule="auto"/>
      <w:ind w:left="420" w:leftChars="200"/>
      <w:contextualSpacing/>
    </w:pPr>
  </w:style>
  <w:style w:type="paragraph" w:styleId="27">
    <w:name w:val="Block Text"/>
    <w:basedOn w:val="1"/>
    <w:qFormat/>
    <w:uiPriority w:val="0"/>
    <w:pPr>
      <w:spacing w:after="0" w:line="360" w:lineRule="auto"/>
      <w:ind w:left="420" w:right="-159" w:firstLine="420"/>
    </w:pPr>
  </w:style>
  <w:style w:type="paragraph" w:styleId="28">
    <w:name w:val="HTML Address"/>
    <w:basedOn w:val="1"/>
    <w:link w:val="386"/>
    <w:qFormat/>
    <w:uiPriority w:val="0"/>
    <w:pPr>
      <w:spacing w:after="0" w:line="360" w:lineRule="auto"/>
    </w:pPr>
    <w:rPr>
      <w:rFonts w:ascii="宋体" w:hAnsi="宋体"/>
      <w:i/>
      <w:iCs/>
      <w:sz w:val="20"/>
    </w:rPr>
  </w:style>
  <w:style w:type="paragraph" w:styleId="29">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30">
    <w:name w:val="toc 3"/>
    <w:basedOn w:val="1"/>
    <w:next w:val="1"/>
    <w:qFormat/>
    <w:uiPriority w:val="39"/>
    <w:pPr>
      <w:ind w:left="840" w:leftChars="400"/>
    </w:pPr>
  </w:style>
  <w:style w:type="paragraph" w:styleId="31">
    <w:name w:val="Plain Text"/>
    <w:basedOn w:val="1"/>
    <w:next w:val="17"/>
    <w:link w:val="91"/>
    <w:qFormat/>
    <w:uiPriority w:val="99"/>
    <w:rPr>
      <w:rFonts w:ascii="宋体" w:hAnsi="Courier New"/>
      <w:szCs w:val="20"/>
    </w:rPr>
  </w:style>
  <w:style w:type="paragraph" w:styleId="3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33">
    <w:name w:val="Date"/>
    <w:basedOn w:val="1"/>
    <w:next w:val="1"/>
    <w:link w:val="106"/>
    <w:qFormat/>
    <w:uiPriority w:val="0"/>
    <w:pPr>
      <w:ind w:left="2500" w:leftChars="2500"/>
    </w:pPr>
    <w:rPr>
      <w:rFonts w:eastAsia="楷体_GB2312"/>
      <w:sz w:val="32"/>
      <w:szCs w:val="20"/>
    </w:rPr>
  </w:style>
  <w:style w:type="paragraph" w:styleId="34">
    <w:name w:val="Body Text Indent 2"/>
    <w:basedOn w:val="1"/>
    <w:link w:val="129"/>
    <w:qFormat/>
    <w:uiPriority w:val="0"/>
    <w:pPr>
      <w:snapToGrid w:val="0"/>
      <w:ind w:firstLine="542" w:firstLineChars="225"/>
    </w:pPr>
    <w:rPr>
      <w:rFonts w:ascii="仿宋_GB2312" w:hAnsi="宋体" w:cs="Arial"/>
      <w:b/>
      <w:bCs/>
      <w:color w:val="000000"/>
      <w:sz w:val="24"/>
    </w:rPr>
  </w:style>
  <w:style w:type="paragraph" w:styleId="35">
    <w:name w:val="Balloon Text"/>
    <w:basedOn w:val="1"/>
    <w:link w:val="103"/>
    <w:qFormat/>
    <w:uiPriority w:val="99"/>
    <w:rPr>
      <w:sz w:val="18"/>
      <w:szCs w:val="18"/>
    </w:rPr>
  </w:style>
  <w:style w:type="paragraph" w:styleId="36">
    <w:name w:val="footer"/>
    <w:basedOn w:val="1"/>
    <w:link w:val="107"/>
    <w:qFormat/>
    <w:uiPriority w:val="99"/>
    <w:pPr>
      <w:tabs>
        <w:tab w:val="center" w:pos="4153"/>
        <w:tab w:val="right" w:pos="8306"/>
      </w:tabs>
      <w:snapToGrid w:val="0"/>
      <w:jc w:val="left"/>
    </w:pPr>
    <w:rPr>
      <w:sz w:val="18"/>
      <w:szCs w:val="18"/>
    </w:rPr>
  </w:style>
  <w:style w:type="paragraph" w:styleId="37">
    <w:name w:val="header"/>
    <w:basedOn w:val="1"/>
    <w:link w:val="110"/>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right" w:leader="dot" w:pos="8296"/>
      </w:tabs>
      <w:spacing w:beforeLines="50" w:afterLines="50" w:line="400" w:lineRule="exact"/>
      <w:ind w:firstLine="480" w:firstLineChars="200"/>
    </w:pPr>
    <w:rPr>
      <w:rFonts w:ascii="宋体" w:hAnsi="宋体"/>
      <w:color w:val="000000"/>
      <w:sz w:val="24"/>
    </w:rPr>
  </w:style>
  <w:style w:type="paragraph" w:styleId="39">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40">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link w:val="99"/>
    <w:qFormat/>
    <w:uiPriority w:val="0"/>
    <w:pPr>
      <w:ind w:left="200" w:hanging="200" w:hangingChars="200"/>
      <w:contextualSpacing/>
    </w:pPr>
  </w:style>
  <w:style w:type="paragraph" w:styleId="42">
    <w:name w:val="footnote text"/>
    <w:basedOn w:val="1"/>
    <w:link w:val="201"/>
    <w:unhideWhenUsed/>
    <w:qFormat/>
    <w:uiPriority w:val="0"/>
    <w:pPr>
      <w:snapToGrid w:val="0"/>
      <w:jc w:val="left"/>
    </w:pPr>
    <w:rPr>
      <w:rFonts w:hint="eastAsia" w:ascii="Calibri" w:hAnsi="Calibri"/>
      <w:sz w:val="18"/>
    </w:rPr>
  </w:style>
  <w:style w:type="paragraph" w:styleId="43">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44">
    <w:name w:val="Body Text Indent 3"/>
    <w:basedOn w:val="1"/>
    <w:link w:val="89"/>
    <w:qFormat/>
    <w:uiPriority w:val="0"/>
    <w:pPr>
      <w:snapToGrid w:val="0"/>
      <w:ind w:firstLine="480" w:firstLineChars="200"/>
      <w:jc w:val="left"/>
    </w:pPr>
    <w:rPr>
      <w:rFonts w:ascii="仿宋_GB2312" w:hAnsi="宋体" w:eastAsia="仿宋_GB2312"/>
      <w:color w:val="000000"/>
      <w:sz w:val="24"/>
    </w:rPr>
  </w:style>
  <w:style w:type="paragraph" w:styleId="45">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6">
    <w:name w:val="toc 2"/>
    <w:basedOn w:val="1"/>
    <w:next w:val="1"/>
    <w:qFormat/>
    <w:uiPriority w:val="39"/>
    <w:pPr>
      <w:tabs>
        <w:tab w:val="right" w:leader="dot" w:pos="8296"/>
      </w:tabs>
      <w:spacing w:beforeLines="50" w:afterLines="50" w:line="400" w:lineRule="exact"/>
      <w:ind w:left="480" w:leftChars="200" w:hanging="60"/>
    </w:pPr>
  </w:style>
  <w:style w:type="paragraph" w:styleId="47">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48">
    <w:name w:val="Body Text 2"/>
    <w:basedOn w:val="1"/>
    <w:link w:val="142"/>
    <w:qFormat/>
    <w:uiPriority w:val="0"/>
    <w:pPr>
      <w:spacing w:after="120" w:line="480" w:lineRule="auto"/>
    </w:pPr>
  </w:style>
  <w:style w:type="paragraph" w:styleId="49">
    <w:name w:val="HTML Preformatted"/>
    <w:basedOn w:val="1"/>
    <w:link w:val="1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50">
    <w:name w:val="Normal (Web)"/>
    <w:basedOn w:val="1"/>
    <w:link w:val="548"/>
    <w:qFormat/>
    <w:uiPriority w:val="99"/>
    <w:pPr>
      <w:widowControl/>
      <w:spacing w:before="100" w:beforeAutospacing="1" w:after="100" w:afterAutospacing="1"/>
      <w:jc w:val="left"/>
    </w:pPr>
    <w:rPr>
      <w:rFonts w:ascii="宋体" w:hAnsi="宋体" w:cs="宋体"/>
      <w:sz w:val="24"/>
    </w:rPr>
  </w:style>
  <w:style w:type="paragraph" w:styleId="51">
    <w:name w:val="index 1"/>
    <w:basedOn w:val="1"/>
    <w:next w:val="1"/>
    <w:semiHidden/>
    <w:qFormat/>
    <w:uiPriority w:val="0"/>
    <w:pPr>
      <w:spacing w:after="0" w:line="360" w:lineRule="auto"/>
      <w:ind w:firstLine="480" w:firstLineChars="200"/>
      <w:jc w:val="left"/>
    </w:pPr>
    <w:rPr>
      <w:szCs w:val="20"/>
    </w:rPr>
  </w:style>
  <w:style w:type="paragraph" w:styleId="52">
    <w:name w:val="Title"/>
    <w:basedOn w:val="1"/>
    <w:next w:val="1"/>
    <w:link w:val="92"/>
    <w:qFormat/>
    <w:uiPriority w:val="0"/>
    <w:pPr>
      <w:spacing w:before="240" w:after="60"/>
      <w:jc w:val="center"/>
      <w:outlineLvl w:val="0"/>
    </w:pPr>
    <w:rPr>
      <w:rFonts w:ascii="Cambria" w:hAnsi="Cambria"/>
      <w:b/>
      <w:bCs/>
      <w:sz w:val="32"/>
      <w:szCs w:val="32"/>
    </w:rPr>
  </w:style>
  <w:style w:type="paragraph" w:styleId="53">
    <w:name w:val="annotation subject"/>
    <w:basedOn w:val="20"/>
    <w:next w:val="20"/>
    <w:link w:val="140"/>
    <w:qFormat/>
    <w:uiPriority w:val="0"/>
    <w:rPr>
      <w:b/>
      <w:bCs/>
    </w:rPr>
  </w:style>
  <w:style w:type="paragraph" w:styleId="54">
    <w:name w:val="Body Text First Indent 2"/>
    <w:basedOn w:val="22"/>
    <w:link w:val="204"/>
    <w:unhideWhenUsed/>
    <w:qFormat/>
    <w:uiPriority w:val="0"/>
    <w:pPr>
      <w:spacing w:after="120" w:line="360" w:lineRule="auto"/>
      <w:ind w:left="420" w:leftChars="200" w:firstLine="420" w:firstLineChars="200"/>
    </w:pPr>
    <w:rPr>
      <w:sz w:val="24"/>
    </w:rPr>
  </w:style>
  <w:style w:type="table" w:styleId="56">
    <w:name w:val="Table Grid"/>
    <w:basedOn w:val="55"/>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Elegant"/>
    <w:basedOn w:val="5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59">
    <w:name w:val="Strong"/>
    <w:qFormat/>
    <w:uiPriority w:val="22"/>
    <w:rPr>
      <w:b/>
      <w:bCs/>
    </w:rPr>
  </w:style>
  <w:style w:type="character" w:styleId="60">
    <w:name w:val="page number"/>
    <w:basedOn w:val="58"/>
    <w:qFormat/>
    <w:uiPriority w:val="0"/>
  </w:style>
  <w:style w:type="character" w:styleId="61">
    <w:name w:val="FollowedHyperlink"/>
    <w:qFormat/>
    <w:uiPriority w:val="99"/>
    <w:rPr>
      <w:color w:val="800080"/>
      <w:u w:val="single"/>
    </w:rPr>
  </w:style>
  <w:style w:type="character" w:styleId="62">
    <w:name w:val="Emphasis"/>
    <w:qFormat/>
    <w:uiPriority w:val="0"/>
    <w:rPr>
      <w:color w:val="CC0000"/>
    </w:rPr>
  </w:style>
  <w:style w:type="character" w:styleId="63">
    <w:name w:val="HTML Definition"/>
    <w:qFormat/>
    <w:uiPriority w:val="0"/>
    <w:rPr>
      <w:i/>
      <w:iCs/>
    </w:rPr>
  </w:style>
  <w:style w:type="character" w:styleId="64">
    <w:name w:val="HTML Typewriter"/>
    <w:qFormat/>
    <w:uiPriority w:val="0"/>
    <w:rPr>
      <w:rFonts w:ascii="黑体" w:hAnsi="Courier New" w:eastAsia="黑体"/>
      <w:sz w:val="14"/>
    </w:rPr>
  </w:style>
  <w:style w:type="character" w:styleId="65">
    <w:name w:val="HTML Acronym"/>
    <w:qFormat/>
    <w:uiPriority w:val="0"/>
  </w:style>
  <w:style w:type="character" w:styleId="66">
    <w:name w:val="HTML Variable"/>
    <w:qFormat/>
    <w:uiPriority w:val="0"/>
    <w:rPr>
      <w:i/>
      <w:iCs/>
    </w:rPr>
  </w:style>
  <w:style w:type="character" w:styleId="67">
    <w:name w:val="Hyperlink"/>
    <w:qFormat/>
    <w:uiPriority w:val="99"/>
    <w:rPr>
      <w:color w:val="0000FF"/>
      <w:u w:val="single"/>
    </w:rPr>
  </w:style>
  <w:style w:type="character" w:styleId="68">
    <w:name w:val="HTML Code"/>
    <w:qFormat/>
    <w:uiPriority w:val="0"/>
    <w:rPr>
      <w:rFonts w:ascii="Courier New" w:hAnsi="Courier New"/>
      <w:sz w:val="20"/>
      <w:szCs w:val="20"/>
    </w:rPr>
  </w:style>
  <w:style w:type="character" w:styleId="69">
    <w:name w:val="annotation reference"/>
    <w:qFormat/>
    <w:uiPriority w:val="99"/>
    <w:rPr>
      <w:sz w:val="21"/>
      <w:szCs w:val="21"/>
    </w:rPr>
  </w:style>
  <w:style w:type="character" w:styleId="70">
    <w:name w:val="HTML Cite"/>
    <w:qFormat/>
    <w:uiPriority w:val="0"/>
    <w:rPr>
      <w:i/>
      <w:iCs/>
    </w:rPr>
  </w:style>
  <w:style w:type="character" w:styleId="71">
    <w:name w:val="footnote reference"/>
    <w:basedOn w:val="58"/>
    <w:unhideWhenUsed/>
    <w:qFormat/>
    <w:uiPriority w:val="99"/>
    <w:rPr>
      <w:rFonts w:hint="default" w:ascii="Times New Roman"/>
      <w:sz w:val="24"/>
      <w:vertAlign w:val="superscript"/>
    </w:rPr>
  </w:style>
  <w:style w:type="character" w:styleId="72">
    <w:name w:val="HTML Keyboard"/>
    <w:qFormat/>
    <w:uiPriority w:val="0"/>
    <w:rPr>
      <w:rFonts w:ascii="Courier New" w:hAnsi="Courier New"/>
      <w:sz w:val="20"/>
      <w:szCs w:val="20"/>
    </w:rPr>
  </w:style>
  <w:style w:type="character" w:styleId="73">
    <w:name w:val="HTML Sample"/>
    <w:qFormat/>
    <w:uiPriority w:val="0"/>
    <w:rPr>
      <w:rFonts w:ascii="Courier New" w:hAnsi="Courier New"/>
    </w:rPr>
  </w:style>
  <w:style w:type="character" w:customStyle="1" w:styleId="74">
    <w:name w:val="标题 2 Char"/>
    <w:qFormat/>
    <w:uiPriority w:val="9"/>
    <w:rPr>
      <w:rFonts w:ascii="仿宋_GB2312" w:eastAsia="仿宋_GB2312"/>
      <w:b/>
      <w:sz w:val="36"/>
      <w:lang w:val="en-US" w:eastAsia="zh-CN" w:bidi="ar-SA"/>
    </w:rPr>
  </w:style>
  <w:style w:type="paragraph" w:customStyle="1" w:styleId="75">
    <w:name w:val="表格文字"/>
    <w:basedOn w:val="76"/>
    <w:next w:val="2"/>
    <w:qFormat/>
    <w:uiPriority w:val="0"/>
    <w:pPr>
      <w:spacing w:after="0" w:line="360" w:lineRule="auto"/>
      <w:ind w:firstLine="480" w:firstLineChars="200"/>
      <w:jc w:val="left"/>
    </w:pPr>
  </w:style>
  <w:style w:type="paragraph" w:customStyle="1" w:styleId="76">
    <w:name w:val="表格文字（两侧对齐）"/>
    <w:basedOn w:val="1"/>
    <w:qFormat/>
    <w:uiPriority w:val="0"/>
    <w:pPr>
      <w:snapToGrid w:val="0"/>
    </w:pPr>
    <w:rPr>
      <w:sz w:val="20"/>
    </w:rPr>
  </w:style>
  <w:style w:type="character" w:customStyle="1" w:styleId="77">
    <w:name w:val="标题 1 Char"/>
    <w:basedOn w:val="58"/>
    <w:link w:val="4"/>
    <w:qFormat/>
    <w:uiPriority w:val="9"/>
    <w:rPr>
      <w:rFonts w:ascii="Times New Roman" w:hAnsi="Times New Roman" w:eastAsia="微软雅黑"/>
      <w:b/>
      <w:bCs/>
      <w:kern w:val="44"/>
      <w:sz w:val="30"/>
      <w:szCs w:val="44"/>
    </w:rPr>
  </w:style>
  <w:style w:type="character" w:customStyle="1" w:styleId="78">
    <w:name w:val="标题 4 Char"/>
    <w:link w:val="8"/>
    <w:qFormat/>
    <w:uiPriority w:val="0"/>
    <w:rPr>
      <w:rFonts w:ascii="Arial" w:hAnsi="Arial" w:eastAsia="黑体"/>
      <w:b/>
      <w:bCs/>
      <w:kern w:val="2"/>
      <w:sz w:val="28"/>
      <w:szCs w:val="28"/>
      <w:lang w:val="en-US" w:eastAsia="zh-CN" w:bidi="ar-SA"/>
    </w:rPr>
  </w:style>
  <w:style w:type="character" w:customStyle="1" w:styleId="79">
    <w:name w:val="标题 3 Char"/>
    <w:link w:val="7"/>
    <w:qFormat/>
    <w:uiPriority w:val="9"/>
    <w:rPr>
      <w:rFonts w:ascii="仿宋_GB2312" w:eastAsia="仿宋_GB2312"/>
      <w:b/>
      <w:bCs/>
      <w:kern w:val="2"/>
      <w:sz w:val="30"/>
      <w:lang w:val="en-US" w:eastAsia="zh-CN" w:bidi="ar-SA"/>
    </w:rPr>
  </w:style>
  <w:style w:type="character" w:customStyle="1" w:styleId="80">
    <w:name w:val="标题 2 Char1"/>
    <w:link w:val="5"/>
    <w:qFormat/>
    <w:uiPriority w:val="0"/>
    <w:rPr>
      <w:rFonts w:ascii="仿宋_GB2312" w:eastAsia="仿宋_GB2312"/>
      <w:b/>
      <w:sz w:val="36"/>
      <w:lang w:val="en-US" w:eastAsia="zh-CN" w:bidi="ar-SA"/>
    </w:rPr>
  </w:style>
  <w:style w:type="character" w:customStyle="1" w:styleId="81">
    <w:name w:val="正文缩进 Char1"/>
    <w:link w:val="17"/>
    <w:qFormat/>
    <w:uiPriority w:val="0"/>
    <w:rPr>
      <w:rFonts w:eastAsia="宋体"/>
      <w:kern w:val="2"/>
      <w:sz w:val="21"/>
      <w:lang w:val="en-US" w:eastAsia="zh-CN" w:bidi="ar-SA"/>
    </w:rPr>
  </w:style>
  <w:style w:type="character" w:customStyle="1" w:styleId="82">
    <w:name w:val="标题 5 Char"/>
    <w:link w:val="9"/>
    <w:qFormat/>
    <w:uiPriority w:val="9"/>
    <w:rPr>
      <w:rFonts w:ascii="Calibri" w:hAnsi="Calibri" w:eastAsia="宋体"/>
      <w:b/>
      <w:bCs/>
      <w:kern w:val="2"/>
      <w:sz w:val="28"/>
      <w:szCs w:val="28"/>
      <w:lang w:val="en-US" w:eastAsia="zh-CN" w:bidi="ar-SA"/>
    </w:rPr>
  </w:style>
  <w:style w:type="character" w:customStyle="1" w:styleId="83">
    <w:name w:val="标题 6 Char"/>
    <w:link w:val="10"/>
    <w:qFormat/>
    <w:uiPriority w:val="0"/>
    <w:rPr>
      <w:rFonts w:ascii="Cambria" w:hAnsi="Cambria" w:eastAsia="宋体"/>
      <w:b/>
      <w:bCs/>
      <w:kern w:val="2"/>
      <w:sz w:val="24"/>
      <w:szCs w:val="24"/>
      <w:lang w:val="en-US" w:eastAsia="zh-CN" w:bidi="ar-SA"/>
    </w:rPr>
  </w:style>
  <w:style w:type="character" w:customStyle="1" w:styleId="84">
    <w:name w:val="标题 7 Char"/>
    <w:link w:val="11"/>
    <w:qFormat/>
    <w:uiPriority w:val="0"/>
    <w:rPr>
      <w:rFonts w:eastAsia="宋体"/>
      <w:b/>
      <w:bCs/>
      <w:kern w:val="2"/>
      <w:sz w:val="24"/>
      <w:szCs w:val="24"/>
      <w:lang w:val="en-US" w:eastAsia="zh-CN" w:bidi="ar-SA"/>
    </w:rPr>
  </w:style>
  <w:style w:type="character" w:customStyle="1" w:styleId="85">
    <w:name w:val="标题 8 Char"/>
    <w:link w:val="12"/>
    <w:qFormat/>
    <w:uiPriority w:val="0"/>
    <w:rPr>
      <w:rFonts w:ascii="Cambria" w:hAnsi="Cambria" w:eastAsia="宋体"/>
      <w:kern w:val="2"/>
      <w:sz w:val="24"/>
      <w:szCs w:val="24"/>
      <w:lang w:val="en-US" w:eastAsia="zh-CN" w:bidi="ar-SA"/>
    </w:rPr>
  </w:style>
  <w:style w:type="character" w:customStyle="1" w:styleId="86">
    <w:name w:val="标题 9 Char"/>
    <w:link w:val="13"/>
    <w:qFormat/>
    <w:uiPriority w:val="0"/>
    <w:rPr>
      <w:rFonts w:ascii="Cambria" w:hAnsi="Cambria" w:eastAsia="宋体"/>
      <w:kern w:val="2"/>
      <w:sz w:val="21"/>
      <w:szCs w:val="24"/>
      <w:lang w:val="en-US" w:eastAsia="zh-CN" w:bidi="ar-SA"/>
    </w:rPr>
  </w:style>
  <w:style w:type="character" w:customStyle="1" w:styleId="87">
    <w:name w:val="纯文本 字符1"/>
    <w:semiHidden/>
    <w:qFormat/>
    <w:uiPriority w:val="99"/>
    <w:rPr>
      <w:rFonts w:ascii="等线" w:hAnsi="Courier New" w:cs="Courier New"/>
      <w:szCs w:val="24"/>
    </w:rPr>
  </w:style>
  <w:style w:type="character" w:customStyle="1" w:styleId="88">
    <w:name w:val="纯文本 Char3"/>
    <w:qFormat/>
    <w:uiPriority w:val="0"/>
    <w:rPr>
      <w:rFonts w:ascii="宋体" w:hAnsi="Courier New" w:eastAsia="宋体"/>
      <w:kern w:val="2"/>
      <w:sz w:val="24"/>
      <w:szCs w:val="24"/>
      <w:lang w:val="en-US" w:eastAsia="zh-CN" w:bidi="ar-SA"/>
    </w:rPr>
  </w:style>
  <w:style w:type="character" w:customStyle="1" w:styleId="89">
    <w:name w:val="正文文本缩进 3 Char"/>
    <w:basedOn w:val="58"/>
    <w:link w:val="44"/>
    <w:qFormat/>
    <w:uiPriority w:val="0"/>
    <w:rPr>
      <w:rFonts w:ascii="仿宋_GB2312" w:hAnsi="宋体" w:eastAsia="仿宋_GB2312"/>
      <w:color w:val="000000"/>
      <w:kern w:val="2"/>
      <w:sz w:val="24"/>
      <w:szCs w:val="24"/>
    </w:rPr>
  </w:style>
  <w:style w:type="character" w:customStyle="1" w:styleId="90">
    <w:name w:val="apple-converted-space"/>
    <w:basedOn w:val="58"/>
    <w:qFormat/>
    <w:uiPriority w:val="0"/>
  </w:style>
  <w:style w:type="character" w:customStyle="1" w:styleId="91">
    <w:name w:val="纯文本 Char"/>
    <w:link w:val="31"/>
    <w:qFormat/>
    <w:uiPriority w:val="99"/>
    <w:rPr>
      <w:rFonts w:ascii="宋体" w:hAnsi="Courier New" w:eastAsia="宋体"/>
      <w:kern w:val="2"/>
      <w:sz w:val="21"/>
      <w:lang w:val="en-US" w:eastAsia="zh-CN" w:bidi="ar-SA"/>
    </w:rPr>
  </w:style>
  <w:style w:type="character" w:customStyle="1" w:styleId="92">
    <w:name w:val="标题 Char"/>
    <w:link w:val="52"/>
    <w:qFormat/>
    <w:uiPriority w:val="0"/>
    <w:rPr>
      <w:rFonts w:ascii="Cambria" w:hAnsi="Cambria" w:eastAsia="宋体"/>
      <w:b/>
      <w:bCs/>
      <w:kern w:val="2"/>
      <w:sz w:val="32"/>
      <w:szCs w:val="32"/>
      <w:lang w:bidi="ar-SA"/>
    </w:rPr>
  </w:style>
  <w:style w:type="character" w:customStyle="1" w:styleId="93">
    <w:name w:val="正文首行缩进 Char"/>
    <w:basedOn w:val="94"/>
    <w:link w:val="3"/>
    <w:qFormat/>
    <w:uiPriority w:val="0"/>
    <w:rPr>
      <w:rFonts w:ascii="Calibri" w:hAnsi="Calibri" w:eastAsia="宋体"/>
      <w:kern w:val="2"/>
      <w:sz w:val="21"/>
      <w:szCs w:val="24"/>
      <w:lang w:val="en-US" w:eastAsia="zh-CN" w:bidi="ar-SA"/>
    </w:rPr>
  </w:style>
  <w:style w:type="character" w:customStyle="1" w:styleId="94">
    <w:name w:val="正文文本 Char"/>
    <w:link w:val="2"/>
    <w:qFormat/>
    <w:uiPriority w:val="0"/>
    <w:rPr>
      <w:rFonts w:eastAsia="宋体"/>
      <w:kern w:val="2"/>
      <w:sz w:val="21"/>
      <w:szCs w:val="24"/>
      <w:lang w:val="en-US" w:eastAsia="zh-CN" w:bidi="ar-SA"/>
    </w:rPr>
  </w:style>
  <w:style w:type="character" w:customStyle="1" w:styleId="95">
    <w:name w:val="标题 1 Char Char"/>
    <w:qFormat/>
    <w:uiPriority w:val="0"/>
    <w:rPr>
      <w:rFonts w:eastAsia="宋体"/>
      <w:b/>
      <w:spacing w:val="-2"/>
      <w:sz w:val="24"/>
      <w:lang w:val="en-US" w:eastAsia="zh-CN" w:bidi="ar-SA"/>
    </w:rPr>
  </w:style>
  <w:style w:type="character" w:customStyle="1" w:styleId="96">
    <w:name w:val="副标题 Char"/>
    <w:basedOn w:val="58"/>
    <w:link w:val="40"/>
    <w:qFormat/>
    <w:uiPriority w:val="0"/>
    <w:rPr>
      <w:rFonts w:ascii="Cambria" w:hAnsi="Cambria"/>
      <w:b/>
      <w:bCs/>
      <w:kern w:val="28"/>
      <w:sz w:val="32"/>
      <w:szCs w:val="32"/>
    </w:rPr>
  </w:style>
  <w:style w:type="character" w:customStyle="1" w:styleId="97">
    <w:name w:val="List Paragraph Char"/>
    <w:link w:val="98"/>
    <w:qFormat/>
    <w:uiPriority w:val="0"/>
    <w:rPr>
      <w:kern w:val="2"/>
      <w:sz w:val="21"/>
      <w:lang w:bidi="ar-SA"/>
    </w:rPr>
  </w:style>
  <w:style w:type="paragraph" w:customStyle="1" w:styleId="98">
    <w:name w:val="列出段落1"/>
    <w:basedOn w:val="1"/>
    <w:link w:val="97"/>
    <w:qFormat/>
    <w:uiPriority w:val="0"/>
    <w:pPr>
      <w:ind w:firstLine="420" w:firstLineChars="200"/>
    </w:pPr>
    <w:rPr>
      <w:szCs w:val="20"/>
    </w:rPr>
  </w:style>
  <w:style w:type="character" w:customStyle="1" w:styleId="99">
    <w:name w:val="列表 Char"/>
    <w:link w:val="41"/>
    <w:qFormat/>
    <w:uiPriority w:val="0"/>
    <w:rPr>
      <w:kern w:val="2"/>
      <w:sz w:val="21"/>
      <w:szCs w:val="24"/>
    </w:rPr>
  </w:style>
  <w:style w:type="character" w:customStyle="1" w:styleId="100">
    <w:name w:val="投标书正文 Char Char"/>
    <w:link w:val="101"/>
    <w:qFormat/>
    <w:uiPriority w:val="0"/>
    <w:rPr>
      <w:rFonts w:eastAsia="Times New Roman"/>
      <w:kern w:val="2"/>
      <w:sz w:val="24"/>
      <w:szCs w:val="24"/>
      <w:lang w:val="en-US" w:eastAsia="zh-CN" w:bidi="ar-SA"/>
    </w:rPr>
  </w:style>
  <w:style w:type="paragraph" w:customStyle="1" w:styleId="101">
    <w:name w:val="投标书正文"/>
    <w:link w:val="100"/>
    <w:qFormat/>
    <w:uiPriority w:val="0"/>
    <w:pPr>
      <w:autoSpaceDE w:val="0"/>
      <w:spacing w:after="160"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102">
    <w:name w:val="正文文本缩进 Char1"/>
    <w:link w:val="22"/>
    <w:qFormat/>
    <w:uiPriority w:val="0"/>
    <w:rPr>
      <w:rFonts w:ascii="宋体" w:hAnsi="Courier New" w:eastAsia="宋体"/>
      <w:spacing w:val="-4"/>
      <w:kern w:val="2"/>
      <w:sz w:val="18"/>
      <w:lang w:val="en-US" w:eastAsia="zh-CN" w:bidi="ar-SA"/>
    </w:rPr>
  </w:style>
  <w:style w:type="character" w:customStyle="1" w:styleId="103">
    <w:name w:val="批注框文本 Char"/>
    <w:link w:val="35"/>
    <w:qFormat/>
    <w:uiPriority w:val="99"/>
    <w:rPr>
      <w:rFonts w:eastAsia="宋体"/>
      <w:kern w:val="2"/>
      <w:sz w:val="18"/>
      <w:szCs w:val="18"/>
      <w:lang w:val="en-US" w:eastAsia="zh-CN" w:bidi="ar-SA"/>
    </w:rPr>
  </w:style>
  <w:style w:type="character" w:customStyle="1" w:styleId="104">
    <w:name w:val="正文文本 3 Char"/>
    <w:basedOn w:val="58"/>
    <w:link w:val="21"/>
    <w:qFormat/>
    <w:uiPriority w:val="99"/>
    <w:rPr>
      <w:kern w:val="2"/>
      <w:sz w:val="16"/>
      <w:szCs w:val="16"/>
    </w:rPr>
  </w:style>
  <w:style w:type="character" w:customStyle="1" w:styleId="105">
    <w:name w:val="htd0"/>
    <w:basedOn w:val="58"/>
    <w:qFormat/>
    <w:uiPriority w:val="0"/>
  </w:style>
  <w:style w:type="character" w:customStyle="1" w:styleId="106">
    <w:name w:val="日期 Char"/>
    <w:link w:val="33"/>
    <w:qFormat/>
    <w:uiPriority w:val="0"/>
    <w:rPr>
      <w:rFonts w:eastAsia="楷体_GB2312"/>
      <w:kern w:val="2"/>
      <w:sz w:val="32"/>
    </w:rPr>
  </w:style>
  <w:style w:type="character" w:customStyle="1" w:styleId="107">
    <w:name w:val="页脚 Char"/>
    <w:link w:val="36"/>
    <w:qFormat/>
    <w:uiPriority w:val="0"/>
    <w:rPr>
      <w:rFonts w:eastAsia="宋体"/>
      <w:kern w:val="2"/>
      <w:sz w:val="18"/>
      <w:szCs w:val="18"/>
      <w:lang w:val="en-US" w:eastAsia="zh-CN" w:bidi="ar-SA"/>
    </w:rPr>
  </w:style>
  <w:style w:type="character" w:customStyle="1" w:styleId="108">
    <w:name w:val="投标书正文无序编号 Char Char"/>
    <w:link w:val="109"/>
    <w:qFormat/>
    <w:uiPriority w:val="0"/>
    <w:rPr>
      <w:kern w:val="2"/>
      <w:sz w:val="24"/>
      <w:szCs w:val="24"/>
    </w:rPr>
  </w:style>
  <w:style w:type="paragraph" w:customStyle="1" w:styleId="109">
    <w:name w:val="投标书正文无序编号"/>
    <w:basedOn w:val="101"/>
    <w:link w:val="108"/>
    <w:qFormat/>
    <w:uiPriority w:val="0"/>
    <w:pPr>
      <w:tabs>
        <w:tab w:val="left" w:pos="780"/>
        <w:tab w:val="left" w:pos="902"/>
      </w:tabs>
      <w:adjustRightInd w:val="0"/>
      <w:ind w:left="780" w:hanging="360" w:firstLineChars="0"/>
    </w:pPr>
    <w:rPr>
      <w:rFonts w:eastAsia="宋体"/>
    </w:rPr>
  </w:style>
  <w:style w:type="character" w:customStyle="1" w:styleId="110">
    <w:name w:val="页眉 Char1"/>
    <w:link w:val="37"/>
    <w:qFormat/>
    <w:uiPriority w:val="0"/>
    <w:rPr>
      <w:rFonts w:eastAsia="宋体"/>
      <w:kern w:val="2"/>
      <w:sz w:val="18"/>
      <w:szCs w:val="18"/>
      <w:lang w:val="en-US" w:eastAsia="zh-CN" w:bidi="ar-SA"/>
    </w:rPr>
  </w:style>
  <w:style w:type="character" w:customStyle="1" w:styleId="111">
    <w:name w:val="表格正文 Char"/>
    <w:basedOn w:val="58"/>
    <w:link w:val="112"/>
    <w:qFormat/>
    <w:uiPriority w:val="0"/>
    <w:rPr>
      <w:kern w:val="2"/>
      <w:sz w:val="21"/>
      <w:szCs w:val="24"/>
    </w:rPr>
  </w:style>
  <w:style w:type="paragraph" w:customStyle="1" w:styleId="112">
    <w:name w:val="表格正文"/>
    <w:basedOn w:val="1"/>
    <w:link w:val="111"/>
    <w:qFormat/>
    <w:uiPriority w:val="0"/>
  </w:style>
  <w:style w:type="character" w:customStyle="1" w:styleId="113">
    <w:name w:val="纯文本 Char1"/>
    <w:link w:val="114"/>
    <w:qFormat/>
    <w:uiPriority w:val="0"/>
    <w:rPr>
      <w:rFonts w:ascii="宋体" w:hAnsi="Courier New" w:eastAsia="宋体"/>
      <w:kern w:val="2"/>
      <w:sz w:val="24"/>
      <w:lang w:bidi="ar-SA"/>
    </w:rPr>
  </w:style>
  <w:style w:type="paragraph" w:customStyle="1" w:styleId="114">
    <w:name w:val="纯文本1"/>
    <w:basedOn w:val="1"/>
    <w:link w:val="113"/>
    <w:qFormat/>
    <w:uiPriority w:val="0"/>
    <w:pPr>
      <w:spacing w:afterLines="50"/>
    </w:pPr>
    <w:rPr>
      <w:rFonts w:ascii="宋体" w:hAnsi="Courier New"/>
      <w:sz w:val="24"/>
      <w:szCs w:val="20"/>
    </w:rPr>
  </w:style>
  <w:style w:type="character" w:customStyle="1" w:styleId="115">
    <w:name w:val="HIK 段分 2 Char"/>
    <w:basedOn w:val="74"/>
    <w:link w:val="116"/>
    <w:qFormat/>
    <w:uiPriority w:val="0"/>
    <w:rPr>
      <w:rFonts w:ascii="宋体" w:hAnsi="等线 Light" w:eastAsia="仿宋_GB2312"/>
      <w:bCs/>
      <w:kern w:val="2"/>
      <w:sz w:val="32"/>
      <w:szCs w:val="32"/>
      <w:lang w:val="en-US" w:eastAsia="zh-CN" w:bidi="ar-SA"/>
    </w:rPr>
  </w:style>
  <w:style w:type="paragraph" w:customStyle="1" w:styleId="116">
    <w:name w:val="HIK 段分 2"/>
    <w:basedOn w:val="5"/>
    <w:next w:val="1"/>
    <w:link w:val="115"/>
    <w:qFormat/>
    <w:uiPriority w:val="0"/>
    <w:pPr>
      <w:pageBreakBefore/>
      <w:adjustRightInd/>
      <w:snapToGrid/>
      <w:spacing w:before="100" w:after="100"/>
      <w:ind w:left="576" w:hanging="576"/>
      <w:jc w:val="left"/>
      <w:textAlignment w:val="auto"/>
    </w:pPr>
    <w:rPr>
      <w:rFonts w:ascii="宋体" w:hAnsi="等线 Light" w:eastAsia="宋体"/>
      <w:bCs/>
      <w:kern w:val="2"/>
      <w:sz w:val="32"/>
      <w:szCs w:val="32"/>
    </w:rPr>
  </w:style>
  <w:style w:type="character" w:customStyle="1" w:styleId="117">
    <w:name w:val="Char Char7"/>
    <w:qFormat/>
    <w:uiPriority w:val="0"/>
    <w:rPr>
      <w:rFonts w:ascii="Times New Roman" w:hAnsi="Times New Roman" w:eastAsia="宋体" w:cs="Times New Roman"/>
      <w:szCs w:val="24"/>
    </w:rPr>
  </w:style>
  <w:style w:type="character" w:customStyle="1" w:styleId="118">
    <w:name w:val="批注文字 Char"/>
    <w:link w:val="20"/>
    <w:qFormat/>
    <w:uiPriority w:val="99"/>
    <w:rPr>
      <w:rFonts w:eastAsia="宋体"/>
      <w:kern w:val="2"/>
      <w:sz w:val="21"/>
      <w:szCs w:val="24"/>
      <w:lang w:val="en-US" w:eastAsia="zh-CN" w:bidi="ar-SA"/>
    </w:rPr>
  </w:style>
  <w:style w:type="character" w:customStyle="1" w:styleId="119">
    <w:name w:val="方案正文-样式 小四 行距: 1.5 倍行距 Char Char"/>
    <w:link w:val="120"/>
    <w:qFormat/>
    <w:uiPriority w:val="0"/>
    <w:rPr>
      <w:kern w:val="2"/>
      <w:sz w:val="24"/>
      <w:lang w:bidi="ar-SA"/>
    </w:rPr>
  </w:style>
  <w:style w:type="paragraph" w:customStyle="1" w:styleId="120">
    <w:name w:val="方案正文-样式 小四 行距: 1.5 倍行距"/>
    <w:basedOn w:val="1"/>
    <w:link w:val="119"/>
    <w:qFormat/>
    <w:uiPriority w:val="0"/>
    <w:pPr>
      <w:spacing w:line="360" w:lineRule="auto"/>
      <w:ind w:firstLine="480" w:firstLineChars="200"/>
    </w:pPr>
    <w:rPr>
      <w:sz w:val="24"/>
      <w:szCs w:val="20"/>
    </w:rPr>
  </w:style>
  <w:style w:type="character" w:customStyle="1" w:styleId="121">
    <w:name w:val="批注主题 Char1"/>
    <w:qFormat/>
    <w:uiPriority w:val="0"/>
    <w:rPr>
      <w:b/>
      <w:bCs/>
      <w:kern w:val="2"/>
      <w:sz w:val="21"/>
      <w:szCs w:val="24"/>
    </w:rPr>
  </w:style>
  <w:style w:type="character" w:customStyle="1" w:styleId="122">
    <w:name w:val="正文缩进 Char"/>
    <w:qFormat/>
    <w:uiPriority w:val="0"/>
    <w:rPr>
      <w:kern w:val="2"/>
      <w:sz w:val="21"/>
    </w:rPr>
  </w:style>
  <w:style w:type="character" w:customStyle="1" w:styleId="123">
    <w:name w:val="正文文本缩进 Char"/>
    <w:qFormat/>
    <w:uiPriority w:val="99"/>
    <w:rPr>
      <w:rFonts w:ascii="宋体" w:hAnsi="Courier New"/>
      <w:spacing w:val="-4"/>
      <w:kern w:val="2"/>
      <w:sz w:val="18"/>
    </w:rPr>
  </w:style>
  <w:style w:type="character" w:customStyle="1" w:styleId="124">
    <w:name w:val="文档结构图 Char"/>
    <w:link w:val="19"/>
    <w:qFormat/>
    <w:uiPriority w:val="0"/>
    <w:rPr>
      <w:rFonts w:eastAsia="宋体"/>
      <w:kern w:val="2"/>
      <w:sz w:val="21"/>
      <w:szCs w:val="24"/>
      <w:lang w:val="en-US" w:eastAsia="zh-CN" w:bidi="ar-SA"/>
    </w:rPr>
  </w:style>
  <w:style w:type="character" w:customStyle="1" w:styleId="125">
    <w:name w:val="正文文本缩进 字符"/>
    <w:qFormat/>
    <w:uiPriority w:val="0"/>
    <w:rPr>
      <w:rFonts w:ascii="宋体" w:hAnsi="Courier New" w:eastAsia="宋体"/>
      <w:spacing w:val="-4"/>
      <w:kern w:val="2"/>
      <w:sz w:val="18"/>
      <w:lang w:val="en-US" w:eastAsia="zh-CN" w:bidi="ar-SA"/>
    </w:rPr>
  </w:style>
  <w:style w:type="character" w:customStyle="1" w:styleId="126">
    <w:name w:val="批注框文本 字符"/>
    <w:semiHidden/>
    <w:qFormat/>
    <w:uiPriority w:val="99"/>
    <w:rPr>
      <w:rFonts w:ascii="Times New Roman" w:hAnsi="Times New Roman" w:eastAsia="宋体"/>
      <w:kern w:val="2"/>
      <w:sz w:val="18"/>
      <w:szCs w:val="18"/>
    </w:rPr>
  </w:style>
  <w:style w:type="character" w:customStyle="1" w:styleId="127">
    <w:name w:val="列出段落 Char"/>
    <w:basedOn w:val="58"/>
    <w:link w:val="128"/>
    <w:qFormat/>
    <w:uiPriority w:val="99"/>
    <w:rPr>
      <w:rFonts w:ascii="Calibri" w:hAnsi="Calibri" w:cs="Calibri"/>
      <w:kern w:val="2"/>
      <w:sz w:val="21"/>
      <w:szCs w:val="21"/>
    </w:rPr>
  </w:style>
  <w:style w:type="paragraph" w:styleId="128">
    <w:name w:val="List Paragraph"/>
    <w:basedOn w:val="1"/>
    <w:link w:val="127"/>
    <w:qFormat/>
    <w:uiPriority w:val="99"/>
    <w:pPr>
      <w:ind w:firstLine="420" w:firstLineChars="200"/>
    </w:pPr>
    <w:rPr>
      <w:rFonts w:ascii="Calibri" w:hAnsi="Calibri" w:cs="Calibri"/>
    </w:rPr>
  </w:style>
  <w:style w:type="character" w:customStyle="1" w:styleId="129">
    <w:name w:val="正文文本缩进 2 Char"/>
    <w:basedOn w:val="58"/>
    <w:link w:val="34"/>
    <w:qFormat/>
    <w:uiPriority w:val="0"/>
    <w:rPr>
      <w:rFonts w:ascii="仿宋_GB2312" w:hAnsi="宋体" w:cs="Arial"/>
      <w:b/>
      <w:bCs/>
      <w:color w:val="000000"/>
      <w:kern w:val="2"/>
      <w:sz w:val="24"/>
      <w:szCs w:val="24"/>
    </w:rPr>
  </w:style>
  <w:style w:type="character" w:customStyle="1" w:styleId="130">
    <w:name w:val="HTML 预设格式 Char"/>
    <w:basedOn w:val="58"/>
    <w:qFormat/>
    <w:uiPriority w:val="0"/>
    <w:rPr>
      <w:rFonts w:ascii="Courier New" w:hAnsi="Courier New" w:cs="Courier New"/>
      <w:kern w:val="2"/>
    </w:rPr>
  </w:style>
  <w:style w:type="character" w:customStyle="1" w:styleId="131">
    <w:name w:val="HTML 预设格式 Char1"/>
    <w:basedOn w:val="58"/>
    <w:link w:val="49"/>
    <w:qFormat/>
    <w:locked/>
    <w:uiPriority w:val="0"/>
    <w:rPr>
      <w:rFonts w:ascii="宋体" w:hAnsi="宋体" w:cs="宋体"/>
      <w:kern w:val="2"/>
      <w:sz w:val="24"/>
      <w:szCs w:val="24"/>
    </w:rPr>
  </w:style>
  <w:style w:type="character" w:customStyle="1" w:styleId="132">
    <w:name w:val="HIK 段分 4 Char"/>
    <w:basedOn w:val="78"/>
    <w:link w:val="133"/>
    <w:qFormat/>
    <w:uiPriority w:val="0"/>
    <w:rPr>
      <w:rFonts w:ascii="宋体" w:hAnsi="等线 Light" w:eastAsia="黑体"/>
      <w:kern w:val="2"/>
      <w:sz w:val="28"/>
      <w:szCs w:val="28"/>
      <w:lang w:val="en-US" w:eastAsia="zh-CN" w:bidi="ar-SA"/>
    </w:rPr>
  </w:style>
  <w:style w:type="paragraph" w:customStyle="1" w:styleId="133">
    <w:name w:val="HIK 段分 4"/>
    <w:basedOn w:val="8"/>
    <w:next w:val="1"/>
    <w:link w:val="132"/>
    <w:qFormat/>
    <w:uiPriority w:val="0"/>
    <w:pPr>
      <w:keepLines w:val="0"/>
      <w:pageBreakBefore/>
      <w:spacing w:before="60" w:after="60" w:line="360" w:lineRule="auto"/>
      <w:ind w:left="864" w:hanging="864"/>
      <w:jc w:val="left"/>
    </w:pPr>
    <w:rPr>
      <w:rFonts w:ascii="宋体" w:hAnsi="等线 Light" w:eastAsia="宋体"/>
    </w:rPr>
  </w:style>
  <w:style w:type="character" w:customStyle="1" w:styleId="134">
    <w:name w:val="副标题 Char1"/>
    <w:basedOn w:val="58"/>
    <w:qFormat/>
    <w:uiPriority w:val="11"/>
    <w:rPr>
      <w:rFonts w:ascii="Cambria" w:hAnsi="Cambria" w:cs="Times New Roman"/>
      <w:b/>
      <w:bCs/>
      <w:kern w:val="28"/>
      <w:sz w:val="32"/>
      <w:szCs w:val="32"/>
      <w:lang w:eastAsia="en-US"/>
    </w:rPr>
  </w:style>
  <w:style w:type="character" w:customStyle="1" w:styleId="135">
    <w:name w:val="批注文字 Char1"/>
    <w:qFormat/>
    <w:uiPriority w:val="0"/>
    <w:rPr>
      <w:kern w:val="2"/>
      <w:sz w:val="21"/>
      <w:szCs w:val="24"/>
    </w:rPr>
  </w:style>
  <w:style w:type="character" w:customStyle="1" w:styleId="136">
    <w:name w:val="页眉 Char"/>
    <w:qFormat/>
    <w:uiPriority w:val="99"/>
    <w:rPr>
      <w:kern w:val="2"/>
      <w:sz w:val="18"/>
      <w:szCs w:val="18"/>
    </w:rPr>
  </w:style>
  <w:style w:type="character" w:customStyle="1" w:styleId="137">
    <w:name w:val="unnamed1"/>
    <w:basedOn w:val="58"/>
    <w:qFormat/>
    <w:uiPriority w:val="0"/>
  </w:style>
  <w:style w:type="character" w:customStyle="1" w:styleId="138">
    <w:name w:val="HIK 段分 3 Char"/>
    <w:basedOn w:val="79"/>
    <w:link w:val="139"/>
    <w:qFormat/>
    <w:uiPriority w:val="0"/>
    <w:rPr>
      <w:rFonts w:ascii="宋体" w:hAnsi="等线" w:eastAsia="仿宋_GB2312"/>
      <w:kern w:val="2"/>
      <w:sz w:val="30"/>
      <w:szCs w:val="32"/>
      <w:lang w:val="en-US" w:eastAsia="zh-CN" w:bidi="ar-SA"/>
    </w:rPr>
  </w:style>
  <w:style w:type="paragraph" w:customStyle="1" w:styleId="139">
    <w:name w:val="HIK 段分 3"/>
    <w:basedOn w:val="7"/>
    <w:next w:val="1"/>
    <w:link w:val="138"/>
    <w:qFormat/>
    <w:uiPriority w:val="0"/>
    <w:pPr>
      <w:keepLines w:val="0"/>
      <w:pageBreakBefore/>
      <w:spacing w:before="80" w:after="80"/>
      <w:ind w:left="720" w:hanging="720" w:firstLineChars="0"/>
      <w:jc w:val="left"/>
    </w:pPr>
    <w:rPr>
      <w:rFonts w:ascii="宋体" w:hAnsi="等线" w:eastAsia="宋体"/>
      <w:szCs w:val="32"/>
    </w:rPr>
  </w:style>
  <w:style w:type="character" w:customStyle="1" w:styleId="140">
    <w:name w:val="批注主题 Char"/>
    <w:link w:val="53"/>
    <w:qFormat/>
    <w:uiPriority w:val="0"/>
    <w:rPr>
      <w:rFonts w:eastAsia="宋体"/>
      <w:b/>
      <w:bCs/>
      <w:kern w:val="2"/>
      <w:sz w:val="21"/>
      <w:szCs w:val="24"/>
      <w:lang w:val="en-US" w:eastAsia="zh-CN" w:bidi="ar-SA"/>
    </w:rPr>
  </w:style>
  <w:style w:type="character" w:customStyle="1" w:styleId="141">
    <w:name w:val="普通文字 Char Char2"/>
    <w:qFormat/>
    <w:uiPriority w:val="0"/>
    <w:rPr>
      <w:rFonts w:ascii="宋体" w:hAnsi="Courier New" w:eastAsia="宋体"/>
      <w:kern w:val="2"/>
      <w:sz w:val="21"/>
      <w:lang w:val="en-US" w:eastAsia="zh-CN" w:bidi="ar-SA"/>
    </w:rPr>
  </w:style>
  <w:style w:type="character" w:customStyle="1" w:styleId="142">
    <w:name w:val="正文文本 2 Char"/>
    <w:basedOn w:val="58"/>
    <w:link w:val="48"/>
    <w:qFormat/>
    <w:uiPriority w:val="0"/>
    <w:rPr>
      <w:kern w:val="2"/>
      <w:sz w:val="21"/>
      <w:szCs w:val="24"/>
    </w:rPr>
  </w:style>
  <w:style w:type="character" w:customStyle="1" w:styleId="143">
    <w:name w:val="HIK 段分 5 Char"/>
    <w:basedOn w:val="82"/>
    <w:link w:val="144"/>
    <w:qFormat/>
    <w:uiPriority w:val="0"/>
    <w:rPr>
      <w:rFonts w:ascii="宋体" w:hAnsi="等线" w:eastAsia="宋体"/>
      <w:kern w:val="2"/>
      <w:sz w:val="24"/>
      <w:szCs w:val="28"/>
      <w:lang w:val="en-US" w:eastAsia="zh-CN" w:bidi="ar-SA"/>
    </w:rPr>
  </w:style>
  <w:style w:type="paragraph" w:customStyle="1" w:styleId="144">
    <w:name w:val="HIK 段分 5"/>
    <w:basedOn w:val="9"/>
    <w:next w:val="1"/>
    <w:link w:val="143"/>
    <w:qFormat/>
    <w:uiPriority w:val="0"/>
    <w:pPr>
      <w:keepLines w:val="0"/>
      <w:pageBreakBefore/>
      <w:spacing w:before="60" w:after="60" w:line="360" w:lineRule="auto"/>
      <w:ind w:left="1008" w:hanging="1008"/>
      <w:jc w:val="left"/>
    </w:pPr>
    <w:rPr>
      <w:rFonts w:ascii="宋体" w:hAnsi="等线"/>
      <w:sz w:val="24"/>
    </w:rPr>
  </w:style>
  <w:style w:type="character" w:customStyle="1" w:styleId="145">
    <w:name w:val="标准正文格式 Char Char"/>
    <w:link w:val="146"/>
    <w:qFormat/>
    <w:uiPriority w:val="0"/>
    <w:rPr>
      <w:rFonts w:ascii="宋体" w:eastAsia="仿宋_GB2312" w:cs="宋体"/>
      <w:color w:val="000000"/>
      <w:sz w:val="24"/>
    </w:rPr>
  </w:style>
  <w:style w:type="paragraph" w:customStyle="1" w:styleId="146">
    <w:name w:val="标准正文格式"/>
    <w:basedOn w:val="1"/>
    <w:link w:val="145"/>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47">
    <w:name w:val="无间隔 Char"/>
    <w:basedOn w:val="58"/>
    <w:link w:val="148"/>
    <w:qFormat/>
    <w:uiPriority w:val="1"/>
    <w:rPr>
      <w:kern w:val="2"/>
      <w:sz w:val="21"/>
      <w:szCs w:val="22"/>
      <w:lang w:val="en-US" w:eastAsia="zh-CN" w:bidi="ar-SA"/>
    </w:rPr>
  </w:style>
  <w:style w:type="paragraph" w:styleId="148">
    <w:name w:val="No Spacing"/>
    <w:link w:val="147"/>
    <w:qFormat/>
    <w:uiPriority w:val="1"/>
    <w:pPr>
      <w:widowControl w:val="0"/>
      <w:spacing w:after="160" w:line="259" w:lineRule="auto"/>
    </w:pPr>
    <w:rPr>
      <w:rFonts w:ascii="Times New Roman" w:hAnsi="Times New Roman" w:eastAsia="宋体" w:cs="Times New Roman"/>
      <w:kern w:val="2"/>
      <w:sz w:val="21"/>
      <w:szCs w:val="22"/>
      <w:lang w:val="en-US" w:eastAsia="zh-CN" w:bidi="ar-SA"/>
    </w:rPr>
  </w:style>
  <w:style w:type="character" w:customStyle="1" w:styleId="149">
    <w:name w:val="正文缩进 字符1"/>
    <w:qFormat/>
    <w:uiPriority w:val="0"/>
    <w:rPr>
      <w:rFonts w:eastAsia="宋体"/>
      <w:kern w:val="2"/>
      <w:sz w:val="21"/>
      <w:lang w:val="en-US" w:eastAsia="zh-CN" w:bidi="ar-SA"/>
    </w:rPr>
  </w:style>
  <w:style w:type="paragraph" w:customStyle="1" w:styleId="150">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151">
    <w:name w:val="TOC 标题1"/>
    <w:basedOn w:val="4"/>
    <w:next w:val="1"/>
    <w:qFormat/>
    <w:uiPriority w:val="0"/>
    <w:pPr>
      <w:widowControl/>
      <w:spacing w:before="480" w:line="276" w:lineRule="auto"/>
      <w:outlineLvl w:val="9"/>
    </w:pPr>
    <w:rPr>
      <w:rFonts w:ascii="Cambria" w:hAnsi="Cambria"/>
      <w:color w:val="365F91"/>
      <w:kern w:val="0"/>
      <w:sz w:val="28"/>
      <w:szCs w:val="28"/>
    </w:rPr>
  </w:style>
  <w:style w:type="paragraph" w:customStyle="1" w:styleId="152">
    <w:name w:val="Default"/>
    <w:qFormat/>
    <w:uiPriority w:val="0"/>
    <w:pPr>
      <w:widowControl w:val="0"/>
      <w:autoSpaceDE w:val="0"/>
      <w:autoSpaceDN w:val="0"/>
      <w:adjustRightInd w:val="0"/>
      <w:spacing w:before="120" w:after="120" w:line="259" w:lineRule="auto"/>
    </w:pPr>
    <w:rPr>
      <w:rFonts w:ascii="宋体" w:hAnsi="Times New Roman" w:eastAsia="宋体" w:cs="宋体"/>
      <w:color w:val="000000"/>
      <w:sz w:val="24"/>
      <w:szCs w:val="24"/>
      <w:lang w:val="en-US" w:eastAsia="zh-CN" w:bidi="ar-SA"/>
    </w:rPr>
  </w:style>
  <w:style w:type="paragraph" w:customStyle="1" w:styleId="153">
    <w:name w:val="正文 New"/>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54">
    <w:name w:val="纯文本11"/>
    <w:basedOn w:val="1"/>
    <w:qFormat/>
    <w:uiPriority w:val="0"/>
    <w:pPr>
      <w:adjustRightInd w:val="0"/>
      <w:textAlignment w:val="baseline"/>
    </w:pPr>
    <w:rPr>
      <w:rFonts w:ascii="宋体" w:hAnsi="Courier New" w:eastAsia="楷体_GB2312"/>
      <w:sz w:val="26"/>
      <w:szCs w:val="20"/>
    </w:rPr>
  </w:style>
  <w:style w:type="paragraph" w:customStyle="1" w:styleId="155">
    <w:name w:val="TOC 标题11"/>
    <w:basedOn w:val="4"/>
    <w:next w:val="1"/>
    <w:qFormat/>
    <w:uiPriority w:val="39"/>
    <w:pPr>
      <w:widowControl/>
      <w:spacing w:before="480" w:line="276" w:lineRule="auto"/>
      <w:outlineLvl w:val="9"/>
    </w:pPr>
    <w:rPr>
      <w:rFonts w:ascii="Cambria" w:hAnsi="Cambria"/>
      <w:color w:val="365F91"/>
      <w:kern w:val="0"/>
      <w:sz w:val="28"/>
      <w:szCs w:val="28"/>
    </w:rPr>
  </w:style>
  <w:style w:type="paragraph" w:customStyle="1" w:styleId="156">
    <w:name w:val="xl8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157">
    <w:name w:val="Char"/>
    <w:basedOn w:val="1"/>
    <w:qFormat/>
    <w:uiPriority w:val="0"/>
    <w:pPr>
      <w:tabs>
        <w:tab w:val="left" w:pos="360"/>
      </w:tabs>
    </w:pPr>
    <w:rPr>
      <w:sz w:val="24"/>
    </w:rPr>
  </w:style>
  <w:style w:type="paragraph" w:customStyle="1" w:styleId="158">
    <w:name w:val="正文段"/>
    <w:basedOn w:val="1"/>
    <w:qFormat/>
    <w:uiPriority w:val="0"/>
    <w:pPr>
      <w:widowControl/>
      <w:snapToGrid w:val="0"/>
      <w:spacing w:afterLines="50"/>
      <w:ind w:firstLine="200" w:firstLineChars="200"/>
    </w:pPr>
    <w:rPr>
      <w:sz w:val="24"/>
      <w:szCs w:val="20"/>
    </w:rPr>
  </w:style>
  <w:style w:type="paragraph" w:customStyle="1" w:styleId="159">
    <w:name w:val="font6"/>
    <w:basedOn w:val="1"/>
    <w:qFormat/>
    <w:uiPriority w:val="0"/>
    <w:pPr>
      <w:widowControl/>
      <w:spacing w:before="100" w:beforeAutospacing="1" w:after="100" w:afterAutospacing="1"/>
      <w:jc w:val="left"/>
    </w:pPr>
    <w:rPr>
      <w:rFonts w:ascii="宋体" w:hAnsi="宋体" w:cs="宋体"/>
      <w:color w:val="000000"/>
      <w:sz w:val="18"/>
      <w:szCs w:val="18"/>
    </w:rPr>
  </w:style>
  <w:style w:type="paragraph" w:customStyle="1" w:styleId="160">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161">
    <w:name w:val="p17"/>
    <w:basedOn w:val="1"/>
    <w:qFormat/>
    <w:uiPriority w:val="0"/>
    <w:pPr>
      <w:widowControl/>
    </w:pPr>
  </w:style>
  <w:style w:type="paragraph" w:customStyle="1" w:styleId="1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16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sz w:val="18"/>
      <w:szCs w:val="18"/>
    </w:rPr>
  </w:style>
  <w:style w:type="paragraph" w:customStyle="1" w:styleId="164">
    <w:name w:val="Char Char1 Char"/>
    <w:basedOn w:val="1"/>
    <w:qFormat/>
    <w:uiPriority w:val="0"/>
    <w:pPr>
      <w:tabs>
        <w:tab w:val="left" w:pos="360"/>
      </w:tabs>
    </w:pPr>
    <w:rPr>
      <w:sz w:val="24"/>
    </w:rPr>
  </w:style>
  <w:style w:type="paragraph" w:customStyle="1" w:styleId="165">
    <w:name w:val="默认段落字体 Para Char Char Char Char Char Char Char Char Char1 Char Char Char Char"/>
    <w:basedOn w:val="1"/>
    <w:qFormat/>
    <w:uiPriority w:val="0"/>
    <w:rPr>
      <w:rFonts w:ascii="Tahoma" w:hAnsi="Tahoma"/>
      <w:sz w:val="24"/>
      <w:szCs w:val="20"/>
    </w:rPr>
  </w:style>
  <w:style w:type="paragraph" w:customStyle="1" w:styleId="166">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167">
    <w:name w:val="正文1"/>
    <w:qFormat/>
    <w:uiPriority w:val="0"/>
    <w:pPr>
      <w:widowControl w:val="0"/>
      <w:spacing w:after="160" w:line="259" w:lineRule="auto"/>
      <w:jc w:val="both"/>
    </w:pPr>
    <w:rPr>
      <w:rFonts w:hint="eastAsia" w:ascii="Times New Roman" w:hAnsi="Times New Roman" w:eastAsia="宋体" w:cs="Times New Roman"/>
      <w:kern w:val="2"/>
      <w:sz w:val="21"/>
      <w:lang w:val="en-US" w:eastAsia="zh-CN" w:bidi="ar-SA"/>
    </w:rPr>
  </w:style>
  <w:style w:type="paragraph" w:customStyle="1" w:styleId="168">
    <w:name w:val="1 Char Char Char Char"/>
    <w:basedOn w:val="1"/>
    <w:qFormat/>
    <w:uiPriority w:val="0"/>
    <w:rPr>
      <w:rFonts w:ascii="Tahoma" w:hAnsi="Tahoma"/>
      <w:sz w:val="24"/>
      <w:szCs w:val="20"/>
    </w:rPr>
  </w:style>
  <w:style w:type="paragraph" w:customStyle="1" w:styleId="169">
    <w:name w:val="正文 New New New New"/>
    <w:qFormat/>
    <w:uiPriority w:val="0"/>
    <w:pPr>
      <w:widowControl w:val="0"/>
      <w:spacing w:after="160" w:line="259" w:lineRule="auto"/>
      <w:jc w:val="both"/>
    </w:pPr>
    <w:rPr>
      <w:rFonts w:ascii="Times New Roman" w:hAnsi="Times New Roman" w:eastAsia="Arial Black" w:cs="Arial Black"/>
      <w:color w:val="000000"/>
      <w:u w:color="000000"/>
      <w:lang w:val="en-US" w:eastAsia="zh-CN" w:bidi="ar-SA"/>
    </w:rPr>
  </w:style>
  <w:style w:type="paragraph" w:customStyle="1" w:styleId="170">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171">
    <w:name w:val="GTA正文-2"/>
    <w:basedOn w:val="1"/>
    <w:qFormat/>
    <w:uiPriority w:val="0"/>
    <w:pPr>
      <w:snapToGrid w:val="0"/>
      <w:spacing w:beforeLines="50" w:after="156" w:line="480" w:lineRule="atLeast"/>
      <w:ind w:firstLine="480" w:firstLineChars="200"/>
      <w:jc w:val="left"/>
    </w:pPr>
    <w:rPr>
      <w:rFonts w:ascii="微软雅黑" w:hAnsi="微软雅黑" w:cs="Arial"/>
      <w:sz w:val="24"/>
      <w:lang w:eastAsia="en-US"/>
    </w:rPr>
  </w:style>
  <w:style w:type="paragraph" w:customStyle="1" w:styleId="17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sz w:val="18"/>
      <w:szCs w:val="18"/>
    </w:rPr>
  </w:style>
  <w:style w:type="paragraph" w:customStyle="1" w:styleId="173">
    <w:name w:val="正文－恩普"/>
    <w:basedOn w:val="17"/>
    <w:qFormat/>
    <w:uiPriority w:val="0"/>
    <w:pPr>
      <w:widowControl/>
      <w:spacing w:line="360" w:lineRule="auto"/>
      <w:ind w:firstLine="480" w:firstLineChars="200"/>
      <w:jc w:val="left"/>
    </w:pPr>
    <w:rPr>
      <w:sz w:val="24"/>
    </w:rPr>
  </w:style>
  <w:style w:type="paragraph" w:customStyle="1" w:styleId="174">
    <w:name w:val="表内文字"/>
    <w:basedOn w:val="1"/>
    <w:qFormat/>
    <w:uiPriority w:val="0"/>
    <w:pPr>
      <w:jc w:val="center"/>
    </w:pPr>
    <w:rPr>
      <w:rFonts w:ascii="仿宋_GB2312" w:eastAsia="仿宋_GB2312"/>
      <w:sz w:val="24"/>
    </w:rPr>
  </w:style>
  <w:style w:type="paragraph" w:customStyle="1" w:styleId="1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176">
    <w:name w:val="正文 New New New New New New"/>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customStyle="1" w:styleId="17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178">
    <w:name w:val="xl71"/>
    <w:basedOn w:val="1"/>
    <w:qFormat/>
    <w:uiPriority w:val="0"/>
    <w:pPr>
      <w:widowControl/>
      <w:spacing w:before="100" w:beforeAutospacing="1" w:after="100" w:afterAutospacing="1"/>
      <w:jc w:val="left"/>
    </w:pPr>
    <w:rPr>
      <w:rFonts w:ascii="宋体" w:hAnsi="宋体" w:cs="宋体"/>
      <w:sz w:val="18"/>
      <w:szCs w:val="18"/>
    </w:rPr>
  </w:style>
  <w:style w:type="paragraph" w:customStyle="1" w:styleId="17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18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sz w:val="18"/>
      <w:szCs w:val="18"/>
    </w:rPr>
  </w:style>
  <w:style w:type="paragraph" w:customStyle="1" w:styleId="181">
    <w:name w:val="font9"/>
    <w:basedOn w:val="1"/>
    <w:qFormat/>
    <w:uiPriority w:val="0"/>
    <w:pPr>
      <w:widowControl/>
      <w:spacing w:before="100" w:beforeAutospacing="1" w:after="100" w:afterAutospacing="1"/>
      <w:jc w:val="left"/>
    </w:pPr>
    <w:rPr>
      <w:rFonts w:ascii="宋体" w:hAnsi="宋体" w:cs="宋体"/>
      <w:color w:val="FF0000"/>
      <w:sz w:val="20"/>
      <w:szCs w:val="20"/>
    </w:rPr>
  </w:style>
  <w:style w:type="paragraph" w:customStyle="1" w:styleId="182">
    <w:name w:val="Char1"/>
    <w:basedOn w:val="1"/>
    <w:qFormat/>
    <w:uiPriority w:val="0"/>
    <w:rPr>
      <w:rFonts w:ascii="仿宋_GB2312" w:eastAsia="仿宋_GB2312"/>
      <w:b/>
      <w:sz w:val="32"/>
      <w:szCs w:val="32"/>
    </w:rPr>
  </w:style>
  <w:style w:type="paragraph" w:customStyle="1" w:styleId="183">
    <w:name w:val="纯文本12"/>
    <w:basedOn w:val="1"/>
    <w:qFormat/>
    <w:uiPriority w:val="0"/>
    <w:pPr>
      <w:spacing w:afterLines="50"/>
    </w:pPr>
    <w:rPr>
      <w:rFonts w:ascii="宋体" w:hAnsi="Courier New"/>
      <w:sz w:val="24"/>
      <w:szCs w:val="20"/>
    </w:rPr>
  </w:style>
  <w:style w:type="paragraph" w:customStyle="1" w:styleId="184">
    <w:name w:val="Char Char Char Char Char Char Char"/>
    <w:basedOn w:val="1"/>
    <w:qFormat/>
    <w:uiPriority w:val="0"/>
  </w:style>
  <w:style w:type="paragraph" w:customStyle="1" w:styleId="18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sz w:val="18"/>
      <w:szCs w:val="18"/>
    </w:rPr>
  </w:style>
  <w:style w:type="paragraph" w:customStyle="1" w:styleId="186">
    <w:name w:val="p16"/>
    <w:basedOn w:val="1"/>
    <w:qFormat/>
    <w:uiPriority w:val="0"/>
    <w:pPr>
      <w:widowControl/>
    </w:pPr>
  </w:style>
  <w:style w:type="paragraph" w:customStyle="1" w:styleId="187">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188">
    <w:name w:val="HIK图文"/>
    <w:qFormat/>
    <w:uiPriority w:val="0"/>
    <w:pPr>
      <w:spacing w:after="160" w:line="360" w:lineRule="auto"/>
      <w:jc w:val="center"/>
    </w:pPr>
    <w:rPr>
      <w:rFonts w:ascii="宋体" w:hAnsi="等线" w:eastAsia="宋体" w:cs="Times New Roman"/>
      <w:kern w:val="2"/>
      <w:sz w:val="24"/>
      <w:szCs w:val="22"/>
      <w:lang w:val="en-US" w:eastAsia="zh-CN" w:bidi="ar-SA"/>
    </w:rPr>
  </w:style>
  <w:style w:type="paragraph" w:customStyle="1" w:styleId="189">
    <w:name w:val="HIK项目标号"/>
    <w:basedOn w:val="1"/>
    <w:next w:val="1"/>
    <w:qFormat/>
    <w:uiPriority w:val="0"/>
    <w:pPr>
      <w:spacing w:line="360" w:lineRule="auto"/>
      <w:ind w:left="420" w:firstLine="200" w:firstLineChars="200"/>
      <w:jc w:val="left"/>
    </w:pPr>
    <w:rPr>
      <w:rFonts w:ascii="Arial" w:hAnsi="Arial" w:cs="宋体"/>
      <w:sz w:val="24"/>
      <w:szCs w:val="20"/>
    </w:rPr>
  </w:style>
  <w:style w:type="paragraph" w:customStyle="1" w:styleId="190">
    <w:name w:val="Char Char Char Char Char Char"/>
    <w:basedOn w:val="1"/>
    <w:qFormat/>
    <w:uiPriority w:val="0"/>
    <w:pPr>
      <w:ind w:firstLine="200" w:firstLineChars="200"/>
    </w:pPr>
  </w:style>
  <w:style w:type="paragraph" w:customStyle="1" w:styleId="191">
    <w:name w:val="默认段落字体 Para Char Char Char Char"/>
    <w:basedOn w:val="1"/>
    <w:qFormat/>
    <w:uiPriority w:val="0"/>
  </w:style>
  <w:style w:type="paragraph" w:customStyle="1" w:styleId="192">
    <w:name w:val="font10"/>
    <w:basedOn w:val="1"/>
    <w:qFormat/>
    <w:uiPriority w:val="0"/>
    <w:pPr>
      <w:widowControl/>
      <w:spacing w:before="100" w:beforeAutospacing="1" w:after="100" w:afterAutospacing="1"/>
      <w:jc w:val="left"/>
    </w:pPr>
    <w:rPr>
      <w:rFonts w:ascii="宋体" w:hAnsi="宋体" w:cs="宋体"/>
      <w:color w:val="FF0000"/>
      <w:sz w:val="18"/>
      <w:szCs w:val="18"/>
    </w:rPr>
  </w:style>
  <w:style w:type="paragraph" w:customStyle="1" w:styleId="193">
    <w:name w:val="正文2"/>
    <w:link w:val="540"/>
    <w:qFormat/>
    <w:uiPriority w:val="0"/>
    <w:pPr>
      <w:widowControl w:val="0"/>
      <w:spacing w:after="160" w:line="259" w:lineRule="auto"/>
      <w:jc w:val="both"/>
    </w:pPr>
    <w:rPr>
      <w:rFonts w:hint="eastAsia" w:ascii="Times New Roman" w:hAnsi="Times New Roman" w:eastAsia="宋体" w:cs="Times New Roman"/>
      <w:kern w:val="2"/>
      <w:sz w:val="21"/>
      <w:lang w:val="en-US" w:eastAsia="zh-CN" w:bidi="ar-SA"/>
    </w:rPr>
  </w:style>
  <w:style w:type="table" w:customStyle="1" w:styleId="194">
    <w:name w:val="Table Normal"/>
    <w:basedOn w:val="55"/>
    <w:unhideWhenUsed/>
    <w:qFormat/>
    <w:uiPriority w:val="2"/>
    <w:pPr>
      <w:widowControl w:val="0"/>
    </w:pPr>
    <w:rPr>
      <w:sz w:val="22"/>
      <w:szCs w:val="22"/>
      <w:lang w:eastAsia="en-US"/>
    </w:rPr>
    <w:tblPr>
      <w:tblCellMar>
        <w:left w:w="0" w:type="dxa"/>
        <w:right w:w="0" w:type="dxa"/>
      </w:tblCellMar>
    </w:tblPr>
  </w:style>
  <w:style w:type="paragraph" w:customStyle="1" w:styleId="195">
    <w:name w:val="1"/>
    <w:basedOn w:val="4"/>
    <w:qFormat/>
    <w:uiPriority w:val="0"/>
    <w:pPr>
      <w:adjustRightInd w:val="0"/>
      <w:snapToGrid w:val="0"/>
      <w:spacing w:before="240" w:after="240" w:line="348" w:lineRule="auto"/>
    </w:pPr>
    <w:rPr>
      <w:rFonts w:ascii="Calibri" w:hAnsi="Calibri" w:eastAsia="宋体" w:cs="宋体"/>
    </w:rPr>
  </w:style>
  <w:style w:type="character" w:customStyle="1" w:styleId="196">
    <w:name w:val="bookmark-item"/>
    <w:basedOn w:val="58"/>
    <w:qFormat/>
    <w:uiPriority w:val="0"/>
  </w:style>
  <w:style w:type="character" w:customStyle="1" w:styleId="197">
    <w:name w:val="sub"/>
    <w:basedOn w:val="58"/>
    <w:qFormat/>
    <w:uiPriority w:val="0"/>
  </w:style>
  <w:style w:type="paragraph" w:customStyle="1" w:styleId="198">
    <w:name w:val="样式 段 + 四号 首行缩进:  2 字符 行距: 1.5 倍行距"/>
    <w:basedOn w:val="1"/>
    <w:qFormat/>
    <w:uiPriority w:val="0"/>
    <w:pPr>
      <w:widowControl/>
      <w:autoSpaceDE w:val="0"/>
      <w:autoSpaceDN w:val="0"/>
      <w:ind w:firstLine="560" w:firstLineChars="200"/>
    </w:pPr>
    <w:rPr>
      <w:rFonts w:ascii="宋体" w:cs="宋体"/>
      <w:szCs w:val="22"/>
    </w:rPr>
  </w:style>
  <w:style w:type="paragraph" w:customStyle="1" w:styleId="199">
    <w:name w:val="正文_0"/>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200">
    <w:name w:val="font01"/>
    <w:qFormat/>
    <w:uiPriority w:val="0"/>
    <w:rPr>
      <w:rFonts w:hint="default" w:ascii="Times New Roman" w:hAnsi="Times New Roman" w:cs="Times New Roman"/>
      <w:color w:val="000000"/>
      <w:sz w:val="21"/>
      <w:szCs w:val="21"/>
      <w:u w:val="none"/>
    </w:rPr>
  </w:style>
  <w:style w:type="character" w:customStyle="1" w:styleId="201">
    <w:name w:val="脚注文本 Char"/>
    <w:basedOn w:val="58"/>
    <w:link w:val="42"/>
    <w:qFormat/>
    <w:uiPriority w:val="0"/>
    <w:rPr>
      <w:rFonts w:ascii="Calibri" w:hAnsi="Calibri"/>
      <w:kern w:val="2"/>
      <w:sz w:val="18"/>
      <w:szCs w:val="24"/>
    </w:rPr>
  </w:style>
  <w:style w:type="paragraph" w:customStyle="1" w:styleId="202">
    <w:name w:val="CM11"/>
    <w:basedOn w:val="152"/>
    <w:next w:val="152"/>
    <w:unhideWhenUsed/>
    <w:qFormat/>
    <w:uiPriority w:val="99"/>
    <w:pPr>
      <w:spacing w:before="0" w:after="0" w:line="520" w:lineRule="atLeast"/>
    </w:pPr>
    <w:rPr>
      <w:rFonts w:hint="eastAsia" w:ascii="仿宋" w:eastAsia="仿宋" w:cs="Times New Roman"/>
      <w:szCs w:val="20"/>
    </w:rPr>
  </w:style>
  <w:style w:type="paragraph" w:customStyle="1" w:styleId="203">
    <w:name w:val="列出段落2"/>
    <w:basedOn w:val="1"/>
    <w:qFormat/>
    <w:uiPriority w:val="0"/>
    <w:pPr>
      <w:spacing w:after="0" w:line="240" w:lineRule="auto"/>
      <w:ind w:firstLine="420" w:firstLineChars="200"/>
    </w:pPr>
  </w:style>
  <w:style w:type="character" w:customStyle="1" w:styleId="204">
    <w:name w:val="正文首行缩进 2 Char"/>
    <w:basedOn w:val="102"/>
    <w:link w:val="54"/>
    <w:qFormat/>
    <w:uiPriority w:val="0"/>
    <w:rPr>
      <w:rFonts w:ascii="宋体" w:hAnsi="Courier New" w:eastAsia="宋体"/>
      <w:spacing w:val="-4"/>
      <w:kern w:val="2"/>
      <w:sz w:val="24"/>
      <w:lang w:val="en-US" w:eastAsia="zh-CN" w:bidi="ar-SA"/>
    </w:rPr>
  </w:style>
  <w:style w:type="character" w:customStyle="1" w:styleId="205">
    <w:name w:val="列出段落 Char2"/>
    <w:qFormat/>
    <w:uiPriority w:val="34"/>
    <w:rPr>
      <w:kern w:val="2"/>
      <w:sz w:val="21"/>
      <w:szCs w:val="22"/>
    </w:rPr>
  </w:style>
  <w:style w:type="paragraph" w:customStyle="1" w:styleId="206">
    <w:name w:val="字元 字元"/>
    <w:basedOn w:val="1"/>
    <w:qFormat/>
    <w:uiPriority w:val="0"/>
    <w:pPr>
      <w:widowControl/>
      <w:spacing w:line="240" w:lineRule="exact"/>
      <w:jc w:val="left"/>
    </w:pPr>
    <w:rPr>
      <w:rFonts w:ascii="Verdana" w:hAnsi="Verdana"/>
      <w:sz w:val="20"/>
      <w:szCs w:val="20"/>
      <w:lang w:eastAsia="en-US"/>
    </w:rPr>
  </w:style>
  <w:style w:type="character" w:customStyle="1" w:styleId="207">
    <w:name w:val="样式 标题 5 + (西文) 黑体 三号 Char Char Char Char Char Char Char"/>
    <w:qFormat/>
    <w:uiPriority w:val="0"/>
    <w:rPr>
      <w:rFonts w:ascii="黑体" w:hAnsi="黑体" w:eastAsia="宋体"/>
      <w:bCs/>
      <w:kern w:val="2"/>
      <w:sz w:val="24"/>
      <w:szCs w:val="28"/>
      <w:lang w:val="en-US" w:eastAsia="zh-CN" w:bidi="ar-SA"/>
    </w:rPr>
  </w:style>
  <w:style w:type="paragraph" w:customStyle="1" w:styleId="208">
    <w:name w:val="列出段落3"/>
    <w:basedOn w:val="1"/>
    <w:qFormat/>
    <w:uiPriority w:val="0"/>
    <w:pPr>
      <w:spacing w:after="0" w:line="240" w:lineRule="auto"/>
      <w:ind w:firstLine="420" w:firstLineChars="200"/>
    </w:pPr>
    <w:rPr>
      <w:rFonts w:ascii="Calibri" w:hAnsi="Calibri"/>
      <w:szCs w:val="22"/>
    </w:rPr>
  </w:style>
  <w:style w:type="paragraph" w:customStyle="1" w:styleId="209">
    <w:name w:val="字元 字元11"/>
    <w:basedOn w:val="1"/>
    <w:qFormat/>
    <w:uiPriority w:val="0"/>
    <w:pPr>
      <w:widowControl/>
      <w:spacing w:line="240" w:lineRule="exact"/>
      <w:jc w:val="left"/>
    </w:pPr>
    <w:rPr>
      <w:sz w:val="28"/>
      <w:szCs w:val="20"/>
    </w:rPr>
  </w:style>
  <w:style w:type="paragraph" w:customStyle="1" w:styleId="210">
    <w:name w:val="TOC 标题2"/>
    <w:basedOn w:val="4"/>
    <w:next w:val="1"/>
    <w:qFormat/>
    <w:uiPriority w:val="39"/>
    <w:pPr>
      <w:widowControl/>
      <w:spacing w:before="480" w:after="0" w:line="276" w:lineRule="auto"/>
      <w:outlineLvl w:val="9"/>
    </w:pPr>
    <w:rPr>
      <w:rFonts w:ascii="Cambria" w:hAnsi="Cambria" w:eastAsia="宋体"/>
      <w:color w:val="365F91"/>
      <w:kern w:val="0"/>
      <w:sz w:val="28"/>
      <w:szCs w:val="28"/>
    </w:rPr>
  </w:style>
  <w:style w:type="paragraph" w:customStyle="1" w:styleId="211">
    <w:name w:val="封面第一行"/>
    <w:basedOn w:val="1"/>
    <w:qFormat/>
    <w:uiPriority w:val="0"/>
    <w:pPr>
      <w:spacing w:after="0" w:line="360" w:lineRule="auto"/>
      <w:jc w:val="center"/>
    </w:pPr>
    <w:rPr>
      <w:rFonts w:ascii="黑体" w:hAnsi="宋体" w:eastAsia="黑体" w:cs="宋体"/>
      <w:sz w:val="56"/>
      <w:szCs w:val="20"/>
    </w:rPr>
  </w:style>
  <w:style w:type="paragraph" w:customStyle="1" w:styleId="212">
    <w:name w:val="字元 字元1"/>
    <w:basedOn w:val="1"/>
    <w:qFormat/>
    <w:uiPriority w:val="0"/>
    <w:pPr>
      <w:widowControl/>
      <w:spacing w:line="240" w:lineRule="exact"/>
      <w:jc w:val="left"/>
    </w:pPr>
    <w:rPr>
      <w:sz w:val="28"/>
      <w:szCs w:val="20"/>
    </w:rPr>
  </w:style>
  <w:style w:type="character" w:customStyle="1" w:styleId="213">
    <w:name w:val="普通文字 Char Char1"/>
    <w:qFormat/>
    <w:uiPriority w:val="0"/>
    <w:rPr>
      <w:rFonts w:ascii="宋体" w:hAnsi="Courier New" w:eastAsia="宋体"/>
      <w:kern w:val="2"/>
      <w:sz w:val="24"/>
      <w:szCs w:val="24"/>
      <w:lang w:val="en-US" w:eastAsia="zh-CN" w:bidi="ar-SA"/>
    </w:rPr>
  </w:style>
  <w:style w:type="character" w:customStyle="1" w:styleId="214">
    <w:name w:val="Heading 0 Char"/>
    <w:qFormat/>
    <w:uiPriority w:val="0"/>
    <w:rPr>
      <w:rFonts w:eastAsia="宋体"/>
      <w:b/>
      <w:bCs/>
      <w:kern w:val="44"/>
      <w:sz w:val="32"/>
      <w:szCs w:val="44"/>
      <w:lang w:val="en-US" w:eastAsia="zh-CN" w:bidi="ar-SA"/>
    </w:rPr>
  </w:style>
  <w:style w:type="character" w:customStyle="1" w:styleId="215">
    <w:name w:val="Heading 2 Hidden Char"/>
    <w:qFormat/>
    <w:uiPriority w:val="0"/>
    <w:rPr>
      <w:rFonts w:ascii="Arial" w:hAnsi="Arial" w:eastAsia="黑体"/>
      <w:b/>
      <w:bCs/>
      <w:kern w:val="2"/>
      <w:sz w:val="32"/>
      <w:szCs w:val="32"/>
      <w:lang w:val="en-US" w:eastAsia="zh-CN" w:bidi="ar-SA"/>
    </w:rPr>
  </w:style>
  <w:style w:type="character" w:customStyle="1" w:styleId="216">
    <w:name w:val="h4 Char1"/>
    <w:qFormat/>
    <w:uiPriority w:val="0"/>
    <w:rPr>
      <w:rFonts w:ascii="Cambria" w:hAnsi="Cambria" w:eastAsia="宋体" w:cs="Times New Roman"/>
      <w:b/>
      <w:bCs/>
      <w:kern w:val="2"/>
      <w:sz w:val="28"/>
      <w:szCs w:val="28"/>
    </w:rPr>
  </w:style>
  <w:style w:type="character" w:customStyle="1" w:styleId="217">
    <w:name w:val="h5 Char"/>
    <w:qFormat/>
    <w:uiPriority w:val="0"/>
    <w:rPr>
      <w:rFonts w:eastAsia="宋体"/>
      <w:b/>
      <w:bCs/>
      <w:kern w:val="2"/>
      <w:sz w:val="28"/>
      <w:szCs w:val="28"/>
      <w:lang w:val="en-US" w:eastAsia="zh-CN" w:bidi="ar-SA"/>
    </w:rPr>
  </w:style>
  <w:style w:type="character" w:customStyle="1" w:styleId="218">
    <w:name w:val="表正文 Char"/>
    <w:qFormat/>
    <w:uiPriority w:val="0"/>
    <w:rPr>
      <w:rFonts w:eastAsia="宋体"/>
      <w:kern w:val="2"/>
      <w:sz w:val="21"/>
      <w:lang w:val="en-US" w:eastAsia="zh-CN" w:bidi="ar-SA"/>
    </w:rPr>
  </w:style>
  <w:style w:type="character" w:customStyle="1" w:styleId="219">
    <w:name w:val="Char Char20"/>
    <w:qFormat/>
    <w:uiPriority w:val="0"/>
    <w:rPr>
      <w:rFonts w:ascii="仿宋_GB2312" w:hAnsi="宋体" w:eastAsia="仿宋_GB2312"/>
      <w:color w:val="000000"/>
      <w:kern w:val="2"/>
      <w:sz w:val="24"/>
      <w:szCs w:val="24"/>
    </w:rPr>
  </w:style>
  <w:style w:type="character" w:customStyle="1" w:styleId="220">
    <w:name w:val="Char Char19"/>
    <w:qFormat/>
    <w:locked/>
    <w:uiPriority w:val="0"/>
    <w:rPr>
      <w:rFonts w:eastAsia="黑体"/>
      <w:snapToGrid w:val="0"/>
      <w:sz w:val="18"/>
      <w:szCs w:val="18"/>
    </w:rPr>
  </w:style>
  <w:style w:type="character" w:customStyle="1" w:styleId="221">
    <w:name w:val="Char Char18"/>
    <w:qFormat/>
    <w:locked/>
    <w:uiPriority w:val="0"/>
    <w:rPr>
      <w:kern w:val="2"/>
      <w:sz w:val="18"/>
      <w:szCs w:val="18"/>
    </w:rPr>
  </w:style>
  <w:style w:type="character" w:customStyle="1" w:styleId="222">
    <w:name w:val="Char Char16"/>
    <w:qFormat/>
    <w:uiPriority w:val="0"/>
    <w:rPr>
      <w:rFonts w:eastAsia="楷体_GB2312"/>
      <w:kern w:val="2"/>
      <w:sz w:val="32"/>
    </w:rPr>
  </w:style>
  <w:style w:type="character" w:customStyle="1" w:styleId="223">
    <w:name w:val="正文文字首行缩进 Char"/>
    <w:qFormat/>
    <w:uiPriority w:val="0"/>
    <w:rPr>
      <w:rFonts w:ascii="宋体" w:hAnsi="Courier New"/>
      <w:spacing w:val="-4"/>
      <w:kern w:val="2"/>
      <w:sz w:val="18"/>
    </w:rPr>
  </w:style>
  <w:style w:type="paragraph" w:customStyle="1" w:styleId="224">
    <w:name w:val="Char21"/>
    <w:basedOn w:val="4"/>
    <w:qFormat/>
    <w:uiPriority w:val="0"/>
    <w:pPr>
      <w:adjustRightInd w:val="0"/>
      <w:snapToGrid w:val="0"/>
      <w:spacing w:before="240" w:after="240" w:line="348" w:lineRule="auto"/>
    </w:pPr>
    <w:rPr>
      <w:rFonts w:eastAsia="宋体"/>
    </w:rPr>
  </w:style>
  <w:style w:type="paragraph" w:customStyle="1" w:styleId="225">
    <w:name w:val="f1"/>
    <w:basedOn w:val="1"/>
    <w:qFormat/>
    <w:uiPriority w:val="0"/>
    <w:pPr>
      <w:widowControl/>
      <w:spacing w:before="100" w:beforeAutospacing="1" w:after="100" w:afterAutospacing="1" w:line="240" w:lineRule="auto"/>
      <w:jc w:val="center"/>
    </w:pPr>
    <w:rPr>
      <w:rFonts w:ascii="Algerian" w:hAnsi="Algerian" w:cs="Algerian"/>
      <w:b/>
      <w:bCs/>
      <w:color w:val="FF8080"/>
      <w:spacing w:val="160"/>
      <w:sz w:val="80"/>
      <w:szCs w:val="80"/>
    </w:rPr>
  </w:style>
  <w:style w:type="paragraph" w:customStyle="1" w:styleId="226">
    <w:name w:val="Char Char Char Char Char Char1"/>
    <w:basedOn w:val="1"/>
    <w:qFormat/>
    <w:uiPriority w:val="0"/>
    <w:pPr>
      <w:widowControl/>
      <w:spacing w:line="240" w:lineRule="exact"/>
      <w:jc w:val="left"/>
    </w:pPr>
    <w:rPr>
      <w:szCs w:val="20"/>
    </w:rPr>
  </w:style>
  <w:style w:type="paragraph" w:customStyle="1" w:styleId="227">
    <w:name w:val="Plain Text1"/>
    <w:basedOn w:val="1"/>
    <w:qFormat/>
    <w:uiPriority w:val="0"/>
    <w:pPr>
      <w:adjustRightInd w:val="0"/>
      <w:spacing w:after="0" w:line="240" w:lineRule="auto"/>
      <w:textAlignment w:val="baseline"/>
    </w:pPr>
    <w:rPr>
      <w:rFonts w:ascii="宋体" w:hAnsi="Courier New" w:eastAsia="楷体_GB2312"/>
      <w:sz w:val="26"/>
      <w:szCs w:val="20"/>
    </w:rPr>
  </w:style>
  <w:style w:type="character" w:customStyle="1" w:styleId="228">
    <w:name w:val="Char Char"/>
    <w:qFormat/>
    <w:uiPriority w:val="0"/>
    <w:rPr>
      <w:rFonts w:ascii="宋体" w:hAnsi="Courier New" w:eastAsia="楷体_GB2312"/>
      <w:kern w:val="2"/>
      <w:sz w:val="26"/>
      <w:lang w:val="en-US" w:eastAsia="zh-CN" w:bidi="ar-SA"/>
    </w:rPr>
  </w:style>
  <w:style w:type="paragraph" w:customStyle="1" w:styleId="229">
    <w:name w:val="Char Char12"/>
    <w:basedOn w:val="1"/>
    <w:qFormat/>
    <w:uiPriority w:val="0"/>
    <w:pPr>
      <w:spacing w:after="0" w:line="240" w:lineRule="auto"/>
    </w:pPr>
  </w:style>
  <w:style w:type="paragraph" w:customStyle="1" w:styleId="230">
    <w:name w:val="Char Char Char Char Char Char Char1"/>
    <w:basedOn w:val="1"/>
    <w:qFormat/>
    <w:uiPriority w:val="0"/>
    <w:pPr>
      <w:spacing w:after="0" w:line="240" w:lineRule="auto"/>
    </w:pPr>
  </w:style>
  <w:style w:type="paragraph" w:customStyle="1" w:styleId="231">
    <w:name w:val="_Style 213"/>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customStyle="1" w:styleId="232">
    <w:name w:val="Char Char11"/>
    <w:qFormat/>
    <w:uiPriority w:val="0"/>
    <w:rPr>
      <w:rFonts w:ascii="Cambria" w:hAnsi="Cambria" w:cs="Times New Roman"/>
      <w:b/>
      <w:bCs/>
      <w:kern w:val="2"/>
      <w:sz w:val="32"/>
      <w:szCs w:val="32"/>
    </w:rPr>
  </w:style>
  <w:style w:type="paragraph" w:customStyle="1" w:styleId="233">
    <w:name w:val="Normal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234">
    <w:name w:val="标准正文格式 Char"/>
    <w:qFormat/>
    <w:uiPriority w:val="0"/>
    <w:rPr>
      <w:rFonts w:ascii="宋体" w:hAnsi="Times New Roman" w:eastAsia="仿宋" w:cs="Times New Roman"/>
      <w:color w:val="000000"/>
      <w:kern w:val="0"/>
      <w:sz w:val="24"/>
      <w:szCs w:val="20"/>
    </w:rPr>
  </w:style>
  <w:style w:type="paragraph" w:customStyle="1" w:styleId="235">
    <w:name w:val="List Paragraph2"/>
    <w:basedOn w:val="1"/>
    <w:qFormat/>
    <w:uiPriority w:val="0"/>
    <w:pPr>
      <w:autoSpaceDE w:val="0"/>
      <w:autoSpaceDN w:val="0"/>
      <w:adjustRightInd w:val="0"/>
      <w:spacing w:after="0" w:line="240" w:lineRule="auto"/>
      <w:ind w:firstLine="420" w:firstLineChars="200"/>
    </w:pPr>
    <w:rPr>
      <w:color w:val="000000"/>
    </w:rPr>
  </w:style>
  <w:style w:type="character" w:customStyle="1" w:styleId="236">
    <w:name w:val="Char Char10"/>
    <w:qFormat/>
    <w:uiPriority w:val="0"/>
    <w:rPr>
      <w:kern w:val="2"/>
      <w:sz w:val="21"/>
      <w:szCs w:val="24"/>
    </w:rPr>
  </w:style>
  <w:style w:type="character" w:customStyle="1" w:styleId="237">
    <w:name w:val="H3 Char"/>
    <w:qFormat/>
    <w:uiPriority w:val="0"/>
    <w:rPr>
      <w:rFonts w:ascii="Times New Roman" w:hAnsi="Times New Roman" w:eastAsia="宋体" w:cs="Times New Roman"/>
      <w:b/>
      <w:bCs/>
      <w:sz w:val="24"/>
      <w:szCs w:val="32"/>
    </w:rPr>
  </w:style>
  <w:style w:type="character" w:customStyle="1" w:styleId="238">
    <w:name w:val="h4 Char"/>
    <w:qFormat/>
    <w:uiPriority w:val="0"/>
    <w:rPr>
      <w:rFonts w:ascii="Arial" w:hAnsi="Arial" w:eastAsia="黑体" w:cs="Times New Roman"/>
      <w:b/>
      <w:bCs/>
      <w:sz w:val="28"/>
      <w:szCs w:val="28"/>
    </w:rPr>
  </w:style>
  <w:style w:type="paragraph" w:customStyle="1" w:styleId="239">
    <w:name w:val="Title1"/>
    <w:basedOn w:val="4"/>
    <w:next w:val="240"/>
    <w:qFormat/>
    <w:uiPriority w:val="0"/>
    <w:pPr>
      <w:numPr>
        <w:ilvl w:val="0"/>
        <w:numId w:val="1"/>
      </w:numPr>
      <w:spacing w:before="240" w:after="240"/>
      <w:jc w:val="both"/>
    </w:pPr>
    <w:rPr>
      <w:rFonts w:eastAsia="仿宋"/>
      <w:sz w:val="36"/>
    </w:rPr>
  </w:style>
  <w:style w:type="paragraph" w:customStyle="1" w:styleId="240">
    <w:name w:val="Title2"/>
    <w:basedOn w:val="5"/>
    <w:next w:val="31"/>
    <w:qFormat/>
    <w:uiPriority w:val="0"/>
    <w:pPr>
      <w:keepLines/>
      <w:numPr>
        <w:ilvl w:val="1"/>
        <w:numId w:val="1"/>
      </w:numPr>
      <w:adjustRightInd/>
      <w:snapToGrid/>
      <w:spacing w:before="200" w:after="200"/>
      <w:jc w:val="both"/>
      <w:textAlignment w:val="auto"/>
    </w:pPr>
    <w:rPr>
      <w:rFonts w:ascii="Times New Roman" w:eastAsia="仿宋"/>
      <w:bCs/>
      <w:sz w:val="32"/>
      <w:szCs w:val="32"/>
    </w:rPr>
  </w:style>
  <w:style w:type="paragraph" w:customStyle="1" w:styleId="241">
    <w:name w:val="Title3"/>
    <w:basedOn w:val="7"/>
    <w:next w:val="31"/>
    <w:qFormat/>
    <w:uiPriority w:val="0"/>
    <w:pPr>
      <w:numPr>
        <w:ilvl w:val="2"/>
        <w:numId w:val="1"/>
      </w:numPr>
      <w:spacing w:before="160" w:after="160"/>
      <w:ind w:firstLine="0" w:firstLineChars="0"/>
    </w:pPr>
    <w:rPr>
      <w:rFonts w:ascii="Calibri" w:hAnsi="Calibri" w:eastAsia="仿宋"/>
      <w:szCs w:val="32"/>
    </w:rPr>
  </w:style>
  <w:style w:type="paragraph" w:customStyle="1" w:styleId="242">
    <w:name w:val="Title4"/>
    <w:basedOn w:val="8"/>
    <w:next w:val="31"/>
    <w:qFormat/>
    <w:uiPriority w:val="0"/>
    <w:pPr>
      <w:numPr>
        <w:ilvl w:val="3"/>
        <w:numId w:val="1"/>
      </w:numPr>
      <w:spacing w:before="160" w:after="160" w:line="360" w:lineRule="auto"/>
    </w:pPr>
    <w:rPr>
      <w:rFonts w:ascii="Times New Roman" w:hAnsi="Times New Roman" w:eastAsia="仿宋"/>
    </w:rPr>
  </w:style>
  <w:style w:type="paragraph" w:customStyle="1" w:styleId="243">
    <w:name w:val="Title5"/>
    <w:basedOn w:val="9"/>
    <w:next w:val="31"/>
    <w:qFormat/>
    <w:uiPriority w:val="0"/>
    <w:pPr>
      <w:numPr>
        <w:ilvl w:val="4"/>
        <w:numId w:val="1"/>
      </w:numPr>
      <w:spacing w:before="120" w:after="120" w:line="360" w:lineRule="auto"/>
    </w:pPr>
    <w:rPr>
      <w:rFonts w:ascii="Times New Roman" w:hAnsi="Times New Roman" w:eastAsia="仿宋"/>
    </w:rPr>
  </w:style>
  <w:style w:type="paragraph" w:customStyle="1" w:styleId="244">
    <w:name w:val="Image"/>
    <w:basedOn w:val="208"/>
    <w:qFormat/>
    <w:uiPriority w:val="0"/>
    <w:pPr>
      <w:ind w:firstLine="0" w:firstLineChars="0"/>
      <w:jc w:val="center"/>
    </w:pPr>
    <w:rPr>
      <w:rFonts w:ascii="Times New Roman" w:hAnsi="Times New Roman"/>
      <w:szCs w:val="21"/>
    </w:rPr>
  </w:style>
  <w:style w:type="paragraph" w:customStyle="1" w:styleId="245">
    <w:name w:val="Image-T"/>
    <w:basedOn w:val="244"/>
    <w:next w:val="244"/>
    <w:qFormat/>
    <w:uiPriority w:val="0"/>
    <w:pPr>
      <w:numPr>
        <w:ilvl w:val="6"/>
        <w:numId w:val="1"/>
      </w:numPr>
      <w:spacing w:afterLines="50"/>
      <w:ind w:left="896"/>
    </w:pPr>
    <w:rPr>
      <w:rFonts w:eastAsia="仿宋"/>
    </w:rPr>
  </w:style>
  <w:style w:type="paragraph" w:customStyle="1" w:styleId="246">
    <w:name w:val="Table-T"/>
    <w:basedOn w:val="245"/>
    <w:next w:val="1"/>
    <w:qFormat/>
    <w:uiPriority w:val="0"/>
    <w:pPr>
      <w:numPr>
        <w:ilvl w:val="5"/>
      </w:numPr>
      <w:spacing w:beforeLines="50" w:afterLines="0"/>
    </w:pPr>
  </w:style>
  <w:style w:type="paragraph" w:customStyle="1" w:styleId="247">
    <w:name w:val="Text 1"/>
    <w:basedOn w:val="31"/>
    <w:qFormat/>
    <w:uiPriority w:val="0"/>
    <w:pPr>
      <w:numPr>
        <w:ilvl w:val="0"/>
        <w:numId w:val="2"/>
      </w:numPr>
      <w:spacing w:after="0" w:line="360" w:lineRule="auto"/>
      <w:ind w:left="839" w:hanging="357"/>
      <w:jc w:val="left"/>
    </w:pPr>
    <w:rPr>
      <w:rFonts w:ascii="Times New Roman" w:hAnsi="Times New Roman" w:eastAsia="仿宋"/>
      <w:sz w:val="24"/>
      <w:szCs w:val="21"/>
    </w:rPr>
  </w:style>
  <w:style w:type="paragraph" w:customStyle="1" w:styleId="248">
    <w:name w:val="Text3"/>
    <w:basedOn w:val="247"/>
    <w:next w:val="31"/>
    <w:qFormat/>
    <w:uiPriority w:val="0"/>
    <w:pPr>
      <w:numPr>
        <w:numId w:val="3"/>
      </w:numPr>
    </w:pPr>
    <w:rPr>
      <w:b/>
    </w:rPr>
  </w:style>
  <w:style w:type="paragraph" w:customStyle="1" w:styleId="249">
    <w:name w:val="Table"/>
    <w:basedOn w:val="244"/>
    <w:qFormat/>
    <w:uiPriority w:val="0"/>
    <w:rPr>
      <w:rFonts w:eastAsia="仿宋"/>
    </w:rPr>
  </w:style>
  <w:style w:type="character" w:customStyle="1" w:styleId="250">
    <w:name w:val="h Char"/>
    <w:qFormat/>
    <w:uiPriority w:val="0"/>
    <w:rPr>
      <w:rFonts w:eastAsia="仿宋_GB2312"/>
      <w:kern w:val="2"/>
      <w:sz w:val="18"/>
    </w:rPr>
  </w:style>
  <w:style w:type="paragraph" w:customStyle="1" w:styleId="251">
    <w:name w:val="无间隔1"/>
    <w:link w:val="252"/>
    <w:qFormat/>
    <w:uiPriority w:val="0"/>
    <w:rPr>
      <w:rFonts w:ascii="Calibri" w:hAnsi="Calibri" w:eastAsia="宋体" w:cs="Times New Roman"/>
      <w:sz w:val="22"/>
      <w:szCs w:val="22"/>
      <w:lang w:val="en-US" w:eastAsia="zh-CN" w:bidi="ar-SA"/>
    </w:rPr>
  </w:style>
  <w:style w:type="character" w:customStyle="1" w:styleId="252">
    <w:name w:val="No Spacing Char"/>
    <w:link w:val="251"/>
    <w:qFormat/>
    <w:uiPriority w:val="0"/>
    <w:rPr>
      <w:rFonts w:ascii="Calibri" w:hAnsi="Calibri"/>
      <w:sz w:val="22"/>
      <w:szCs w:val="22"/>
    </w:rPr>
  </w:style>
  <w:style w:type="paragraph" w:customStyle="1" w:styleId="253">
    <w:name w:val="标题1"/>
    <w:basedOn w:val="52"/>
    <w:qFormat/>
    <w:uiPriority w:val="0"/>
    <w:pPr>
      <w:spacing w:before="480" w:line="240" w:lineRule="auto"/>
    </w:pPr>
    <w:rPr>
      <w:rFonts w:ascii="Times New Roman" w:hAnsi="Times New Roman"/>
      <w:sz w:val="44"/>
    </w:rPr>
  </w:style>
  <w:style w:type="paragraph" w:customStyle="1" w:styleId="254">
    <w:name w:val="页眉1"/>
    <w:basedOn w:val="37"/>
    <w:qFormat/>
    <w:uiPriority w:val="0"/>
    <w:pPr>
      <w:spacing w:after="0" w:line="240" w:lineRule="auto"/>
      <w:jc w:val="left"/>
    </w:pPr>
  </w:style>
  <w:style w:type="character" w:customStyle="1" w:styleId="255">
    <w:name w:val="书籍标题1"/>
    <w:qFormat/>
    <w:uiPriority w:val="0"/>
    <w:rPr>
      <w:b/>
      <w:bCs/>
      <w:i/>
      <w:iCs/>
      <w:spacing w:val="5"/>
    </w:rPr>
  </w:style>
  <w:style w:type="character" w:customStyle="1" w:styleId="256">
    <w:name w:val="明显参考1"/>
    <w:qFormat/>
    <w:uiPriority w:val="0"/>
    <w:rPr>
      <w:b/>
      <w:bCs/>
      <w:smallCaps/>
      <w:color w:val="4F81BD"/>
      <w:spacing w:val="5"/>
    </w:rPr>
  </w:style>
  <w:style w:type="character" w:customStyle="1" w:styleId="257">
    <w:name w:val="明显强调1"/>
    <w:qFormat/>
    <w:uiPriority w:val="0"/>
    <w:rPr>
      <w:i/>
      <w:iCs/>
      <w:color w:val="4F81BD"/>
    </w:rPr>
  </w:style>
  <w:style w:type="paragraph" w:customStyle="1" w:styleId="258">
    <w:name w:val="明显引用1"/>
    <w:basedOn w:val="1"/>
    <w:next w:val="1"/>
    <w:link w:val="259"/>
    <w:qFormat/>
    <w:uiPriority w:val="0"/>
    <w:pPr>
      <w:pBdr>
        <w:top w:val="single" w:color="4F81BD" w:sz="4" w:space="10"/>
        <w:bottom w:val="single" w:color="4F81BD" w:sz="4" w:space="10"/>
      </w:pBdr>
      <w:spacing w:before="360" w:after="360" w:line="240" w:lineRule="auto"/>
      <w:ind w:left="864" w:right="864"/>
      <w:jc w:val="center"/>
    </w:pPr>
    <w:rPr>
      <w:rFonts w:ascii="Calibri" w:hAnsi="Calibri"/>
      <w:i/>
      <w:iCs/>
      <w:color w:val="4F81BD"/>
    </w:rPr>
  </w:style>
  <w:style w:type="character" w:customStyle="1" w:styleId="259">
    <w:name w:val="Intense Quote Char"/>
    <w:link w:val="258"/>
    <w:qFormat/>
    <w:uiPriority w:val="0"/>
    <w:rPr>
      <w:rFonts w:ascii="Calibri" w:hAnsi="Calibri"/>
      <w:i/>
      <w:iCs/>
      <w:color w:val="4F81BD"/>
      <w:kern w:val="2"/>
      <w:sz w:val="21"/>
      <w:szCs w:val="21"/>
    </w:rPr>
  </w:style>
  <w:style w:type="character" w:customStyle="1" w:styleId="260">
    <w:name w:val="不明显参考1"/>
    <w:qFormat/>
    <w:uiPriority w:val="0"/>
    <w:rPr>
      <w:smallCaps/>
      <w:color w:val="5A5A5A"/>
    </w:rPr>
  </w:style>
  <w:style w:type="paragraph" w:customStyle="1" w:styleId="261">
    <w:name w:val="样式 Table text + 段前: 0.5 行"/>
    <w:basedOn w:val="246"/>
    <w:qFormat/>
    <w:uiPriority w:val="0"/>
    <w:pPr>
      <w:numPr>
        <w:ilvl w:val="0"/>
        <w:numId w:val="0"/>
      </w:numPr>
      <w:tabs>
        <w:tab w:val="left" w:pos="2942"/>
      </w:tabs>
      <w:ind w:left="2942" w:hanging="420"/>
    </w:pPr>
    <w:rPr>
      <w:rFonts w:cs="宋体"/>
      <w:szCs w:val="20"/>
    </w:rPr>
  </w:style>
  <w:style w:type="character" w:customStyle="1" w:styleId="262">
    <w:name w:val="题注 Char"/>
    <w:link w:val="18"/>
    <w:qFormat/>
    <w:uiPriority w:val="0"/>
    <w:rPr>
      <w:rFonts w:ascii="Arial" w:hAnsi="Arial" w:eastAsia="黑体" w:cs="Arial"/>
      <w:kern w:val="2"/>
    </w:rPr>
  </w:style>
  <w:style w:type="paragraph" w:customStyle="1" w:styleId="263">
    <w:name w:val="1样式-正文"/>
    <w:basedOn w:val="1"/>
    <w:link w:val="264"/>
    <w:qFormat/>
    <w:uiPriority w:val="0"/>
    <w:pPr>
      <w:spacing w:after="0" w:line="360" w:lineRule="auto"/>
      <w:ind w:firstLine="482"/>
      <w:jc w:val="left"/>
    </w:pPr>
    <w:rPr>
      <w:rFonts w:ascii="Calibri" w:hAnsi="Calibri"/>
      <w:bCs/>
      <w:lang w:val="zh-CN"/>
    </w:rPr>
  </w:style>
  <w:style w:type="character" w:customStyle="1" w:styleId="264">
    <w:name w:val="1样式-正文 Char"/>
    <w:link w:val="263"/>
    <w:qFormat/>
    <w:uiPriority w:val="0"/>
    <w:rPr>
      <w:rFonts w:ascii="Calibri" w:hAnsi="Calibri"/>
      <w:bCs/>
      <w:kern w:val="2"/>
      <w:sz w:val="21"/>
      <w:szCs w:val="21"/>
      <w:lang w:val="zh-CN"/>
    </w:rPr>
  </w:style>
  <w:style w:type="character" w:customStyle="1" w:styleId="265">
    <w:name w:val="Char Char13"/>
    <w:qFormat/>
    <w:uiPriority w:val="0"/>
    <w:rPr>
      <w:rFonts w:eastAsia="宋体"/>
      <w:b/>
      <w:bCs/>
      <w:kern w:val="44"/>
      <w:sz w:val="36"/>
      <w:szCs w:val="44"/>
      <w:lang w:val="en-US" w:eastAsia="zh-CN" w:bidi="ar-SA"/>
    </w:rPr>
  </w:style>
  <w:style w:type="character" w:customStyle="1" w:styleId="266">
    <w:name w:val="content1"/>
    <w:qFormat/>
    <w:uiPriority w:val="0"/>
    <w:rPr>
      <w:sz w:val="18"/>
      <w:szCs w:val="18"/>
    </w:rPr>
  </w:style>
  <w:style w:type="character" w:customStyle="1" w:styleId="267">
    <w:name w:val="point_normal1"/>
    <w:semiHidden/>
    <w:qFormat/>
    <w:uiPriority w:val="0"/>
    <w:rPr>
      <w:rFonts w:hint="default" w:ascii="Arial" w:hAnsi="Arial" w:cs="Arial"/>
      <w:sz w:val="18"/>
      <w:szCs w:val="18"/>
    </w:rPr>
  </w:style>
  <w:style w:type="character" w:customStyle="1" w:styleId="268">
    <w:name w:val="para1"/>
    <w:semiHidden/>
    <w:qFormat/>
    <w:uiPriority w:val="0"/>
    <w:rPr>
      <w:rFonts w:hint="default" w:ascii="Arial" w:hAnsi="Arial" w:cs="Arial"/>
      <w:sz w:val="18"/>
      <w:szCs w:val="18"/>
    </w:rPr>
  </w:style>
  <w:style w:type="paragraph" w:customStyle="1" w:styleId="269">
    <w:name w:val="xl38"/>
    <w:basedOn w:val="1"/>
    <w:semiHidden/>
    <w:qFormat/>
    <w:uiPriority w:val="0"/>
    <w:pPr>
      <w:widowControl/>
      <w:pBdr>
        <w:left w:val="single" w:color="auto" w:sz="4" w:space="0"/>
        <w:bottom w:val="single" w:color="auto" w:sz="4" w:space="0"/>
        <w:right w:val="single" w:color="auto" w:sz="8" w:space="0"/>
      </w:pBdr>
      <w:spacing w:before="100" w:beforeAutospacing="1" w:after="100" w:afterAutospacing="1" w:line="360" w:lineRule="auto"/>
      <w:jc w:val="center"/>
      <w:textAlignment w:val="top"/>
    </w:pPr>
    <w:rPr>
      <w:sz w:val="20"/>
      <w:szCs w:val="20"/>
    </w:rPr>
  </w:style>
  <w:style w:type="character" w:customStyle="1" w:styleId="270">
    <w:name w:val="point_small1"/>
    <w:semiHidden/>
    <w:qFormat/>
    <w:uiPriority w:val="0"/>
    <w:rPr>
      <w:rFonts w:hint="default" w:ascii="Arial" w:hAnsi="Arial" w:cs="Arial"/>
      <w:sz w:val="18"/>
      <w:szCs w:val="18"/>
    </w:rPr>
  </w:style>
  <w:style w:type="character" w:customStyle="1" w:styleId="271">
    <w:name w:val="tcontent1"/>
    <w:qFormat/>
    <w:uiPriority w:val="0"/>
    <w:rPr>
      <w:color w:val="333333"/>
      <w:sz w:val="18"/>
      <w:szCs w:val="18"/>
    </w:rPr>
  </w:style>
  <w:style w:type="character" w:customStyle="1" w:styleId="272">
    <w:name w:val="para"/>
    <w:basedOn w:val="58"/>
    <w:qFormat/>
    <w:uiPriority w:val="0"/>
  </w:style>
  <w:style w:type="character" w:customStyle="1" w:styleId="273">
    <w:name w:val="titlestylelight1"/>
    <w:qFormat/>
    <w:uiPriority w:val="0"/>
    <w:rPr>
      <w:rFonts w:hint="default" w:ascii="Arial" w:hAnsi="Arial" w:cs="Arial"/>
      <w:b/>
      <w:bCs/>
      <w:color w:val="666666"/>
      <w:sz w:val="18"/>
      <w:szCs w:val="18"/>
    </w:rPr>
  </w:style>
  <w:style w:type="paragraph" w:customStyle="1" w:styleId="274">
    <w:name w:val="默认段落字体 Para Char"/>
    <w:basedOn w:val="1"/>
    <w:qFormat/>
    <w:uiPriority w:val="0"/>
    <w:pPr>
      <w:adjustRightInd w:val="0"/>
      <w:spacing w:after="0" w:line="360" w:lineRule="auto"/>
    </w:pPr>
    <w:rPr>
      <w:sz w:val="24"/>
      <w:szCs w:val="20"/>
    </w:rPr>
  </w:style>
  <w:style w:type="character" w:customStyle="1" w:styleId="275">
    <w:name w:val="apple-style-span"/>
    <w:basedOn w:val="58"/>
    <w:qFormat/>
    <w:uiPriority w:val="0"/>
  </w:style>
  <w:style w:type="paragraph" w:customStyle="1" w:styleId="276">
    <w:name w:val="Char1 Char Char Char"/>
    <w:basedOn w:val="1"/>
    <w:qFormat/>
    <w:uiPriority w:val="0"/>
    <w:pPr>
      <w:spacing w:after="0" w:line="360" w:lineRule="auto"/>
    </w:pPr>
    <w:rPr>
      <w:rFonts w:eastAsia="仿宋_GB2312"/>
      <w:sz w:val="28"/>
    </w:rPr>
  </w:style>
  <w:style w:type="paragraph" w:customStyle="1" w:styleId="277">
    <w:name w:val="msolistparagraph"/>
    <w:basedOn w:val="1"/>
    <w:qFormat/>
    <w:uiPriority w:val="0"/>
    <w:pPr>
      <w:spacing w:after="0" w:line="360" w:lineRule="auto"/>
      <w:ind w:firstLine="420" w:firstLineChars="200"/>
    </w:pPr>
    <w:rPr>
      <w:rFonts w:ascii="Calibri" w:hAnsi="Calibri"/>
    </w:rPr>
  </w:style>
  <w:style w:type="paragraph" w:customStyle="1" w:styleId="278">
    <w:name w:val="Tabletext"/>
    <w:qFormat/>
    <w:uiPriority w:val="0"/>
    <w:pPr>
      <w:numPr>
        <w:ilvl w:val="0"/>
        <w:numId w:val="4"/>
      </w:numPr>
      <w:suppressLineNumbers/>
      <w:tabs>
        <w:tab w:val="clear" w:pos="1843"/>
      </w:tabs>
      <w:spacing w:before="30" w:after="20"/>
      <w:ind w:left="0" w:firstLine="0"/>
    </w:pPr>
    <w:rPr>
      <w:rFonts w:ascii="Arial" w:hAnsi="Arial" w:eastAsia="宋体" w:cs="Times New Roman"/>
      <w:sz w:val="16"/>
      <w:lang w:val="en-US" w:eastAsia="en-US" w:bidi="ar-SA"/>
    </w:rPr>
  </w:style>
  <w:style w:type="paragraph" w:customStyle="1" w:styleId="279">
    <w:name w:val="正文样式"/>
    <w:basedOn w:val="1"/>
    <w:qFormat/>
    <w:uiPriority w:val="0"/>
    <w:pPr>
      <w:spacing w:beforeLines="50" w:after="0" w:line="312" w:lineRule="auto"/>
      <w:ind w:firstLine="200" w:firstLineChars="200"/>
    </w:pPr>
    <w:rPr>
      <w:sz w:val="24"/>
    </w:rPr>
  </w:style>
  <w:style w:type="paragraph" w:customStyle="1" w:styleId="280">
    <w:name w:val="正文文本 21"/>
    <w:basedOn w:val="1"/>
    <w:qFormat/>
    <w:uiPriority w:val="0"/>
    <w:pPr>
      <w:spacing w:after="120" w:line="480" w:lineRule="auto"/>
    </w:pPr>
    <w:rPr>
      <w:rFonts w:ascii="Calibri" w:hAnsi="Calibri"/>
      <w:sz w:val="20"/>
    </w:rPr>
  </w:style>
  <w:style w:type="paragraph" w:customStyle="1" w:styleId="281">
    <w:name w:val="Char Char Char Char"/>
    <w:basedOn w:val="1"/>
    <w:qFormat/>
    <w:uiPriority w:val="99"/>
    <w:pPr>
      <w:spacing w:after="0" w:line="360" w:lineRule="auto"/>
    </w:pPr>
    <w:rPr>
      <w:szCs w:val="20"/>
    </w:rPr>
  </w:style>
  <w:style w:type="character" w:customStyle="1" w:styleId="282">
    <w:name w:val="不明显强调1"/>
    <w:qFormat/>
    <w:uiPriority w:val="0"/>
    <w:rPr>
      <w:i/>
      <w:iCs/>
      <w:color w:val="808080"/>
    </w:rPr>
  </w:style>
  <w:style w:type="character" w:customStyle="1" w:styleId="283">
    <w:name w:val="正文对齐 Char1"/>
    <w:qFormat/>
    <w:uiPriority w:val="0"/>
    <w:rPr>
      <w:rFonts w:ascii="Times New Roman" w:hAnsi="Times New Roman" w:eastAsia="楷体_GB2312" w:cs="Times New Roman"/>
      <w:sz w:val="24"/>
      <w:szCs w:val="20"/>
    </w:rPr>
  </w:style>
  <w:style w:type="character" w:customStyle="1" w:styleId="284">
    <w:name w:val="Char Char14"/>
    <w:qFormat/>
    <w:uiPriority w:val="0"/>
    <w:rPr>
      <w:rFonts w:hAnsi="宋体" w:eastAsia="仿宋_GB2312"/>
      <w:b/>
      <w:bCs/>
      <w:kern w:val="2"/>
      <w:sz w:val="24"/>
    </w:rPr>
  </w:style>
  <w:style w:type="paragraph" w:customStyle="1" w:styleId="285">
    <w:name w:val="xl25"/>
    <w:basedOn w:val="1"/>
    <w:qFormat/>
    <w:uiPriority w:val="0"/>
    <w:pPr>
      <w:widowControl/>
      <w:numPr>
        <w:ilvl w:val="0"/>
        <w:numId w:val="5"/>
      </w:numPr>
      <w:tabs>
        <w:tab w:val="clear" w:pos="1145"/>
      </w:tabs>
      <w:spacing w:before="100" w:beforeAutospacing="1" w:after="100" w:afterAutospacing="1" w:line="360" w:lineRule="auto"/>
      <w:ind w:left="0" w:firstLine="0"/>
      <w:jc w:val="center"/>
    </w:pPr>
    <w:rPr>
      <w:rFonts w:ascii="宋体" w:hAnsi="宋体"/>
      <w:sz w:val="24"/>
    </w:rPr>
  </w:style>
  <w:style w:type="paragraph" w:customStyle="1" w:styleId="286">
    <w:name w:val="DB Body"/>
    <w:qFormat/>
    <w:uiPriority w:val="0"/>
    <w:pPr>
      <w:tabs>
        <w:tab w:val="left" w:pos="4536"/>
        <w:tab w:val="left" w:pos="8505"/>
      </w:tabs>
      <w:spacing w:before="120" w:after="80" w:line="360" w:lineRule="auto"/>
    </w:pPr>
    <w:rPr>
      <w:rFonts w:ascii="Trebuchet MS" w:hAnsi="Trebuchet MS" w:eastAsia="宋体" w:cs="Times New Roman"/>
      <w:sz w:val="21"/>
      <w:szCs w:val="24"/>
      <w:lang w:val="en-GB" w:eastAsia="en-US" w:bidi="ar-SA"/>
    </w:rPr>
  </w:style>
  <w:style w:type="paragraph" w:customStyle="1" w:styleId="287">
    <w:name w:val="DB Bullet 1"/>
    <w:qFormat/>
    <w:uiPriority w:val="0"/>
    <w:pPr>
      <w:numPr>
        <w:ilvl w:val="0"/>
        <w:numId w:val="6"/>
      </w:numPr>
      <w:tabs>
        <w:tab w:val="left" w:pos="567"/>
      </w:tabs>
      <w:spacing w:before="80" w:after="60" w:line="360" w:lineRule="auto"/>
    </w:pPr>
    <w:rPr>
      <w:rFonts w:ascii="Trebuchet MS" w:hAnsi="Trebuchet MS" w:eastAsia="宋体" w:cs="Times New Roman"/>
      <w:sz w:val="21"/>
      <w:szCs w:val="24"/>
      <w:lang w:val="en-GB" w:eastAsia="en-US" w:bidi="ar-SA"/>
    </w:rPr>
  </w:style>
  <w:style w:type="paragraph" w:customStyle="1" w:styleId="288">
    <w:name w:val="DH Heading A1 (with #)"/>
    <w:next w:val="1"/>
    <w:qFormat/>
    <w:uiPriority w:val="0"/>
    <w:pPr>
      <w:keepNext/>
      <w:pageBreakBefore/>
      <w:numPr>
        <w:ilvl w:val="6"/>
        <w:numId w:val="7"/>
      </w:numPr>
      <w:snapToGrid w:val="0"/>
      <w:spacing w:before="240" w:after="240" w:line="360" w:lineRule="auto"/>
      <w:outlineLvl w:val="0"/>
    </w:pPr>
    <w:rPr>
      <w:rFonts w:ascii="Trebuchet MS" w:hAnsi="Trebuchet MS" w:eastAsia="宋体" w:cs="Times New Roman"/>
      <w:b/>
      <w:bCs/>
      <w:color w:val="0085C3"/>
      <w:sz w:val="36"/>
      <w:szCs w:val="36"/>
      <w:lang w:val="en-GB" w:eastAsia="en-US" w:bidi="ar-SA"/>
    </w:rPr>
  </w:style>
  <w:style w:type="paragraph" w:customStyle="1" w:styleId="289">
    <w:name w:val="DH Heading A2 (with #)"/>
    <w:next w:val="286"/>
    <w:qFormat/>
    <w:uiPriority w:val="0"/>
    <w:pPr>
      <w:keepNext/>
      <w:numPr>
        <w:ilvl w:val="7"/>
        <w:numId w:val="7"/>
      </w:numPr>
      <w:snapToGrid w:val="0"/>
      <w:spacing w:before="240" w:after="120" w:line="360" w:lineRule="auto"/>
      <w:outlineLvl w:val="1"/>
    </w:pPr>
    <w:rPr>
      <w:rFonts w:ascii="Trebuchet MS" w:hAnsi="Trebuchet MS" w:eastAsia="宋体" w:cs="Times New Roman"/>
      <w:b/>
      <w:color w:val="0085C3"/>
      <w:sz w:val="32"/>
      <w:szCs w:val="30"/>
      <w:lang w:val="en-GB" w:eastAsia="en-US" w:bidi="ar-SA"/>
    </w:rPr>
  </w:style>
  <w:style w:type="paragraph" w:customStyle="1" w:styleId="290">
    <w:name w:val="DH Heading A3 (with #)"/>
    <w:next w:val="286"/>
    <w:qFormat/>
    <w:uiPriority w:val="0"/>
    <w:pPr>
      <w:keepNext/>
      <w:numPr>
        <w:ilvl w:val="8"/>
        <w:numId w:val="7"/>
      </w:numPr>
      <w:snapToGrid w:val="0"/>
      <w:spacing w:before="120" w:after="120" w:line="360" w:lineRule="auto"/>
      <w:outlineLvl w:val="2"/>
    </w:pPr>
    <w:rPr>
      <w:rFonts w:ascii="Trebuchet MS" w:hAnsi="Trebuchet MS" w:eastAsia="宋体" w:cs="Times New Roman"/>
      <w:b/>
      <w:iCs/>
      <w:color w:val="0085C3"/>
      <w:sz w:val="28"/>
      <w:szCs w:val="24"/>
      <w:lang w:val="en-GB" w:eastAsia="en-US" w:bidi="ar-SA"/>
    </w:rPr>
  </w:style>
  <w:style w:type="paragraph" w:customStyle="1" w:styleId="291">
    <w:name w:val="DH Heading 1"/>
    <w:basedOn w:val="1"/>
    <w:next w:val="286"/>
    <w:qFormat/>
    <w:uiPriority w:val="0"/>
    <w:pPr>
      <w:keepNext/>
      <w:pageBreakBefore/>
      <w:widowControl/>
      <w:numPr>
        <w:ilvl w:val="0"/>
        <w:numId w:val="7"/>
      </w:numPr>
      <w:snapToGrid w:val="0"/>
      <w:spacing w:before="240" w:after="240" w:line="360" w:lineRule="auto"/>
      <w:jc w:val="center"/>
      <w:outlineLvl w:val="0"/>
    </w:pPr>
    <w:rPr>
      <w:rFonts w:ascii="Trebuchet MS" w:hAnsi="Trebuchet MS" w:cs="Arial"/>
      <w:b/>
      <w:bCs/>
      <w:color w:val="0085C3"/>
      <w:kern w:val="32"/>
      <w:sz w:val="40"/>
      <w:szCs w:val="36"/>
    </w:rPr>
  </w:style>
  <w:style w:type="paragraph" w:customStyle="1" w:styleId="292">
    <w:name w:val="DH Heading 3"/>
    <w:basedOn w:val="1"/>
    <w:next w:val="286"/>
    <w:qFormat/>
    <w:uiPriority w:val="0"/>
    <w:pPr>
      <w:keepNext/>
      <w:widowControl/>
      <w:numPr>
        <w:ilvl w:val="2"/>
        <w:numId w:val="7"/>
      </w:numPr>
      <w:suppressAutoHyphens/>
      <w:adjustRightInd w:val="0"/>
      <w:snapToGrid w:val="0"/>
      <w:spacing w:before="120" w:after="120" w:line="360" w:lineRule="auto"/>
      <w:jc w:val="left"/>
      <w:outlineLvl w:val="2"/>
    </w:pPr>
    <w:rPr>
      <w:rFonts w:ascii="Trebuchet MS" w:hAnsi="Trebuchet MS" w:cs="Arial"/>
      <w:b/>
      <w:bCs/>
      <w:iCs/>
      <w:color w:val="0085C3"/>
      <w:sz w:val="32"/>
      <w:szCs w:val="30"/>
    </w:rPr>
  </w:style>
  <w:style w:type="paragraph" w:customStyle="1" w:styleId="293">
    <w:name w:val="DH Heading 4"/>
    <w:next w:val="286"/>
    <w:qFormat/>
    <w:uiPriority w:val="0"/>
    <w:pPr>
      <w:keepNext/>
      <w:numPr>
        <w:ilvl w:val="3"/>
        <w:numId w:val="7"/>
      </w:numPr>
      <w:suppressAutoHyphens/>
      <w:adjustRightInd w:val="0"/>
      <w:snapToGrid w:val="0"/>
      <w:spacing w:before="120" w:after="120" w:line="360" w:lineRule="auto"/>
      <w:outlineLvl w:val="3"/>
    </w:pPr>
    <w:rPr>
      <w:rFonts w:ascii="Trebuchet MS" w:hAnsi="Trebuchet MS" w:eastAsia="宋体" w:cs="Arial"/>
      <w:b/>
      <w:bCs/>
      <w:color w:val="0085C3"/>
      <w:sz w:val="28"/>
      <w:szCs w:val="24"/>
      <w:lang w:val="en-GB" w:eastAsia="en-US" w:bidi="ar-SA"/>
    </w:rPr>
  </w:style>
  <w:style w:type="paragraph" w:customStyle="1" w:styleId="294">
    <w:name w:val="DH Heading 5"/>
    <w:next w:val="286"/>
    <w:qFormat/>
    <w:uiPriority w:val="0"/>
    <w:pPr>
      <w:keepNext/>
      <w:numPr>
        <w:ilvl w:val="4"/>
        <w:numId w:val="7"/>
      </w:numPr>
      <w:snapToGrid w:val="0"/>
      <w:spacing w:before="120" w:after="120" w:line="360" w:lineRule="auto"/>
      <w:outlineLvl w:val="4"/>
    </w:pPr>
    <w:rPr>
      <w:rFonts w:ascii="Trebuchet MS" w:hAnsi="Trebuchet MS" w:eastAsia="宋体" w:cs="Times New Roman"/>
      <w:b/>
      <w:bCs/>
      <w:color w:val="0085C3"/>
      <w:sz w:val="25"/>
      <w:szCs w:val="21"/>
      <w:lang w:val="en-GB" w:eastAsia="en-US" w:bidi="ar-SA"/>
    </w:rPr>
  </w:style>
  <w:style w:type="paragraph" w:customStyle="1" w:styleId="295">
    <w:name w:val="DH Heading 6"/>
    <w:next w:val="286"/>
    <w:qFormat/>
    <w:uiPriority w:val="0"/>
    <w:pPr>
      <w:keepNext/>
      <w:numPr>
        <w:ilvl w:val="5"/>
        <w:numId w:val="7"/>
      </w:numPr>
      <w:suppressAutoHyphens/>
      <w:adjustRightInd w:val="0"/>
      <w:snapToGrid w:val="0"/>
      <w:spacing w:before="120" w:after="80" w:line="360" w:lineRule="auto"/>
      <w:outlineLvl w:val="5"/>
    </w:pPr>
    <w:rPr>
      <w:rFonts w:ascii="Trebuchet MS" w:hAnsi="Trebuchet MS" w:eastAsia="宋体" w:cs="Times New Roman"/>
      <w:b/>
      <w:bCs/>
      <w:iCs/>
      <w:color w:val="0085C3"/>
      <w:sz w:val="22"/>
      <w:szCs w:val="21"/>
      <w:lang w:val="en-GB" w:eastAsia="en-US" w:bidi="ar-SA"/>
    </w:rPr>
  </w:style>
  <w:style w:type="paragraph" w:customStyle="1" w:styleId="296">
    <w:name w:val="DH Heading 2"/>
    <w:next w:val="286"/>
    <w:qFormat/>
    <w:uiPriority w:val="0"/>
    <w:pPr>
      <w:keepNext/>
      <w:numPr>
        <w:ilvl w:val="1"/>
        <w:numId w:val="7"/>
      </w:numPr>
      <w:suppressAutoHyphens/>
      <w:adjustRightInd w:val="0"/>
      <w:snapToGrid w:val="0"/>
      <w:spacing w:before="240" w:after="120" w:line="360" w:lineRule="auto"/>
      <w:outlineLvl w:val="1"/>
    </w:pPr>
    <w:rPr>
      <w:rFonts w:ascii="Trebuchet MS" w:hAnsi="Trebuchet MS" w:eastAsia="宋体" w:cs="Arial"/>
      <w:b/>
      <w:bCs/>
      <w:color w:val="0085C3"/>
      <w:kern w:val="32"/>
      <w:sz w:val="36"/>
      <w:szCs w:val="36"/>
      <w:lang w:val="en-GB" w:eastAsia="en-US" w:bidi="ar-SA"/>
    </w:rPr>
  </w:style>
  <w:style w:type="character" w:customStyle="1" w:styleId="297">
    <w:name w:val="tpc_content1"/>
    <w:qFormat/>
    <w:uiPriority w:val="0"/>
    <w:rPr>
      <w:sz w:val="20"/>
      <w:szCs w:val="20"/>
    </w:rPr>
  </w:style>
  <w:style w:type="character" w:customStyle="1" w:styleId="298">
    <w:name w:val="样式 黑体 二号"/>
    <w:qFormat/>
    <w:uiPriority w:val="0"/>
    <w:rPr>
      <w:rFonts w:hint="default" w:ascii="Arial" w:hAnsi="Arial" w:eastAsia="黑体" w:cs="Arial"/>
      <w:sz w:val="44"/>
    </w:rPr>
  </w:style>
  <w:style w:type="character" w:customStyle="1" w:styleId="299">
    <w:name w:val="style6"/>
    <w:qFormat/>
    <w:uiPriority w:val="0"/>
    <w:rPr>
      <w:sz w:val="18"/>
    </w:rPr>
  </w:style>
  <w:style w:type="character" w:customStyle="1" w:styleId="300">
    <w:name w:val="样式 标题 3 + 加粗 Char"/>
    <w:qFormat/>
    <w:uiPriority w:val="0"/>
    <w:rPr>
      <w:rFonts w:ascii="Arial" w:hAnsi="Arial" w:eastAsia="黑体"/>
      <w:b/>
      <w:bCs/>
      <w:spacing w:val="14"/>
      <w:kern w:val="24"/>
      <w:sz w:val="24"/>
      <w:szCs w:val="28"/>
      <w:lang w:val="en-US" w:eastAsia="zh-CN" w:bidi="ar-SA"/>
    </w:rPr>
  </w:style>
  <w:style w:type="character" w:customStyle="1" w:styleId="301">
    <w:name w:val="Char Char Char Char Char"/>
    <w:qFormat/>
    <w:uiPriority w:val="0"/>
    <w:rPr>
      <w:rFonts w:eastAsia="宋体"/>
      <w:kern w:val="2"/>
      <w:sz w:val="21"/>
      <w:szCs w:val="24"/>
      <w:lang w:val="en-US" w:eastAsia="zh-CN" w:bidi="ar-SA"/>
    </w:rPr>
  </w:style>
  <w:style w:type="character" w:customStyle="1" w:styleId="302">
    <w:name w:val="Char Char2"/>
    <w:qFormat/>
    <w:uiPriority w:val="0"/>
    <w:rPr>
      <w:rFonts w:eastAsia="宋体"/>
      <w:b/>
      <w:kern w:val="2"/>
      <w:sz w:val="28"/>
      <w:lang w:val="en-US" w:eastAsia="zh-CN" w:bidi="ar-SA"/>
    </w:rPr>
  </w:style>
  <w:style w:type="character" w:customStyle="1" w:styleId="303">
    <w:name w:val="正文（缩进） Char"/>
    <w:qFormat/>
    <w:uiPriority w:val="0"/>
    <w:rPr>
      <w:rFonts w:eastAsia="宋体"/>
      <w:kern w:val="2"/>
      <w:sz w:val="24"/>
      <w:szCs w:val="24"/>
      <w:lang w:val="en-US" w:eastAsia="zh-CN" w:bidi="ar-SA"/>
    </w:rPr>
  </w:style>
  <w:style w:type="character" w:customStyle="1" w:styleId="304">
    <w:name w:val="h Char Char"/>
    <w:qFormat/>
    <w:uiPriority w:val="0"/>
    <w:rPr>
      <w:rFonts w:eastAsia="宋体"/>
      <w:kern w:val="2"/>
      <w:sz w:val="18"/>
      <w:szCs w:val="18"/>
      <w:lang w:val="en-US" w:eastAsia="zh-CN" w:bidi="ar-SA"/>
    </w:rPr>
  </w:style>
  <w:style w:type="character" w:customStyle="1" w:styleId="305">
    <w:name w:val="正文（缩进） Char Char"/>
    <w:qFormat/>
    <w:uiPriority w:val="0"/>
    <w:rPr>
      <w:rFonts w:eastAsia="宋体"/>
      <w:kern w:val="2"/>
      <w:sz w:val="24"/>
      <w:szCs w:val="24"/>
      <w:lang w:val="en-US" w:eastAsia="zh-CN" w:bidi="ar-SA"/>
    </w:rPr>
  </w:style>
  <w:style w:type="character" w:customStyle="1" w:styleId="306">
    <w:name w:val="at_0"/>
    <w:qFormat/>
    <w:uiPriority w:val="0"/>
  </w:style>
  <w:style w:type="character" w:customStyle="1" w:styleId="307">
    <w:name w:val="textcontents"/>
    <w:qFormat/>
    <w:uiPriority w:val="0"/>
  </w:style>
  <w:style w:type="character" w:customStyle="1" w:styleId="308">
    <w:name w:val="wj1"/>
    <w:qFormat/>
    <w:uiPriority w:val="0"/>
    <w:rPr>
      <w:color w:val="000000"/>
      <w:sz w:val="18"/>
      <w:szCs w:val="18"/>
      <w:u w:val="none"/>
    </w:rPr>
  </w:style>
  <w:style w:type="character" w:customStyle="1" w:styleId="309">
    <w:name w:val="zbggmain style9"/>
    <w:qFormat/>
    <w:uiPriority w:val="0"/>
  </w:style>
  <w:style w:type="character" w:customStyle="1" w:styleId="310">
    <w:name w:val="表格 Char Char"/>
    <w:qFormat/>
    <w:uiPriority w:val="0"/>
    <w:rPr>
      <w:rFonts w:ascii="宋体" w:hAnsi="宋体" w:eastAsia="宋体"/>
      <w:lang w:val="en-US" w:eastAsia="zh-CN" w:bidi="ar-SA"/>
    </w:rPr>
  </w:style>
  <w:style w:type="character" w:customStyle="1" w:styleId="311">
    <w:name w:val="批注框文本 Char1"/>
    <w:qFormat/>
    <w:uiPriority w:val="0"/>
    <w:rPr>
      <w:kern w:val="2"/>
      <w:sz w:val="18"/>
      <w:szCs w:val="18"/>
    </w:rPr>
  </w:style>
  <w:style w:type="character" w:customStyle="1" w:styleId="312">
    <w:name w:val="Char Char1"/>
    <w:qFormat/>
    <w:uiPriority w:val="0"/>
    <w:rPr>
      <w:rFonts w:eastAsia="宋体"/>
      <w:kern w:val="2"/>
      <w:sz w:val="18"/>
      <w:szCs w:val="18"/>
      <w:lang w:val="en-US" w:eastAsia="zh-CN" w:bidi="ar-SA"/>
    </w:rPr>
  </w:style>
  <w:style w:type="character" w:customStyle="1" w:styleId="313">
    <w:name w:val="product_detail_name"/>
    <w:qFormat/>
    <w:uiPriority w:val="0"/>
  </w:style>
  <w:style w:type="character" w:customStyle="1" w:styleId="314">
    <w:name w:val="blue"/>
    <w:qFormat/>
    <w:uiPriority w:val="0"/>
  </w:style>
  <w:style w:type="character" w:customStyle="1" w:styleId="315">
    <w:name w:val="标题 Char1"/>
    <w:qFormat/>
    <w:uiPriority w:val="0"/>
    <w:rPr>
      <w:rFonts w:ascii="Cambria" w:hAnsi="Cambria" w:eastAsia="宋体" w:cs="Times New Roman"/>
      <w:b/>
      <w:bCs/>
      <w:sz w:val="32"/>
      <w:szCs w:val="32"/>
    </w:rPr>
  </w:style>
  <w:style w:type="paragraph" w:customStyle="1" w:styleId="316">
    <w:name w:val="标题三级"/>
    <w:basedOn w:val="1"/>
    <w:next w:val="1"/>
    <w:qFormat/>
    <w:uiPriority w:val="0"/>
    <w:pPr>
      <w:tabs>
        <w:tab w:val="left" w:pos="720"/>
      </w:tabs>
      <w:topLinePunct/>
      <w:autoSpaceDE w:val="0"/>
      <w:autoSpaceDN w:val="0"/>
      <w:spacing w:after="0" w:line="360" w:lineRule="auto"/>
      <w:outlineLvl w:val="2"/>
    </w:pPr>
    <w:rPr>
      <w:rFonts w:ascii="宋体" w:hAnsi="宋体"/>
      <w:b/>
    </w:rPr>
  </w:style>
  <w:style w:type="paragraph" w:customStyle="1" w:styleId="317">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318">
    <w:name w:val="文档正文"/>
    <w:basedOn w:val="1"/>
    <w:qFormat/>
    <w:uiPriority w:val="0"/>
    <w:pPr>
      <w:adjustRightInd w:val="0"/>
      <w:spacing w:after="0" w:line="312" w:lineRule="atLeast"/>
      <w:ind w:firstLine="567"/>
      <w:textAlignment w:val="baseline"/>
    </w:pPr>
    <w:rPr>
      <w:rFonts w:ascii="汉仪仿宋简" w:eastAsia="汉仪仿宋简" w:cs="汉仪仿宋简"/>
      <w:sz w:val="28"/>
      <w:szCs w:val="28"/>
    </w:rPr>
  </w:style>
  <w:style w:type="character" w:customStyle="1" w:styleId="319">
    <w:name w:val="正文文本 2 Char1"/>
    <w:qFormat/>
    <w:uiPriority w:val="0"/>
    <w:rPr>
      <w:rFonts w:ascii="宋体" w:hAnsi="宋体" w:eastAsia="宋体"/>
      <w:color w:val="000000"/>
      <w:kern w:val="2"/>
      <w:sz w:val="24"/>
      <w:szCs w:val="24"/>
      <w:lang w:bidi="ar-SA"/>
    </w:rPr>
  </w:style>
  <w:style w:type="paragraph" w:customStyle="1" w:styleId="320">
    <w:name w:val="tabletext"/>
    <w:basedOn w:val="1"/>
    <w:qFormat/>
    <w:uiPriority w:val="0"/>
    <w:pPr>
      <w:widowControl/>
      <w:spacing w:before="100" w:beforeAutospacing="1" w:after="100" w:afterAutospacing="1" w:line="360" w:lineRule="auto"/>
      <w:jc w:val="left"/>
    </w:pPr>
    <w:rPr>
      <w:rFonts w:ascii="宋体" w:hAnsi="宋体" w:cs="宋体"/>
      <w:sz w:val="24"/>
    </w:rPr>
  </w:style>
  <w:style w:type="paragraph" w:customStyle="1" w:styleId="321">
    <w:name w:val="部分1"/>
    <w:basedOn w:val="1"/>
    <w:qFormat/>
    <w:uiPriority w:val="0"/>
    <w:pPr>
      <w:keepNext/>
      <w:pageBreakBefore/>
      <w:tabs>
        <w:tab w:val="left" w:pos="720"/>
      </w:tabs>
      <w:spacing w:after="0" w:line="360" w:lineRule="auto"/>
      <w:jc w:val="center"/>
      <w:outlineLvl w:val="0"/>
    </w:pPr>
    <w:rPr>
      <w:rFonts w:eastAsia="黑体"/>
      <w:b/>
      <w:kern w:val="44"/>
      <w:sz w:val="36"/>
      <w:szCs w:val="20"/>
    </w:rPr>
  </w:style>
  <w:style w:type="paragraph" w:customStyle="1" w:styleId="322">
    <w:name w:val="tableheading"/>
    <w:basedOn w:val="1"/>
    <w:qFormat/>
    <w:uiPriority w:val="0"/>
    <w:pPr>
      <w:widowControl/>
      <w:spacing w:before="100" w:beforeAutospacing="1" w:after="100" w:afterAutospacing="1" w:line="360" w:lineRule="auto"/>
      <w:jc w:val="left"/>
    </w:pPr>
    <w:rPr>
      <w:rFonts w:ascii="宋体" w:hAnsi="宋体" w:cs="宋体"/>
      <w:sz w:val="24"/>
    </w:rPr>
  </w:style>
  <w:style w:type="paragraph" w:customStyle="1" w:styleId="323">
    <w:name w:val="hea"/>
    <w:basedOn w:val="1"/>
    <w:next w:val="1"/>
    <w:qFormat/>
    <w:uiPriority w:val="0"/>
    <w:pPr>
      <w:keepNext/>
      <w:keepLines/>
      <w:tabs>
        <w:tab w:val="left" w:pos="360"/>
        <w:tab w:val="left" w:pos="420"/>
      </w:tabs>
      <w:spacing w:before="340" w:after="330" w:line="576" w:lineRule="auto"/>
      <w:ind w:left="360" w:hanging="360"/>
      <w:outlineLvl w:val="0"/>
    </w:pPr>
    <w:rPr>
      <w:b/>
      <w:bCs/>
      <w:kern w:val="44"/>
      <w:sz w:val="44"/>
      <w:szCs w:val="44"/>
    </w:rPr>
  </w:style>
  <w:style w:type="paragraph" w:customStyle="1" w:styleId="324">
    <w:name w:val="Char1 Char Char Char Char Char Char"/>
    <w:basedOn w:val="1"/>
    <w:qFormat/>
    <w:uiPriority w:val="0"/>
    <w:pPr>
      <w:spacing w:after="0" w:line="360" w:lineRule="auto"/>
    </w:pPr>
    <w:rPr>
      <w:rFonts w:ascii="Tahoma" w:hAnsi="Tahoma"/>
      <w:sz w:val="24"/>
      <w:szCs w:val="20"/>
    </w:rPr>
  </w:style>
  <w:style w:type="paragraph" w:customStyle="1" w:styleId="325">
    <w:name w:val="??"/>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3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7">
    <w:name w:val="WPS Plain"/>
    <w:qFormat/>
    <w:uiPriority w:val="0"/>
    <w:rPr>
      <w:rFonts w:ascii="Times New Roman" w:hAnsi="Times New Roman" w:eastAsia="宋体" w:cs="Times New Roman"/>
      <w:lang w:val="en-US" w:eastAsia="zh-CN" w:bidi="ar-SA"/>
    </w:rPr>
  </w:style>
  <w:style w:type="paragraph" w:customStyle="1" w:styleId="328">
    <w:name w:val="文章"/>
    <w:basedOn w:val="1"/>
    <w:qFormat/>
    <w:uiPriority w:val="0"/>
    <w:pPr>
      <w:widowControl/>
      <w:spacing w:after="0" w:line="360" w:lineRule="auto"/>
      <w:ind w:firstLine="200" w:firstLineChars="200"/>
      <w:jc w:val="left"/>
    </w:pPr>
    <w:rPr>
      <w:sz w:val="24"/>
      <w:szCs w:val="20"/>
    </w:rPr>
  </w:style>
  <w:style w:type="paragraph" w:customStyle="1" w:styleId="329">
    <w:name w:val="文章正文格式"/>
    <w:basedOn w:val="1"/>
    <w:qFormat/>
    <w:uiPriority w:val="0"/>
    <w:pPr>
      <w:snapToGrid w:val="0"/>
      <w:spacing w:after="0" w:line="540" w:lineRule="atLeast"/>
      <w:ind w:firstLine="578"/>
    </w:pPr>
    <w:rPr>
      <w:rFonts w:ascii="宋体"/>
      <w:spacing w:val="8"/>
      <w:sz w:val="28"/>
      <w:szCs w:val="20"/>
    </w:rPr>
  </w:style>
  <w:style w:type="paragraph" w:customStyle="1" w:styleId="330">
    <w:name w:val="pbullet2cmt"/>
    <w:basedOn w:val="1"/>
    <w:qFormat/>
    <w:uiPriority w:val="0"/>
    <w:pPr>
      <w:widowControl/>
      <w:spacing w:before="100" w:beforeAutospacing="1" w:after="100" w:afterAutospacing="1" w:line="360" w:lineRule="auto"/>
      <w:jc w:val="left"/>
    </w:pPr>
    <w:rPr>
      <w:rFonts w:ascii="宋体" w:hAnsi="宋体" w:cs="宋体"/>
      <w:sz w:val="24"/>
    </w:rPr>
  </w:style>
  <w:style w:type="paragraph" w:customStyle="1" w:styleId="33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2">
    <w:name w:val="CM12"/>
    <w:basedOn w:val="152"/>
    <w:next w:val="152"/>
    <w:qFormat/>
    <w:uiPriority w:val="0"/>
    <w:pPr>
      <w:spacing w:before="0" w:after="0" w:line="468" w:lineRule="atLeast"/>
    </w:pPr>
    <w:rPr>
      <w:rFonts w:cs="Times New Roman"/>
      <w:color w:val="auto"/>
    </w:rPr>
  </w:style>
  <w:style w:type="paragraph" w:customStyle="1" w:styleId="3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4">
    <w:name w:val="标准段落"/>
    <w:basedOn w:val="1"/>
    <w:qFormat/>
    <w:uiPriority w:val="0"/>
    <w:pPr>
      <w:topLinePunct/>
      <w:autoSpaceDE w:val="0"/>
      <w:autoSpaceDN w:val="0"/>
      <w:spacing w:after="0" w:line="360" w:lineRule="auto"/>
      <w:ind w:firstLine="480" w:firstLineChars="200"/>
    </w:pPr>
    <w:rPr>
      <w:rFonts w:ascii="宋体" w:hAnsi="宋体"/>
      <w:sz w:val="24"/>
      <w:lang w:bidi="th-TH"/>
    </w:rPr>
  </w:style>
  <w:style w:type="paragraph" w:customStyle="1" w:styleId="335">
    <w:name w:val="SS正文首行缩进 +"/>
    <w:basedOn w:val="3"/>
    <w:qFormat/>
    <w:uiPriority w:val="0"/>
    <w:pPr>
      <w:spacing w:beforeLines="50" w:afterLines="50" w:line="360" w:lineRule="auto"/>
      <w:ind w:firstLine="480" w:firstLineChars="200"/>
    </w:pPr>
    <w:rPr>
      <w:rFonts w:ascii="Times New Roman" w:hAnsi="Times New Roman"/>
      <w:sz w:val="24"/>
      <w:szCs w:val="20"/>
    </w:rPr>
  </w:style>
  <w:style w:type="paragraph" w:customStyle="1" w:styleId="336">
    <w:name w:val="二级条标题"/>
    <w:basedOn w:val="1"/>
    <w:next w:val="333"/>
    <w:qFormat/>
    <w:uiPriority w:val="0"/>
    <w:pPr>
      <w:widowControl/>
      <w:spacing w:after="0" w:line="360" w:lineRule="auto"/>
      <w:ind w:left="851"/>
      <w:jc w:val="left"/>
      <w:outlineLvl w:val="3"/>
    </w:pPr>
    <w:rPr>
      <w:rFonts w:eastAsia="黑体"/>
      <w:szCs w:val="20"/>
    </w:rPr>
  </w:style>
  <w:style w:type="paragraph" w:customStyle="1" w:styleId="337">
    <w:name w:val="Char Char Char"/>
    <w:basedOn w:val="1"/>
    <w:qFormat/>
    <w:uiPriority w:val="0"/>
    <w:pPr>
      <w:spacing w:after="0" w:line="360" w:lineRule="auto"/>
    </w:pPr>
    <w:rPr>
      <w:rFonts w:ascii="Tahoma" w:hAnsi="Tahoma"/>
      <w:sz w:val="24"/>
      <w:szCs w:val="20"/>
    </w:rPr>
  </w:style>
  <w:style w:type="paragraph" w:customStyle="1" w:styleId="338">
    <w:name w:val="表格"/>
    <w:basedOn w:val="1"/>
    <w:qFormat/>
    <w:uiPriority w:val="0"/>
    <w:pPr>
      <w:snapToGrid w:val="0"/>
      <w:spacing w:after="0" w:line="360" w:lineRule="auto"/>
      <w:ind w:firstLine="42" w:firstLineChars="21"/>
    </w:pPr>
    <w:rPr>
      <w:rFonts w:ascii="宋体" w:hAnsi="宋体"/>
      <w:sz w:val="20"/>
      <w:szCs w:val="20"/>
    </w:rPr>
  </w:style>
  <w:style w:type="paragraph" w:customStyle="1" w:styleId="339">
    <w:name w:val="样式 楷体_GB2312 小四 Char Char Char Char Char Char Char Char Char Char Char Char"/>
    <w:basedOn w:val="1"/>
    <w:next w:val="1"/>
    <w:qFormat/>
    <w:uiPriority w:val="0"/>
    <w:pPr>
      <w:spacing w:after="0" w:line="360" w:lineRule="auto"/>
    </w:pPr>
    <w:rPr>
      <w:rFonts w:ascii="楷体_GB2312" w:eastAsia="楷体_GB2312"/>
      <w:sz w:val="24"/>
    </w:rPr>
  </w:style>
  <w:style w:type="paragraph" w:customStyle="1" w:styleId="340">
    <w:name w:val="a"/>
    <w:basedOn w:val="1"/>
    <w:qFormat/>
    <w:uiPriority w:val="0"/>
    <w:pPr>
      <w:widowControl/>
      <w:spacing w:before="100" w:beforeAutospacing="1" w:after="100" w:afterAutospacing="1" w:line="360" w:lineRule="auto"/>
      <w:jc w:val="left"/>
    </w:pPr>
    <w:rPr>
      <w:rFonts w:ascii="宋体" w:hAnsi="宋体" w:cs="宋体"/>
      <w:sz w:val="24"/>
    </w:rPr>
  </w:style>
  <w:style w:type="paragraph" w:customStyle="1" w:styleId="341">
    <w:name w:val="正文（缩进）"/>
    <w:basedOn w:val="1"/>
    <w:qFormat/>
    <w:uiPriority w:val="0"/>
    <w:pPr>
      <w:spacing w:beforeLines="50" w:afterLines="50" w:line="360" w:lineRule="auto"/>
      <w:ind w:firstLine="480" w:firstLineChars="200"/>
    </w:pPr>
    <w:rPr>
      <w:sz w:val="24"/>
    </w:rPr>
  </w:style>
  <w:style w:type="paragraph" w:customStyle="1" w:styleId="342">
    <w:name w:val="正文（绿盟科技）"/>
    <w:qFormat/>
    <w:uiPriority w:val="0"/>
    <w:pPr>
      <w:spacing w:line="300" w:lineRule="auto"/>
    </w:pPr>
    <w:rPr>
      <w:rFonts w:ascii="Arial" w:hAnsi="Arial" w:eastAsia="宋体" w:cs="Arial"/>
      <w:sz w:val="21"/>
      <w:szCs w:val="21"/>
      <w:lang w:val="en-US" w:eastAsia="zh-CN" w:bidi="ar-SA"/>
    </w:rPr>
  </w:style>
  <w:style w:type="paragraph" w:customStyle="1" w:styleId="343">
    <w:name w:val="样式 (西文) 仿宋_GB2312 (中文) 仿宋_GB2312 (符号) 宋体 小四 行距: 1.5 倍行距 首行缩..."/>
    <w:basedOn w:val="1"/>
    <w:qFormat/>
    <w:uiPriority w:val="0"/>
    <w:pPr>
      <w:spacing w:after="0" w:line="360" w:lineRule="auto"/>
      <w:ind w:firstLine="150" w:firstLineChars="150"/>
    </w:pPr>
    <w:rPr>
      <w:rFonts w:ascii="宋体" w:cs="宋体"/>
      <w:sz w:val="24"/>
    </w:rPr>
  </w:style>
  <w:style w:type="paragraph" w:customStyle="1" w:styleId="344">
    <w:name w:val="0正文"/>
    <w:basedOn w:val="1"/>
    <w:qFormat/>
    <w:uiPriority w:val="0"/>
    <w:pPr>
      <w:adjustRightInd w:val="0"/>
      <w:spacing w:after="0" w:line="360" w:lineRule="auto"/>
      <w:ind w:left="50" w:leftChars="50" w:right="50" w:rightChars="50" w:firstLine="200" w:firstLineChars="200"/>
      <w:textAlignment w:val="baseline"/>
    </w:pPr>
    <w:rPr>
      <w:rFonts w:ascii="Verdana" w:hAnsi="Verdana" w:cs="Verdana"/>
      <w:color w:val="000080"/>
    </w:rPr>
  </w:style>
  <w:style w:type="paragraph" w:customStyle="1" w:styleId="345">
    <w:name w:val="注释标题2"/>
    <w:basedOn w:val="1"/>
    <w:next w:val="1"/>
    <w:qFormat/>
    <w:uiPriority w:val="0"/>
    <w:pPr>
      <w:spacing w:after="0" w:line="360" w:lineRule="auto"/>
      <w:jc w:val="center"/>
    </w:pPr>
    <w:rPr>
      <w:rFonts w:ascii="Droid Serif" w:hAnsi="Droid Serif" w:eastAsia="Droid Serif"/>
      <w:sz w:val="24"/>
      <w:szCs w:val="20"/>
    </w:rPr>
  </w:style>
  <w:style w:type="paragraph" w:customStyle="1" w:styleId="346">
    <w:name w:val="正文文本缩进1"/>
    <w:basedOn w:val="1"/>
    <w:qFormat/>
    <w:uiPriority w:val="0"/>
    <w:pPr>
      <w:spacing w:after="0" w:line="360" w:lineRule="auto"/>
      <w:ind w:firstLine="630"/>
    </w:pPr>
    <w:rPr>
      <w:rFonts w:ascii="楷体_GB2312" w:eastAsia="楷体_GB2312" w:cs="楷体_GB2312"/>
      <w:sz w:val="32"/>
      <w:szCs w:val="32"/>
    </w:rPr>
  </w:style>
  <w:style w:type="paragraph" w:customStyle="1" w:styleId="347">
    <w:name w:val="样式4"/>
    <w:basedOn w:val="1"/>
    <w:qFormat/>
    <w:uiPriority w:val="0"/>
    <w:pPr>
      <w:tabs>
        <w:tab w:val="left" w:pos="0"/>
        <w:tab w:val="left" w:pos="1260"/>
      </w:tabs>
      <w:spacing w:after="0" w:line="360" w:lineRule="auto"/>
      <w:ind w:left="1260"/>
    </w:pPr>
    <w:rPr>
      <w:sz w:val="24"/>
    </w:rPr>
  </w:style>
  <w:style w:type="paragraph" w:customStyle="1" w:styleId="348">
    <w:name w:val="此正文"/>
    <w:basedOn w:val="1"/>
    <w:qFormat/>
    <w:uiPriority w:val="0"/>
    <w:pPr>
      <w:tabs>
        <w:tab w:val="left" w:pos="425"/>
      </w:tabs>
      <w:spacing w:after="0" w:line="360" w:lineRule="auto"/>
      <w:ind w:left="425" w:firstLine="200" w:firstLineChars="200"/>
    </w:pPr>
    <w:rPr>
      <w:sz w:val="24"/>
    </w:rPr>
  </w:style>
  <w:style w:type="paragraph" w:customStyle="1" w:styleId="349">
    <w:name w:val="注释标题1"/>
    <w:basedOn w:val="1"/>
    <w:next w:val="1"/>
    <w:qFormat/>
    <w:uiPriority w:val="0"/>
    <w:pPr>
      <w:spacing w:after="0" w:line="360" w:lineRule="auto"/>
      <w:jc w:val="center"/>
    </w:pPr>
    <w:rPr>
      <w:rFonts w:ascii="Droid Serif" w:hAnsi="Droid Serif" w:eastAsia="Droid Serif"/>
      <w:sz w:val="24"/>
      <w:szCs w:val="20"/>
    </w:rPr>
  </w:style>
  <w:style w:type="paragraph" w:customStyle="1" w:styleId="350">
    <w:name w:val="Char Char2 Char Char Char Char Char Char Char Char Char Char"/>
    <w:basedOn w:val="1"/>
    <w:qFormat/>
    <w:uiPriority w:val="0"/>
    <w:pPr>
      <w:spacing w:after="0" w:line="360" w:lineRule="auto"/>
    </w:pPr>
    <w:rPr>
      <w:sz w:val="24"/>
    </w:rPr>
  </w:style>
  <w:style w:type="paragraph" w:customStyle="1" w:styleId="351">
    <w:name w:val="p0"/>
    <w:basedOn w:val="1"/>
    <w:qFormat/>
    <w:uiPriority w:val="0"/>
    <w:pPr>
      <w:widowControl/>
      <w:spacing w:after="0" w:line="360" w:lineRule="auto"/>
    </w:pPr>
  </w:style>
  <w:style w:type="character" w:customStyle="1" w:styleId="352">
    <w:name w:val="HTML 地址 Char"/>
    <w:qFormat/>
    <w:uiPriority w:val="0"/>
    <w:rPr>
      <w:rFonts w:ascii="宋体" w:hAnsi="宋体"/>
      <w:i/>
      <w:iCs/>
      <w:szCs w:val="24"/>
    </w:rPr>
  </w:style>
  <w:style w:type="character" w:customStyle="1" w:styleId="353">
    <w:name w:val="big14"/>
    <w:qFormat/>
    <w:uiPriority w:val="0"/>
  </w:style>
  <w:style w:type="character" w:customStyle="1" w:styleId="354">
    <w:name w:val="注释标题 Char"/>
    <w:qFormat/>
    <w:uiPriority w:val="0"/>
    <w:rPr>
      <w:rFonts w:ascii="Droid Serif" w:hAnsi="Droid Serif" w:eastAsia="Droid Serif"/>
    </w:rPr>
  </w:style>
  <w:style w:type="character" w:customStyle="1" w:styleId="355">
    <w:name w:val="页脚 Char Char"/>
    <w:qFormat/>
    <w:uiPriority w:val="0"/>
    <w:rPr>
      <w:rFonts w:ascii="宋体" w:hAnsi="宋体" w:eastAsia="宋体" w:cs="Times New Roman"/>
      <w:sz w:val="18"/>
      <w:szCs w:val="20"/>
    </w:rPr>
  </w:style>
  <w:style w:type="character" w:customStyle="1" w:styleId="356">
    <w:name w:val="arial111"/>
    <w:qFormat/>
    <w:uiPriority w:val="0"/>
    <w:rPr>
      <w:rFonts w:hint="default" w:ascii="Arial" w:hAnsi="Arial" w:cs="Arial"/>
      <w:sz w:val="17"/>
      <w:szCs w:val="17"/>
    </w:rPr>
  </w:style>
  <w:style w:type="character" w:customStyle="1" w:styleId="357">
    <w:name w:val="五级条标题 Char Char"/>
    <w:link w:val="358"/>
    <w:qFormat/>
    <w:uiPriority w:val="0"/>
    <w:rPr>
      <w:rFonts w:ascii="黑体" w:hAnsi="宋体" w:eastAsia="黑体"/>
      <w:szCs w:val="24"/>
    </w:rPr>
  </w:style>
  <w:style w:type="paragraph" w:customStyle="1" w:styleId="358">
    <w:name w:val="五级条标题"/>
    <w:basedOn w:val="359"/>
    <w:next w:val="1"/>
    <w:link w:val="357"/>
    <w:qFormat/>
    <w:uiPriority w:val="0"/>
    <w:pPr>
      <w:outlineLvl w:val="6"/>
    </w:pPr>
  </w:style>
  <w:style w:type="paragraph" w:customStyle="1" w:styleId="359">
    <w:name w:val="四级条标题"/>
    <w:basedOn w:val="360"/>
    <w:next w:val="1"/>
    <w:link w:val="362"/>
    <w:qFormat/>
    <w:uiPriority w:val="0"/>
    <w:pPr>
      <w:ind w:left="0"/>
      <w:outlineLvl w:val="5"/>
    </w:pPr>
  </w:style>
  <w:style w:type="paragraph" w:customStyle="1" w:styleId="360">
    <w:name w:val="三级条标题"/>
    <w:basedOn w:val="361"/>
    <w:next w:val="1"/>
    <w:link w:val="363"/>
    <w:qFormat/>
    <w:uiPriority w:val="0"/>
    <w:pPr>
      <w:ind w:left="735"/>
      <w:outlineLvl w:val="4"/>
    </w:pPr>
  </w:style>
  <w:style w:type="paragraph" w:customStyle="1" w:styleId="361">
    <w:name w:val="二级条标题 Char"/>
    <w:next w:val="1"/>
    <w:link w:val="364"/>
    <w:qFormat/>
    <w:uiPriority w:val="0"/>
    <w:pPr>
      <w:ind w:left="420"/>
      <w:outlineLvl w:val="3"/>
    </w:pPr>
    <w:rPr>
      <w:rFonts w:ascii="黑体" w:hAnsi="宋体" w:eastAsia="黑体" w:cs="Times New Roman"/>
      <w:szCs w:val="24"/>
      <w:lang w:val="en-US" w:eastAsia="zh-CN" w:bidi="ar-SA"/>
    </w:rPr>
  </w:style>
  <w:style w:type="character" w:customStyle="1" w:styleId="362">
    <w:name w:val="四级条标题 Char Char"/>
    <w:link w:val="359"/>
    <w:qFormat/>
    <w:uiPriority w:val="0"/>
    <w:rPr>
      <w:rFonts w:ascii="黑体" w:hAnsi="宋体" w:eastAsia="黑体"/>
      <w:szCs w:val="24"/>
    </w:rPr>
  </w:style>
  <w:style w:type="character" w:customStyle="1" w:styleId="363">
    <w:name w:val="三级条标题 Char Char"/>
    <w:link w:val="360"/>
    <w:qFormat/>
    <w:uiPriority w:val="0"/>
    <w:rPr>
      <w:rFonts w:ascii="黑体" w:hAnsi="宋体" w:eastAsia="黑体"/>
      <w:szCs w:val="24"/>
    </w:rPr>
  </w:style>
  <w:style w:type="character" w:customStyle="1" w:styleId="364">
    <w:name w:val="二级条标题 Char Char Char"/>
    <w:link w:val="361"/>
    <w:qFormat/>
    <w:uiPriority w:val="0"/>
    <w:rPr>
      <w:rFonts w:ascii="黑体" w:hAnsi="宋体" w:eastAsia="黑体"/>
      <w:szCs w:val="24"/>
    </w:rPr>
  </w:style>
  <w:style w:type="character" w:customStyle="1" w:styleId="365">
    <w:name w:val="一级条标题 Char Char Char Char"/>
    <w:qFormat/>
    <w:uiPriority w:val="0"/>
  </w:style>
  <w:style w:type="character" w:customStyle="1" w:styleId="366">
    <w:name w:val="章标题 Char Char Char Char"/>
    <w:link w:val="367"/>
    <w:qFormat/>
    <w:uiPriority w:val="0"/>
    <w:rPr>
      <w:rFonts w:ascii="黑体" w:hAnsi="宋体" w:eastAsia="黑体"/>
      <w:szCs w:val="24"/>
    </w:rPr>
  </w:style>
  <w:style w:type="paragraph" w:customStyle="1" w:styleId="367">
    <w:name w:val="章标题 Char Char"/>
    <w:next w:val="1"/>
    <w:link w:val="366"/>
    <w:qFormat/>
    <w:uiPriority w:val="0"/>
    <w:pPr>
      <w:spacing w:beforeLines="50" w:afterLines="50"/>
      <w:ind w:left="840" w:hanging="420"/>
      <w:jc w:val="both"/>
      <w:outlineLvl w:val="1"/>
    </w:pPr>
    <w:rPr>
      <w:rFonts w:ascii="黑体" w:hAnsi="宋体" w:eastAsia="黑体" w:cs="Times New Roman"/>
      <w:szCs w:val="24"/>
      <w:lang w:val="en-US" w:eastAsia="zh-CN" w:bidi="ar-SA"/>
    </w:rPr>
  </w:style>
  <w:style w:type="character" w:customStyle="1" w:styleId="368">
    <w:name w:val="t91"/>
    <w:qFormat/>
    <w:uiPriority w:val="0"/>
  </w:style>
  <w:style w:type="character" w:customStyle="1" w:styleId="369">
    <w:name w:val="正文文本 Char Char"/>
    <w:qFormat/>
    <w:uiPriority w:val="0"/>
    <w:rPr>
      <w:rFonts w:ascii="宋体" w:hAnsi="宋体" w:eastAsia="宋体" w:cs="Times New Roman"/>
      <w:sz w:val="24"/>
      <w:szCs w:val="24"/>
    </w:rPr>
  </w:style>
  <w:style w:type="character" w:customStyle="1" w:styleId="370">
    <w:name w:val="个人撰写风格"/>
    <w:qFormat/>
    <w:uiPriority w:val="0"/>
    <w:rPr>
      <w:rFonts w:ascii="Arial" w:hAnsi="Arial" w:eastAsia="宋体" w:cs="Arial"/>
      <w:color w:val="auto"/>
      <w:sz w:val="20"/>
    </w:rPr>
  </w:style>
  <w:style w:type="character" w:customStyle="1" w:styleId="371">
    <w:name w:val="正文表标题 Char Char"/>
    <w:link w:val="372"/>
    <w:qFormat/>
    <w:uiPriority w:val="0"/>
    <w:rPr>
      <w:rFonts w:ascii="黑体" w:hAnsi="宋体" w:eastAsia="黑体"/>
      <w:szCs w:val="24"/>
    </w:rPr>
  </w:style>
  <w:style w:type="paragraph" w:customStyle="1" w:styleId="372">
    <w:name w:val="正文表标题"/>
    <w:next w:val="333"/>
    <w:link w:val="371"/>
    <w:qFormat/>
    <w:uiPriority w:val="0"/>
    <w:pPr>
      <w:tabs>
        <w:tab w:val="left" w:pos="360"/>
      </w:tabs>
      <w:ind w:left="3780"/>
      <w:jc w:val="center"/>
    </w:pPr>
    <w:rPr>
      <w:rFonts w:ascii="黑体" w:hAnsi="宋体" w:eastAsia="黑体" w:cs="Times New Roman"/>
      <w:szCs w:val="24"/>
      <w:lang w:val="en-US" w:eastAsia="zh-CN" w:bidi="ar-SA"/>
    </w:rPr>
  </w:style>
  <w:style w:type="character" w:customStyle="1" w:styleId="373">
    <w:name w:val="页眉 Char Char"/>
    <w:qFormat/>
    <w:uiPriority w:val="0"/>
    <w:rPr>
      <w:rFonts w:ascii="宋体" w:hAnsi="宋体" w:eastAsia="宋体" w:cs="Times New Roman"/>
      <w:sz w:val="18"/>
      <w:szCs w:val="20"/>
    </w:rPr>
  </w:style>
  <w:style w:type="character" w:customStyle="1" w:styleId="374">
    <w:name w:val="style60"/>
    <w:qFormat/>
    <w:uiPriority w:val="0"/>
  </w:style>
  <w:style w:type="character" w:customStyle="1" w:styleId="375">
    <w:name w:val="章标题 Char Char Char Char Char"/>
    <w:qFormat/>
    <w:uiPriority w:val="0"/>
    <w:rPr>
      <w:rFonts w:ascii="黑体" w:hAnsi="宋体" w:eastAsia="黑体"/>
      <w:szCs w:val="24"/>
    </w:rPr>
  </w:style>
  <w:style w:type="character" w:customStyle="1" w:styleId="376">
    <w:name w:val="newsitemtitle1"/>
    <w:qFormat/>
    <w:uiPriority w:val="0"/>
    <w:rPr>
      <w:b/>
      <w:bCs/>
      <w:color w:val="0000CD"/>
      <w:sz w:val="28"/>
      <w:szCs w:val="28"/>
    </w:rPr>
  </w:style>
  <w:style w:type="character" w:customStyle="1" w:styleId="377">
    <w:name w:val="发布"/>
    <w:qFormat/>
    <w:uiPriority w:val="0"/>
    <w:rPr>
      <w:rFonts w:ascii="黑体" w:eastAsia="黑体"/>
      <w:spacing w:val="22"/>
      <w:w w:val="100"/>
      <w:position w:val="3"/>
      <w:sz w:val="28"/>
    </w:rPr>
  </w:style>
  <w:style w:type="character" w:customStyle="1" w:styleId="378">
    <w:name w:val="一级无标题条 Char Char"/>
    <w:link w:val="379"/>
    <w:qFormat/>
    <w:uiPriority w:val="0"/>
    <w:rPr>
      <w:rFonts w:ascii="宋体" w:hAnsi="宋体"/>
      <w:szCs w:val="24"/>
    </w:rPr>
  </w:style>
  <w:style w:type="paragraph" w:customStyle="1" w:styleId="379">
    <w:name w:val="一级无标题条"/>
    <w:basedOn w:val="1"/>
    <w:link w:val="378"/>
    <w:qFormat/>
    <w:uiPriority w:val="0"/>
    <w:pPr>
      <w:spacing w:after="0" w:line="360" w:lineRule="auto"/>
    </w:pPr>
    <w:rPr>
      <w:rFonts w:ascii="宋体" w:hAnsi="宋体"/>
      <w:sz w:val="20"/>
    </w:rPr>
  </w:style>
  <w:style w:type="character" w:customStyle="1" w:styleId="380">
    <w:name w:val="个人答复风格"/>
    <w:qFormat/>
    <w:uiPriority w:val="0"/>
    <w:rPr>
      <w:rFonts w:ascii="Arial" w:hAnsi="Arial" w:eastAsia="宋体" w:cs="Arial"/>
      <w:color w:val="auto"/>
      <w:sz w:val="20"/>
    </w:rPr>
  </w:style>
  <w:style w:type="character" w:customStyle="1" w:styleId="381">
    <w:name w:val="脚注文本 Char1"/>
    <w:qFormat/>
    <w:uiPriority w:val="0"/>
    <w:rPr>
      <w:kern w:val="2"/>
      <w:sz w:val="18"/>
      <w:szCs w:val="18"/>
    </w:rPr>
  </w:style>
  <w:style w:type="paragraph" w:customStyle="1" w:styleId="382">
    <w:name w:val="标准书眉_偶数页"/>
    <w:basedOn w:val="383"/>
    <w:next w:val="1"/>
    <w:qFormat/>
    <w:uiPriority w:val="0"/>
    <w:pPr>
      <w:tabs>
        <w:tab w:val="center" w:pos="4154"/>
        <w:tab w:val="right" w:pos="8306"/>
      </w:tabs>
      <w:jc w:val="left"/>
    </w:pPr>
  </w:style>
  <w:style w:type="paragraph" w:customStyle="1" w:styleId="383">
    <w:name w:val="标准书眉_奇数页"/>
    <w:next w:val="1"/>
    <w:qFormat/>
    <w:uiPriority w:val="0"/>
    <w:pPr>
      <w:tabs>
        <w:tab w:val="center" w:pos="4154"/>
        <w:tab w:val="right" w:pos="8306"/>
      </w:tabs>
      <w:spacing w:after="120"/>
      <w:jc w:val="right"/>
    </w:pPr>
    <w:rPr>
      <w:rFonts w:ascii="宋体" w:hAnsi="宋体" w:eastAsia="宋体" w:cs="Times New Roman"/>
      <w:kern w:val="2"/>
      <w:sz w:val="21"/>
      <w:szCs w:val="24"/>
      <w:lang w:val="en-US" w:eastAsia="zh-CN" w:bidi="ar-SA"/>
    </w:rPr>
  </w:style>
  <w:style w:type="paragraph" w:customStyle="1" w:styleId="384">
    <w:name w:val="字母编号列项（一级）"/>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385">
    <w:name w:val="style3"/>
    <w:basedOn w:val="1"/>
    <w:qFormat/>
    <w:uiPriority w:val="0"/>
    <w:pPr>
      <w:widowControl/>
      <w:spacing w:before="100" w:beforeAutospacing="1" w:after="100" w:afterAutospacing="1" w:line="360" w:lineRule="auto"/>
      <w:jc w:val="left"/>
    </w:pPr>
    <w:rPr>
      <w:rFonts w:ascii="宋体" w:hAnsi="宋体"/>
      <w:color w:val="666666"/>
      <w:sz w:val="24"/>
    </w:rPr>
  </w:style>
  <w:style w:type="character" w:customStyle="1" w:styleId="386">
    <w:name w:val="HTML 地址 Char1"/>
    <w:basedOn w:val="58"/>
    <w:link w:val="28"/>
    <w:qFormat/>
    <w:uiPriority w:val="0"/>
    <w:rPr>
      <w:i/>
      <w:iCs/>
      <w:kern w:val="2"/>
      <w:sz w:val="21"/>
      <w:szCs w:val="24"/>
    </w:rPr>
  </w:style>
  <w:style w:type="paragraph" w:customStyle="1" w:styleId="387">
    <w:name w:val="注释标题3"/>
    <w:basedOn w:val="1"/>
    <w:next w:val="1"/>
    <w:qFormat/>
    <w:uiPriority w:val="0"/>
    <w:pPr>
      <w:spacing w:after="0" w:line="360" w:lineRule="auto"/>
      <w:jc w:val="center"/>
    </w:pPr>
    <w:rPr>
      <w:rFonts w:ascii="Droid Serif" w:hAnsi="Droid Serif" w:eastAsia="Droid Serif"/>
      <w:sz w:val="20"/>
      <w:szCs w:val="20"/>
    </w:rPr>
  </w:style>
  <w:style w:type="character" w:customStyle="1" w:styleId="388">
    <w:name w:val="注释标题 Char1"/>
    <w:basedOn w:val="58"/>
    <w:link w:val="15"/>
    <w:qFormat/>
    <w:uiPriority w:val="0"/>
    <w:rPr>
      <w:kern w:val="2"/>
      <w:sz w:val="21"/>
      <w:szCs w:val="24"/>
    </w:rPr>
  </w:style>
  <w:style w:type="paragraph" w:customStyle="1" w:styleId="389">
    <w:name w:val="附录五级条标题"/>
    <w:basedOn w:val="390"/>
    <w:next w:val="333"/>
    <w:qFormat/>
    <w:uiPriority w:val="0"/>
    <w:pPr>
      <w:tabs>
        <w:tab w:val="left" w:pos="360"/>
      </w:tabs>
      <w:outlineLvl w:val="6"/>
    </w:pPr>
  </w:style>
  <w:style w:type="paragraph" w:customStyle="1" w:styleId="390">
    <w:name w:val="附录四级条标题"/>
    <w:basedOn w:val="391"/>
    <w:next w:val="333"/>
    <w:qFormat/>
    <w:uiPriority w:val="0"/>
    <w:pPr>
      <w:tabs>
        <w:tab w:val="left" w:pos="360"/>
      </w:tabs>
      <w:outlineLvl w:val="5"/>
    </w:pPr>
  </w:style>
  <w:style w:type="paragraph" w:customStyle="1" w:styleId="391">
    <w:name w:val="附录三级条标题"/>
    <w:basedOn w:val="392"/>
    <w:next w:val="333"/>
    <w:qFormat/>
    <w:uiPriority w:val="0"/>
    <w:pPr>
      <w:tabs>
        <w:tab w:val="left" w:pos="360"/>
      </w:tabs>
      <w:outlineLvl w:val="4"/>
    </w:pPr>
  </w:style>
  <w:style w:type="paragraph" w:customStyle="1" w:styleId="392">
    <w:name w:val="附录二级条标题"/>
    <w:basedOn w:val="393"/>
    <w:next w:val="333"/>
    <w:qFormat/>
    <w:uiPriority w:val="0"/>
    <w:pPr>
      <w:tabs>
        <w:tab w:val="left" w:pos="360"/>
      </w:tabs>
      <w:outlineLvl w:val="3"/>
    </w:pPr>
  </w:style>
  <w:style w:type="paragraph" w:customStyle="1" w:styleId="393">
    <w:name w:val="附录一级条标题"/>
    <w:basedOn w:val="394"/>
    <w:next w:val="333"/>
    <w:qFormat/>
    <w:uiPriority w:val="0"/>
    <w:pPr>
      <w:tabs>
        <w:tab w:val="left" w:pos="360"/>
      </w:tabs>
      <w:autoSpaceDN w:val="0"/>
      <w:spacing w:beforeLines="0" w:afterLines="0"/>
      <w:ind w:left="0"/>
      <w:outlineLvl w:val="2"/>
    </w:pPr>
  </w:style>
  <w:style w:type="paragraph" w:customStyle="1" w:styleId="394">
    <w:name w:val="附录章标题"/>
    <w:next w:val="333"/>
    <w:qFormat/>
    <w:uiPriority w:val="0"/>
    <w:pPr>
      <w:tabs>
        <w:tab w:val="left" w:pos="360"/>
      </w:tabs>
      <w:wordWrap w:val="0"/>
      <w:overflowPunct w:val="0"/>
      <w:autoSpaceDE w:val="0"/>
      <w:spacing w:beforeLines="50" w:afterLines="50"/>
      <w:ind w:left="420"/>
      <w:jc w:val="both"/>
      <w:textAlignment w:val="baseline"/>
      <w:outlineLvl w:val="1"/>
    </w:pPr>
    <w:rPr>
      <w:rFonts w:ascii="黑体" w:hAnsi="宋体" w:eastAsia="黑体" w:cs="Times New Roman"/>
      <w:kern w:val="21"/>
      <w:sz w:val="21"/>
      <w:szCs w:val="24"/>
      <w:lang w:val="en-US" w:eastAsia="zh-CN" w:bidi="ar-SA"/>
    </w:rPr>
  </w:style>
  <w:style w:type="paragraph" w:customStyle="1" w:styleId="395">
    <w:name w:val="Char Char4"/>
    <w:basedOn w:val="1"/>
    <w:qFormat/>
    <w:uiPriority w:val="0"/>
    <w:pPr>
      <w:spacing w:after="0" w:line="360" w:lineRule="auto"/>
    </w:pPr>
  </w:style>
  <w:style w:type="paragraph" w:customStyle="1" w:styleId="396">
    <w:name w:val="Char Char Char Char1"/>
    <w:basedOn w:val="1"/>
    <w:qFormat/>
    <w:uiPriority w:val="0"/>
    <w:pPr>
      <w:spacing w:after="0" w:line="360" w:lineRule="auto"/>
      <w:ind w:firstLine="200" w:firstLineChars="200"/>
    </w:pPr>
    <w:rPr>
      <w:rFonts w:ascii="Tahoma" w:hAnsi="Tahoma"/>
      <w:sz w:val="24"/>
    </w:rPr>
  </w:style>
  <w:style w:type="paragraph" w:customStyle="1" w:styleId="397">
    <w:name w:val="Note Heading1"/>
    <w:basedOn w:val="1"/>
    <w:next w:val="1"/>
    <w:qFormat/>
    <w:uiPriority w:val="0"/>
    <w:pPr>
      <w:spacing w:after="0" w:line="360" w:lineRule="auto"/>
      <w:jc w:val="center"/>
    </w:pPr>
    <w:rPr>
      <w:rFonts w:ascii="Droid Serif" w:hAnsi="Droid Serif" w:eastAsia="Droid Serif"/>
      <w:sz w:val="20"/>
      <w:szCs w:val="20"/>
    </w:rPr>
  </w:style>
  <w:style w:type="paragraph" w:customStyle="1" w:styleId="398">
    <w:name w:val="列表内容"/>
    <w:basedOn w:val="1"/>
    <w:next w:val="1"/>
    <w:qFormat/>
    <w:uiPriority w:val="0"/>
    <w:pPr>
      <w:widowControl/>
      <w:tabs>
        <w:tab w:val="left" w:pos="840"/>
      </w:tabs>
      <w:spacing w:after="0" w:line="360" w:lineRule="auto"/>
      <w:ind w:left="425" w:hanging="137"/>
      <w:jc w:val="left"/>
    </w:pPr>
    <w:rPr>
      <w:sz w:val="18"/>
    </w:rPr>
  </w:style>
  <w:style w:type="character" w:customStyle="1" w:styleId="399">
    <w:name w:val="正文首行缩进 2 Char1"/>
    <w:qFormat/>
    <w:uiPriority w:val="0"/>
    <w:rPr>
      <w:rFonts w:ascii="宋体" w:hAnsi="Courier New"/>
      <w:spacing w:val="-4"/>
      <w:kern w:val="2"/>
      <w:sz w:val="21"/>
      <w:szCs w:val="24"/>
    </w:rPr>
  </w:style>
  <w:style w:type="character" w:customStyle="1" w:styleId="400">
    <w:name w:val="正文文本缩进 Char2"/>
    <w:qFormat/>
    <w:uiPriority w:val="0"/>
    <w:rPr>
      <w:kern w:val="2"/>
      <w:sz w:val="21"/>
      <w:szCs w:val="24"/>
    </w:rPr>
  </w:style>
  <w:style w:type="paragraph" w:customStyle="1" w:styleId="401">
    <w:name w:val="图表脚注"/>
    <w:next w:val="333"/>
    <w:qFormat/>
    <w:uiPriority w:val="0"/>
    <w:pPr>
      <w:ind w:left="300" w:leftChars="200" w:hanging="100" w:hangingChars="100"/>
      <w:jc w:val="both"/>
    </w:pPr>
    <w:rPr>
      <w:rFonts w:ascii="宋体" w:hAnsi="宋体" w:eastAsia="宋体" w:cs="Times New Roman"/>
      <w:kern w:val="2"/>
      <w:sz w:val="18"/>
      <w:szCs w:val="24"/>
      <w:lang w:val="en-US" w:eastAsia="zh-CN" w:bidi="ar-SA"/>
    </w:rPr>
  </w:style>
  <w:style w:type="paragraph" w:customStyle="1" w:styleId="402">
    <w:name w:val="潘"/>
    <w:basedOn w:val="1"/>
    <w:qFormat/>
    <w:uiPriority w:val="0"/>
    <w:pPr>
      <w:snapToGrid w:val="0"/>
      <w:spacing w:after="0" w:line="240" w:lineRule="atLeast"/>
    </w:pPr>
    <w:rPr>
      <w:rFonts w:ascii="Arial" w:hAnsi="Arial" w:eastAsia="楷体_GB2312"/>
      <w:b/>
      <w:bCs/>
    </w:rPr>
  </w:style>
  <w:style w:type="paragraph" w:customStyle="1" w:styleId="403">
    <w:name w:val="其他标准称谓"/>
    <w:qFormat/>
    <w:uiPriority w:val="0"/>
    <w:pPr>
      <w:spacing w:line="0" w:lineRule="atLeast"/>
      <w:jc w:val="distribute"/>
    </w:pPr>
    <w:rPr>
      <w:rFonts w:ascii="黑体" w:hAnsi="宋体" w:eastAsia="黑体" w:cs="Times New Roman"/>
      <w:kern w:val="2"/>
      <w:sz w:val="52"/>
      <w:szCs w:val="24"/>
      <w:lang w:val="en-US" w:eastAsia="zh-CN" w:bidi="ar-SA"/>
    </w:rPr>
  </w:style>
  <w:style w:type="paragraph" w:customStyle="1" w:styleId="404">
    <w:name w:val="数字编号列项（二级）"/>
    <w:qFormat/>
    <w:uiPriority w:val="0"/>
    <w:pPr>
      <w:ind w:left="1260" w:leftChars="400" w:hanging="420" w:hangingChars="200"/>
      <w:jc w:val="both"/>
    </w:pPr>
    <w:rPr>
      <w:rFonts w:ascii="宋体" w:hAnsi="宋体" w:eastAsia="宋体" w:cs="Times New Roman"/>
      <w:kern w:val="2"/>
      <w:sz w:val="21"/>
      <w:szCs w:val="24"/>
      <w:lang w:val="en-US" w:eastAsia="zh-CN" w:bidi="ar-SA"/>
    </w:rPr>
  </w:style>
  <w:style w:type="paragraph" w:customStyle="1" w:styleId="405">
    <w:name w:val="样式 标题 3标题 3 CharH3h33rd level3Level 3 Headlevel_3PIM 3s..."/>
    <w:basedOn w:val="7"/>
    <w:qFormat/>
    <w:uiPriority w:val="0"/>
    <w:pPr>
      <w:tabs>
        <w:tab w:val="left" w:pos="425"/>
      </w:tabs>
      <w:spacing w:afterLines="50" w:line="416" w:lineRule="auto"/>
      <w:ind w:firstLine="0" w:firstLineChars="0"/>
    </w:pPr>
    <w:rPr>
      <w:rFonts w:ascii="宋体" w:hAnsi="宋体" w:eastAsia="宋体" w:cs="宋体"/>
      <w:sz w:val="28"/>
    </w:rPr>
  </w:style>
  <w:style w:type="paragraph" w:customStyle="1" w:styleId="406">
    <w:name w:val="注×："/>
    <w:qFormat/>
    <w:uiPriority w:val="0"/>
    <w:pPr>
      <w:widowControl w:val="0"/>
      <w:tabs>
        <w:tab w:val="left" w:pos="360"/>
        <w:tab w:val="left" w:pos="630"/>
      </w:tabs>
      <w:autoSpaceDE w:val="0"/>
      <w:autoSpaceDN w:val="0"/>
      <w:jc w:val="both"/>
    </w:pPr>
    <w:rPr>
      <w:rFonts w:ascii="宋体" w:hAnsi="宋体" w:eastAsia="宋体" w:cs="Times New Roman"/>
      <w:kern w:val="2"/>
      <w:sz w:val="18"/>
      <w:szCs w:val="24"/>
      <w:lang w:val="en-US" w:eastAsia="zh-CN" w:bidi="ar-SA"/>
    </w:rPr>
  </w:style>
  <w:style w:type="paragraph" w:customStyle="1" w:styleId="407">
    <w:name w:val="二级无标题条"/>
    <w:basedOn w:val="1"/>
    <w:qFormat/>
    <w:uiPriority w:val="0"/>
    <w:pPr>
      <w:spacing w:after="0" w:line="360" w:lineRule="auto"/>
    </w:pPr>
    <w:rPr>
      <w:rFonts w:ascii="宋体" w:hAnsi="宋体"/>
    </w:rPr>
  </w:style>
  <w:style w:type="paragraph" w:customStyle="1" w:styleId="408">
    <w:name w:val="字母编号列项"/>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409">
    <w:name w:val="封面正文"/>
    <w:qFormat/>
    <w:uiPriority w:val="0"/>
    <w:pPr>
      <w:jc w:val="both"/>
    </w:pPr>
    <w:rPr>
      <w:rFonts w:ascii="宋体" w:hAnsi="宋体" w:eastAsia="宋体" w:cs="Times New Roman"/>
      <w:kern w:val="2"/>
      <w:sz w:val="24"/>
      <w:szCs w:val="24"/>
      <w:lang w:val="en-US" w:eastAsia="zh-CN" w:bidi="ar-SA"/>
    </w:rPr>
  </w:style>
  <w:style w:type="paragraph" w:customStyle="1" w:styleId="410">
    <w:name w:val="列项·"/>
    <w:qFormat/>
    <w:uiPriority w:val="0"/>
    <w:pPr>
      <w:tabs>
        <w:tab w:val="left" w:pos="360"/>
        <w:tab w:val="left" w:pos="840"/>
      </w:tabs>
      <w:jc w:val="both"/>
    </w:pPr>
    <w:rPr>
      <w:rFonts w:ascii="宋体" w:hAnsi="宋体" w:eastAsia="宋体" w:cs="Times New Roman"/>
      <w:kern w:val="2"/>
      <w:sz w:val="21"/>
      <w:szCs w:val="24"/>
      <w:lang w:val="en-US" w:eastAsia="zh-CN" w:bidi="ar-SA"/>
    </w:rPr>
  </w:style>
  <w:style w:type="paragraph" w:customStyle="1" w:styleId="411">
    <w:name w:val="一级条标题"/>
    <w:basedOn w:val="1"/>
    <w:next w:val="1"/>
    <w:qFormat/>
    <w:uiPriority w:val="0"/>
    <w:pPr>
      <w:widowControl/>
      <w:spacing w:after="0" w:line="360" w:lineRule="auto"/>
      <w:outlineLvl w:val="2"/>
    </w:pPr>
    <w:rPr>
      <w:rFonts w:ascii="黑体" w:hAnsi="宋体" w:eastAsia="黑体"/>
      <w:szCs w:val="20"/>
    </w:rPr>
  </w:style>
  <w:style w:type="paragraph" w:customStyle="1" w:styleId="412">
    <w:name w:val="样式 标题 4H4sect 1.2.3.4Ref Heading 1rh1Heading sqlh4h41h42..."/>
    <w:basedOn w:val="8"/>
    <w:qFormat/>
    <w:uiPriority w:val="0"/>
    <w:pPr>
      <w:numPr>
        <w:ilvl w:val="3"/>
        <w:numId w:val="8"/>
      </w:numPr>
      <w:tabs>
        <w:tab w:val="left" w:pos="425"/>
        <w:tab w:val="left" w:pos="1680"/>
      </w:tabs>
      <w:spacing w:before="0" w:afterLines="50" w:line="360" w:lineRule="auto"/>
      <w:ind w:left="1680"/>
    </w:pPr>
    <w:rPr>
      <w:rFonts w:ascii="Times New Roman" w:hAnsi="宋体" w:eastAsia="宋体" w:cs="宋体"/>
      <w:sz w:val="24"/>
      <w:szCs w:val="20"/>
    </w:rPr>
  </w:style>
  <w:style w:type="paragraph" w:customStyle="1" w:styleId="413">
    <w:name w:val="参考文献、索引标题"/>
    <w:basedOn w:val="414"/>
    <w:next w:val="1"/>
    <w:qFormat/>
    <w:uiPriority w:val="0"/>
    <w:pPr>
      <w:spacing w:after="200"/>
      <w:ind w:left="0" w:firstLine="0"/>
    </w:pPr>
    <w:rPr>
      <w:sz w:val="21"/>
    </w:rPr>
  </w:style>
  <w:style w:type="paragraph" w:customStyle="1" w:styleId="414">
    <w:name w:val="前言、引言标题"/>
    <w:next w:val="1"/>
    <w:qFormat/>
    <w:uiPriority w:val="0"/>
    <w:pPr>
      <w:shd w:val="clear" w:color="FFFFFF" w:fill="FFFFFF"/>
      <w:spacing w:before="640" w:after="560"/>
      <w:ind w:left="420" w:hanging="420"/>
      <w:jc w:val="center"/>
      <w:outlineLvl w:val="0"/>
    </w:pPr>
    <w:rPr>
      <w:rFonts w:ascii="黑体" w:hAnsi="宋体" w:eastAsia="黑体" w:cs="Times New Roman"/>
      <w:kern w:val="2"/>
      <w:sz w:val="32"/>
      <w:szCs w:val="24"/>
      <w:lang w:val="en-US" w:eastAsia="zh-CN" w:bidi="ar-SA"/>
    </w:rPr>
  </w:style>
  <w:style w:type="paragraph" w:customStyle="1" w:styleId="415">
    <w:name w:val="列项——"/>
    <w:qFormat/>
    <w:uiPriority w:val="0"/>
    <w:pPr>
      <w:widowControl w:val="0"/>
      <w:tabs>
        <w:tab w:val="left" w:pos="360"/>
      </w:tabs>
      <w:jc w:val="both"/>
    </w:pPr>
    <w:rPr>
      <w:rFonts w:ascii="宋体" w:hAnsi="宋体" w:eastAsia="宋体" w:cs="Times New Roman"/>
      <w:kern w:val="2"/>
      <w:sz w:val="21"/>
      <w:szCs w:val="24"/>
      <w:lang w:val="en-US" w:eastAsia="zh-CN" w:bidi="ar-SA"/>
    </w:rPr>
  </w:style>
  <w:style w:type="paragraph" w:customStyle="1" w:styleId="416">
    <w:name w:val="注："/>
    <w:next w:val="333"/>
    <w:qFormat/>
    <w:uiPriority w:val="0"/>
    <w:pPr>
      <w:widowControl w:val="0"/>
      <w:tabs>
        <w:tab w:val="left" w:pos="360"/>
      </w:tabs>
      <w:autoSpaceDE w:val="0"/>
      <w:autoSpaceDN w:val="0"/>
      <w:jc w:val="both"/>
    </w:pPr>
    <w:rPr>
      <w:rFonts w:ascii="宋体" w:hAnsi="宋体" w:eastAsia="宋体" w:cs="Times New Roman"/>
      <w:kern w:val="2"/>
      <w:sz w:val="18"/>
      <w:szCs w:val="24"/>
      <w:lang w:val="en-US" w:eastAsia="zh-CN" w:bidi="ar-SA"/>
    </w:rPr>
  </w:style>
  <w:style w:type="paragraph" w:customStyle="1" w:styleId="417">
    <w:name w:val="四级无标题条"/>
    <w:basedOn w:val="1"/>
    <w:qFormat/>
    <w:uiPriority w:val="0"/>
    <w:pPr>
      <w:spacing w:after="0" w:line="360" w:lineRule="auto"/>
    </w:pPr>
    <w:rPr>
      <w:rFonts w:ascii="宋体" w:hAnsi="宋体"/>
    </w:rPr>
  </w:style>
  <w:style w:type="paragraph" w:customStyle="1" w:styleId="418">
    <w:name w:val="封面标准文稿编辑信息"/>
    <w:qFormat/>
    <w:uiPriority w:val="0"/>
    <w:pPr>
      <w:spacing w:before="180" w:line="180" w:lineRule="exact"/>
      <w:jc w:val="center"/>
    </w:pPr>
    <w:rPr>
      <w:rFonts w:ascii="宋体" w:hAnsi="宋体" w:eastAsia="宋体" w:cs="Times New Roman"/>
      <w:kern w:val="2"/>
      <w:sz w:val="21"/>
      <w:szCs w:val="24"/>
      <w:lang w:val="en-US" w:eastAsia="zh-CN" w:bidi="ar-SA"/>
    </w:rPr>
  </w:style>
  <w:style w:type="paragraph" w:customStyle="1" w:styleId="419">
    <w:name w:val="封面一致性程度标识"/>
    <w:qFormat/>
    <w:uiPriority w:val="0"/>
    <w:pPr>
      <w:spacing w:before="440" w:line="400" w:lineRule="exact"/>
      <w:jc w:val="center"/>
    </w:pPr>
    <w:rPr>
      <w:rFonts w:ascii="宋体" w:hAnsi="宋体" w:eastAsia="宋体" w:cs="Times New Roman"/>
      <w:kern w:val="2"/>
      <w:sz w:val="28"/>
      <w:szCs w:val="24"/>
      <w:lang w:val="en-US" w:eastAsia="zh-CN" w:bidi="ar-SA"/>
    </w:rPr>
  </w:style>
  <w:style w:type="paragraph" w:customStyle="1" w:styleId="420">
    <w:name w:val="发布日期"/>
    <w:qFormat/>
    <w:uiPriority w:val="0"/>
    <w:rPr>
      <w:rFonts w:ascii="宋体" w:hAnsi="宋体" w:eastAsia="黑体" w:cs="Times New Roman"/>
      <w:kern w:val="2"/>
      <w:sz w:val="28"/>
      <w:szCs w:val="24"/>
      <w:lang w:val="en-US" w:eastAsia="zh-CN" w:bidi="ar-SA"/>
    </w:rPr>
  </w:style>
  <w:style w:type="paragraph" w:customStyle="1" w:styleId="421">
    <w:name w:val="Char1 Char Char Char Char Char Char Char Char1 Char Char"/>
    <w:basedOn w:val="1"/>
    <w:qFormat/>
    <w:uiPriority w:val="0"/>
    <w:pPr>
      <w:spacing w:after="0" w:line="360" w:lineRule="auto"/>
    </w:pPr>
    <w:rPr>
      <w:b/>
      <w:bCs/>
      <w:sz w:val="36"/>
      <w:szCs w:val="32"/>
    </w:rPr>
  </w:style>
  <w:style w:type="paragraph" w:customStyle="1" w:styleId="422">
    <w:name w:val="实施日期"/>
    <w:basedOn w:val="420"/>
    <w:qFormat/>
    <w:uiPriority w:val="0"/>
    <w:pPr>
      <w:jc w:val="right"/>
    </w:pPr>
  </w:style>
  <w:style w:type="paragraph" w:customStyle="1" w:styleId="423">
    <w:name w:val="文献分类号"/>
    <w:qFormat/>
    <w:uiPriority w:val="0"/>
    <w:pPr>
      <w:widowControl w:val="0"/>
      <w:textAlignment w:val="center"/>
    </w:pPr>
    <w:rPr>
      <w:rFonts w:ascii="宋体" w:hAnsi="宋体" w:eastAsia="黑体" w:cs="Times New Roman"/>
      <w:kern w:val="2"/>
      <w:sz w:val="21"/>
      <w:szCs w:val="24"/>
      <w:lang w:val="en-US" w:eastAsia="zh-CN" w:bidi="ar-SA"/>
    </w:rPr>
  </w:style>
  <w:style w:type="paragraph" w:customStyle="1" w:styleId="424">
    <w:name w:val="封面标准名称"/>
    <w:qFormat/>
    <w:uiPriority w:val="0"/>
    <w:pPr>
      <w:widowControl w:val="0"/>
      <w:spacing w:line="680" w:lineRule="exact"/>
      <w:jc w:val="center"/>
      <w:textAlignment w:val="center"/>
    </w:pPr>
    <w:rPr>
      <w:rFonts w:ascii="黑体" w:hAnsi="宋体" w:eastAsia="黑体" w:cs="Times New Roman"/>
      <w:kern w:val="2"/>
      <w:sz w:val="52"/>
      <w:szCs w:val="24"/>
      <w:lang w:val="en-US" w:eastAsia="zh-CN" w:bidi="ar-SA"/>
    </w:rPr>
  </w:style>
  <w:style w:type="paragraph" w:customStyle="1" w:styleId="425">
    <w:name w:val="封面标准英文名称"/>
    <w:qFormat/>
    <w:uiPriority w:val="0"/>
    <w:pPr>
      <w:widowControl w:val="0"/>
      <w:spacing w:before="370" w:line="400" w:lineRule="exact"/>
      <w:jc w:val="center"/>
    </w:pPr>
    <w:rPr>
      <w:rFonts w:ascii="宋体" w:hAnsi="宋体" w:eastAsia="宋体" w:cs="Times New Roman"/>
      <w:kern w:val="2"/>
      <w:sz w:val="28"/>
      <w:szCs w:val="24"/>
      <w:lang w:val="en-US" w:eastAsia="zh-CN" w:bidi="ar-SA"/>
    </w:rPr>
  </w:style>
  <w:style w:type="paragraph" w:customStyle="1" w:styleId="426">
    <w:name w:val="Proposals body"/>
    <w:basedOn w:val="1"/>
    <w:next w:val="1"/>
    <w:qFormat/>
    <w:uiPriority w:val="0"/>
    <w:pPr>
      <w:widowControl/>
      <w:spacing w:after="0" w:line="360" w:lineRule="auto"/>
      <w:jc w:val="left"/>
    </w:pPr>
    <w:rPr>
      <w:rFonts w:ascii="宋体" w:hAnsi="宋体"/>
      <w:snapToGrid w:val="0"/>
      <w:color w:val="000000"/>
      <w:sz w:val="24"/>
      <w:szCs w:val="20"/>
    </w:rPr>
  </w:style>
  <w:style w:type="paragraph" w:customStyle="1" w:styleId="427">
    <w:name w:val="Char2"/>
    <w:basedOn w:val="1"/>
    <w:qFormat/>
    <w:uiPriority w:val="0"/>
    <w:pPr>
      <w:widowControl/>
      <w:spacing w:after="0" w:line="400" w:lineRule="exact"/>
      <w:jc w:val="center"/>
    </w:pPr>
    <w:rPr>
      <w:rFonts w:ascii="Verdana" w:hAnsi="Verdana" w:cs="Verdana"/>
      <w:lang w:eastAsia="en-US"/>
    </w:rPr>
  </w:style>
  <w:style w:type="paragraph" w:customStyle="1" w:styleId="428">
    <w:name w:val="表文字"/>
    <w:basedOn w:val="17"/>
    <w:qFormat/>
    <w:uiPriority w:val="0"/>
    <w:pPr>
      <w:widowControl/>
      <w:overflowPunct w:val="0"/>
      <w:autoSpaceDE w:val="0"/>
      <w:autoSpaceDN w:val="0"/>
      <w:adjustRightInd w:val="0"/>
      <w:snapToGrid w:val="0"/>
      <w:spacing w:after="0" w:line="360" w:lineRule="auto"/>
      <w:ind w:firstLine="0"/>
    </w:pPr>
    <w:rPr>
      <w:rFonts w:ascii="宋体" w:hAnsi="宋体" w:eastAsia="幼圆"/>
      <w:snapToGrid w:val="0"/>
      <w:color w:val="000000"/>
      <w:kern w:val="28"/>
      <w:sz w:val="28"/>
    </w:rPr>
  </w:style>
  <w:style w:type="paragraph" w:customStyle="1" w:styleId="429">
    <w:name w:val="示例"/>
    <w:next w:val="333"/>
    <w:qFormat/>
    <w:uiPriority w:val="0"/>
    <w:pPr>
      <w:tabs>
        <w:tab w:val="left" w:pos="360"/>
      </w:tabs>
      <w:jc w:val="both"/>
    </w:pPr>
    <w:rPr>
      <w:rFonts w:ascii="宋体" w:hAnsi="宋体" w:eastAsia="宋体" w:cs="Times New Roman"/>
      <w:kern w:val="2"/>
      <w:sz w:val="18"/>
      <w:szCs w:val="24"/>
      <w:lang w:val="en-US" w:eastAsia="zh-CN" w:bidi="ar-SA"/>
    </w:rPr>
  </w:style>
  <w:style w:type="paragraph" w:customStyle="1" w:styleId="430">
    <w:name w:val="c封面发布日期"/>
    <w:basedOn w:val="1"/>
    <w:qFormat/>
    <w:uiPriority w:val="0"/>
    <w:pPr>
      <w:adjustRightInd w:val="0"/>
      <w:spacing w:after="0" w:line="360" w:lineRule="auto"/>
    </w:pPr>
    <w:rPr>
      <w:rFonts w:ascii="宋体" w:hAnsi="宋体" w:eastAsia="黑体"/>
      <w:sz w:val="28"/>
      <w:szCs w:val="20"/>
    </w:rPr>
  </w:style>
  <w:style w:type="paragraph" w:customStyle="1" w:styleId="431">
    <w:name w:val="Char Char Char Char Char Char Char Char Char Char"/>
    <w:basedOn w:val="1"/>
    <w:qFormat/>
    <w:uiPriority w:val="0"/>
    <w:pPr>
      <w:adjustRightInd w:val="0"/>
      <w:spacing w:after="0" w:line="360" w:lineRule="auto"/>
    </w:pPr>
    <w:rPr>
      <w:rFonts w:ascii="宋体" w:hAnsi="宋体"/>
      <w:sz w:val="24"/>
      <w:szCs w:val="20"/>
    </w:rPr>
  </w:style>
  <w:style w:type="paragraph" w:customStyle="1" w:styleId="432">
    <w:name w:val="Char2 Char Char Char Char Char Char Char Char Char Char Char Char"/>
    <w:basedOn w:val="1"/>
    <w:qFormat/>
    <w:uiPriority w:val="0"/>
    <w:pPr>
      <w:spacing w:after="0" w:line="360" w:lineRule="auto"/>
      <w:ind w:firstLine="200" w:firstLineChars="200"/>
    </w:pPr>
    <w:rPr>
      <w:rFonts w:ascii="Tahoma" w:hAnsi="Tahoma"/>
      <w:sz w:val="24"/>
    </w:rPr>
  </w:style>
  <w:style w:type="paragraph" w:customStyle="1" w:styleId="433">
    <w:name w:val="附录表标题"/>
    <w:next w:val="333"/>
    <w:qFormat/>
    <w:uiPriority w:val="0"/>
    <w:pPr>
      <w:jc w:val="center"/>
      <w:textAlignment w:val="baseline"/>
    </w:pPr>
    <w:rPr>
      <w:rFonts w:ascii="黑体" w:hAnsi="宋体" w:eastAsia="黑体" w:cs="Times New Roman"/>
      <w:kern w:val="21"/>
      <w:sz w:val="21"/>
      <w:szCs w:val="24"/>
      <w:lang w:val="en-US" w:eastAsia="zh-CN" w:bidi="ar-SA"/>
    </w:rPr>
  </w:style>
  <w:style w:type="paragraph" w:customStyle="1" w:styleId="434">
    <w:name w:val="Char Char 字元 字元 字元 Char Char Char Char"/>
    <w:basedOn w:val="1"/>
    <w:qFormat/>
    <w:uiPriority w:val="0"/>
    <w:pPr>
      <w:adjustRightInd w:val="0"/>
      <w:spacing w:after="0" w:line="360" w:lineRule="auto"/>
    </w:pPr>
    <w:rPr>
      <w:rFonts w:ascii="宋体" w:hAnsi="宋体"/>
      <w:sz w:val="20"/>
      <w:szCs w:val="20"/>
    </w:rPr>
  </w:style>
  <w:style w:type="paragraph" w:customStyle="1" w:styleId="435">
    <w:name w:val="附录标识"/>
    <w:basedOn w:val="414"/>
    <w:qFormat/>
    <w:uiPriority w:val="0"/>
    <w:pPr>
      <w:tabs>
        <w:tab w:val="left" w:pos="360"/>
        <w:tab w:val="left" w:pos="6405"/>
      </w:tabs>
      <w:spacing w:after="200"/>
      <w:ind w:left="0" w:firstLine="0"/>
    </w:pPr>
    <w:rPr>
      <w:sz w:val="21"/>
    </w:rPr>
  </w:style>
  <w:style w:type="paragraph" w:customStyle="1" w:styleId="436">
    <w:name w:val="目次、索引正文"/>
    <w:qFormat/>
    <w:uiPriority w:val="0"/>
    <w:pPr>
      <w:spacing w:line="320" w:lineRule="exact"/>
      <w:jc w:val="both"/>
    </w:pPr>
    <w:rPr>
      <w:rFonts w:ascii="宋体" w:hAnsi="宋体" w:eastAsia="宋体" w:cs="Times New Roman"/>
      <w:kern w:val="2"/>
      <w:sz w:val="21"/>
      <w:szCs w:val="24"/>
      <w:lang w:val="en-US" w:eastAsia="zh-CN" w:bidi="ar-SA"/>
    </w:rPr>
  </w:style>
  <w:style w:type="paragraph" w:customStyle="1" w:styleId="437">
    <w:name w:val="标准书脚_奇数页"/>
    <w:qFormat/>
    <w:uiPriority w:val="0"/>
    <w:pPr>
      <w:spacing w:before="120"/>
      <w:jc w:val="right"/>
    </w:pPr>
    <w:rPr>
      <w:rFonts w:ascii="宋体" w:hAnsi="宋体" w:eastAsia="宋体" w:cs="Times New Roman"/>
      <w:kern w:val="2"/>
      <w:sz w:val="18"/>
      <w:szCs w:val="24"/>
      <w:lang w:val="en-US" w:eastAsia="zh-CN" w:bidi="ar-SA"/>
    </w:rPr>
  </w:style>
  <w:style w:type="paragraph" w:customStyle="1" w:styleId="438">
    <w:name w:val="标准书眉一"/>
    <w:qFormat/>
    <w:uiPriority w:val="0"/>
    <w:pPr>
      <w:jc w:val="both"/>
    </w:pPr>
    <w:rPr>
      <w:rFonts w:ascii="宋体" w:hAnsi="宋体" w:eastAsia="宋体" w:cs="Times New Roman"/>
      <w:kern w:val="2"/>
      <w:sz w:val="24"/>
      <w:szCs w:val="24"/>
      <w:lang w:val="en-US" w:eastAsia="zh-CN" w:bidi="ar-SA"/>
    </w:rPr>
  </w:style>
  <w:style w:type="paragraph" w:customStyle="1" w:styleId="439">
    <w:name w:val="其他发布部门"/>
    <w:basedOn w:val="440"/>
    <w:qFormat/>
    <w:uiPriority w:val="0"/>
    <w:pPr>
      <w:spacing w:line="0" w:lineRule="atLeast"/>
    </w:pPr>
    <w:rPr>
      <w:rFonts w:ascii="黑体" w:eastAsia="黑体"/>
      <w:b w:val="0"/>
    </w:rPr>
  </w:style>
  <w:style w:type="paragraph" w:customStyle="1" w:styleId="440">
    <w:name w:val="发布部门"/>
    <w:next w:val="333"/>
    <w:qFormat/>
    <w:uiPriority w:val="0"/>
    <w:pPr>
      <w:jc w:val="center"/>
    </w:pPr>
    <w:rPr>
      <w:rFonts w:ascii="宋体" w:hAnsi="宋体" w:eastAsia="宋体" w:cs="Times New Roman"/>
      <w:b/>
      <w:spacing w:val="20"/>
      <w:w w:val="135"/>
      <w:kern w:val="2"/>
      <w:sz w:val="36"/>
      <w:szCs w:val="24"/>
      <w:lang w:val="en-US" w:eastAsia="zh-CN" w:bidi="ar-SA"/>
    </w:rPr>
  </w:style>
  <w:style w:type="paragraph" w:customStyle="1" w:styleId="441">
    <w:name w:val="附录性质"/>
    <w:basedOn w:val="1"/>
    <w:qFormat/>
    <w:uiPriority w:val="0"/>
    <w:pPr>
      <w:spacing w:after="0" w:line="360" w:lineRule="auto"/>
      <w:jc w:val="center"/>
    </w:pPr>
    <w:rPr>
      <w:rFonts w:ascii="黑体" w:hAnsi="宋体" w:eastAsia="黑体"/>
    </w:rPr>
  </w:style>
  <w:style w:type="paragraph" w:customStyle="1" w:styleId="442">
    <w:name w:val="条文脚注"/>
    <w:basedOn w:val="42"/>
    <w:qFormat/>
    <w:uiPriority w:val="0"/>
    <w:pPr>
      <w:spacing w:after="0" w:line="360" w:lineRule="auto"/>
      <w:ind w:left="780" w:leftChars="200" w:hanging="360" w:hangingChars="200"/>
      <w:jc w:val="both"/>
    </w:pPr>
    <w:rPr>
      <w:rFonts w:hint="default" w:ascii="宋体" w:hAnsi="宋体"/>
      <w:szCs w:val="18"/>
    </w:rPr>
  </w:style>
  <w:style w:type="paragraph" w:customStyle="1" w:styleId="443">
    <w:name w:val="五级无标题条"/>
    <w:basedOn w:val="1"/>
    <w:qFormat/>
    <w:uiPriority w:val="0"/>
    <w:pPr>
      <w:spacing w:after="0" w:line="360" w:lineRule="auto"/>
    </w:pPr>
    <w:rPr>
      <w:rFonts w:ascii="宋体" w:hAnsi="宋体"/>
    </w:rPr>
  </w:style>
  <w:style w:type="paragraph" w:customStyle="1" w:styleId="444">
    <w:name w:val="Note Heading2"/>
    <w:basedOn w:val="1"/>
    <w:next w:val="1"/>
    <w:qFormat/>
    <w:uiPriority w:val="0"/>
    <w:pPr>
      <w:spacing w:after="0" w:line="360" w:lineRule="auto"/>
      <w:jc w:val="center"/>
    </w:pPr>
    <w:rPr>
      <w:rFonts w:ascii="Droid Serif" w:hAnsi="Droid Serif" w:eastAsia="Droid Serif"/>
      <w:sz w:val="20"/>
      <w:szCs w:val="20"/>
    </w:rPr>
  </w:style>
  <w:style w:type="paragraph" w:customStyle="1" w:styleId="445">
    <w:name w:val="目次、标准名称标题"/>
    <w:basedOn w:val="414"/>
    <w:next w:val="1"/>
    <w:qFormat/>
    <w:uiPriority w:val="0"/>
    <w:pPr>
      <w:spacing w:line="460" w:lineRule="exact"/>
      <w:ind w:left="0" w:firstLine="0"/>
    </w:pPr>
  </w:style>
  <w:style w:type="paragraph" w:customStyle="1" w:styleId="446">
    <w:name w:val="无标题条"/>
    <w:next w:val="333"/>
    <w:qFormat/>
    <w:uiPriority w:val="0"/>
    <w:pPr>
      <w:jc w:val="both"/>
    </w:pPr>
    <w:rPr>
      <w:rFonts w:ascii="宋体" w:hAnsi="宋体" w:eastAsia="宋体" w:cs="Times New Roman"/>
      <w:kern w:val="2"/>
      <w:sz w:val="21"/>
      <w:szCs w:val="24"/>
      <w:lang w:val="en-US" w:eastAsia="zh-CN" w:bidi="ar-SA"/>
    </w:rPr>
  </w:style>
  <w:style w:type="paragraph" w:customStyle="1" w:styleId="447">
    <w:name w:val="三级无标题条"/>
    <w:basedOn w:val="1"/>
    <w:qFormat/>
    <w:uiPriority w:val="0"/>
    <w:pPr>
      <w:spacing w:after="0" w:line="360" w:lineRule="auto"/>
    </w:pPr>
    <w:rPr>
      <w:rFonts w:ascii="宋体" w:hAnsi="宋体"/>
    </w:rPr>
  </w:style>
  <w:style w:type="paragraph" w:customStyle="1" w:styleId="448">
    <w:name w:val="正文图标题"/>
    <w:next w:val="333"/>
    <w:qFormat/>
    <w:uiPriority w:val="0"/>
    <w:pPr>
      <w:tabs>
        <w:tab w:val="left" w:pos="360"/>
      </w:tabs>
      <w:jc w:val="center"/>
    </w:pPr>
    <w:rPr>
      <w:rFonts w:ascii="黑体" w:hAnsi="宋体" w:eastAsia="黑体" w:cs="Times New Roman"/>
      <w:kern w:val="2"/>
      <w:sz w:val="21"/>
      <w:szCs w:val="24"/>
      <w:lang w:val="en-US" w:eastAsia="zh-CN" w:bidi="ar-SA"/>
    </w:rPr>
  </w:style>
  <w:style w:type="paragraph" w:customStyle="1" w:styleId="449">
    <w:name w:val="Char3"/>
    <w:basedOn w:val="1"/>
    <w:qFormat/>
    <w:uiPriority w:val="0"/>
    <w:pPr>
      <w:spacing w:after="0" w:line="360" w:lineRule="auto"/>
    </w:pPr>
    <w:rPr>
      <w:rFonts w:ascii="Tahoma" w:hAnsi="Tahoma"/>
      <w:sz w:val="24"/>
      <w:szCs w:val="20"/>
    </w:rPr>
  </w:style>
  <w:style w:type="paragraph" w:customStyle="1" w:styleId="450">
    <w:name w:val="标准称谓"/>
    <w:next w:val="1"/>
    <w:qFormat/>
    <w:uiPriority w:val="0"/>
    <w:pPr>
      <w:widowControl w:val="0"/>
      <w:kinsoku w:val="0"/>
      <w:overflowPunct w:val="0"/>
      <w:autoSpaceDE w:val="0"/>
      <w:autoSpaceDN w:val="0"/>
      <w:spacing w:line="0" w:lineRule="atLeast"/>
      <w:jc w:val="distribute"/>
    </w:pPr>
    <w:rPr>
      <w:rFonts w:ascii="宋体" w:hAnsi="宋体" w:eastAsia="宋体" w:cs="Times New Roman"/>
      <w:b/>
      <w:bCs/>
      <w:spacing w:val="20"/>
      <w:w w:val="148"/>
      <w:kern w:val="2"/>
      <w:sz w:val="52"/>
      <w:szCs w:val="24"/>
      <w:lang w:val="en-US" w:eastAsia="zh-CN" w:bidi="ar-SA"/>
    </w:rPr>
  </w:style>
  <w:style w:type="paragraph" w:customStyle="1" w:styleId="451">
    <w:name w:val="哈哈正文"/>
    <w:basedOn w:val="1"/>
    <w:qFormat/>
    <w:uiPriority w:val="0"/>
    <w:pPr>
      <w:spacing w:after="0" w:line="360" w:lineRule="auto"/>
      <w:ind w:firstLine="200" w:firstLineChars="200"/>
    </w:pPr>
    <w:rPr>
      <w:rFonts w:ascii="宋体" w:hAnsi="宋体" w:cs="宋体"/>
      <w:sz w:val="24"/>
    </w:rPr>
  </w:style>
  <w:style w:type="paragraph" w:customStyle="1" w:styleId="452">
    <w:name w:val="标3"/>
    <w:basedOn w:val="1"/>
    <w:qFormat/>
    <w:uiPriority w:val="0"/>
    <w:pPr>
      <w:tabs>
        <w:tab w:val="left" w:pos="1740"/>
      </w:tabs>
      <w:adjustRightInd w:val="0"/>
      <w:snapToGrid w:val="0"/>
      <w:spacing w:before="50" w:after="0" w:line="360" w:lineRule="auto"/>
      <w:ind w:left="1740" w:hanging="420"/>
      <w:outlineLvl w:val="2"/>
    </w:pPr>
    <w:rPr>
      <w:rFonts w:ascii="Arial Narrow" w:hAnsi="Arial Narrow" w:eastAsia="仿宋_GB2312"/>
      <w:sz w:val="28"/>
      <w:szCs w:val="20"/>
    </w:rPr>
  </w:style>
  <w:style w:type="paragraph" w:customStyle="1" w:styleId="453">
    <w:name w:val="Char Char6 Char Char"/>
    <w:basedOn w:val="1"/>
    <w:qFormat/>
    <w:uiPriority w:val="0"/>
    <w:pPr>
      <w:tabs>
        <w:tab w:val="right" w:pos="-2120"/>
      </w:tabs>
      <w:snapToGrid w:val="0"/>
      <w:spacing w:after="0" w:line="360" w:lineRule="auto"/>
    </w:pPr>
    <w:rPr>
      <w:rFonts w:ascii="Tahoma" w:hAnsi="Tahoma"/>
      <w:spacing w:val="6"/>
      <w:sz w:val="24"/>
      <w:szCs w:val="20"/>
    </w:rPr>
  </w:style>
  <w:style w:type="paragraph" w:customStyle="1" w:styleId="454">
    <w:name w:val="封面标准文稿类别"/>
    <w:qFormat/>
    <w:uiPriority w:val="0"/>
    <w:pPr>
      <w:spacing w:before="440" w:line="400" w:lineRule="exact"/>
      <w:jc w:val="center"/>
    </w:pPr>
    <w:rPr>
      <w:rFonts w:ascii="宋体" w:hAnsi="宋体" w:eastAsia="宋体" w:cs="Times New Roman"/>
      <w:kern w:val="2"/>
      <w:sz w:val="24"/>
      <w:szCs w:val="24"/>
      <w:lang w:val="en-US" w:eastAsia="zh-CN" w:bidi="ar-SA"/>
    </w:rPr>
  </w:style>
  <w:style w:type="paragraph" w:customStyle="1" w:styleId="455">
    <w:name w:val="Char1 Char Char Char Char Char Char Char Char1 Char Char1"/>
    <w:basedOn w:val="1"/>
    <w:qFormat/>
    <w:uiPriority w:val="0"/>
    <w:pPr>
      <w:spacing w:after="0" w:line="360" w:lineRule="auto"/>
    </w:pPr>
    <w:rPr>
      <w:b/>
      <w:bCs/>
      <w:sz w:val="36"/>
      <w:szCs w:val="32"/>
    </w:rPr>
  </w:style>
  <w:style w:type="paragraph" w:customStyle="1" w:styleId="456">
    <w:name w:val="标准标志"/>
    <w:next w:val="1"/>
    <w:qFormat/>
    <w:uiPriority w:val="0"/>
    <w:pPr>
      <w:shd w:val="solid" w:color="FFFFFF" w:fill="FFFFFF"/>
      <w:spacing w:line="0" w:lineRule="atLeast"/>
      <w:jc w:val="right"/>
    </w:pPr>
    <w:rPr>
      <w:rFonts w:ascii="宋体" w:hAnsi="宋体" w:eastAsia="宋体" w:cs="Times New Roman"/>
      <w:b/>
      <w:w w:val="130"/>
      <w:kern w:val="2"/>
      <w:sz w:val="96"/>
      <w:szCs w:val="24"/>
      <w:lang w:val="en-US" w:eastAsia="zh-CN" w:bidi="ar-SA"/>
    </w:rPr>
  </w:style>
  <w:style w:type="paragraph" w:customStyle="1" w:styleId="457">
    <w:name w:val="Char Char Char Char Char Char Char Char Char Char Char Char"/>
    <w:basedOn w:val="1"/>
    <w:qFormat/>
    <w:uiPriority w:val="0"/>
    <w:pPr>
      <w:spacing w:after="0" w:line="360" w:lineRule="auto"/>
    </w:pPr>
    <w:rPr>
      <w:rFonts w:ascii="宋体" w:hAnsi="宋体"/>
      <w:szCs w:val="20"/>
    </w:rPr>
  </w:style>
  <w:style w:type="paragraph" w:customStyle="1" w:styleId="458">
    <w:name w:val="List Paragraph1"/>
    <w:basedOn w:val="1"/>
    <w:qFormat/>
    <w:uiPriority w:val="0"/>
    <w:pPr>
      <w:spacing w:after="0" w:line="360" w:lineRule="auto"/>
      <w:ind w:firstLine="420" w:firstLineChars="200"/>
    </w:pPr>
    <w:rPr>
      <w:rFonts w:ascii="Calibri" w:hAnsi="Calibri"/>
    </w:rPr>
  </w:style>
  <w:style w:type="paragraph" w:customStyle="1" w:styleId="459">
    <w:name w:val="附录图标题"/>
    <w:next w:val="333"/>
    <w:qFormat/>
    <w:uiPriority w:val="0"/>
    <w:pPr>
      <w:jc w:val="center"/>
    </w:pPr>
    <w:rPr>
      <w:rFonts w:ascii="黑体" w:hAnsi="宋体" w:eastAsia="黑体" w:cs="Times New Roman"/>
      <w:kern w:val="2"/>
      <w:sz w:val="21"/>
      <w:szCs w:val="24"/>
      <w:lang w:val="en-US" w:eastAsia="zh-CN" w:bidi="ar-SA"/>
    </w:rPr>
  </w:style>
  <w:style w:type="paragraph" w:customStyle="1" w:styleId="460">
    <w:name w:val="标准书脚_偶数页"/>
    <w:qFormat/>
    <w:uiPriority w:val="0"/>
    <w:pPr>
      <w:spacing w:before="120"/>
    </w:pPr>
    <w:rPr>
      <w:rFonts w:ascii="宋体" w:hAnsi="宋体" w:eastAsia="宋体" w:cs="Times New Roman"/>
      <w:kern w:val="2"/>
      <w:sz w:val="18"/>
      <w:szCs w:val="24"/>
      <w:lang w:val="en-US" w:eastAsia="zh-CN" w:bidi="ar-SA"/>
    </w:rPr>
  </w:style>
  <w:style w:type="paragraph" w:customStyle="1" w:styleId="461">
    <w:name w:val="封面标准号1"/>
    <w:qFormat/>
    <w:uiPriority w:val="0"/>
    <w:pPr>
      <w:widowControl w:val="0"/>
      <w:kinsoku w:val="0"/>
      <w:overflowPunct w:val="0"/>
      <w:autoSpaceDE w:val="0"/>
      <w:autoSpaceDN w:val="0"/>
      <w:spacing w:before="308"/>
      <w:jc w:val="right"/>
      <w:textAlignment w:val="center"/>
    </w:pPr>
    <w:rPr>
      <w:rFonts w:ascii="宋体" w:hAnsi="宋体" w:eastAsia="宋体" w:cs="Times New Roman"/>
      <w:kern w:val="2"/>
      <w:sz w:val="28"/>
      <w:szCs w:val="24"/>
      <w:lang w:val="en-US" w:eastAsia="zh-CN" w:bidi="ar-SA"/>
    </w:rPr>
  </w:style>
  <w:style w:type="paragraph" w:customStyle="1" w:styleId="462">
    <w:name w:val="默认段落字体 Para Char Char Char Char Char Char Char"/>
    <w:basedOn w:val="1"/>
    <w:qFormat/>
    <w:uiPriority w:val="0"/>
    <w:pPr>
      <w:spacing w:after="0" w:line="360" w:lineRule="auto"/>
      <w:ind w:firstLine="200" w:firstLineChars="200"/>
    </w:pPr>
    <w:rPr>
      <w:rFonts w:ascii="Tahoma" w:hAnsi="Tahoma"/>
      <w:sz w:val="24"/>
    </w:rPr>
  </w:style>
  <w:style w:type="paragraph" w:customStyle="1" w:styleId="463">
    <w:name w:val="封面标准号2"/>
    <w:basedOn w:val="461"/>
    <w:qFormat/>
    <w:uiPriority w:val="0"/>
    <w:pPr>
      <w:adjustRightInd w:val="0"/>
      <w:spacing w:before="357" w:line="280" w:lineRule="exact"/>
    </w:pPr>
  </w:style>
  <w:style w:type="paragraph" w:customStyle="1" w:styleId="464">
    <w:name w:val="封面标准代替信息"/>
    <w:basedOn w:val="463"/>
    <w:qFormat/>
    <w:uiPriority w:val="0"/>
    <w:pPr>
      <w:spacing w:before="57"/>
    </w:pPr>
    <w:rPr>
      <w:sz w:val="21"/>
    </w:rPr>
  </w:style>
  <w:style w:type="paragraph" w:customStyle="1" w:styleId="465">
    <w:name w:val="MY括弧编号"/>
    <w:basedOn w:val="1"/>
    <w:link w:val="466"/>
    <w:qFormat/>
    <w:uiPriority w:val="0"/>
    <w:pPr>
      <w:spacing w:after="0" w:line="360" w:lineRule="auto"/>
    </w:pPr>
    <w:rPr>
      <w:rFonts w:ascii="Arial" w:hAnsi="Arial"/>
    </w:rPr>
  </w:style>
  <w:style w:type="character" w:customStyle="1" w:styleId="466">
    <w:name w:val="MY括弧编号 Char"/>
    <w:link w:val="465"/>
    <w:qFormat/>
    <w:uiPriority w:val="0"/>
    <w:rPr>
      <w:rFonts w:ascii="Arial" w:hAnsi="Arial"/>
      <w:kern w:val="2"/>
      <w:sz w:val="21"/>
      <w:szCs w:val="21"/>
    </w:rPr>
  </w:style>
  <w:style w:type="paragraph" w:customStyle="1" w:styleId="467">
    <w:name w:val="MY段内正文"/>
    <w:basedOn w:val="1"/>
    <w:link w:val="468"/>
    <w:qFormat/>
    <w:uiPriority w:val="0"/>
    <w:pPr>
      <w:spacing w:after="0" w:line="360" w:lineRule="auto"/>
      <w:ind w:left="283" w:leftChars="135" w:firstLine="424" w:firstLineChars="202"/>
    </w:pPr>
    <w:rPr>
      <w:rFonts w:ascii="Arial" w:hAnsi="Arial"/>
    </w:rPr>
  </w:style>
  <w:style w:type="character" w:customStyle="1" w:styleId="468">
    <w:name w:val="MY段内正文 Char"/>
    <w:link w:val="467"/>
    <w:qFormat/>
    <w:uiPriority w:val="0"/>
    <w:rPr>
      <w:rFonts w:ascii="Arial" w:hAnsi="Arial"/>
      <w:kern w:val="2"/>
      <w:sz w:val="21"/>
      <w:szCs w:val="21"/>
    </w:rPr>
  </w:style>
  <w:style w:type="paragraph" w:customStyle="1" w:styleId="469">
    <w:name w:val="3.(1)in"/>
    <w:basedOn w:val="1"/>
    <w:link w:val="470"/>
    <w:qFormat/>
    <w:uiPriority w:val="0"/>
    <w:pPr>
      <w:adjustRightInd w:val="0"/>
      <w:snapToGrid w:val="0"/>
      <w:spacing w:beforeLines="30" w:afterLines="30" w:line="300" w:lineRule="auto"/>
      <w:ind w:left="1695"/>
      <w:jc w:val="left"/>
    </w:pPr>
    <w:rPr>
      <w:rFonts w:ascii="Calibri" w:hAnsi="Calibri" w:eastAsia="Droid Serif"/>
      <w:sz w:val="28"/>
      <w:szCs w:val="28"/>
      <w:lang w:eastAsia="zh-TW"/>
    </w:rPr>
  </w:style>
  <w:style w:type="character" w:customStyle="1" w:styleId="470">
    <w:name w:val="3.(1)in 字元"/>
    <w:link w:val="469"/>
    <w:qFormat/>
    <w:uiPriority w:val="0"/>
    <w:rPr>
      <w:rFonts w:ascii="Calibri" w:hAnsi="Calibri" w:eastAsia="Droid Serif"/>
      <w:kern w:val="2"/>
      <w:sz w:val="28"/>
      <w:szCs w:val="28"/>
      <w:lang w:eastAsia="zh-TW"/>
    </w:rPr>
  </w:style>
  <w:style w:type="paragraph" w:customStyle="1" w:styleId="471">
    <w:name w:val="3.(a)in"/>
    <w:basedOn w:val="1"/>
    <w:qFormat/>
    <w:uiPriority w:val="0"/>
    <w:pPr>
      <w:adjustRightInd w:val="0"/>
      <w:snapToGrid w:val="0"/>
      <w:spacing w:beforeLines="30" w:afterLines="30" w:line="300" w:lineRule="auto"/>
      <w:ind w:left="2172"/>
      <w:jc w:val="left"/>
    </w:pPr>
    <w:rPr>
      <w:rFonts w:eastAsia="Droid Serif"/>
      <w:sz w:val="28"/>
      <w:szCs w:val="28"/>
      <w:lang w:eastAsia="zh-TW"/>
    </w:rPr>
  </w:style>
  <w:style w:type="paragraph" w:customStyle="1" w:styleId="472">
    <w:name w:val="正文黑点编号"/>
    <w:basedOn w:val="1"/>
    <w:qFormat/>
    <w:uiPriority w:val="0"/>
    <w:pPr>
      <w:numPr>
        <w:ilvl w:val="1"/>
        <w:numId w:val="9"/>
      </w:numPr>
      <w:spacing w:after="0" w:line="360" w:lineRule="auto"/>
      <w:ind w:left="257" w:leftChars="257" w:hanging="300"/>
    </w:pPr>
    <w:rPr>
      <w:rFonts w:ascii="Arial" w:hAnsi="Arial"/>
    </w:rPr>
  </w:style>
  <w:style w:type="paragraph" w:customStyle="1" w:styleId="473">
    <w:name w:val="MY一项目"/>
    <w:basedOn w:val="472"/>
    <w:link w:val="474"/>
    <w:qFormat/>
    <w:uiPriority w:val="0"/>
    <w:pPr>
      <w:numPr>
        <w:ilvl w:val="0"/>
      </w:numPr>
    </w:pPr>
  </w:style>
  <w:style w:type="character" w:customStyle="1" w:styleId="474">
    <w:name w:val="MY一项目 Char"/>
    <w:link w:val="473"/>
    <w:qFormat/>
    <w:uiPriority w:val="0"/>
    <w:rPr>
      <w:rFonts w:ascii="Arial" w:hAnsi="Arial"/>
      <w:kern w:val="2"/>
      <w:sz w:val="21"/>
      <w:szCs w:val="21"/>
    </w:rPr>
  </w:style>
  <w:style w:type="paragraph" w:customStyle="1" w:styleId="475">
    <w:name w:val="MY段首正文"/>
    <w:basedOn w:val="1"/>
    <w:link w:val="476"/>
    <w:qFormat/>
    <w:uiPriority w:val="0"/>
    <w:pPr>
      <w:spacing w:after="0" w:line="360" w:lineRule="auto"/>
      <w:ind w:firstLine="420" w:firstLineChars="200"/>
    </w:pPr>
    <w:rPr>
      <w:rFonts w:ascii="Calibri" w:hAnsi="Calibri"/>
    </w:rPr>
  </w:style>
  <w:style w:type="character" w:customStyle="1" w:styleId="476">
    <w:name w:val="MY段首正文 Char"/>
    <w:link w:val="475"/>
    <w:qFormat/>
    <w:uiPriority w:val="0"/>
    <w:rPr>
      <w:rFonts w:ascii="Calibri" w:hAnsi="Calibri"/>
      <w:kern w:val="2"/>
      <w:sz w:val="21"/>
      <w:szCs w:val="24"/>
    </w:rPr>
  </w:style>
  <w:style w:type="paragraph" w:customStyle="1" w:styleId="477">
    <w:name w:val="4.a."/>
    <w:basedOn w:val="1"/>
    <w:qFormat/>
    <w:uiPriority w:val="0"/>
    <w:pPr>
      <w:adjustRightInd w:val="0"/>
      <w:snapToGrid w:val="0"/>
      <w:spacing w:beforeLines="30" w:afterLines="30" w:line="300" w:lineRule="auto"/>
      <w:ind w:left="2898" w:leftChars="1114" w:hanging="224" w:hangingChars="80"/>
      <w:jc w:val="left"/>
    </w:pPr>
    <w:rPr>
      <w:rFonts w:eastAsia="Droid Serif"/>
      <w:sz w:val="28"/>
      <w:szCs w:val="28"/>
      <w:lang w:eastAsia="zh-TW"/>
    </w:rPr>
  </w:style>
  <w:style w:type="paragraph" w:customStyle="1" w:styleId="478">
    <w:name w:val="4.(1)"/>
    <w:basedOn w:val="1"/>
    <w:link w:val="479"/>
    <w:qFormat/>
    <w:uiPriority w:val="0"/>
    <w:pPr>
      <w:adjustRightInd w:val="0"/>
      <w:snapToGrid w:val="0"/>
      <w:spacing w:beforeLines="30" w:afterLines="30" w:line="300" w:lineRule="auto"/>
      <w:ind w:left="2631" w:leftChars="962" w:hanging="322" w:hangingChars="115"/>
      <w:jc w:val="left"/>
    </w:pPr>
    <w:rPr>
      <w:rFonts w:ascii="Calibri" w:hAnsi="Calibri" w:eastAsia="Droid Serif"/>
      <w:sz w:val="28"/>
      <w:szCs w:val="28"/>
      <w:lang w:eastAsia="zh-TW"/>
    </w:rPr>
  </w:style>
  <w:style w:type="character" w:customStyle="1" w:styleId="479">
    <w:name w:val="4.(1) 字元"/>
    <w:link w:val="478"/>
    <w:qFormat/>
    <w:uiPriority w:val="0"/>
    <w:rPr>
      <w:rFonts w:ascii="Calibri" w:hAnsi="Calibri" w:eastAsia="Droid Serif"/>
      <w:kern w:val="2"/>
      <w:sz w:val="28"/>
      <w:szCs w:val="28"/>
      <w:lang w:eastAsia="zh-TW"/>
    </w:rPr>
  </w:style>
  <w:style w:type="paragraph" w:customStyle="1" w:styleId="480">
    <w:name w:val="4.(1)in"/>
    <w:basedOn w:val="1"/>
    <w:link w:val="481"/>
    <w:qFormat/>
    <w:uiPriority w:val="0"/>
    <w:pPr>
      <w:adjustRightInd w:val="0"/>
      <w:snapToGrid w:val="0"/>
      <w:spacing w:beforeLines="30" w:afterLines="30" w:line="300" w:lineRule="auto"/>
      <w:ind w:left="2660"/>
      <w:jc w:val="left"/>
    </w:pPr>
    <w:rPr>
      <w:rFonts w:ascii="Calibri" w:hAnsi="Calibri" w:eastAsia="Droid Serif"/>
      <w:sz w:val="28"/>
      <w:szCs w:val="20"/>
      <w:lang w:eastAsia="zh-TW"/>
    </w:rPr>
  </w:style>
  <w:style w:type="character" w:customStyle="1" w:styleId="481">
    <w:name w:val="4.(1)in 字元"/>
    <w:link w:val="480"/>
    <w:qFormat/>
    <w:uiPriority w:val="0"/>
    <w:rPr>
      <w:rFonts w:ascii="Calibri" w:hAnsi="Calibri" w:eastAsia="Droid Serif"/>
      <w:kern w:val="2"/>
      <w:sz w:val="28"/>
      <w:lang w:eastAsia="zh-TW"/>
    </w:rPr>
  </w:style>
  <w:style w:type="paragraph" w:customStyle="1" w:styleId="482">
    <w:name w:val="4.in"/>
    <w:basedOn w:val="1"/>
    <w:qFormat/>
    <w:uiPriority w:val="0"/>
    <w:pPr>
      <w:adjustRightInd w:val="0"/>
      <w:snapToGrid w:val="0"/>
      <w:spacing w:beforeLines="30" w:afterLines="30" w:line="300" w:lineRule="auto"/>
      <w:ind w:left="2366"/>
      <w:jc w:val="left"/>
    </w:pPr>
    <w:rPr>
      <w:rFonts w:eastAsia="Droid Serif"/>
      <w:sz w:val="28"/>
      <w:szCs w:val="28"/>
      <w:lang w:eastAsia="zh-TW"/>
    </w:rPr>
  </w:style>
  <w:style w:type="paragraph" w:customStyle="1" w:styleId="483">
    <w:name w:val="4.(a)"/>
    <w:basedOn w:val="1"/>
    <w:qFormat/>
    <w:uiPriority w:val="0"/>
    <w:pPr>
      <w:adjustRightInd w:val="0"/>
      <w:snapToGrid w:val="0"/>
      <w:spacing w:beforeLines="30" w:afterLines="30" w:line="300" w:lineRule="auto"/>
      <w:ind w:left="3162" w:leftChars="1201" w:hanging="280" w:hangingChars="100"/>
      <w:jc w:val="left"/>
    </w:pPr>
    <w:rPr>
      <w:rFonts w:ascii="Calibri" w:hAnsi="Calibri" w:eastAsia="Droid Serif"/>
      <w:sz w:val="28"/>
      <w:szCs w:val="28"/>
      <w:lang w:eastAsia="zh-TW"/>
    </w:rPr>
  </w:style>
  <w:style w:type="paragraph" w:customStyle="1" w:styleId="484">
    <w:name w:val="2(1)in"/>
    <w:basedOn w:val="1"/>
    <w:link w:val="485"/>
    <w:qFormat/>
    <w:uiPriority w:val="0"/>
    <w:pPr>
      <w:snapToGrid w:val="0"/>
      <w:spacing w:beforeLines="30" w:afterLines="30" w:line="300" w:lineRule="auto"/>
      <w:ind w:left="330" w:leftChars="330"/>
    </w:pPr>
    <w:rPr>
      <w:rFonts w:ascii="Calibri" w:hAnsi="Calibri" w:eastAsia="PMingLiU-ExtB"/>
      <w:sz w:val="24"/>
      <w:lang w:eastAsia="zh-TW"/>
    </w:rPr>
  </w:style>
  <w:style w:type="character" w:customStyle="1" w:styleId="485">
    <w:name w:val="2(1)in 字元"/>
    <w:link w:val="484"/>
    <w:qFormat/>
    <w:uiPriority w:val="0"/>
    <w:rPr>
      <w:rFonts w:ascii="Calibri" w:hAnsi="Calibri" w:eastAsia="PMingLiU-ExtB"/>
      <w:kern w:val="2"/>
      <w:sz w:val="24"/>
      <w:szCs w:val="24"/>
      <w:lang w:eastAsia="zh-TW"/>
    </w:rPr>
  </w:style>
  <w:style w:type="paragraph" w:customStyle="1" w:styleId="486">
    <w:name w:val="2(1)"/>
    <w:basedOn w:val="1"/>
    <w:qFormat/>
    <w:uiPriority w:val="0"/>
    <w:pPr>
      <w:snapToGrid w:val="0"/>
      <w:spacing w:beforeLines="30" w:afterLines="30" w:line="300" w:lineRule="auto"/>
      <w:ind w:left="340" w:leftChars="220" w:hanging="120" w:hangingChars="120"/>
    </w:pPr>
    <w:rPr>
      <w:rFonts w:eastAsia="PMingLiU-ExtB" w:cs="PMingLiU-ExtB"/>
      <w:sz w:val="24"/>
      <w:szCs w:val="20"/>
      <w:lang w:eastAsia="zh-TW"/>
    </w:rPr>
  </w:style>
  <w:style w:type="paragraph" w:customStyle="1" w:styleId="487">
    <w:name w:val="My正文"/>
    <w:basedOn w:val="1"/>
    <w:qFormat/>
    <w:uiPriority w:val="0"/>
    <w:pPr>
      <w:adjustRightInd w:val="0"/>
      <w:spacing w:before="120" w:after="0" w:line="360" w:lineRule="auto"/>
      <w:ind w:firstLine="567"/>
      <w:textAlignment w:val="baseline"/>
    </w:pPr>
    <w:rPr>
      <w:rFonts w:ascii="Arial" w:hAnsi="Arial"/>
      <w:sz w:val="24"/>
      <w:szCs w:val="20"/>
    </w:rPr>
  </w:style>
  <w:style w:type="paragraph" w:customStyle="1" w:styleId="488">
    <w:name w:val="框內1."/>
    <w:basedOn w:val="1"/>
    <w:qFormat/>
    <w:uiPriority w:val="0"/>
    <w:pPr>
      <w:spacing w:after="0" w:line="360" w:lineRule="auto"/>
      <w:ind w:left="539" w:right="57" w:hanging="482"/>
    </w:pPr>
    <w:rPr>
      <w:rFonts w:eastAsia="Droid Serif"/>
      <w:sz w:val="28"/>
      <w:szCs w:val="28"/>
      <w:lang w:eastAsia="zh-TW"/>
    </w:rPr>
  </w:style>
  <w:style w:type="paragraph" w:customStyle="1" w:styleId="489">
    <w:name w:val="标题3"/>
    <w:basedOn w:val="7"/>
    <w:link w:val="490"/>
    <w:qFormat/>
    <w:uiPriority w:val="0"/>
    <w:pPr>
      <w:numPr>
        <w:ilvl w:val="0"/>
        <w:numId w:val="10"/>
      </w:numPr>
      <w:spacing w:line="416" w:lineRule="auto"/>
      <w:ind w:firstLine="0" w:firstLineChars="0"/>
    </w:pPr>
    <w:rPr>
      <w:rFonts w:ascii="宋体" w:hAnsi="宋体" w:eastAsia="宋体"/>
      <w:bCs w:val="0"/>
      <w:sz w:val="24"/>
      <w:szCs w:val="24"/>
    </w:rPr>
  </w:style>
  <w:style w:type="character" w:customStyle="1" w:styleId="490">
    <w:name w:val="标题3 Char"/>
    <w:link w:val="489"/>
    <w:qFormat/>
    <w:uiPriority w:val="0"/>
    <w:rPr>
      <w:rFonts w:ascii="宋体" w:hAnsi="宋体"/>
      <w:b/>
      <w:kern w:val="2"/>
      <w:sz w:val="24"/>
      <w:szCs w:val="24"/>
    </w:rPr>
  </w:style>
  <w:style w:type="paragraph" w:customStyle="1" w:styleId="491">
    <w:name w:val="MY二项目"/>
    <w:basedOn w:val="473"/>
    <w:link w:val="492"/>
    <w:qFormat/>
    <w:uiPriority w:val="0"/>
    <w:pPr>
      <w:numPr>
        <w:numId w:val="11"/>
      </w:numPr>
    </w:pPr>
  </w:style>
  <w:style w:type="character" w:customStyle="1" w:styleId="492">
    <w:name w:val="MY二项目 Char"/>
    <w:link w:val="491"/>
    <w:qFormat/>
    <w:uiPriority w:val="0"/>
    <w:rPr>
      <w:rFonts w:ascii="Arial" w:hAnsi="Arial"/>
      <w:kern w:val="2"/>
      <w:sz w:val="21"/>
      <w:szCs w:val="21"/>
    </w:rPr>
  </w:style>
  <w:style w:type="paragraph" w:customStyle="1" w:styleId="493">
    <w:name w:val="4.a.in"/>
    <w:basedOn w:val="1"/>
    <w:qFormat/>
    <w:uiPriority w:val="0"/>
    <w:pPr>
      <w:adjustRightInd w:val="0"/>
      <w:snapToGrid w:val="0"/>
      <w:spacing w:beforeLines="30" w:afterLines="30" w:line="300" w:lineRule="auto"/>
      <w:ind w:left="2880"/>
      <w:jc w:val="left"/>
    </w:pPr>
    <w:rPr>
      <w:rFonts w:eastAsia="Droid Serif"/>
      <w:sz w:val="28"/>
      <w:szCs w:val="28"/>
      <w:lang w:eastAsia="zh-TW"/>
    </w:rPr>
  </w:style>
  <w:style w:type="paragraph" w:customStyle="1" w:styleId="494">
    <w:name w:val="圈数字"/>
    <w:basedOn w:val="17"/>
    <w:qFormat/>
    <w:uiPriority w:val="0"/>
    <w:pPr>
      <w:numPr>
        <w:ilvl w:val="2"/>
        <w:numId w:val="12"/>
      </w:numPr>
      <w:tabs>
        <w:tab w:val="left" w:pos="540"/>
        <w:tab w:val="clear" w:pos="1200"/>
      </w:tabs>
      <w:spacing w:before="62" w:after="62" w:line="360" w:lineRule="auto"/>
      <w:ind w:left="540" w:hanging="540"/>
    </w:pPr>
    <w:rPr>
      <w:rFonts w:ascii="Arial" w:hAnsi="宋体" w:cs="Arial"/>
      <w:sz w:val="20"/>
      <w:szCs w:val="28"/>
    </w:rPr>
  </w:style>
  <w:style w:type="paragraph" w:customStyle="1" w:styleId="495">
    <w:name w:val="N4"/>
    <w:basedOn w:val="8"/>
    <w:link w:val="496"/>
    <w:qFormat/>
    <w:uiPriority w:val="0"/>
    <w:pPr>
      <w:keepLines w:val="0"/>
      <w:spacing w:before="0" w:after="0" w:line="360" w:lineRule="auto"/>
      <w:ind w:left="864" w:hanging="864"/>
      <w:jc w:val="left"/>
      <w:outlineLvl w:val="9"/>
    </w:pPr>
    <w:rPr>
      <w:rFonts w:eastAsia="宋体"/>
      <w:bCs w:val="0"/>
      <w:sz w:val="21"/>
      <w:szCs w:val="24"/>
    </w:rPr>
  </w:style>
  <w:style w:type="character" w:customStyle="1" w:styleId="496">
    <w:name w:val="N4 Char"/>
    <w:link w:val="495"/>
    <w:qFormat/>
    <w:uiPriority w:val="0"/>
    <w:rPr>
      <w:rFonts w:ascii="Arial" w:hAnsi="Arial"/>
      <w:b/>
      <w:sz w:val="21"/>
      <w:szCs w:val="24"/>
    </w:rPr>
  </w:style>
  <w:style w:type="paragraph" w:customStyle="1" w:styleId="497">
    <w:name w:val="正文项目符号"/>
    <w:basedOn w:val="1"/>
    <w:qFormat/>
    <w:uiPriority w:val="0"/>
    <w:pPr>
      <w:numPr>
        <w:ilvl w:val="0"/>
        <w:numId w:val="13"/>
      </w:numPr>
      <w:spacing w:after="0" w:line="360" w:lineRule="auto"/>
      <w:ind w:right="100" w:rightChars="100"/>
    </w:pPr>
    <w:rPr>
      <w:rFonts w:ascii="Calibri" w:hAnsi="Calibri"/>
      <w:sz w:val="24"/>
    </w:rPr>
  </w:style>
  <w:style w:type="paragraph" w:customStyle="1" w:styleId="498">
    <w:name w:val="N2"/>
    <w:basedOn w:val="5"/>
    <w:link w:val="499"/>
    <w:qFormat/>
    <w:uiPriority w:val="0"/>
    <w:pPr>
      <w:keepLines/>
      <w:adjustRightInd/>
      <w:snapToGrid/>
      <w:spacing w:before="480" w:after="0"/>
      <w:ind w:left="576" w:hanging="576"/>
      <w:jc w:val="left"/>
      <w:textAlignment w:val="auto"/>
    </w:pPr>
    <w:rPr>
      <w:rFonts w:ascii="Arial" w:hAnsi="Arial" w:eastAsia="宋体"/>
      <w:sz w:val="21"/>
      <w:szCs w:val="21"/>
    </w:rPr>
  </w:style>
  <w:style w:type="character" w:customStyle="1" w:styleId="499">
    <w:name w:val="N2 Char"/>
    <w:link w:val="498"/>
    <w:qFormat/>
    <w:uiPriority w:val="0"/>
    <w:rPr>
      <w:rFonts w:ascii="Arial" w:hAnsi="Arial"/>
      <w:b/>
      <w:sz w:val="21"/>
      <w:szCs w:val="21"/>
    </w:rPr>
  </w:style>
  <w:style w:type="paragraph" w:customStyle="1" w:styleId="500">
    <w:name w:val="3.(1)"/>
    <w:basedOn w:val="1"/>
    <w:link w:val="501"/>
    <w:qFormat/>
    <w:uiPriority w:val="0"/>
    <w:pPr>
      <w:adjustRightInd w:val="0"/>
      <w:snapToGrid w:val="0"/>
      <w:spacing w:beforeLines="30" w:afterLines="30" w:line="300" w:lineRule="auto"/>
      <w:ind w:left="686" w:leftChars="571" w:hanging="115" w:hangingChars="115"/>
      <w:jc w:val="left"/>
    </w:pPr>
    <w:rPr>
      <w:rFonts w:ascii="Calibri" w:hAnsi="Calibri" w:eastAsia="Droid Serif"/>
      <w:sz w:val="28"/>
      <w:szCs w:val="28"/>
      <w:lang w:eastAsia="zh-TW"/>
    </w:rPr>
  </w:style>
  <w:style w:type="character" w:customStyle="1" w:styleId="501">
    <w:name w:val="3.(1) 字元"/>
    <w:link w:val="500"/>
    <w:qFormat/>
    <w:uiPriority w:val="0"/>
    <w:rPr>
      <w:rFonts w:ascii="Calibri" w:hAnsi="Calibri" w:eastAsia="Droid Serif"/>
      <w:kern w:val="2"/>
      <w:sz w:val="28"/>
      <w:szCs w:val="28"/>
      <w:lang w:eastAsia="zh-TW"/>
    </w:rPr>
  </w:style>
  <w:style w:type="paragraph" w:customStyle="1" w:styleId="502">
    <w:name w:val="样式 正文文本缩进 + 左  0 字符"/>
    <w:basedOn w:val="22"/>
    <w:qFormat/>
    <w:uiPriority w:val="0"/>
    <w:pPr>
      <w:spacing w:after="0" w:line="360" w:lineRule="auto"/>
      <w:ind w:firstLine="250" w:firstLineChars="250"/>
    </w:pPr>
    <w:rPr>
      <w:rFonts w:ascii="Times New Roman" w:hAnsi="Times New Roman" w:cs="宋体"/>
      <w:spacing w:val="0"/>
      <w:sz w:val="24"/>
    </w:rPr>
  </w:style>
  <w:style w:type="character" w:customStyle="1" w:styleId="503">
    <w:name w:val="标题 1 Char1"/>
    <w:qFormat/>
    <w:uiPriority w:val="0"/>
    <w:rPr>
      <w:b/>
      <w:bCs/>
      <w:kern w:val="44"/>
      <w:sz w:val="44"/>
      <w:szCs w:val="44"/>
    </w:rPr>
  </w:style>
  <w:style w:type="character" w:customStyle="1" w:styleId="504">
    <w:name w:val="标题 6 Char1"/>
    <w:semiHidden/>
    <w:qFormat/>
    <w:uiPriority w:val="0"/>
    <w:rPr>
      <w:rFonts w:ascii="Calibri Light" w:hAnsi="Calibri Light" w:eastAsia="宋体" w:cs="Times New Roman"/>
      <w:b/>
      <w:bCs/>
      <w:kern w:val="2"/>
      <w:sz w:val="24"/>
      <w:szCs w:val="24"/>
    </w:rPr>
  </w:style>
  <w:style w:type="character" w:customStyle="1" w:styleId="505">
    <w:name w:val="标题 8 Char1"/>
    <w:semiHidden/>
    <w:qFormat/>
    <w:uiPriority w:val="0"/>
    <w:rPr>
      <w:rFonts w:ascii="Calibri Light" w:hAnsi="Calibri Light" w:eastAsia="宋体" w:cs="Times New Roman"/>
      <w:kern w:val="2"/>
      <w:sz w:val="24"/>
      <w:szCs w:val="24"/>
    </w:rPr>
  </w:style>
  <w:style w:type="character" w:customStyle="1" w:styleId="506">
    <w:name w:val="标题 9 Char1"/>
    <w:semiHidden/>
    <w:qFormat/>
    <w:uiPriority w:val="0"/>
    <w:rPr>
      <w:rFonts w:ascii="Calibri Light" w:hAnsi="Calibri Light" w:eastAsia="宋体" w:cs="Times New Roman"/>
      <w:kern w:val="2"/>
      <w:sz w:val="21"/>
      <w:szCs w:val="21"/>
    </w:rPr>
  </w:style>
  <w:style w:type="paragraph" w:customStyle="1" w:styleId="507">
    <w:name w:val="標題內文"/>
    <w:basedOn w:val="1"/>
    <w:qFormat/>
    <w:uiPriority w:val="0"/>
    <w:pPr>
      <w:spacing w:after="0" w:line="500" w:lineRule="exact"/>
      <w:ind w:left="100" w:leftChars="100"/>
    </w:pPr>
    <w:rPr>
      <w:rFonts w:eastAsia="PMingLiU-ExtB"/>
      <w:color w:val="333333"/>
      <w:sz w:val="24"/>
      <w:lang w:eastAsia="zh-TW"/>
    </w:rPr>
  </w:style>
  <w:style w:type="character" w:customStyle="1" w:styleId="508">
    <w:name w:val="title_span"/>
    <w:qFormat/>
    <w:uiPriority w:val="0"/>
  </w:style>
  <w:style w:type="paragraph" w:customStyle="1" w:styleId="509">
    <w:name w:val="daijia_p"/>
    <w:basedOn w:val="1"/>
    <w:qFormat/>
    <w:uiPriority w:val="0"/>
    <w:pPr>
      <w:widowControl/>
      <w:spacing w:before="100" w:beforeAutospacing="1" w:after="100" w:afterAutospacing="1" w:line="360" w:lineRule="auto"/>
      <w:jc w:val="left"/>
    </w:pPr>
    <w:rPr>
      <w:rFonts w:ascii="宋体" w:hAnsi="宋体" w:cs="宋体"/>
      <w:sz w:val="24"/>
    </w:rPr>
  </w:style>
  <w:style w:type="paragraph" w:customStyle="1" w:styleId="510">
    <w:name w:val="case_dian"/>
    <w:basedOn w:val="1"/>
    <w:qFormat/>
    <w:uiPriority w:val="0"/>
    <w:pPr>
      <w:widowControl/>
      <w:spacing w:before="100" w:beforeAutospacing="1" w:after="100" w:afterAutospacing="1" w:line="360" w:lineRule="auto"/>
      <w:jc w:val="left"/>
    </w:pPr>
    <w:rPr>
      <w:rFonts w:ascii="宋体" w:hAnsi="宋体" w:cs="宋体"/>
      <w:sz w:val="24"/>
    </w:rPr>
  </w:style>
  <w:style w:type="paragraph" w:customStyle="1" w:styleId="511">
    <w:name w:val="1.1.1样式"/>
    <w:basedOn w:val="1"/>
    <w:link w:val="512"/>
    <w:qFormat/>
    <w:uiPriority w:val="0"/>
    <w:pPr>
      <w:tabs>
        <w:tab w:val="left" w:pos="720"/>
      </w:tabs>
      <w:spacing w:after="0" w:line="360" w:lineRule="auto"/>
      <w:ind w:left="720" w:hanging="720"/>
    </w:pPr>
    <w:rPr>
      <w:rFonts w:ascii="宋体" w:hAnsi="宋体"/>
      <w:sz w:val="24"/>
    </w:rPr>
  </w:style>
  <w:style w:type="character" w:customStyle="1" w:styleId="512">
    <w:name w:val="1.1.1样式 Char"/>
    <w:link w:val="511"/>
    <w:qFormat/>
    <w:uiPriority w:val="0"/>
    <w:rPr>
      <w:rFonts w:ascii="宋体" w:hAnsi="宋体"/>
      <w:kern w:val="2"/>
      <w:sz w:val="24"/>
      <w:szCs w:val="24"/>
    </w:rPr>
  </w:style>
  <w:style w:type="paragraph" w:customStyle="1" w:styleId="513">
    <w:name w:val="xl50"/>
    <w:basedOn w:val="1"/>
    <w:qFormat/>
    <w:uiPriority w:val="0"/>
    <w:pPr>
      <w:widowControl/>
      <w:pBdr>
        <w:bottom w:val="single" w:color="auto" w:sz="4" w:space="0"/>
      </w:pBdr>
      <w:spacing w:before="100" w:beforeAutospacing="1" w:after="100" w:afterAutospacing="1" w:line="360" w:lineRule="auto"/>
      <w:jc w:val="center"/>
      <w:textAlignment w:val="center"/>
    </w:pPr>
    <w:rPr>
      <w:rFonts w:ascii="宋体" w:hAnsi="宋体"/>
      <w:sz w:val="24"/>
    </w:rPr>
  </w:style>
  <w:style w:type="character" w:customStyle="1" w:styleId="514">
    <w:name w:val="标题 4 Char Char"/>
    <w:qFormat/>
    <w:uiPriority w:val="0"/>
    <w:rPr>
      <w:rFonts w:ascii="Arial" w:hAnsi="Arial" w:eastAsia="黑体"/>
      <w:b/>
      <w:bCs/>
      <w:kern w:val="2"/>
      <w:sz w:val="28"/>
      <w:szCs w:val="28"/>
      <w:lang w:val="en-US" w:eastAsia="zh-CN" w:bidi="ar-SA"/>
    </w:rPr>
  </w:style>
  <w:style w:type="paragraph" w:customStyle="1" w:styleId="515">
    <w:name w:val="IBM 正文"/>
    <w:basedOn w:val="1"/>
    <w:qFormat/>
    <w:uiPriority w:val="0"/>
    <w:pPr>
      <w:spacing w:after="0" w:line="360" w:lineRule="exact"/>
    </w:pPr>
    <w:rPr>
      <w:sz w:val="24"/>
      <w:szCs w:val="20"/>
    </w:rPr>
  </w:style>
  <w:style w:type="paragraph" w:customStyle="1" w:styleId="516">
    <w:name w:val="缺省文本"/>
    <w:basedOn w:val="1"/>
    <w:qFormat/>
    <w:uiPriority w:val="0"/>
    <w:pPr>
      <w:autoSpaceDE w:val="0"/>
      <w:autoSpaceDN w:val="0"/>
      <w:adjustRightInd w:val="0"/>
      <w:spacing w:after="0" w:line="360" w:lineRule="auto"/>
      <w:jc w:val="left"/>
    </w:pPr>
    <w:rPr>
      <w:rFonts w:eastAsia="Times New Roman"/>
      <w:sz w:val="24"/>
      <w:lang w:eastAsia="en-US"/>
    </w:rPr>
  </w:style>
  <w:style w:type="paragraph" w:customStyle="1" w:styleId="517">
    <w:name w:val="1.1样式"/>
    <w:basedOn w:val="1"/>
    <w:link w:val="518"/>
    <w:qFormat/>
    <w:uiPriority w:val="0"/>
    <w:pPr>
      <w:tabs>
        <w:tab w:val="left" w:pos="567"/>
      </w:tabs>
      <w:spacing w:before="240" w:after="0" w:line="480" w:lineRule="auto"/>
      <w:ind w:left="567" w:hanging="567"/>
    </w:pPr>
    <w:rPr>
      <w:rFonts w:ascii="Calibri" w:hAnsi="Calibri"/>
      <w:b/>
      <w:sz w:val="28"/>
      <w:szCs w:val="28"/>
    </w:rPr>
  </w:style>
  <w:style w:type="character" w:customStyle="1" w:styleId="518">
    <w:name w:val="1.1样式 Char"/>
    <w:link w:val="517"/>
    <w:qFormat/>
    <w:uiPriority w:val="0"/>
    <w:rPr>
      <w:rFonts w:ascii="Calibri" w:hAnsi="Calibri"/>
      <w:b/>
      <w:kern w:val="2"/>
      <w:sz w:val="28"/>
      <w:szCs w:val="28"/>
    </w:rPr>
  </w:style>
  <w:style w:type="paragraph" w:customStyle="1" w:styleId="519">
    <w:name w:val="1.1.1.1样式"/>
    <w:basedOn w:val="1"/>
    <w:link w:val="520"/>
    <w:qFormat/>
    <w:uiPriority w:val="0"/>
    <w:pPr>
      <w:numPr>
        <w:ilvl w:val="3"/>
        <w:numId w:val="14"/>
      </w:numPr>
      <w:spacing w:after="0" w:line="360" w:lineRule="auto"/>
    </w:pPr>
    <w:rPr>
      <w:rFonts w:ascii="Calibri" w:hAnsi="Calibri"/>
      <w:bCs/>
      <w:lang w:val="zh-CN"/>
    </w:rPr>
  </w:style>
  <w:style w:type="character" w:customStyle="1" w:styleId="520">
    <w:name w:val="1.1.1.1样式 Char"/>
    <w:link w:val="519"/>
    <w:qFormat/>
    <w:uiPriority w:val="0"/>
    <w:rPr>
      <w:rFonts w:ascii="Calibri" w:hAnsi="Calibri"/>
      <w:bCs/>
      <w:kern w:val="2"/>
      <w:sz w:val="21"/>
      <w:szCs w:val="21"/>
      <w:lang w:val="zh-CN"/>
    </w:rPr>
  </w:style>
  <w:style w:type="character" w:customStyle="1" w:styleId="521">
    <w:name w:val="1(1) 字元1"/>
    <w:qFormat/>
    <w:uiPriority w:val="0"/>
    <w:rPr>
      <w:rFonts w:hint="eastAsia" w:ascii="PMingLiU-ExtB" w:hAnsi="PMingLiU-ExtB" w:eastAsia="PMingLiU-ExtB" w:cs="PMingLiU-ExtB"/>
      <w:kern w:val="2"/>
      <w:sz w:val="24"/>
      <w:szCs w:val="24"/>
      <w:lang w:val="en-US" w:eastAsia="zh-TW" w:bidi="ar-SA"/>
    </w:rPr>
  </w:style>
  <w:style w:type="paragraph" w:customStyle="1" w:styleId="522">
    <w:name w:val="样式 正文部分 + 首行缩进:  2 字符 段前: 0.5 行"/>
    <w:basedOn w:val="1"/>
    <w:qFormat/>
    <w:uiPriority w:val="0"/>
    <w:pPr>
      <w:spacing w:after="0" w:line="360" w:lineRule="exact"/>
      <w:ind w:firstLine="200" w:firstLineChars="200"/>
    </w:pPr>
    <w:rPr>
      <w:rFonts w:cs="宋体"/>
      <w:szCs w:val="20"/>
    </w:rPr>
  </w:style>
  <w:style w:type="character" w:customStyle="1" w:styleId="523">
    <w:name w:val="样式 宋体"/>
    <w:qFormat/>
    <w:uiPriority w:val="0"/>
    <w:rPr>
      <w:rFonts w:ascii="宋体" w:hAnsi="宋体" w:eastAsia="宋体"/>
      <w:sz w:val="24"/>
      <w:szCs w:val="24"/>
    </w:rPr>
  </w:style>
  <w:style w:type="character" w:customStyle="1" w:styleId="524">
    <w:name w:val="xdtextbox1"/>
    <w:qFormat/>
    <w:uiPriority w:val="0"/>
    <w:rPr>
      <w:color w:val="auto"/>
      <w:bdr w:val="single" w:color="DCDCDC" w:sz="8" w:space="0"/>
      <w:shd w:val="clear" w:color="auto" w:fill="FFFFFF"/>
    </w:rPr>
  </w:style>
  <w:style w:type="paragraph" w:customStyle="1" w:styleId="525">
    <w:name w:val="Basic body"/>
    <w:qFormat/>
    <w:uiPriority w:val="0"/>
    <w:rPr>
      <w:rFonts w:ascii="Times New Roman" w:hAnsi="Times New Roman" w:eastAsia="宋体" w:cs="Times New Roman"/>
      <w:lang w:val="en-US" w:eastAsia="zh-CN" w:bidi="ar-SA"/>
    </w:rPr>
  </w:style>
  <w:style w:type="paragraph" w:customStyle="1" w:styleId="526">
    <w:name w:val="论文正文格式"/>
    <w:basedOn w:val="1"/>
    <w:qFormat/>
    <w:uiPriority w:val="0"/>
    <w:pPr>
      <w:spacing w:after="0" w:line="360" w:lineRule="auto"/>
      <w:ind w:firstLine="480" w:firstLineChars="200"/>
    </w:pPr>
    <w:rPr>
      <w:sz w:val="24"/>
      <w:szCs w:val="18"/>
    </w:rPr>
  </w:style>
  <w:style w:type="paragraph" w:customStyle="1" w:styleId="527">
    <w:name w:val="样式 表格正文 + 五号 两端对齐 行距: 单倍行距"/>
    <w:basedOn w:val="112"/>
    <w:qFormat/>
    <w:uiPriority w:val="0"/>
    <w:pPr>
      <w:keepNext/>
      <w:adjustRightInd w:val="0"/>
      <w:snapToGrid w:val="0"/>
      <w:spacing w:before="60" w:after="0" w:line="360" w:lineRule="auto"/>
      <w:ind w:left="840" w:hanging="840"/>
    </w:pPr>
    <w:rPr>
      <w:snapToGrid w:val="0"/>
      <w:szCs w:val="20"/>
    </w:rPr>
  </w:style>
  <w:style w:type="paragraph" w:customStyle="1" w:styleId="528">
    <w:name w:val="表格标题"/>
    <w:qFormat/>
    <w:uiPriority w:val="0"/>
    <w:pPr>
      <w:keepNext/>
      <w:widowControl w:val="0"/>
      <w:adjustRightInd w:val="0"/>
      <w:snapToGrid w:val="0"/>
      <w:spacing w:before="60" w:line="300" w:lineRule="auto"/>
      <w:jc w:val="center"/>
    </w:pPr>
    <w:rPr>
      <w:rFonts w:ascii="Times New Roman" w:hAnsi="Times New Roman" w:eastAsia="宋体" w:cs="Times New Roman"/>
      <w:b/>
      <w:kern w:val="2"/>
      <w:sz w:val="24"/>
      <w:szCs w:val="24"/>
      <w:lang w:val="en-US" w:eastAsia="zh-CN" w:bidi="ar-SA"/>
    </w:rPr>
  </w:style>
  <w:style w:type="paragraph" w:customStyle="1" w:styleId="529">
    <w:name w:val="Char Char Char1 Char Char Char Char"/>
    <w:basedOn w:val="1"/>
    <w:qFormat/>
    <w:uiPriority w:val="0"/>
    <w:pPr>
      <w:spacing w:after="0" w:line="360" w:lineRule="auto"/>
    </w:pPr>
    <w:rPr>
      <w:rFonts w:ascii="Tahoma" w:hAnsi="Tahoma"/>
      <w:sz w:val="24"/>
      <w:szCs w:val="20"/>
    </w:rPr>
  </w:style>
  <w:style w:type="paragraph" w:customStyle="1" w:styleId="530">
    <w:name w:val="列出段落31"/>
    <w:basedOn w:val="1"/>
    <w:qFormat/>
    <w:uiPriority w:val="0"/>
    <w:pPr>
      <w:spacing w:after="0" w:line="360" w:lineRule="auto"/>
      <w:ind w:firstLine="420" w:firstLineChars="200"/>
    </w:pPr>
    <w:rPr>
      <w:rFonts w:ascii="Calibri" w:hAnsi="Calibri"/>
    </w:rPr>
  </w:style>
  <w:style w:type="character" w:customStyle="1" w:styleId="531">
    <w:name w:val="description"/>
    <w:basedOn w:val="58"/>
    <w:qFormat/>
    <w:uiPriority w:val="0"/>
  </w:style>
  <w:style w:type="paragraph" w:customStyle="1" w:styleId="532">
    <w:name w:val="主标题"/>
    <w:basedOn w:val="1"/>
    <w:qFormat/>
    <w:uiPriority w:val="0"/>
    <w:pPr>
      <w:numPr>
        <w:ilvl w:val="0"/>
        <w:numId w:val="15"/>
      </w:numPr>
      <w:spacing w:after="0" w:line="240" w:lineRule="auto"/>
    </w:pPr>
    <w:rPr>
      <w:szCs w:val="20"/>
    </w:rPr>
  </w:style>
  <w:style w:type="paragraph" w:customStyle="1" w:styleId="533">
    <w:name w:val="Note"/>
    <w:basedOn w:val="31"/>
    <w:qFormat/>
    <w:uiPriority w:val="0"/>
    <w:pPr>
      <w:spacing w:beforeLines="50" w:after="0" w:line="288" w:lineRule="auto"/>
    </w:pPr>
    <w:rPr>
      <w:rFonts w:ascii="Times New Roman" w:hAnsi="Times New Roman" w:eastAsia="仿宋"/>
      <w:szCs w:val="21"/>
    </w:rPr>
  </w:style>
  <w:style w:type="paragraph" w:customStyle="1" w:styleId="534">
    <w:name w:val="Note1"/>
    <w:basedOn w:val="533"/>
    <w:qFormat/>
    <w:uiPriority w:val="0"/>
    <w:pPr>
      <w:numPr>
        <w:ilvl w:val="0"/>
        <w:numId w:val="16"/>
      </w:numPr>
      <w:spacing w:beforeLines="0" w:line="240" w:lineRule="auto"/>
      <w:ind w:left="891"/>
    </w:pPr>
    <w:rPr>
      <w:spacing w:val="-2"/>
    </w:rPr>
  </w:style>
  <w:style w:type="paragraph" w:customStyle="1" w:styleId="535">
    <w:name w:val="Note2"/>
    <w:basedOn w:val="533"/>
    <w:qFormat/>
    <w:uiPriority w:val="0"/>
    <w:pPr>
      <w:numPr>
        <w:ilvl w:val="0"/>
        <w:numId w:val="17"/>
      </w:numPr>
      <w:spacing w:beforeLines="0"/>
      <w:ind w:left="0" w:hanging="200" w:hangingChars="200"/>
    </w:pPr>
    <w:rPr>
      <w:b/>
    </w:rPr>
  </w:style>
  <w:style w:type="paragraph" w:customStyle="1" w:styleId="536">
    <w:name w:val="Note3"/>
    <w:basedOn w:val="535"/>
    <w:qFormat/>
    <w:uiPriority w:val="0"/>
    <w:pPr>
      <w:numPr>
        <w:numId w:val="0"/>
      </w:numPr>
      <w:ind w:firstLine="200" w:firstLineChars="200"/>
    </w:pPr>
    <w:rPr>
      <w:b w:val="0"/>
    </w:rPr>
  </w:style>
  <w:style w:type="paragraph" w:customStyle="1" w:styleId="537">
    <w:name w:val="Text2"/>
    <w:basedOn w:val="247"/>
    <w:qFormat/>
    <w:uiPriority w:val="0"/>
    <w:pPr>
      <w:numPr>
        <w:numId w:val="18"/>
      </w:numPr>
      <w:ind w:left="1259"/>
    </w:pPr>
  </w:style>
  <w:style w:type="character" w:customStyle="1" w:styleId="538">
    <w:name w:val="ptb181"/>
    <w:qFormat/>
    <w:uiPriority w:val="0"/>
    <w:rPr>
      <w:rFonts w:hint="default" w:ascii="Verdana" w:hAnsi="Verdana"/>
      <w:b/>
      <w:bCs/>
      <w:color w:val="000000"/>
      <w:sz w:val="27"/>
      <w:szCs w:val="27"/>
    </w:rPr>
  </w:style>
  <w:style w:type="character" w:customStyle="1" w:styleId="539">
    <w:name w:val="headline-content"/>
    <w:qFormat/>
    <w:uiPriority w:val="0"/>
    <w:rPr>
      <w:rFonts w:cs="Times New Roman"/>
    </w:rPr>
  </w:style>
  <w:style w:type="character" w:customStyle="1" w:styleId="540">
    <w:name w:val="正文2 Char"/>
    <w:link w:val="193"/>
    <w:qFormat/>
    <w:locked/>
    <w:uiPriority w:val="0"/>
    <w:rPr>
      <w:kern w:val="2"/>
      <w:sz w:val="21"/>
    </w:rPr>
  </w:style>
  <w:style w:type="character" w:customStyle="1" w:styleId="541">
    <w:name w:val="样式1 Char"/>
    <w:qFormat/>
    <w:locked/>
    <w:uiPriority w:val="0"/>
  </w:style>
  <w:style w:type="paragraph" w:customStyle="1" w:styleId="542">
    <w:name w:val="正文格式"/>
    <w:basedOn w:val="1"/>
    <w:qFormat/>
    <w:uiPriority w:val="0"/>
    <w:pPr>
      <w:widowControl/>
      <w:spacing w:beforeLines="50" w:afterLines="50" w:line="240" w:lineRule="auto"/>
      <w:ind w:firstLine="200" w:firstLineChars="200"/>
      <w:jc w:val="left"/>
    </w:pPr>
    <w:rPr>
      <w:rFonts w:ascii="宋体" w:hAnsi="宋体"/>
      <w:sz w:val="20"/>
    </w:rPr>
  </w:style>
  <w:style w:type="paragraph" w:customStyle="1" w:styleId="543">
    <w:name w:val="reader-word-layer"/>
    <w:basedOn w:val="1"/>
    <w:qFormat/>
    <w:uiPriority w:val="0"/>
    <w:pPr>
      <w:widowControl/>
      <w:spacing w:before="100" w:beforeAutospacing="1" w:after="100" w:afterAutospacing="1" w:line="240" w:lineRule="auto"/>
      <w:jc w:val="left"/>
    </w:pPr>
    <w:rPr>
      <w:rFonts w:ascii="宋体" w:hAnsi="宋体" w:cs="宋体"/>
      <w:sz w:val="24"/>
    </w:rPr>
  </w:style>
  <w:style w:type="paragraph" w:customStyle="1" w:styleId="544">
    <w:name w:val="列出段落4"/>
    <w:basedOn w:val="1"/>
    <w:qFormat/>
    <w:uiPriority w:val="0"/>
    <w:pPr>
      <w:spacing w:after="0" w:line="240" w:lineRule="auto"/>
      <w:ind w:firstLine="420" w:firstLineChars="200"/>
    </w:pPr>
    <w:rPr>
      <w:szCs w:val="20"/>
    </w:rPr>
  </w:style>
  <w:style w:type="paragraph" w:customStyle="1" w:styleId="545">
    <w:name w:val="文章正文"/>
    <w:basedOn w:val="1"/>
    <w:qFormat/>
    <w:uiPriority w:val="0"/>
    <w:pPr>
      <w:spacing w:after="0" w:line="360" w:lineRule="auto"/>
      <w:ind w:firstLine="420"/>
    </w:pPr>
    <w:rPr>
      <w:sz w:val="24"/>
    </w:rPr>
  </w:style>
  <w:style w:type="character" w:customStyle="1" w:styleId="546">
    <w:name w:val="10"/>
    <w:qFormat/>
    <w:uiPriority w:val="0"/>
    <w:rPr>
      <w:rFonts w:hint="default" w:ascii="等线" w:hAnsi="等线"/>
    </w:rPr>
  </w:style>
  <w:style w:type="character" w:customStyle="1" w:styleId="547">
    <w:name w:val="15"/>
    <w:qFormat/>
    <w:uiPriority w:val="0"/>
    <w:rPr>
      <w:rFonts w:hint="default" w:ascii="等线" w:hAnsi="等线"/>
    </w:rPr>
  </w:style>
  <w:style w:type="character" w:customStyle="1" w:styleId="548">
    <w:name w:val="普通(网站) Char"/>
    <w:link w:val="50"/>
    <w:qFormat/>
    <w:locked/>
    <w:uiPriority w:val="99"/>
    <w:rPr>
      <w:rFonts w:ascii="宋体" w:hAnsi="宋体" w:cs="宋体"/>
      <w:sz w:val="24"/>
      <w:szCs w:val="24"/>
    </w:rPr>
  </w:style>
  <w:style w:type="character" w:customStyle="1" w:styleId="549">
    <w:name w:val="页脚 字符"/>
    <w:qFormat/>
    <w:uiPriority w:val="99"/>
    <w:rPr>
      <w:rFonts w:eastAsia="黑体"/>
      <w:snapToGrid/>
      <w:sz w:val="18"/>
      <w:szCs w:val="18"/>
    </w:rPr>
  </w:style>
  <w:style w:type="paragraph" w:customStyle="1" w:styleId="550">
    <w:name w:val="纯文本2"/>
    <w:basedOn w:val="1"/>
    <w:qFormat/>
    <w:uiPriority w:val="0"/>
    <w:pPr>
      <w:adjustRightInd w:val="0"/>
      <w:spacing w:after="0" w:line="240" w:lineRule="auto"/>
      <w:textAlignment w:val="baseline"/>
    </w:pPr>
    <w:rPr>
      <w:rFonts w:ascii="宋体" w:hAnsi="Courier New" w:eastAsia="楷体_GB2312"/>
      <w:sz w:val="26"/>
      <w:szCs w:val="20"/>
    </w:rPr>
  </w:style>
  <w:style w:type="paragraph" w:customStyle="1" w:styleId="551">
    <w:name w:val="纯文本3"/>
    <w:basedOn w:val="1"/>
    <w:qFormat/>
    <w:uiPriority w:val="0"/>
    <w:pPr>
      <w:spacing w:afterLines="50" w:line="240" w:lineRule="auto"/>
    </w:pPr>
    <w:rPr>
      <w:rFonts w:ascii="宋体" w:hAnsi="Courier New"/>
      <w:sz w:val="24"/>
      <w:szCs w:val="20"/>
    </w:rPr>
  </w:style>
  <w:style w:type="paragraph" w:customStyle="1" w:styleId="552">
    <w:name w:val="正文 A"/>
    <w:qFormat/>
    <w:uiPriority w:val="0"/>
    <w:pPr>
      <w:widowControl w:val="0"/>
      <w:jc w:val="both"/>
    </w:pPr>
    <w:rPr>
      <w:rFonts w:hint="eastAsia" w:ascii="Arial Black" w:hAnsi="Arial Black" w:eastAsia="Arial Black" w:cs="Arial Black"/>
      <w:color w:val="000000"/>
      <w:kern w:val="2"/>
      <w:sz w:val="21"/>
      <w:szCs w:val="21"/>
      <w:lang w:val="en-US" w:eastAsia="zh-CN" w:bidi="ar-SA"/>
    </w:rPr>
  </w:style>
  <w:style w:type="paragraph" w:customStyle="1" w:styleId="55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554">
    <w:name w:val="标题 Char2"/>
    <w:qFormat/>
    <w:uiPriority w:val="0"/>
    <w:rPr>
      <w:rFonts w:ascii="Calibri Light" w:hAnsi="Calibri Light" w:eastAsia="微软雅黑"/>
      <w:b/>
      <w:bCs/>
      <w:kern w:val="2"/>
      <w:sz w:val="32"/>
      <w:szCs w:val="32"/>
    </w:rPr>
  </w:style>
  <w:style w:type="paragraph" w:customStyle="1" w:styleId="555">
    <w:name w:val="WPSOffice手动目录 1"/>
    <w:qFormat/>
    <w:uiPriority w:val="0"/>
    <w:rPr>
      <w:rFonts w:ascii="Times New Roman" w:hAnsi="Times New Roman" w:eastAsia="宋体" w:cs="Times New Roman"/>
      <w:lang w:val="en-US" w:eastAsia="zh-CN" w:bidi="ar-SA"/>
    </w:rPr>
  </w:style>
  <w:style w:type="character" w:customStyle="1" w:styleId="556">
    <w:name w:val="font71"/>
    <w:basedOn w:val="58"/>
    <w:uiPriority w:val="0"/>
    <w:rPr>
      <w:rFonts w:hint="eastAsia" w:ascii="宋体" w:hAnsi="宋体" w:eastAsia="宋体" w:cs="宋体"/>
      <w:color w:val="000000"/>
      <w:sz w:val="28"/>
      <w:szCs w:val="28"/>
      <w:u w:val="none"/>
    </w:rPr>
  </w:style>
  <w:style w:type="character" w:customStyle="1" w:styleId="557">
    <w:name w:val="font51"/>
    <w:basedOn w:val="58"/>
    <w:uiPriority w:val="0"/>
    <w:rPr>
      <w:rFonts w:hint="eastAsia" w:ascii="宋体" w:hAnsi="宋体" w:eastAsia="宋体" w:cs="宋体"/>
      <w:color w:val="000000"/>
      <w:sz w:val="28"/>
      <w:szCs w:val="28"/>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3079"/>
    <customShpInfo spid="_x0000_s3077"/>
    <customShpInfo spid="_x0000_s3081"/>
    <customShpInfo spid="_x0000_s308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7FC5F-51D1-416D-88CE-8D88497FE183}">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1</Pages>
  <Words>4239</Words>
  <Characters>24164</Characters>
  <Lines>201</Lines>
  <Paragraphs>56</Paragraphs>
  <TotalTime>3</TotalTime>
  <ScaleCrop>false</ScaleCrop>
  <LinksUpToDate>false</LinksUpToDate>
  <CharactersWithSpaces>28347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2022-02-22T08:12:00Z</dcterms:created>
  <dc:creator>戴文娥</dc:creator>
  <cp:lastModifiedBy>戴戴1413875480</cp:lastModifiedBy>
  <cp:lastPrinted>2022-03-10T04:50:00Z</cp:lastPrinted>
  <dcterms:modified xsi:type="dcterms:W3CDTF">2022-12-05T07:33:35Z</dcterms:modified>
  <dc:title>竞争性磋商文件</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DD9E0BD9A8D9447FB9B3D79078AE8C69</vt:lpwstr>
  </property>
</Properties>
</file>