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adjustRightInd/>
        <w:spacing w:line="360" w:lineRule="auto"/>
        <w:jc w:val="both"/>
        <w:rPr>
          <w:rFonts w:ascii="宋体" w:hAnsi="宋体" w:cs="宋体"/>
          <w:b/>
          <w:sz w:val="48"/>
          <w:szCs w:val="48"/>
        </w:rPr>
      </w:pPr>
    </w:p>
    <w:p>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eastAsia="zh-CN"/>
        </w:rPr>
        <w:t>嘉兴市自然灾害应急能力提升工程基层</w:t>
      </w:r>
    </w:p>
    <w:p>
      <w:pPr>
        <w:adjustRightInd/>
        <w:spacing w:line="360" w:lineRule="auto"/>
        <w:jc w:val="center"/>
        <w:rPr>
          <w:rFonts w:ascii="宋体" w:hAnsi="宋体" w:cs="宋体"/>
          <w:sz w:val="48"/>
          <w:szCs w:val="48"/>
        </w:rPr>
      </w:pPr>
      <w:r>
        <w:rPr>
          <w:rFonts w:hint="eastAsia" w:ascii="宋体" w:hAnsi="宋体" w:cs="宋体"/>
          <w:sz w:val="48"/>
          <w:szCs w:val="48"/>
          <w:lang w:eastAsia="zh-CN"/>
        </w:rPr>
        <w:t>防灾项目</w:t>
      </w: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编号:JXSJ-202</w:t>
      </w:r>
      <w:r>
        <w:rPr>
          <w:rFonts w:hint="eastAsia" w:ascii="宋体" w:hAnsi="宋体" w:cs="宋体"/>
          <w:sz w:val="30"/>
          <w:szCs w:val="30"/>
          <w:lang w:val="en-US" w:eastAsia="zh-CN"/>
        </w:rPr>
        <w:t>4</w:t>
      </w:r>
      <w:r>
        <w:rPr>
          <w:rFonts w:hint="eastAsia" w:ascii="宋体" w:hAnsi="宋体" w:cs="宋体"/>
          <w:sz w:val="30"/>
          <w:szCs w:val="30"/>
        </w:rPr>
        <w:t>-</w:t>
      </w:r>
      <w:r>
        <w:rPr>
          <w:rFonts w:hint="eastAsia" w:ascii="宋体" w:hAnsi="宋体" w:cs="宋体"/>
          <w:sz w:val="30"/>
          <w:szCs w:val="30"/>
          <w:lang w:val="en-US" w:eastAsia="zh-CN"/>
        </w:rPr>
        <w:t>89</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ind w:firstLine="640" w:firstLineChars="200"/>
        <w:rPr>
          <w:rFonts w:hint="eastAsia" w:ascii="宋体" w:hAnsi="宋体" w:eastAsia="宋体" w:cs="宋体"/>
          <w:color w:val="0000FF"/>
          <w:sz w:val="32"/>
          <w:szCs w:val="32"/>
          <w:lang w:eastAsia="zh-CN"/>
        </w:rPr>
      </w:pPr>
      <w:r>
        <w:rPr>
          <w:rFonts w:hint="eastAsia" w:ascii="宋体" w:hAnsi="宋体" w:cs="宋体"/>
          <w:sz w:val="32"/>
          <w:szCs w:val="32"/>
        </w:rPr>
        <w:t>采</w:t>
      </w:r>
      <w:r>
        <w:rPr>
          <w:rFonts w:hint="eastAsia" w:ascii="宋体" w:hAnsi="宋体" w:cs="宋体"/>
          <w:bCs/>
          <w:sz w:val="32"/>
          <w:szCs w:val="32"/>
        </w:rPr>
        <w:t>购人:嘉兴市</w:t>
      </w:r>
      <w:r>
        <w:rPr>
          <w:rFonts w:hint="eastAsia" w:ascii="宋体" w:hAnsi="宋体" w:cs="宋体"/>
          <w:bCs/>
          <w:sz w:val="32"/>
          <w:szCs w:val="32"/>
          <w:lang w:eastAsia="zh-CN"/>
        </w:rPr>
        <w:t>应急管理局</w:t>
      </w:r>
    </w:p>
    <w:p>
      <w:pPr>
        <w:spacing w:line="360" w:lineRule="auto"/>
        <w:jc w:val="center"/>
        <w:rPr>
          <w:rFonts w:ascii="宋体" w:hAnsi="宋体" w:cs="宋体"/>
          <w:bCs/>
          <w:sz w:val="32"/>
          <w:szCs w:val="32"/>
        </w:rPr>
      </w:pPr>
      <w:r>
        <w:rPr>
          <w:rFonts w:hint="eastAsia" w:ascii="宋体" w:hAnsi="宋体" w:cs="宋体"/>
          <w:bCs/>
          <w:sz w:val="32"/>
          <w:szCs w:val="32"/>
        </w:rPr>
        <w:t>采购代理机构:嘉兴市建新工程造价咨询事务所有限公司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四</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lang w:eastAsia="zh-CN"/>
        </w:rPr>
        <w:t>嘉兴市自然灾害应急能力提升工程基层防灾项目</w:t>
      </w:r>
      <w:r>
        <w:rPr>
          <w:rFonts w:hint="eastAsia" w:asciiTheme="minorEastAsia" w:hAnsiTheme="minorEastAsia" w:eastAsiaTheme="minorEastAsia"/>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rPr>
        <w:t>202</w:t>
      </w:r>
      <w:r>
        <w:rPr>
          <w:rStyle w:val="77"/>
          <w:rFonts w:hint="eastAsia" w:cs="Times New Roman" w:asciiTheme="minorEastAsia" w:hAnsiTheme="minorEastAsia" w:eastAsiaTheme="minorEastAsia"/>
          <w:snapToGrid/>
          <w:kern w:val="2"/>
          <w:sz w:val="24"/>
          <w:szCs w:val="24"/>
          <w:lang w:val="en-US" w:eastAsia="zh-CN"/>
        </w:rPr>
        <w:t>4</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6</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13</w:t>
      </w:r>
      <w:r>
        <w:rPr>
          <w:rStyle w:val="77"/>
          <w:rFonts w:hint="eastAsia" w:cs="Times New Roman" w:asciiTheme="minorEastAsia" w:hAnsiTheme="minorEastAsia" w:eastAsiaTheme="minorEastAsia"/>
          <w:snapToGrid/>
          <w:kern w:val="2"/>
          <w:sz w:val="24"/>
          <w:szCs w:val="24"/>
        </w:rPr>
        <w:t>日</w:t>
      </w:r>
      <w:r>
        <w:rPr>
          <w:rStyle w:val="77"/>
          <w:rFonts w:hint="eastAsia" w:cs="Times New Roman" w:asciiTheme="minorEastAsia" w:hAnsiTheme="minorEastAsia" w:eastAsiaTheme="minorEastAsia"/>
          <w:snapToGrid/>
          <w:kern w:val="2"/>
          <w:sz w:val="24"/>
          <w:szCs w:val="24"/>
          <w:lang w:val="en-US" w:eastAsia="zh-CN"/>
        </w:rPr>
        <w:t>9</w:t>
      </w:r>
      <w:r>
        <w:rPr>
          <w:rStyle w:val="77"/>
          <w:rFonts w:hint="eastAsia" w:cs="Times New Roman" w:asciiTheme="minorEastAsia" w:hAnsiTheme="minorEastAsia" w:eastAsiaTheme="minorEastAsia"/>
          <w:snapToGrid/>
          <w:kern w:val="2"/>
          <w:sz w:val="24"/>
          <w:szCs w:val="24"/>
        </w:rPr>
        <w:t>点</w:t>
      </w:r>
      <w:r>
        <w:rPr>
          <w:rStyle w:val="77"/>
          <w:rFonts w:hint="eastAsia" w:cs="Times New Roman" w:asciiTheme="minorEastAsia" w:hAnsiTheme="minorEastAsia" w:eastAsiaTheme="minorEastAsia"/>
          <w:snapToGrid/>
          <w:kern w:val="2"/>
          <w:sz w:val="24"/>
          <w:szCs w:val="24"/>
          <w:lang w:val="en-US" w:eastAsia="zh-CN"/>
        </w:rPr>
        <w:t>00</w:t>
      </w:r>
      <w:r>
        <w:rPr>
          <w:rStyle w:val="77"/>
          <w:rFonts w:hint="eastAsia" w:cs="Times New Roman" w:asciiTheme="minorEastAsia" w:hAnsiTheme="minorEastAsia" w:eastAsiaTheme="minorEastAsia"/>
          <w:snapToGrid/>
          <w:kern w:val="2"/>
          <w:sz w:val="24"/>
          <w:szCs w:val="24"/>
        </w:rPr>
        <w:t>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default" w:ascii="宋体" w:hAnsi="宋体" w:eastAsia="宋体" w:cs="宋体"/>
          <w:sz w:val="24"/>
          <w:lang w:val="en-US" w:eastAsia="zh-CN"/>
        </w:rPr>
      </w:pPr>
      <w:r>
        <w:rPr>
          <w:rFonts w:hint="eastAsia" w:ascii="宋体" w:hAnsi="宋体" w:cs="宋体"/>
          <w:sz w:val="24"/>
        </w:rPr>
        <w:t xml:space="preserve">    </w:t>
      </w:r>
      <w:r>
        <w:rPr>
          <w:rFonts w:hint="eastAsia" w:ascii="宋体" w:hAnsi="宋体" w:cs="宋体"/>
          <w:b/>
          <w:sz w:val="24"/>
        </w:rPr>
        <w:t>项目编号：JXSJ-202</w:t>
      </w: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val="en-US" w:eastAsia="zh-CN"/>
        </w:rPr>
        <w:t>89</w:t>
      </w:r>
    </w:p>
    <w:p>
      <w:pPr>
        <w:spacing w:line="360" w:lineRule="auto"/>
        <w:ind w:firstLine="480"/>
        <w:rPr>
          <w:rFonts w:hint="eastAsia" w:ascii="宋体" w:hAnsi="宋体" w:cs="宋体"/>
          <w:b/>
          <w:sz w:val="24"/>
        </w:rPr>
      </w:pPr>
      <w:r>
        <w:rPr>
          <w:rFonts w:hint="eastAsia" w:ascii="宋体" w:hAnsi="宋体" w:cs="宋体"/>
          <w:b/>
          <w:sz w:val="24"/>
        </w:rPr>
        <w:t>项目名称：</w:t>
      </w:r>
      <w:r>
        <w:rPr>
          <w:rFonts w:hint="eastAsia" w:ascii="宋体" w:hAnsi="宋体" w:cs="宋体"/>
          <w:b/>
          <w:sz w:val="24"/>
          <w:lang w:eastAsia="zh-CN"/>
        </w:rPr>
        <w:t>嘉兴市自然灾害应急能力提升工程基层防灾项目</w:t>
      </w:r>
    </w:p>
    <w:p>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预算金额（元）：</w:t>
      </w:r>
      <w:r>
        <w:rPr>
          <w:rFonts w:hint="eastAsia" w:ascii="宋体" w:hAnsi="宋体" w:cs="宋体"/>
          <w:b/>
          <w:color w:val="auto"/>
          <w:sz w:val="24"/>
          <w:lang w:val="en-US" w:eastAsia="zh-CN"/>
        </w:rPr>
        <w:t>9154600</w:t>
      </w:r>
    </w:p>
    <w:p>
      <w:pPr>
        <w:spacing w:line="360" w:lineRule="auto"/>
        <w:ind w:firstLine="480"/>
        <w:rPr>
          <w:rFonts w:hint="default" w:ascii="宋体" w:hAnsi="宋体" w:cs="宋体"/>
          <w:b/>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9115800，其中标项一1908000元，标项二3315800元，标项三3892000元。</w:t>
      </w:r>
    </w:p>
    <w:p>
      <w:pPr>
        <w:spacing w:line="360" w:lineRule="auto"/>
        <w:ind w:firstLine="480"/>
        <w:rPr>
          <w:rFonts w:hint="eastAsia" w:hAnsi="宋体" w:cs="宋体"/>
          <w:b/>
          <w:color w:val="auto"/>
          <w:sz w:val="24"/>
        </w:rPr>
      </w:pPr>
      <w:r>
        <w:rPr>
          <w:rFonts w:hint="eastAsia" w:hAnsi="宋体" w:cs="宋体"/>
          <w:b/>
          <w:color w:val="auto"/>
          <w:sz w:val="24"/>
        </w:rPr>
        <w:t>采购需求：</w:t>
      </w:r>
    </w:p>
    <w:p>
      <w:pPr>
        <w:spacing w:line="360" w:lineRule="exact"/>
        <w:ind w:firstLine="482" w:firstLineChars="200"/>
        <w:rPr>
          <w:rFonts w:hint="eastAsia" w:hAnsi="宋体" w:cs="宋体"/>
          <w:b/>
          <w:color w:val="auto"/>
          <w:sz w:val="24"/>
          <w:lang w:eastAsia="zh-CN"/>
        </w:rPr>
      </w:pPr>
      <w:r>
        <w:rPr>
          <w:rFonts w:hint="eastAsia" w:hAnsi="宋体" w:cs="宋体"/>
          <w:b/>
          <w:color w:val="auto"/>
          <w:sz w:val="24"/>
          <w:lang w:eastAsia="zh-CN"/>
        </w:rPr>
        <w:t>标项一：综合保障</w:t>
      </w:r>
      <w:r>
        <w:rPr>
          <w:rFonts w:hint="eastAsia" w:hAnsi="宋体" w:cs="宋体"/>
          <w:b/>
          <w:color w:val="auto"/>
          <w:sz w:val="24"/>
          <w:lang w:val="en-US" w:eastAsia="zh-CN"/>
        </w:rPr>
        <w:t>+森林火灾扑救类，</w:t>
      </w:r>
      <w:r>
        <w:rPr>
          <w:rFonts w:hint="eastAsia" w:hAnsi="宋体" w:cs="宋体"/>
          <w:b/>
          <w:color w:val="auto"/>
          <w:sz w:val="24"/>
          <w:lang w:eastAsia="zh-CN"/>
        </w:rPr>
        <w:t>主要内容为应急照明系统、通信指挥设备（数字集群手持终端）、风力灭火机、高压接力消防水泵、高压细水雾灭火机、红外热成像仪、绝缘剪断钳、油锯、有毒有害气体检测仪、自救呼吸器</w:t>
      </w:r>
      <w:r>
        <w:rPr>
          <w:rFonts w:hint="eastAsia" w:hAnsi="宋体" w:cs="宋体"/>
          <w:b/>
          <w:color w:val="auto"/>
          <w:sz w:val="24"/>
          <w:lang w:val="en-US" w:eastAsia="zh-CN"/>
        </w:rPr>
        <w:t>设备采购</w:t>
      </w:r>
      <w:r>
        <w:rPr>
          <w:rFonts w:hint="eastAsia" w:hAnsi="宋体" w:cs="宋体"/>
          <w:b/>
          <w:color w:val="auto"/>
          <w:sz w:val="24"/>
          <w:lang w:eastAsia="zh-CN"/>
        </w:rPr>
        <w:t>；</w:t>
      </w:r>
    </w:p>
    <w:p>
      <w:pPr>
        <w:spacing w:line="360" w:lineRule="exact"/>
        <w:ind w:firstLine="482" w:firstLineChars="200"/>
        <w:rPr>
          <w:rFonts w:hint="eastAsia" w:hAnsi="宋体" w:cs="宋体"/>
          <w:b/>
          <w:color w:val="auto"/>
          <w:sz w:val="24"/>
          <w:lang w:eastAsia="zh-CN"/>
        </w:rPr>
      </w:pPr>
      <w:r>
        <w:rPr>
          <w:rFonts w:hint="eastAsia" w:hAnsi="宋体" w:cs="宋体"/>
          <w:b/>
          <w:color w:val="auto"/>
          <w:sz w:val="24"/>
          <w:lang w:eastAsia="zh-CN"/>
        </w:rPr>
        <w:t>标项二：水域救援+抗洪抢险类，主要内容为防水头灯、救生抛投器、救援舟艇组合（冲锋舟）、救援舟艇组合（舟艇拖车、救援舟艇组合（橡皮舟）、流速监测仪、水深探测仪、舷外机、浮艇泵、救生拉杆、汽（柴）油机泵、组合式防洪板设备采购；</w:t>
      </w:r>
    </w:p>
    <w:p>
      <w:pPr>
        <w:spacing w:line="360" w:lineRule="exact"/>
        <w:ind w:firstLine="482" w:firstLineChars="200"/>
        <w:rPr>
          <w:rFonts w:hint="eastAsia" w:cs="Times New Roman" w:asciiTheme="minorEastAsia" w:hAnsiTheme="minorEastAsia" w:eastAsiaTheme="minorEastAsia"/>
          <w:snapToGrid/>
          <w:color w:val="auto"/>
          <w:kern w:val="2"/>
          <w:sz w:val="24"/>
          <w:szCs w:val="24"/>
          <w:lang w:val="en-US" w:eastAsia="zh-CN" w:bidi="ar-SA"/>
        </w:rPr>
      </w:pPr>
      <w:r>
        <w:rPr>
          <w:rFonts w:hint="eastAsia" w:hAnsi="宋体" w:cs="宋体"/>
          <w:b/>
          <w:color w:val="auto"/>
          <w:sz w:val="24"/>
          <w:lang w:eastAsia="zh-CN"/>
        </w:rPr>
        <w:t>标项三：地震地质灾害救援类，主要内容为便携式防水防爆应急强光灯、钢筋速断器、激光测距仪、链锯、漏电检测仪、切割锯套装、绳索救援套装、液压破拆工具组、液压破拆工具组（液压泵）、正压空气呼吸器、重型支撑套装设备采购</w:t>
      </w:r>
      <w:r>
        <w:rPr>
          <w:rFonts w:hint="eastAsia" w:cs="Times New Roman" w:asciiTheme="minorEastAsia" w:hAnsiTheme="minorEastAsia" w:eastAsiaTheme="minorEastAsia"/>
          <w:snapToGrid/>
          <w:color w:val="auto"/>
          <w:kern w:val="2"/>
          <w:sz w:val="24"/>
          <w:szCs w:val="24"/>
          <w:lang w:val="en-US" w:eastAsia="zh-CN" w:bidi="ar-SA"/>
        </w:rPr>
        <w:t>。</w:t>
      </w:r>
    </w:p>
    <w:p>
      <w:pPr>
        <w:spacing w:line="360" w:lineRule="exact"/>
        <w:ind w:firstLine="480" w:firstLineChars="200"/>
        <w:rPr>
          <w:rFonts w:hint="eastAsia" w:asciiTheme="minorEastAsia" w:hAnsiTheme="minorEastAsia" w:eastAsiaTheme="minorEastAsia"/>
          <w:snapToGrid/>
          <w:color w:val="auto"/>
          <w:kern w:val="2"/>
          <w:sz w:val="24"/>
          <w:szCs w:val="24"/>
        </w:rPr>
      </w:pPr>
      <w:r>
        <w:rPr>
          <w:rFonts w:hint="eastAsia" w:cs="Times New Roman" w:asciiTheme="minorEastAsia" w:hAnsiTheme="minorEastAsia" w:eastAsiaTheme="minorEastAsia"/>
          <w:snapToGrid/>
          <w:color w:val="auto"/>
          <w:kern w:val="2"/>
          <w:sz w:val="24"/>
          <w:szCs w:val="24"/>
          <w:lang w:val="en-US" w:eastAsia="zh-CN" w:bidi="ar-SA"/>
        </w:rPr>
        <w:t>具体以招标文件第三部分采购需求为准，供应商可点击本公告下</w:t>
      </w:r>
      <w:r>
        <w:rPr>
          <w:rFonts w:hint="eastAsia" w:asciiTheme="minorEastAsia" w:hAnsiTheme="minorEastAsia" w:eastAsiaTheme="minorEastAsia"/>
          <w:snapToGrid/>
          <w:color w:val="auto"/>
          <w:kern w:val="2"/>
          <w:sz w:val="24"/>
          <w:szCs w:val="24"/>
        </w:rPr>
        <w:t>方“浏览采购文件”查看采购需求。</w:t>
      </w:r>
    </w:p>
    <w:p>
      <w:pPr>
        <w:spacing w:line="360" w:lineRule="exact"/>
        <w:ind w:firstLine="482" w:firstLineChars="200"/>
        <w:rPr>
          <w:rFonts w:hint="default" w:asciiTheme="minorEastAsia" w:hAnsiTheme="minorEastAsia" w:eastAsiaTheme="minorEastAsia"/>
          <w:snapToGrid/>
          <w:color w:val="auto"/>
          <w:kern w:val="2"/>
          <w:sz w:val="24"/>
          <w:szCs w:val="24"/>
          <w:lang w:val="en-US" w:eastAsia="zh-CN"/>
        </w:rPr>
      </w:pPr>
      <w:r>
        <w:rPr>
          <w:rFonts w:hint="eastAsia" w:asciiTheme="minorEastAsia" w:hAnsiTheme="minorEastAsia" w:eastAsiaTheme="minorEastAsia"/>
          <w:b/>
          <w:bCs/>
          <w:snapToGrid/>
          <w:color w:val="auto"/>
          <w:kern w:val="2"/>
          <w:sz w:val="24"/>
          <w:szCs w:val="24"/>
          <w:lang w:eastAsia="zh-CN"/>
        </w:rPr>
        <w:t>备注：本项目分为三个标项，投标人可根据自身能力投一个或多个标项，但只允许中一个标项，中标顺序按照开标顺序，先开标项一，再开标项二，最后开标项三，已中标项的中标单位将不进入后续标项的评审。</w:t>
      </w:r>
    </w:p>
    <w:p>
      <w:pPr>
        <w:pStyle w:val="131"/>
        <w:ind w:firstLine="482"/>
        <w:outlineLvl w:val="2"/>
        <w:rPr>
          <w:rFonts w:hint="eastAsia" w:ascii="宋体" w:hAnsi="宋体" w:cs="宋体"/>
          <w:b/>
          <w:highlight w:val="none"/>
          <w:lang w:val="en-US" w:eastAsia="zh-CN"/>
        </w:rPr>
      </w:pPr>
      <w:r>
        <w:rPr>
          <w:rFonts w:hint="eastAsia" w:ascii="宋体" w:hAnsi="宋体" w:cs="宋体"/>
          <w:b/>
          <w:highlight w:val="none"/>
        </w:rPr>
        <w:t>合同履约期限：合同签订后</w:t>
      </w:r>
      <w:r>
        <w:rPr>
          <w:rFonts w:hint="eastAsia" w:ascii="宋体" w:hAnsi="宋体" w:cs="宋体"/>
          <w:b/>
          <w:highlight w:val="none"/>
          <w:lang w:val="en-US" w:eastAsia="zh-CN"/>
        </w:rPr>
        <w:t>3</w:t>
      </w:r>
      <w:r>
        <w:rPr>
          <w:rFonts w:hint="eastAsia" w:ascii="宋体" w:hAnsi="宋体" w:cs="宋体"/>
          <w:b/>
          <w:highlight w:val="none"/>
        </w:rPr>
        <w:t>个月内交货</w:t>
      </w:r>
      <w:r>
        <w:rPr>
          <w:rFonts w:hint="eastAsia" w:ascii="宋体" w:hAnsi="宋体" w:cs="宋体"/>
          <w:b/>
          <w:highlight w:val="none"/>
          <w:lang w:val="en-US" w:eastAsia="zh-CN"/>
        </w:rPr>
        <w:t xml:space="preserve">。 </w:t>
      </w:r>
    </w:p>
    <w:p>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cs="宋体"/>
              <w:color w:val="auto"/>
              <w:kern w:val="0"/>
              <w:sz w:val="24"/>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lang w:val="en-US" w:eastAsia="zh-CN"/>
        </w:rPr>
        <w:t>2</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rPr>
        <w:t>，每</w:t>
      </w:r>
      <w:r>
        <w:rPr>
          <w:rFonts w:hint="eastAsia" w:ascii="宋体" w:hAnsi="宋体" w:cs="宋体"/>
          <w:sz w:val="24"/>
        </w:rPr>
        <w:t>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6</w:t>
      </w:r>
      <w:r>
        <w:rPr>
          <w:rFonts w:hint="eastAsia" w:ascii="宋体" w:hAnsi="宋体" w:cs="宋体"/>
          <w:color w:val="auto"/>
          <w:sz w:val="24"/>
          <w:u w:val="single"/>
        </w:rPr>
        <w:t>月</w:t>
      </w:r>
      <w:r>
        <w:rPr>
          <w:rFonts w:hint="eastAsia" w:ascii="宋体" w:hAnsi="宋体" w:cs="宋体"/>
          <w:color w:val="auto"/>
          <w:sz w:val="24"/>
          <w:u w:val="single"/>
          <w:lang w:val="en-US" w:eastAsia="zh-CN"/>
        </w:rPr>
        <w:t>13</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color w:val="0000FF"/>
          <w:sz w:val="24"/>
        </w:rPr>
        <w:t xml:space="preserve"> </w:t>
      </w:r>
      <w:r>
        <w:rPr>
          <w:rFonts w:hint="eastAsia" w:ascii="宋体" w:hAnsi="宋体" w:cs="宋体"/>
          <w:sz w:val="24"/>
        </w:rPr>
        <w:t>名    称： 嘉兴市</w:t>
      </w:r>
      <w:r>
        <w:rPr>
          <w:rFonts w:hint="eastAsia" w:ascii="宋体" w:hAnsi="宋体" w:cs="宋体"/>
          <w:sz w:val="24"/>
          <w:lang w:eastAsia="zh-CN"/>
        </w:rPr>
        <w:t>应急管理局</w:t>
      </w:r>
    </w:p>
    <w:p>
      <w:pPr>
        <w:spacing w:line="360" w:lineRule="auto"/>
        <w:rPr>
          <w:rFonts w:ascii="宋体" w:hAnsi="宋体" w:cs="宋体"/>
          <w:sz w:val="24"/>
        </w:rPr>
      </w:pPr>
      <w:r>
        <w:rPr>
          <w:rFonts w:hint="eastAsia" w:ascii="宋体" w:hAnsi="宋体" w:cs="宋体"/>
          <w:sz w:val="24"/>
        </w:rPr>
        <w:t xml:space="preserve">    地    址： 嘉兴市南湖区祝家港路中南大厦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eastAsia="zh-CN"/>
        </w:rPr>
        <w:t>沈健健</w:t>
      </w:r>
      <w:r>
        <w:rPr>
          <w:rFonts w:hint="eastAsia" w:ascii="宋体" w:hAnsi="宋体" w:cs="宋体"/>
          <w:sz w:val="24"/>
          <w:highlight w:val="none"/>
        </w:rPr>
        <w:t xml:space="preserve"> </w:t>
      </w:r>
    </w:p>
    <w:p>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项目联系方式（询问）：</w:t>
      </w:r>
      <w:r>
        <w:rPr>
          <w:rFonts w:hint="eastAsia" w:ascii="宋体" w:hAnsi="宋体" w:cs="宋体"/>
          <w:sz w:val="24"/>
          <w:highlight w:val="none"/>
          <w:lang w:val="en-US" w:eastAsia="zh-CN"/>
        </w:rPr>
        <w:t>0573-83593931</w:t>
      </w:r>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质疑联系人：</w:t>
      </w:r>
      <w:r>
        <w:rPr>
          <w:rFonts w:hint="eastAsia" w:ascii="宋体" w:hAnsi="宋体" w:cs="宋体"/>
          <w:sz w:val="24"/>
          <w:highlight w:val="none"/>
          <w:lang w:eastAsia="zh-CN"/>
        </w:rPr>
        <w:t>许海东</w:t>
      </w:r>
    </w:p>
    <w:p>
      <w:pPr>
        <w:spacing w:line="360" w:lineRule="auto"/>
        <w:rPr>
          <w:rFonts w:ascii="宋体" w:hAnsi="宋体" w:cs="宋体"/>
          <w:sz w:val="24"/>
          <w:highlight w:val="none"/>
        </w:rPr>
      </w:pPr>
      <w:r>
        <w:rPr>
          <w:rFonts w:hint="eastAsia" w:ascii="宋体" w:hAnsi="宋体" w:cs="宋体"/>
          <w:sz w:val="24"/>
          <w:highlight w:val="none"/>
        </w:rPr>
        <w:t xml:space="preserve">    质疑联系方式：</w:t>
      </w:r>
      <w:r>
        <w:rPr>
          <w:rFonts w:hint="eastAsia" w:ascii="宋体" w:hAnsi="宋体" w:cs="宋体"/>
          <w:sz w:val="24"/>
          <w:highlight w:val="none"/>
          <w:lang w:val="en-US" w:eastAsia="zh-CN"/>
        </w:rPr>
        <w:t>0573-82130923</w:t>
      </w:r>
      <w:r>
        <w:rPr>
          <w:rFonts w:hint="eastAsia" w:ascii="宋体" w:hAnsi="宋体" w:cs="宋体"/>
          <w:sz w:val="24"/>
          <w:highlight w:val="none"/>
        </w:rPr>
        <w:t xml:space="preserve">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称：嘉兴市建新工程造价咨询事务所有限公司</w:t>
      </w:r>
    </w:p>
    <w:p>
      <w:pPr>
        <w:spacing w:line="360" w:lineRule="auto"/>
        <w:ind w:firstLine="480"/>
        <w:rPr>
          <w:rFonts w:ascii="宋体" w:hAnsi="宋体" w:cs="宋体"/>
          <w:sz w:val="24"/>
        </w:rPr>
      </w:pPr>
      <w:r>
        <w:rPr>
          <w:rFonts w:hint="eastAsia" w:ascii="宋体" w:hAnsi="宋体" w:cs="宋体"/>
          <w:sz w:val="24"/>
        </w:rPr>
        <w:t>地    址：会展路207号</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项目联系人（询问）：陆燕 </w:t>
      </w:r>
    </w:p>
    <w:p>
      <w:pPr>
        <w:spacing w:line="360" w:lineRule="auto"/>
        <w:rPr>
          <w:rFonts w:ascii="宋体" w:hAnsi="宋体" w:cs="宋体"/>
          <w:sz w:val="24"/>
        </w:rPr>
      </w:pPr>
      <w:r>
        <w:rPr>
          <w:rFonts w:hint="eastAsia" w:ascii="宋体" w:hAnsi="宋体" w:cs="宋体"/>
          <w:sz w:val="24"/>
        </w:rPr>
        <w:t xml:space="preserve">    项目联系方式（询问）：15157385672</w:t>
      </w:r>
    </w:p>
    <w:p>
      <w:pPr>
        <w:spacing w:line="360" w:lineRule="auto"/>
        <w:rPr>
          <w:rFonts w:ascii="宋体" w:hAnsi="宋体" w:cs="宋体"/>
          <w:sz w:val="24"/>
        </w:rPr>
      </w:pPr>
      <w:r>
        <w:rPr>
          <w:rFonts w:hint="eastAsia" w:ascii="宋体" w:hAnsi="宋体" w:cs="宋体"/>
          <w:sz w:val="24"/>
        </w:rPr>
        <w:t xml:space="preserve">    质疑联系人： 高张燕</w:t>
      </w:r>
    </w:p>
    <w:p>
      <w:pPr>
        <w:spacing w:line="360" w:lineRule="auto"/>
        <w:rPr>
          <w:rFonts w:ascii="宋体" w:hAnsi="宋体" w:cs="宋体"/>
          <w:sz w:val="24"/>
        </w:rPr>
      </w:pPr>
      <w:r>
        <w:rPr>
          <w:rFonts w:hint="eastAsia" w:ascii="宋体" w:hAnsi="宋体" w:cs="宋体"/>
          <w:sz w:val="24"/>
        </w:rPr>
        <w:t xml:space="preserve">    质疑联系方式：15157400827</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ind w:firstLine="480"/>
        <w:rPr>
          <w:rFonts w:hint="eastAsia" w:ascii="宋体" w:hAnsi="宋体" w:eastAsia="宋体" w:cs="宋体"/>
          <w:sz w:val="24"/>
          <w:lang w:eastAsia="zh-CN"/>
        </w:rPr>
      </w:pPr>
      <w:r>
        <w:rPr>
          <w:rFonts w:hint="eastAsia" w:ascii="宋体" w:hAnsi="宋体" w:cs="宋体"/>
          <w:sz w:val="24"/>
        </w:rPr>
        <w:t xml:space="preserve"> 名    称：嘉兴</w:t>
      </w:r>
      <w:r>
        <w:rPr>
          <w:rFonts w:hint="eastAsia" w:ascii="宋体" w:hAnsi="宋体" w:cs="宋体"/>
          <w:sz w:val="24"/>
          <w:lang w:eastAsia="zh-CN"/>
        </w:rPr>
        <w:t>市财政局</w:t>
      </w:r>
    </w:p>
    <w:p>
      <w:pPr>
        <w:spacing w:line="360" w:lineRule="auto"/>
        <w:ind w:firstLine="720" w:firstLineChars="30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eastAsia="zh-CN"/>
        </w:rPr>
        <w:t>嘉兴市</w:t>
      </w:r>
      <w:r>
        <w:rPr>
          <w:rFonts w:hint="eastAsia" w:ascii="宋体" w:hAnsi="宋体" w:cs="宋体"/>
          <w:sz w:val="24"/>
          <w:lang w:val="en-US" w:eastAsia="zh-CN"/>
        </w:rPr>
        <w:t>环城西路55号</w:t>
      </w:r>
    </w:p>
    <w:p>
      <w:pPr>
        <w:spacing w:line="360" w:lineRule="auto"/>
        <w:ind w:firstLine="720" w:firstLineChars="300"/>
        <w:rPr>
          <w:rFonts w:hint="eastAsia" w:ascii="宋体" w:hAnsi="宋体" w:eastAsia="宋体" w:cs="宋体"/>
          <w:sz w:val="24"/>
          <w:lang w:val="en-US" w:eastAsia="zh-CN"/>
        </w:rPr>
      </w:pPr>
      <w:r>
        <w:rPr>
          <w:rFonts w:hint="eastAsia" w:ascii="宋体" w:hAnsi="宋体" w:cs="宋体"/>
          <w:sz w:val="24"/>
        </w:rPr>
        <w:t>传    真：</w:t>
      </w:r>
      <w:r>
        <w:rPr>
          <w:rFonts w:hint="eastAsia" w:ascii="宋体" w:hAnsi="宋体" w:cs="宋体"/>
          <w:sz w:val="24"/>
          <w:lang w:val="en-US" w:eastAsia="zh-CN"/>
        </w:rPr>
        <w:t>/</w:t>
      </w:r>
    </w:p>
    <w:p>
      <w:pPr>
        <w:spacing w:line="360" w:lineRule="auto"/>
        <w:ind w:firstLine="480"/>
        <w:rPr>
          <w:rFonts w:hint="eastAsia" w:ascii="宋体" w:hAnsi="宋体" w:eastAsia="宋体" w:cs="宋体"/>
          <w:sz w:val="24"/>
          <w:lang w:eastAsia="zh-CN"/>
        </w:rPr>
      </w:pPr>
      <w:r>
        <w:rPr>
          <w:rFonts w:hint="eastAsia" w:ascii="宋体" w:hAnsi="宋体" w:cs="宋体"/>
          <w:sz w:val="24"/>
        </w:rPr>
        <w:t> 联 系 人：</w:t>
      </w:r>
      <w:r>
        <w:rPr>
          <w:rFonts w:hint="eastAsia" w:ascii="宋体" w:hAnsi="宋体" w:cs="宋体"/>
          <w:sz w:val="24"/>
          <w:lang w:eastAsia="zh-CN"/>
        </w:rPr>
        <w:t>姚先生</w:t>
      </w:r>
    </w:p>
    <w:p>
      <w:pPr>
        <w:spacing w:line="360" w:lineRule="auto"/>
        <w:ind w:firstLine="480"/>
        <w:rPr>
          <w:rFonts w:hint="default" w:ascii="宋体" w:hAnsi="宋体" w:eastAsia="宋体" w:cs="宋体"/>
          <w:sz w:val="24"/>
          <w:lang w:val="en-US" w:eastAsia="zh-CN"/>
        </w:rPr>
      </w:pPr>
      <w:r>
        <w:rPr>
          <w:rFonts w:hint="eastAsia" w:ascii="宋体" w:hAnsi="宋体" w:cs="宋体"/>
          <w:sz w:val="24"/>
        </w:rPr>
        <w:t> 监督投诉电话：0573-8</w:t>
      </w:r>
      <w:r>
        <w:rPr>
          <w:rFonts w:hint="eastAsia" w:ascii="宋体" w:hAnsi="宋体" w:cs="宋体"/>
          <w:sz w:val="24"/>
          <w:lang w:val="en-US" w:eastAsia="zh-CN"/>
        </w:rPr>
        <w:t>2031217</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3"/>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u w:val="single"/>
              </w:rPr>
            </w:pPr>
            <w:r>
              <w:rPr>
                <w:rFonts w:hint="eastAsia" w:ascii="宋体" w:hAnsi="宋体" w:cs="宋体"/>
                <w:sz w:val="24"/>
              </w:rPr>
              <w:t>货物类，</w:t>
            </w:r>
            <w:r>
              <w:rPr>
                <w:rFonts w:hint="eastAsia" w:ascii="宋体" w:hAnsi="宋体" w:cs="宋体"/>
                <w:kern w:val="0"/>
                <w:sz w:val="24"/>
              </w:rPr>
              <w:t>核心产品为：</w:t>
            </w:r>
            <w:r>
              <w:rPr>
                <w:rFonts w:hint="eastAsia" w:ascii="宋体" w:hAnsi="宋体" w:cs="宋体"/>
                <w:kern w:val="0"/>
                <w:sz w:val="24"/>
                <w:u w:val="single"/>
                <w:lang w:val="en-US" w:eastAsia="zh-CN"/>
              </w:rPr>
              <w:t xml:space="preserve">   / </w:t>
            </w:r>
            <w:r>
              <w:rPr>
                <w:rFonts w:hint="eastAsia" w:ascii="宋体" w:hAnsi="宋体" w:cs="宋体"/>
                <w:sz w:val="24"/>
                <w:u w:val="single"/>
              </w:rPr>
              <w:t xml:space="preserve"> </w:t>
            </w:r>
            <w:r>
              <w:rPr>
                <w:rFonts w:hint="eastAsia" w:ascii="宋体" w:hAnsi="宋体" w:cs="宋体"/>
                <w:sz w:val="24"/>
                <w:u w:val="none"/>
              </w:rPr>
              <w:t>。</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（1）标的：嘉兴市自然灾害应急能力提升工程基层防灾项目，属于制造业行业；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     </w:t>
            </w:r>
            <w:r>
              <w:rPr>
                <w:rFonts w:hint="eastAsia" w:ascii="宋体" w:hAnsi="宋体" w:cs="宋体"/>
                <w:sz w:val="24"/>
              </w:rPr>
              <w:t>工作分包。</w:t>
            </w: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4"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lang w:eastAsia="zh-CN"/>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r>
              <w:rPr>
                <w:rFonts w:hint="eastAsia" w:ascii="宋体" w:hAnsi="宋体" w:cs="宋体"/>
                <w:sz w:val="24"/>
                <w:lang w:eastAsia="zh-CN"/>
              </w:rPr>
              <w:t>如有需要自行前往。</w:t>
            </w:r>
          </w:p>
          <w:p>
            <w:pPr>
              <w:spacing w:line="360" w:lineRule="auto"/>
              <w:rPr>
                <w:rFonts w:ascii="宋体" w:hAnsi="宋体" w:cs="宋体"/>
                <w:sz w:val="24"/>
                <w:szCs w:val="20"/>
              </w:rPr>
            </w:pPr>
            <w:sdt>
              <w:sdtPr>
                <w:rPr>
                  <w:rFonts w:hint="eastAsia" w:ascii="宋体" w:hAnsi="宋体" w:cs="宋体"/>
                  <w:kern w:val="0"/>
                  <w:sz w:val="24"/>
                </w:rPr>
                <w:id w:val="-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b/>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b/>
                <w:kern w:val="0"/>
                <w:sz w:val="24"/>
                <w:lang w:val="zh-CN"/>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5"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sz w:val="24"/>
                <w:szCs w:val="24"/>
              </w:rPr>
            </w:pPr>
            <w:r>
              <w:rPr>
                <w:rFonts w:hint="eastAsia" w:hAnsi="宋体" w:cs="宋体"/>
                <w:kern w:val="28"/>
                <w:sz w:val="24"/>
                <w:szCs w:val="24"/>
              </w:rPr>
              <w:t>备份投标文件送达地点：嘉兴市建新工程造价咨询事务所有限公司三楼321室（会展路207号嘉宇商务楼3楼）；备份投标文件签收人员联系电话：陆燕，15157385672</w:t>
            </w:r>
            <w:r>
              <w:rPr>
                <w:rFonts w:hint="eastAsia" w:hAnsi="宋体" w:cs="宋体"/>
                <w:sz w:val="24"/>
                <w:szCs w:val="24"/>
              </w:rPr>
              <w:t>。</w:t>
            </w:r>
          </w:p>
          <w:p>
            <w:pPr>
              <w:pStyle w:val="33"/>
              <w:spacing w:line="360" w:lineRule="auto"/>
              <w:rPr>
                <w:rFonts w:hAnsi="宋体" w:cs="宋体"/>
                <w:kern w:val="28"/>
                <w:sz w:val="24"/>
              </w:rPr>
            </w:pPr>
            <w:r>
              <w:rPr>
                <w:rFonts w:hint="eastAsia" w:hAnsi="宋体" w:cs="宋体"/>
                <w:b/>
                <w:sz w:val="24"/>
                <w:szCs w:val="24"/>
              </w:rPr>
              <w:t>不强制投标人提交备份投标文件。</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3" w:name="_Toc164416483"/>
      <w:bookmarkStart w:id="14" w:name="第三部分"/>
    </w:p>
    <w:p>
      <w:pPr>
        <w:pStyle w:val="62"/>
      </w:pPr>
    </w:p>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9"/>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9"/>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131"/>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3"/>
        <w:spacing w:line="360" w:lineRule="auto"/>
        <w:rPr>
          <w:rFonts w:hAnsi="宋体" w:cs="宋体"/>
          <w:b/>
          <w:sz w:val="24"/>
          <w:szCs w:val="24"/>
        </w:rPr>
      </w:pPr>
      <w:r>
        <w:rPr>
          <w:rFonts w:hint="eastAsia" w:hAnsi="宋体" w:cs="宋体"/>
          <w:b/>
          <w:sz w:val="24"/>
          <w:szCs w:val="24"/>
        </w:rPr>
        <w:t>5．招标文件的构成</w:t>
      </w:r>
    </w:p>
    <w:p>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3"/>
        <w:spacing w:line="360" w:lineRule="auto"/>
        <w:rPr>
          <w:rFonts w:hAnsi="宋体" w:cs="宋体"/>
          <w:b/>
          <w:sz w:val="24"/>
          <w:szCs w:val="24"/>
        </w:rPr>
      </w:pPr>
      <w:r>
        <w:rPr>
          <w:rFonts w:hint="eastAsia" w:hAnsi="宋体" w:cs="宋体"/>
          <w:b/>
          <w:sz w:val="24"/>
          <w:szCs w:val="24"/>
        </w:rPr>
        <w:t>6. 招标文件的澄清、修改</w:t>
      </w:r>
    </w:p>
    <w:p>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3"/>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3"/>
        <w:spacing w:line="360" w:lineRule="auto"/>
        <w:rPr>
          <w:rFonts w:hAnsi="宋体" w:cs="宋体"/>
          <w:b/>
          <w:sz w:val="24"/>
          <w:szCs w:val="24"/>
        </w:rPr>
      </w:pPr>
      <w:r>
        <w:rPr>
          <w:rFonts w:hint="eastAsia" w:hAnsi="宋体" w:cs="宋体"/>
          <w:b/>
          <w:sz w:val="24"/>
          <w:szCs w:val="24"/>
        </w:rPr>
        <w:t>8.开标前答疑会或现场考察</w:t>
      </w:r>
    </w:p>
    <w:p>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3"/>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11.1.2落实政府采购政策需满足的资格要求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11.2.4评标标准相应的商务技术资料；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11.2.5投标标的清单；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r>
        <w:rPr>
          <w:rFonts w:hint="eastAsia" w:ascii="宋体" w:hAnsi="宋体" w:cs="宋体"/>
          <w:sz w:val="24"/>
          <w:lang w:eastAsia="zh-CN"/>
        </w:rPr>
        <w:t>（如有）</w:t>
      </w:r>
      <w:r>
        <w:rPr>
          <w:rFonts w:hint="eastAsia" w:ascii="宋体" w:hAnsi="宋体" w:cs="宋体"/>
          <w:sz w:val="24"/>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sz w:val="24"/>
          <w:szCs w:val="24"/>
        </w:rPr>
      </w:pPr>
      <w:r>
        <w:rPr>
          <w:rFonts w:hint="eastAsia" w:hAnsi="宋体" w:cs="宋体"/>
          <w:b/>
          <w:sz w:val="24"/>
          <w:szCs w:val="24"/>
        </w:rPr>
        <w:t>15.备份投标文件</w:t>
      </w:r>
    </w:p>
    <w:p>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不强制或变相强制投标人提交备份投标文件。</w:t>
      </w:r>
    </w:p>
    <w:p>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pPr>
        <w:pStyle w:val="25"/>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31"/>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sz w:val="32"/>
        </w:rPr>
      </w:pPr>
    </w:p>
    <w:p>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1"/>
        <w:spacing w:before="0"/>
        <w:ind w:firstLine="0" w:firstLineChars="0"/>
        <w:rPr>
          <w:rFonts w:ascii="宋体" w:hAnsi="宋体" w:cs="宋体"/>
          <w:b/>
          <w:szCs w:val="24"/>
        </w:rPr>
      </w:pPr>
      <w:r>
        <w:rPr>
          <w:rFonts w:hint="eastAsia" w:ascii="宋体" w:hAnsi="宋体" w:cs="宋体"/>
          <w:b/>
          <w:szCs w:val="24"/>
        </w:rPr>
        <w:t>20、信用信息查询</w:t>
      </w:r>
    </w:p>
    <w:p>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1"/>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5"/>
        <w:spacing w:line="360" w:lineRule="auto"/>
        <w:ind w:left="479" w:hanging="479" w:hangingChars="199"/>
        <w:rPr>
          <w:rFonts w:cs="宋体"/>
          <w:b/>
        </w:rPr>
      </w:pPr>
      <w:r>
        <w:rPr>
          <w:rFonts w:hint="eastAsia" w:cs="宋体"/>
          <w:b/>
        </w:rPr>
        <w:t>22. 确定中标供应商</w:t>
      </w:r>
    </w:p>
    <w:p>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5"/>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w:t>
      </w:r>
    </w:p>
    <w:p>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eastAsia="宋体" w:cs="宋体"/>
          <w:b/>
          <w:lang w:eastAsia="zh-CN"/>
        </w:rPr>
      </w:pPr>
      <w:r>
        <w:rPr>
          <w:rFonts w:hint="eastAsia" w:cs="宋体"/>
          <w:b/>
        </w:rPr>
        <w:t>26. 履约保证金</w:t>
      </w:r>
      <w:r>
        <w:rPr>
          <w:rFonts w:hint="eastAsia" w:cs="宋体"/>
          <w:b/>
          <w:lang w:eastAsia="zh-CN"/>
        </w:rPr>
        <w:t>：无</w:t>
      </w:r>
    </w:p>
    <w:p>
      <w:pPr>
        <w:pStyle w:val="3"/>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5"/>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jc w:val="center"/>
        <w:rPr>
          <w:rFonts w:ascii="宋体" w:hAnsi="宋体" w:cs="宋体"/>
          <w:kern w:val="0"/>
          <w:sz w:val="24"/>
        </w:rPr>
      </w:pPr>
      <w:bookmarkStart w:id="16" w:name="_Hlt74729768"/>
      <w:bookmarkEnd w:id="16"/>
      <w:bookmarkStart w:id="17" w:name="_Hlt75236290"/>
      <w:bookmarkEnd w:id="17"/>
      <w:bookmarkStart w:id="18" w:name="_Hlt68072998"/>
      <w:bookmarkEnd w:id="18"/>
      <w:bookmarkStart w:id="19" w:name="_Hlt68073093"/>
      <w:bookmarkEnd w:id="19"/>
      <w:bookmarkStart w:id="20" w:name="_Hlt68072990"/>
      <w:bookmarkEnd w:id="20"/>
      <w:bookmarkStart w:id="21" w:name="_Hlt75236101"/>
      <w:bookmarkEnd w:id="21"/>
      <w:bookmarkStart w:id="22" w:name="_Hlt68057669"/>
      <w:bookmarkEnd w:id="22"/>
      <w:bookmarkStart w:id="23" w:name="_Hlt74707468"/>
      <w:bookmarkEnd w:id="23"/>
      <w:bookmarkStart w:id="24" w:name="_Hlt75236011"/>
      <w:bookmarkEnd w:id="24"/>
      <w:bookmarkStart w:id="25" w:name="_Hlt68403820"/>
      <w:bookmarkEnd w:id="25"/>
      <w:bookmarkStart w:id="26" w:name="_Hlt74730295"/>
      <w:bookmarkEnd w:id="26"/>
      <w:bookmarkStart w:id="27" w:name="_Hlt74714665"/>
      <w:bookmarkEnd w:id="27"/>
    </w:p>
    <w:p>
      <w:pPr>
        <w:pStyle w:val="62"/>
        <w:numPr>
          <w:ilvl w:val="0"/>
          <w:numId w:val="1"/>
        </w:numPr>
        <w:ind w:firstLine="2891" w:firstLineChars="900"/>
        <w:jc w:val="both"/>
        <w:rPr>
          <w:rFonts w:hint="eastAsia" w:ascii="宋体" w:hAnsi="宋体" w:eastAsia="宋体" w:cs="宋体"/>
          <w:b/>
          <w:kern w:val="2"/>
          <w:sz w:val="32"/>
          <w:szCs w:val="24"/>
          <w:lang w:val="en-US" w:eastAsia="zh-CN" w:bidi="ar-SA"/>
        </w:rPr>
      </w:pPr>
      <w:r>
        <w:rPr>
          <w:rFonts w:hint="eastAsia" w:ascii="宋体" w:hAnsi="宋体" w:eastAsia="宋体" w:cs="宋体"/>
          <w:b/>
          <w:kern w:val="2"/>
          <w:sz w:val="32"/>
          <w:szCs w:val="24"/>
          <w:lang w:val="en-US" w:eastAsia="zh-CN" w:bidi="ar-SA"/>
        </w:rPr>
        <w:t>代理费</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1、根据“国家发展和改革委员会办公厅《关于招标代理服务收费有关问题的通知》（发改办价格【2003】857号）”规定，招标代理机构向中标人收取招标代理服务费。</w:t>
      </w:r>
      <w:r>
        <w:rPr>
          <w:rFonts w:hint="eastAsia" w:ascii="宋体" w:hAnsi="宋体" w:cs="宋体"/>
          <w:kern w:val="0"/>
          <w:sz w:val="24"/>
        </w:rPr>
        <w:br w:type="textWrapping"/>
      </w:r>
      <w:r>
        <w:rPr>
          <w:rFonts w:hint="eastAsia" w:ascii="宋体" w:hAnsi="宋体" w:cs="宋体"/>
          <w:kern w:val="0"/>
          <w:sz w:val="24"/>
        </w:rPr>
        <w:t xml:space="preserve">    2、中标人应在收取《中标通知书》时向采购代理机构交纳招标代理服务费，服务费的收费标准按浙价服〔2003〕77号文规定计算</w:t>
      </w:r>
    </w:p>
    <w:tbl>
      <w:tblPr>
        <w:tblStyle w:val="6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77"/>
        <w:gridCol w:w="26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2177" w:type="dxa"/>
            <w:tcBorders>
              <w:top w:val="double" w:color="auto" w:sz="4" w:space="0"/>
              <w:left w:val="double" w:color="auto" w:sz="4" w:space="0"/>
              <w:bottom w:val="single" w:color="auto" w:sz="6" w:space="0"/>
              <w:right w:val="single" w:color="auto" w:sz="6" w:space="0"/>
            </w:tcBorders>
            <w:shd w:val="clear" w:color="auto" w:fill="D9D9D9"/>
            <w:noWrap w:val="0"/>
            <w:vAlign w:val="center"/>
          </w:tcPr>
          <w:p>
            <w:pPr>
              <w:tabs>
                <w:tab w:val="left" w:pos="0"/>
              </w:tabs>
              <w:spacing w:line="360" w:lineRule="auto"/>
              <w:rPr>
                <w:rFonts w:hint="eastAsia" w:ascii="宋体" w:hAnsi="宋体" w:cs="宋体"/>
                <w:kern w:val="0"/>
                <w:sz w:val="24"/>
              </w:rPr>
            </w:pPr>
            <w:r>
              <w:rPr>
                <w:rFonts w:hint="eastAsia" w:ascii="宋体" w:hAnsi="宋体" w:cs="宋体"/>
                <w:kern w:val="0"/>
                <w:sz w:val="24"/>
              </w:rPr>
              <w:t>中标金额（万元）</w:t>
            </w:r>
          </w:p>
        </w:tc>
        <w:tc>
          <w:tcPr>
            <w:tcW w:w="2634" w:type="dxa"/>
            <w:tcBorders>
              <w:top w:val="double" w:color="auto" w:sz="4" w:space="0"/>
              <w:left w:val="single" w:color="auto" w:sz="6" w:space="0"/>
              <w:bottom w:val="single" w:color="auto" w:sz="6" w:space="0"/>
              <w:right w:val="single" w:color="auto" w:sz="6" w:space="0"/>
            </w:tcBorders>
            <w:shd w:val="clear" w:color="auto" w:fill="D9D9D9"/>
            <w:noWrap w:val="0"/>
            <w:vAlign w:val="center"/>
          </w:tcPr>
          <w:p>
            <w:pPr>
              <w:tabs>
                <w:tab w:val="left" w:pos="0"/>
              </w:tabs>
              <w:spacing w:line="360" w:lineRule="auto"/>
              <w:rPr>
                <w:rFonts w:hint="eastAsia" w:ascii="宋体" w:hAnsi="宋体" w:cs="宋体"/>
                <w:kern w:val="0"/>
                <w:sz w:val="24"/>
              </w:rPr>
            </w:pPr>
            <w:r>
              <w:rPr>
                <w:rFonts w:hint="eastAsia" w:ascii="宋体" w:hAnsi="宋体" w:cs="宋体"/>
                <w:kern w:val="0"/>
                <w:sz w:val="24"/>
              </w:rPr>
              <w:t>货物类招标收费费率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77" w:type="dxa"/>
            <w:tcBorders>
              <w:top w:val="single" w:color="auto" w:sz="6" w:space="0"/>
              <w:left w:val="double" w:color="auto" w:sz="4" w:space="0"/>
              <w:bottom w:val="single" w:color="auto" w:sz="6" w:space="0"/>
              <w:right w:val="single" w:color="auto" w:sz="6" w:space="0"/>
            </w:tcBorders>
            <w:noWrap w:val="0"/>
            <w:vAlign w:val="top"/>
          </w:tcPr>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100以下</w:t>
            </w:r>
          </w:p>
        </w:tc>
        <w:tc>
          <w:tcPr>
            <w:tcW w:w="2634" w:type="dxa"/>
            <w:tcBorders>
              <w:top w:val="single" w:color="auto" w:sz="6" w:space="0"/>
              <w:left w:val="single" w:color="auto" w:sz="6" w:space="0"/>
              <w:bottom w:val="single" w:color="auto" w:sz="6" w:space="0"/>
              <w:right w:val="single" w:color="auto" w:sz="6" w:space="0"/>
            </w:tcBorders>
            <w:noWrap w:val="0"/>
            <w:vAlign w:val="top"/>
          </w:tcPr>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2177" w:type="dxa"/>
            <w:tcBorders>
              <w:top w:val="single" w:color="auto" w:sz="6" w:space="0"/>
              <w:left w:val="double" w:color="auto" w:sz="4" w:space="0"/>
              <w:bottom w:val="single" w:color="auto" w:sz="6" w:space="0"/>
              <w:right w:val="single" w:color="auto" w:sz="6" w:space="0"/>
            </w:tcBorders>
            <w:noWrap w:val="0"/>
            <w:vAlign w:val="top"/>
          </w:tcPr>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100-500</w:t>
            </w:r>
          </w:p>
        </w:tc>
        <w:tc>
          <w:tcPr>
            <w:tcW w:w="2634" w:type="dxa"/>
            <w:tcBorders>
              <w:top w:val="single" w:color="auto" w:sz="6" w:space="0"/>
              <w:left w:val="single" w:color="auto" w:sz="6" w:space="0"/>
              <w:bottom w:val="single" w:color="auto" w:sz="6" w:space="0"/>
              <w:right w:val="single" w:color="auto" w:sz="6" w:space="0"/>
            </w:tcBorders>
            <w:noWrap w:val="0"/>
            <w:vAlign w:val="top"/>
          </w:tcPr>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2177" w:type="dxa"/>
            <w:tcBorders>
              <w:top w:val="single" w:color="auto" w:sz="6" w:space="0"/>
              <w:left w:val="double" w:color="auto" w:sz="4" w:space="0"/>
              <w:bottom w:val="single" w:color="auto" w:sz="6" w:space="0"/>
              <w:right w:val="single" w:color="auto" w:sz="6" w:space="0"/>
            </w:tcBorders>
            <w:noWrap w:val="0"/>
            <w:vAlign w:val="top"/>
          </w:tcPr>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500-1000</w:t>
            </w:r>
          </w:p>
        </w:tc>
        <w:tc>
          <w:tcPr>
            <w:tcW w:w="2634" w:type="dxa"/>
            <w:tcBorders>
              <w:top w:val="single" w:color="auto" w:sz="6" w:space="0"/>
              <w:left w:val="single" w:color="auto" w:sz="6" w:space="0"/>
              <w:bottom w:val="single" w:color="auto" w:sz="6" w:space="0"/>
              <w:right w:val="single" w:color="auto" w:sz="6" w:space="0"/>
            </w:tcBorders>
            <w:noWrap w:val="0"/>
            <w:vAlign w:val="top"/>
          </w:tcPr>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77" w:type="dxa"/>
            <w:tcBorders>
              <w:top w:val="single" w:color="auto" w:sz="6" w:space="0"/>
              <w:left w:val="double" w:color="auto" w:sz="4" w:space="0"/>
              <w:bottom w:val="double" w:color="auto" w:sz="4" w:space="0"/>
              <w:right w:val="single" w:color="auto" w:sz="6" w:space="0"/>
            </w:tcBorders>
            <w:noWrap w:val="0"/>
            <w:vAlign w:val="top"/>
          </w:tcPr>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1000-5000</w:t>
            </w:r>
          </w:p>
        </w:tc>
        <w:tc>
          <w:tcPr>
            <w:tcW w:w="2634" w:type="dxa"/>
            <w:tcBorders>
              <w:top w:val="single" w:color="auto" w:sz="6" w:space="0"/>
              <w:left w:val="single" w:color="auto" w:sz="6" w:space="0"/>
              <w:bottom w:val="double" w:color="auto" w:sz="4" w:space="0"/>
              <w:right w:val="single" w:color="auto" w:sz="6" w:space="0"/>
            </w:tcBorders>
            <w:noWrap w:val="0"/>
            <w:vAlign w:val="top"/>
          </w:tcPr>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0. 5%</w:t>
            </w:r>
          </w:p>
        </w:tc>
      </w:tr>
    </w:tbl>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例如：某项目服务类招标代理业务中标金额为900万元，计算中标服务费收费额如下：</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100万元 × 1.5% = 1.5万元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（500-100）万元 × 0.8% = 3.2万元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 xml:space="preserve">  （900-500）万元×0.45% = 1.8万元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计收费 = 1.5万元 + 3.2万元+1.8万元 = 6.5万元</w:t>
      </w:r>
    </w:p>
    <w:p>
      <w:pPr>
        <w:tabs>
          <w:tab w:val="left" w:pos="0"/>
        </w:tabs>
        <w:spacing w:line="360" w:lineRule="auto"/>
        <w:ind w:firstLine="480"/>
        <w:rPr>
          <w:rFonts w:hint="eastAsia" w:ascii="宋体" w:hAnsi="宋体" w:cs="宋体"/>
          <w:kern w:val="0"/>
          <w:sz w:val="24"/>
          <w:lang w:val="zh-CN"/>
        </w:rPr>
      </w:pPr>
      <w:r>
        <w:rPr>
          <w:rFonts w:hint="eastAsia" w:ascii="宋体" w:hAnsi="宋体" w:cs="宋体"/>
          <w:kern w:val="0"/>
          <w:sz w:val="24"/>
        </w:rPr>
        <w:t>3、本项目以服务类招标收费标准收取招标代理服务费，</w:t>
      </w:r>
      <w:r>
        <w:rPr>
          <w:rFonts w:hint="eastAsia" w:ascii="宋体" w:hAnsi="宋体" w:cs="宋体"/>
          <w:kern w:val="0"/>
          <w:sz w:val="24"/>
          <w:lang w:val="zh-CN"/>
        </w:rPr>
        <w:t>对于招标代理服务费不足</w:t>
      </w:r>
      <w:r>
        <w:rPr>
          <w:rFonts w:hint="eastAsia" w:ascii="宋体" w:hAnsi="宋体" w:cs="宋体"/>
          <w:kern w:val="0"/>
          <w:sz w:val="24"/>
          <w:lang w:val="en-US" w:eastAsia="zh-CN"/>
        </w:rPr>
        <w:t>50</w:t>
      </w:r>
      <w:r>
        <w:rPr>
          <w:rFonts w:hint="eastAsia" w:ascii="宋体" w:hAnsi="宋体" w:cs="宋体"/>
          <w:kern w:val="0"/>
          <w:sz w:val="24"/>
          <w:lang w:val="zh-CN"/>
        </w:rPr>
        <w:t>00元的，按</w:t>
      </w:r>
      <w:r>
        <w:rPr>
          <w:rFonts w:hint="eastAsia" w:ascii="宋体" w:hAnsi="宋体" w:cs="宋体"/>
          <w:kern w:val="0"/>
          <w:sz w:val="24"/>
          <w:lang w:val="en-US" w:eastAsia="zh-CN"/>
        </w:rPr>
        <w:t>50</w:t>
      </w:r>
      <w:r>
        <w:rPr>
          <w:rFonts w:hint="eastAsia" w:ascii="宋体" w:hAnsi="宋体" w:cs="宋体"/>
          <w:kern w:val="0"/>
          <w:sz w:val="24"/>
          <w:lang w:val="zh-CN"/>
        </w:rPr>
        <w:t>00元计收。</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4、服务费的货币为人民币。</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5、服务费支付方式：一次性以银行划账、电汇、汇票或支票的形式支付。</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6、服务费以银行划账方式按下列要求提交：</w:t>
      </w:r>
    </w:p>
    <w:p>
      <w:pPr>
        <w:tabs>
          <w:tab w:val="left" w:pos="0"/>
        </w:tabs>
        <w:spacing w:line="360" w:lineRule="auto"/>
        <w:ind w:left="479" w:leftChars="228" w:firstLine="64" w:firstLineChars="27"/>
        <w:rPr>
          <w:rFonts w:hint="eastAsia" w:ascii="宋体" w:hAnsi="宋体" w:cs="宋体"/>
          <w:kern w:val="0"/>
          <w:sz w:val="24"/>
        </w:rPr>
      </w:pPr>
      <w:r>
        <w:rPr>
          <w:rFonts w:hint="eastAsia" w:ascii="宋体" w:hAnsi="宋体" w:cs="宋体"/>
          <w:kern w:val="0"/>
          <w:sz w:val="24"/>
        </w:rPr>
        <w:t>单位名称：嘉兴市建新工程造价咨询事务所有限公司</w:t>
      </w:r>
      <w:r>
        <w:rPr>
          <w:rFonts w:hint="eastAsia" w:ascii="宋体" w:hAnsi="宋体" w:cs="宋体"/>
          <w:kern w:val="0"/>
          <w:sz w:val="24"/>
        </w:rPr>
        <w:br w:type="textWrapping"/>
      </w:r>
      <w:r>
        <w:rPr>
          <w:rFonts w:hint="eastAsia" w:ascii="宋体" w:hAnsi="宋体" w:cs="宋体"/>
          <w:kern w:val="0"/>
          <w:sz w:val="24"/>
        </w:rPr>
        <w:t>开户银行：浙江泰隆商业银行股份有限公司嘉兴南湖支行</w:t>
      </w:r>
      <w:r>
        <w:rPr>
          <w:rFonts w:hint="eastAsia" w:ascii="宋体" w:hAnsi="宋体" w:cs="宋体"/>
          <w:kern w:val="0"/>
          <w:sz w:val="24"/>
        </w:rPr>
        <w:br w:type="textWrapping"/>
      </w:r>
      <w:r>
        <w:rPr>
          <w:rFonts w:hint="eastAsia" w:ascii="宋体" w:hAnsi="宋体" w:cs="宋体"/>
          <w:kern w:val="0"/>
          <w:sz w:val="24"/>
        </w:rPr>
        <w:t>银行账号：33090260201000004623</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7、服务费支付时间：服务费必须在中标人领取《中标通知书》时一次性付清，如果中标人未能按时交纳服务费，采购代理机构/采购人保留取消其中标资格并追究其法律责任的权利。</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8、服务费不在投标报价中单列。</w:t>
      </w:r>
    </w:p>
    <w:p>
      <w:pPr>
        <w:tabs>
          <w:tab w:val="left" w:pos="0"/>
        </w:tabs>
        <w:spacing w:line="360" w:lineRule="auto"/>
        <w:ind w:firstLine="480"/>
        <w:rPr>
          <w:rFonts w:hint="default" w:ascii="宋体" w:hAnsi="宋体" w:cs="宋体"/>
          <w:kern w:val="0"/>
          <w:sz w:val="24"/>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3"/>
    <w:bookmarkEnd w:id="14"/>
    <w:p>
      <w:pPr>
        <w:numPr>
          <w:ilvl w:val="0"/>
          <w:numId w:val="2"/>
        </w:num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 xml:space="preserve">  采购需求</w:t>
      </w:r>
    </w:p>
    <w:p>
      <w:pPr>
        <w:rPr>
          <w:rFonts w:hint="eastAsia" w:ascii="宋体" w:hAnsi="宋体" w:eastAsia="宋体" w:cs="宋体"/>
          <w:b/>
          <w:bCs/>
          <w:sz w:val="24"/>
          <w:lang w:eastAsia="zh-CN"/>
        </w:rPr>
      </w:pPr>
      <w:r>
        <w:rPr>
          <w:rFonts w:hint="eastAsia" w:ascii="宋体" w:hAnsi="宋体" w:cs="宋体"/>
          <w:b/>
          <w:bCs/>
          <w:sz w:val="24"/>
          <w:lang w:eastAsia="zh-CN"/>
        </w:rPr>
        <w:t>标项一：</w:t>
      </w:r>
      <w:r>
        <w:rPr>
          <w:rFonts w:hint="eastAsia" w:ascii="宋体" w:hAnsi="宋体" w:eastAsia="宋体" w:cs="宋体"/>
          <w:b/>
          <w:bCs/>
          <w:sz w:val="24"/>
          <w:lang w:eastAsia="zh-CN"/>
        </w:rPr>
        <w:t>采购清单</w:t>
      </w:r>
      <w:r>
        <w:rPr>
          <w:rFonts w:hint="eastAsia" w:ascii="宋体" w:hAnsi="宋体" w:cs="宋体"/>
          <w:b/>
          <w:bCs/>
          <w:sz w:val="24"/>
          <w:lang w:eastAsia="zh-CN"/>
        </w:rPr>
        <w:t>及技术参数</w:t>
      </w:r>
    </w:p>
    <w:tbl>
      <w:tblPr>
        <w:tblStyle w:val="63"/>
        <w:tblW w:w="621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648"/>
        <w:gridCol w:w="735"/>
        <w:gridCol w:w="697"/>
        <w:gridCol w:w="698"/>
        <w:gridCol w:w="550"/>
        <w:gridCol w:w="477"/>
        <w:gridCol w:w="563"/>
        <w:gridCol w:w="694"/>
        <w:gridCol w:w="762"/>
        <w:gridCol w:w="4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序号</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大类</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小类</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南湖区</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秀洲区</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海盐县</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海宁市</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桐乡市</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数量小计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单价最高限价（万元）</w:t>
            </w:r>
          </w:p>
        </w:tc>
        <w:tc>
          <w:tcPr>
            <w:tcW w:w="1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综合保障</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应急照明系统</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29</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1、光源类型为 LED，最大升起高度≥5m；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2、输出电压 AC220V；AC380V；</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★3、IP 等级≧IP65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★4、一次性注满油料工作时间≧15 小时；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5、市电：长时间；</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6、灯具额定功率≧2KW±200W，灯头数量≧2个；</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7、光通量≧ 250000lm；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8、光源寿命≧10000H；</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9、整机重量≦155kg；</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10、抗风≧8 级；</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11、发电机功率≧5KW；</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12、发电机油箱容量≥25L;</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★13、升起时间≦85s；下降时间≦60s；</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w:t>
            </w:r>
            <w:r>
              <w:rPr>
                <w:rFonts w:hint="eastAsia" w:ascii="宋体" w:hAnsi="宋体" w:cs="宋体"/>
                <w:b w:val="0"/>
                <w:bCs w:val="0"/>
                <w:i w:val="0"/>
                <w:iCs w:val="0"/>
                <w:color w:val="auto"/>
                <w:kern w:val="0"/>
                <w:sz w:val="24"/>
                <w:szCs w:val="24"/>
                <w:u w:val="none"/>
                <w:lang w:val="en-US" w:eastAsia="zh-CN" w:bidi="ar"/>
              </w:rPr>
              <w:t>4</w:t>
            </w:r>
            <w:r>
              <w:rPr>
                <w:rFonts w:hint="eastAsia" w:ascii="宋体" w:hAnsi="宋体" w:eastAsia="宋体" w:cs="宋体"/>
                <w:b w:val="0"/>
                <w:bCs w:val="0"/>
                <w:i w:val="0"/>
                <w:iCs w:val="0"/>
                <w:color w:val="auto"/>
                <w:kern w:val="0"/>
                <w:sz w:val="24"/>
                <w:szCs w:val="24"/>
                <w:u w:val="none"/>
                <w:lang w:val="en-US" w:eastAsia="zh-CN" w:bidi="ar"/>
              </w:rPr>
              <w:t>、正常工作状态距离发动机四周 7 米处工作噪音≦75dB。</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w:t>
            </w:r>
            <w:r>
              <w:rPr>
                <w:rFonts w:hint="eastAsia" w:ascii="宋体" w:hAnsi="宋体" w:cs="宋体"/>
                <w:b w:val="0"/>
                <w:bCs w:val="0"/>
                <w:i w:val="0"/>
                <w:iCs w:val="0"/>
                <w:color w:val="auto"/>
                <w:kern w:val="0"/>
                <w:sz w:val="24"/>
                <w:szCs w:val="24"/>
                <w:u w:val="none"/>
                <w:lang w:val="en-US" w:eastAsia="zh-CN" w:bidi="ar"/>
              </w:rPr>
              <w:t>5</w:t>
            </w:r>
            <w:r>
              <w:rPr>
                <w:rFonts w:hint="eastAsia" w:ascii="宋体" w:hAnsi="宋体" w:eastAsia="宋体" w:cs="宋体"/>
                <w:b w:val="0"/>
                <w:bCs w:val="0"/>
                <w:i w:val="0"/>
                <w:iCs w:val="0"/>
                <w:color w:val="auto"/>
                <w:kern w:val="0"/>
                <w:sz w:val="24"/>
                <w:szCs w:val="24"/>
                <w:u w:val="none"/>
                <w:lang w:val="en-US" w:eastAsia="zh-CN" w:bidi="ar"/>
              </w:rPr>
              <w:t>、具备单向直射、环形照明功能；</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标★项提供具有CMA或CNAS标识的第三方检测机构出具的相关检测/检验/试验/测试报告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同上</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通信指挥设备（数字集群手持终端）</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35</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0.5</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1、应符合《应急指挥窄带无线通信网总体技术规范》相关技术要求,兼容PDT/常规/模拟等制式；</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2、显示屏尺寸≥2.0寸；</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3、频率范围：350-400MHz；</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4、发射功率1～4W可调；</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5、定位功能：北斗定位；</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★6、防尘防水等级：≥IP67（提供</w:t>
            </w:r>
            <w:r>
              <w:rPr>
                <w:rFonts w:hint="eastAsia" w:ascii="宋体" w:hAnsi="宋体" w:cs="宋体"/>
                <w:b w:val="0"/>
                <w:bCs w:val="0"/>
                <w:i w:val="0"/>
                <w:iCs w:val="0"/>
                <w:color w:val="auto"/>
                <w:kern w:val="0"/>
                <w:sz w:val="24"/>
                <w:szCs w:val="24"/>
                <w:u w:val="none"/>
                <w:lang w:val="en-US" w:eastAsia="zh-CN" w:bidi="ar"/>
              </w:rPr>
              <w:t>第三方</w:t>
            </w:r>
            <w:r>
              <w:rPr>
                <w:rFonts w:hint="eastAsia" w:ascii="宋体" w:hAnsi="宋体" w:eastAsia="宋体" w:cs="宋体"/>
                <w:b w:val="0"/>
                <w:bCs w:val="0"/>
                <w:i w:val="0"/>
                <w:iCs w:val="0"/>
                <w:color w:val="auto"/>
                <w:kern w:val="0"/>
                <w:sz w:val="24"/>
                <w:szCs w:val="24"/>
                <w:u w:val="none"/>
                <w:lang w:val="en-US" w:eastAsia="zh-CN" w:bidi="ar"/>
              </w:rPr>
              <w:t>检测机构出具的检测报告）；</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7、具备防爆功能（提供国家认可检测机构出具的检测防爆证书）</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★8、湿热满足GJB 150.9A-2009、GJB367A-2001标准，能够在各种恶劣的工作环境中发挥优异性能（提供</w:t>
            </w:r>
            <w:r>
              <w:rPr>
                <w:rFonts w:hint="eastAsia" w:ascii="宋体" w:hAnsi="宋体" w:cs="宋体"/>
                <w:b w:val="0"/>
                <w:bCs w:val="0"/>
                <w:i w:val="0"/>
                <w:iCs w:val="0"/>
                <w:color w:val="auto"/>
                <w:kern w:val="0"/>
                <w:sz w:val="24"/>
                <w:szCs w:val="24"/>
                <w:u w:val="none"/>
                <w:lang w:val="en-US" w:eastAsia="zh-CN" w:bidi="ar"/>
              </w:rPr>
              <w:t>第三方</w:t>
            </w:r>
            <w:r>
              <w:rPr>
                <w:rFonts w:hint="eastAsia" w:ascii="宋体" w:hAnsi="宋体" w:eastAsia="宋体" w:cs="宋体"/>
                <w:b w:val="0"/>
                <w:bCs w:val="0"/>
                <w:i w:val="0"/>
                <w:iCs w:val="0"/>
                <w:color w:val="auto"/>
                <w:kern w:val="0"/>
                <w:sz w:val="24"/>
                <w:szCs w:val="24"/>
                <w:u w:val="none"/>
                <w:lang w:val="en-US" w:eastAsia="zh-CN" w:bidi="ar"/>
              </w:rPr>
              <w:t>检测机构出具的检测报告）；</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★9、抗随机振动能力满足GJB 150.16A-2009标准，抗冲击能力满足GJB 150.18A-2009标准，能够在各种恶劣的工作环境中发挥优异性能（提供</w:t>
            </w:r>
            <w:r>
              <w:rPr>
                <w:rFonts w:hint="eastAsia" w:ascii="宋体" w:hAnsi="宋体" w:cs="宋体"/>
                <w:b w:val="0"/>
                <w:bCs w:val="0"/>
                <w:i w:val="0"/>
                <w:iCs w:val="0"/>
                <w:color w:val="auto"/>
                <w:kern w:val="0"/>
                <w:sz w:val="24"/>
                <w:szCs w:val="24"/>
                <w:u w:val="none"/>
                <w:lang w:val="en-US" w:eastAsia="zh-CN" w:bidi="ar"/>
              </w:rPr>
              <w:t>第三方</w:t>
            </w:r>
            <w:r>
              <w:rPr>
                <w:rFonts w:hint="eastAsia" w:ascii="宋体" w:hAnsi="宋体" w:eastAsia="宋体" w:cs="宋体"/>
                <w:b w:val="0"/>
                <w:bCs w:val="0"/>
                <w:i w:val="0"/>
                <w:iCs w:val="0"/>
                <w:color w:val="auto"/>
                <w:kern w:val="0"/>
                <w:sz w:val="24"/>
                <w:szCs w:val="24"/>
                <w:u w:val="none"/>
                <w:lang w:val="en-US" w:eastAsia="zh-CN" w:bidi="ar"/>
              </w:rPr>
              <w:t xml:space="preserve">检测机构出具的检测报告）；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★10、手持台具有良好的静电放电抗扰度，符合GB/T 17626.2-2018标准规定的等级4要求（提供</w:t>
            </w:r>
            <w:r>
              <w:rPr>
                <w:rFonts w:hint="eastAsia" w:ascii="宋体" w:hAnsi="宋体" w:cs="宋体"/>
                <w:b w:val="0"/>
                <w:bCs w:val="0"/>
                <w:i w:val="0"/>
                <w:iCs w:val="0"/>
                <w:color w:val="auto"/>
                <w:kern w:val="0"/>
                <w:sz w:val="24"/>
                <w:szCs w:val="24"/>
                <w:u w:val="none"/>
                <w:lang w:val="en-US" w:eastAsia="zh-CN" w:bidi="ar"/>
              </w:rPr>
              <w:t>第三方</w:t>
            </w:r>
            <w:r>
              <w:rPr>
                <w:rFonts w:hint="eastAsia" w:ascii="宋体" w:hAnsi="宋体" w:eastAsia="宋体" w:cs="宋体"/>
                <w:b w:val="0"/>
                <w:bCs w:val="0"/>
                <w:i w:val="0"/>
                <w:iCs w:val="0"/>
                <w:color w:val="auto"/>
                <w:kern w:val="0"/>
                <w:sz w:val="24"/>
                <w:szCs w:val="24"/>
                <w:u w:val="none"/>
                <w:lang w:val="en-US" w:eastAsia="zh-CN" w:bidi="ar"/>
              </w:rPr>
              <w:t>检测机构出具的检测报告）；</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11、终端内置蓝牙模块，可实现蓝牙通信；</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12、支持手动写频改频；</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13、充电器规格：1+1充电器,可同时充两块电池</w:t>
            </w:r>
            <w:r>
              <w:rPr>
                <w:rFonts w:hint="eastAsia" w:ascii="宋体" w:hAnsi="宋体" w:cs="宋体"/>
                <w:b w:val="0"/>
                <w:bCs w:val="0"/>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rPr>
            </w:pPr>
            <w:r>
              <w:rPr>
                <w:rFonts w:hint="eastAsia" w:ascii="宋体" w:hAnsi="宋体" w:cs="宋体"/>
                <w:b w:val="0"/>
                <w:bCs w:val="0"/>
                <w:i w:val="0"/>
                <w:iCs w:val="0"/>
                <w:color w:val="auto"/>
                <w:kern w:val="0"/>
                <w:sz w:val="24"/>
                <w:szCs w:val="24"/>
                <w:u w:val="none"/>
                <w:lang w:val="en-US" w:eastAsia="zh-CN" w:bidi="ar"/>
              </w:rPr>
              <w:t>3</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森林（草原）</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火灾扑救</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风力灭火机</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4"/>
                <w:szCs w:val="24"/>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4"/>
                <w:szCs w:val="24"/>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4"/>
                <w:szCs w:val="24"/>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用于森林（草原）火灾扑救。</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1、功率≥3kW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2、净重量≤ 10 kg；</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★3、一次加油运行时间 ≥90 min；</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★4、有效风力灭火距离：≥2m；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5、耳旁噪音：≤105dB(A)；</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6、出口风量≥0.4m³/s；</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7、常温起动时间：≤10s；</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8、配备便携式加油器，容量≥20L，质量≤3kg；</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9、工作方式：背负式 ；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10、启动方式：手启动。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“★”标注项需提供第三方质量监督检验机构出具的质量检验检测报告佐证，检验检测报告复印件加盖制造商公章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rPr>
            </w:pPr>
            <w:r>
              <w:rPr>
                <w:rFonts w:hint="eastAsia" w:ascii="宋体" w:hAnsi="宋体" w:cs="宋体"/>
                <w:b w:val="0"/>
                <w:bCs w:val="0"/>
                <w:i w:val="0"/>
                <w:iCs w:val="0"/>
                <w:color w:val="auto"/>
                <w:kern w:val="0"/>
                <w:sz w:val="24"/>
                <w:szCs w:val="24"/>
                <w:u w:val="none"/>
                <w:lang w:val="en-US" w:eastAsia="zh-CN" w:bidi="ar"/>
              </w:rPr>
              <w:t>4</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同上</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高压接力消防水泵</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1.扬程≥150米；射程≥30米；</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2.最大流量：≥300升/分；</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3.启动性能：≤10s；</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4.吸水深度：＞5m；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5.发动机参数：</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1）采用二冲程风冷发动机；</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2）功率≥6kw(8HP)</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3）泵类型：离心泵</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6.水泵出口压力：≥1.5Mpa;</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7.启动方式：手拉启动或电起动；</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9.净重：≤20kg。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rPr>
            </w:pPr>
            <w:r>
              <w:rPr>
                <w:rFonts w:hint="eastAsia" w:ascii="宋体" w:hAnsi="宋体" w:cs="宋体"/>
                <w:b w:val="0"/>
                <w:bCs w:val="0"/>
                <w:i w:val="0"/>
                <w:iCs w:val="0"/>
                <w:color w:val="auto"/>
                <w:kern w:val="0"/>
                <w:sz w:val="24"/>
                <w:szCs w:val="24"/>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同上</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高压细水雾灭火机</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 xml:space="preserve">用于森林(草原)火灾扑救。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1、风冷发动机，发动机功率（hp）≥1.8，启动性能≤12s。</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2、启动方式：手启动或电启动。</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3、工作压力：≥5Mpa；</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4、平均射程（m）：雾化（m）≥8，直流(m)≥13；</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5、最大流量（L/min）≥5。</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6、水袋容积（L）:≥20。</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7、枪杆：伸缩式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8、连续工作时间（min）≥15（雾化）。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9、噪音(dB(A))：≤97；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rPr>
            </w:pPr>
            <w:r>
              <w:rPr>
                <w:rFonts w:hint="eastAsia" w:ascii="宋体" w:hAnsi="宋体" w:cs="宋体"/>
                <w:b w:val="0"/>
                <w:bCs w:val="0"/>
                <w:i w:val="0"/>
                <w:iCs w:val="0"/>
                <w:color w:val="auto"/>
                <w:kern w:val="0"/>
                <w:sz w:val="24"/>
                <w:szCs w:val="24"/>
                <w:u w:val="none"/>
                <w:lang w:val="en-US" w:eastAsia="zh-CN" w:bidi="ar"/>
              </w:rPr>
              <w:t>6</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同上</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红外热成像仪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0.2</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一、产品功能要求：</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用于隐患火点探测。液晶显示模块，可调整图像显示等。</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二、产品技术参数要求：</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★1、探测器分辨率≥256×192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2、镜头焦距≥3.2mm；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3、视场角≥50°×37°；</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4、测温功能：中心点/最高温/最低温；</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★5、测温范围：-20℃~+550℃；</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6、测温精度：±2%或±2℃；</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7 、 测 温 单 位 ： 摄 氏 度 、 华 氏 度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8、显示模式：热成像、热融合、可见光、画中画、iMIX等 五 种 显 示 ， 可 以 一 键 进 行 切 换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9、图像报警、LED 灯报警提示；</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10、液晶显示模块尺寸≥2.8LCD（320×240）；</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11、存储卡≥16GB；</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12、电池类型:可充电锂电池续航≥5h；</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13、电源接口:USB 直充 type-C；</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14、工作温度:-10℃~+50℃；</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15、存储温度:-20℃~+60℃；</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16、防护等级≥IP54；</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17、重量≤520g；</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标★项提供具有CMA或CNAS标识的第三方检测机构出具的相关检测/检验/试验/测试报告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rPr>
            </w:pPr>
            <w:r>
              <w:rPr>
                <w:rFonts w:hint="eastAsia" w:ascii="宋体" w:hAnsi="宋体" w:cs="宋体"/>
                <w:b w:val="0"/>
                <w:bCs w:val="0"/>
                <w:i w:val="0"/>
                <w:iCs w:val="0"/>
                <w:color w:val="auto"/>
                <w:kern w:val="0"/>
                <w:sz w:val="24"/>
                <w:szCs w:val="24"/>
                <w:u w:val="none"/>
                <w:lang w:val="en-US" w:eastAsia="zh-CN" w:bidi="ar"/>
              </w:rPr>
              <w:t>7</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同上</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绝缘剪断钳</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0.1</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1、规格：≥24寸</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2、产品材质：铬钒合金钢锻造；</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3、可对带电线缆进行安全操作，剪柄采用绝缘材质包裹。</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4、能剪断直径≥8mm的钢筋，剪断直径≥12mm的电线电缆</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5、特性：剪刃口硬度HRC55—60，绝缘≥380V，剪柄(橡胶)耐电压5000V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rPr>
            </w:pPr>
            <w:r>
              <w:rPr>
                <w:rFonts w:hint="eastAsia" w:ascii="宋体" w:hAnsi="宋体" w:cs="宋体"/>
                <w:b w:val="0"/>
                <w:bCs w:val="0"/>
                <w:i w:val="0"/>
                <w:iCs w:val="0"/>
                <w:color w:val="auto"/>
                <w:kern w:val="0"/>
                <w:sz w:val="24"/>
                <w:szCs w:val="24"/>
                <w:u w:val="none"/>
                <w:lang w:val="en-US" w:eastAsia="zh-CN" w:bidi="ar"/>
              </w:rPr>
              <w:t>8</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同上</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油锯</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0.5</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汽油机驱动或新能源电池驱动</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1、功率≥5kW；</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2、净重量≤10kg；</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3、燃油箱容积≥0.8L</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4、发动力类型风冷单缸二冲程；</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5、排量 87cc；</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6、连续工作时间≥60min；</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7、发动机转速≥13000rpm；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8、切割深度≥415mm；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9、导板尺寸 20 寸；</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10、机油汽油混合比 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auto"/>
                <w:sz w:val="24"/>
                <w:szCs w:val="24"/>
                <w:u w:val="none"/>
              </w:rPr>
            </w:pPr>
            <w:r>
              <w:rPr>
                <w:rFonts w:hint="eastAsia" w:ascii="宋体" w:hAnsi="宋体" w:cs="宋体"/>
                <w:b w:val="0"/>
                <w:bCs w:val="0"/>
                <w:i w:val="0"/>
                <w:iCs w:val="0"/>
                <w:color w:val="auto"/>
                <w:kern w:val="0"/>
                <w:sz w:val="24"/>
                <w:szCs w:val="24"/>
                <w:u w:val="none"/>
                <w:lang w:val="en-US" w:eastAsia="zh-CN" w:bidi="ar"/>
              </w:rPr>
              <w:t>9</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同上</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有毒有害气体检测仪</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0.1</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一、产品功能要求：</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用于检查氧气、一氧化碳、二氧化氮、可燃气体、硫化氢气体浓度。</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二、技术参数要求</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1、响应时间:泵吸式 T90 &lt;30s；</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2、检测气体：氧气、一氧化碳、二氧化氮、可燃气体、硫化氢；</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3、量程：氧气：0-30%VOL、一氧化碳：0-1000PPM、二氧化氮：0-100PPM、可燃气体：0-100%LEL、硫化氢：0-100PPM；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4、分辨率：氧气：0.1%VOL、一氧化碳：1PPM、二氧化氮：0.01PPM、可燃气体：0.1%LEL、硫化氢：0.01PPM；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5、工作环境:温度-10°C~50°C; 相对湿度≤95%RH(无冷凝)；</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6、工作电压: DC3.7V (充电锂电池供电，锂电池容量≥5000mAh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7、显示方式≥2.0 英寸彩色显示模块；</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8、报警方式: 声光振显四重报警；</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9、采样方式: 泵吸式；</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10、数据通信:支持 USB 连接电脑. 上位机查看数据；</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11、系统语言:支持中英文切换; 其他语言可定制；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12、配备充电器:Type-C 充电接口；</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13、防爆等级≥Ex ib IlB T3 Gb 本质安全型 （需提供相关防爆合格证或合格证书的证明资料）；</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14、半导体传感器寿命：≥2 年</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15、防护等级：≥IP65。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b w:val="0"/>
                <w:bCs w:val="0"/>
                <w:i w:val="0"/>
                <w:iCs w:val="0"/>
                <w:color w:val="auto"/>
                <w:sz w:val="24"/>
                <w:szCs w:val="24"/>
                <w:u w:val="none"/>
                <w:lang w:val="en-US"/>
              </w:rPr>
            </w:pPr>
            <w:r>
              <w:rPr>
                <w:rFonts w:hint="eastAsia" w:ascii="宋体" w:hAnsi="宋体" w:cs="宋体"/>
                <w:b w:val="0"/>
                <w:bCs w:val="0"/>
                <w:i w:val="0"/>
                <w:iCs w:val="0"/>
                <w:color w:val="auto"/>
                <w:kern w:val="0"/>
                <w:sz w:val="24"/>
                <w:szCs w:val="24"/>
                <w:u w:val="none"/>
                <w:lang w:val="en-US" w:eastAsia="zh-CN" w:bidi="ar"/>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同上</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自救呼吸器</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4"/>
                <w:szCs w:val="24"/>
                <w:u w:val="none"/>
              </w:rPr>
            </w:pP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0.6</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cs="宋体"/>
                <w:b w:val="0"/>
                <w:bCs w:val="0"/>
                <w:i w:val="0"/>
                <w:iCs w:val="0"/>
                <w:color w:val="auto"/>
                <w:kern w:val="0"/>
                <w:sz w:val="24"/>
                <w:szCs w:val="24"/>
                <w:u w:val="none"/>
                <w:lang w:val="en-US" w:eastAsia="zh-CN" w:bidi="ar"/>
              </w:rPr>
              <w:t>一、</w:t>
            </w:r>
            <w:r>
              <w:rPr>
                <w:rFonts w:hint="eastAsia" w:ascii="宋体" w:hAnsi="宋体" w:eastAsia="宋体" w:cs="宋体"/>
                <w:b w:val="0"/>
                <w:bCs w:val="0"/>
                <w:i w:val="0"/>
                <w:iCs w:val="0"/>
                <w:color w:val="auto"/>
                <w:kern w:val="0"/>
                <w:sz w:val="24"/>
                <w:szCs w:val="24"/>
                <w:u w:val="none"/>
                <w:lang w:val="en-US" w:eastAsia="zh-CN" w:bidi="ar"/>
              </w:rPr>
              <w:t>产品检验标准应依据GB 2890-2009《呼吸防护自吸过滤式防毒面具》、GB 2890-2022《呼吸防护 自吸过滤式防毒面具》、GB/T5455-2014  《纺织品燃烧性能垂直方向损毁长度、阴燃和续燃时间的测定》、XF 634-2015《消防员隔热防护服》、GB/T 2410-2008《透明塑料透光率和雾度的测定》、XF124-2013《正压式消防空气呼吸器》要求，提供省级</w:t>
            </w:r>
            <w:r>
              <w:rPr>
                <w:rFonts w:hint="eastAsia" w:ascii="宋体" w:hAnsi="宋体" w:cs="宋体"/>
                <w:b w:val="0"/>
                <w:bCs w:val="0"/>
                <w:i w:val="0"/>
                <w:iCs w:val="0"/>
                <w:color w:val="auto"/>
                <w:kern w:val="0"/>
                <w:sz w:val="24"/>
                <w:szCs w:val="24"/>
                <w:u w:val="none"/>
                <w:lang w:val="en-US" w:eastAsia="zh-CN" w:bidi="ar"/>
              </w:rPr>
              <w:t>及</w:t>
            </w:r>
            <w:r>
              <w:rPr>
                <w:rFonts w:hint="eastAsia" w:ascii="宋体" w:hAnsi="宋体" w:eastAsia="宋体" w:cs="宋体"/>
                <w:b w:val="0"/>
                <w:bCs w:val="0"/>
                <w:i w:val="0"/>
                <w:iCs w:val="0"/>
                <w:color w:val="auto"/>
                <w:kern w:val="0"/>
                <w:sz w:val="24"/>
                <w:szCs w:val="24"/>
                <w:u w:val="none"/>
                <w:lang w:val="en-US" w:eastAsia="zh-CN" w:bidi="ar"/>
              </w:rPr>
              <w:t>以上第三方检验报告。</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二、技术要求</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1、呼吸器应由防护头罩、全面罩和滤烟装置组成；呼吸器的基本尺寸应为成人使用；防护头罩应能覆盖佩戴者整个头部、 颈部，头罩前端和后端延伸到前胸和后背部；滤烟装置与全面罩间的连接应采用快插连接方式，且连接牢固可靠。</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2、面罩上的金属材料表面应进行防腐蚀处理；面罩边缘应平滑，无明显棱角和毛刺， 无影响气密性的缺陷；面罩应与佩戴者面部紧密贴合，无明显压痛感，面罩的固定系统应能根据佩戴者的需要调节；面罩应能使佩戴者随时和方便地检查 面罩与面部的气密性做佩戴气密性检查;面罩观察眼窗应视物真实，有防止镜片结雾的措施;呼气阀应有保护其不受损害的呼气阀  保护装置或措施，呼气阀应能够正常工 作;面罩上可更换部件应易于更换。</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3、面罩总视野：总视野/%:≥78，双目视野/%:≥55，下方视野/(°):≥35。</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★4、面罩吸气阻力：测试流量30L/min时阻力≤70Pa；流量80L/min时阻力≤120Pa;</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★5、面罩呼气阻力：测试流量160L/min时阻力≤100Pa;</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6、阻燃性能 ：全面罩续燃时间≤5s。阻燃性能试验后，不 应出现熔融现象；头罩试验后其 损毁长度不应大于100mm,续燃时间不应大于5s,且不应有熔融、滴落现象。</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7、综合过滤件的滤烟性能≥95%。</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 xml:space="preserve">8、防护时间：滤烟罐≥4h；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9、重量：≤1kg</w:t>
            </w:r>
          </w:p>
        </w:tc>
      </w:tr>
    </w:tbl>
    <w:p>
      <w:pPr>
        <w:rPr>
          <w:rFonts w:hint="eastAsia" w:ascii="宋体" w:hAnsi="宋体" w:cs="宋体"/>
          <w:b/>
          <w:bCs/>
          <w:sz w:val="24"/>
          <w:lang w:eastAsia="zh-CN"/>
        </w:rPr>
      </w:pPr>
    </w:p>
    <w:p>
      <w:pPr>
        <w:rPr>
          <w:rFonts w:hint="eastAsia" w:ascii="宋体" w:hAnsi="宋体" w:cs="宋体"/>
          <w:b/>
          <w:bCs/>
          <w:sz w:val="24"/>
          <w:lang w:eastAsia="zh-CN"/>
        </w:rPr>
      </w:pPr>
      <w:r>
        <w:rPr>
          <w:rFonts w:hint="eastAsia" w:ascii="宋体" w:hAnsi="宋体" w:cs="宋体"/>
          <w:b/>
          <w:bCs/>
          <w:sz w:val="24"/>
          <w:lang w:eastAsia="zh-CN"/>
        </w:rPr>
        <w:br w:type="page"/>
      </w:r>
    </w:p>
    <w:p>
      <w:pPr>
        <w:rPr>
          <w:rFonts w:hint="eastAsia" w:ascii="宋体" w:hAnsi="宋体" w:eastAsia="宋体" w:cs="宋体"/>
          <w:b/>
          <w:bCs/>
          <w:sz w:val="24"/>
          <w:lang w:eastAsia="zh-CN"/>
        </w:rPr>
      </w:pPr>
      <w:r>
        <w:rPr>
          <w:rFonts w:hint="eastAsia" w:ascii="宋体" w:hAnsi="宋体" w:cs="宋体"/>
          <w:b/>
          <w:bCs/>
          <w:sz w:val="24"/>
          <w:lang w:eastAsia="zh-CN"/>
        </w:rPr>
        <w:t>标项二：</w:t>
      </w:r>
      <w:r>
        <w:rPr>
          <w:rFonts w:hint="eastAsia" w:ascii="宋体" w:hAnsi="宋体" w:eastAsia="宋体" w:cs="宋体"/>
          <w:b/>
          <w:bCs/>
          <w:sz w:val="24"/>
          <w:lang w:eastAsia="zh-CN"/>
        </w:rPr>
        <w:t>采购清单</w:t>
      </w:r>
      <w:r>
        <w:rPr>
          <w:rFonts w:hint="eastAsia" w:ascii="宋体" w:hAnsi="宋体" w:cs="宋体"/>
          <w:b/>
          <w:bCs/>
          <w:sz w:val="24"/>
          <w:lang w:eastAsia="zh-CN"/>
        </w:rPr>
        <w:t>及技术参数</w:t>
      </w:r>
    </w:p>
    <w:tbl>
      <w:tblPr>
        <w:tblStyle w:val="63"/>
        <w:tblW w:w="104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3"/>
        <w:gridCol w:w="635"/>
        <w:gridCol w:w="715"/>
        <w:gridCol w:w="681"/>
        <w:gridCol w:w="669"/>
        <w:gridCol w:w="511"/>
        <w:gridCol w:w="485"/>
        <w:gridCol w:w="554"/>
        <w:gridCol w:w="634"/>
        <w:gridCol w:w="804"/>
        <w:gridCol w:w="4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大类</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小类</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南湖区</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秀洲区</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海盐县</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海宁市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桐乡市</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数量小计</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单价最高限价（万元）</w:t>
            </w:r>
          </w:p>
        </w:tc>
        <w:tc>
          <w:tcPr>
            <w:tcW w:w="4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水域救援</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防水头灯</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（1）功率：≥4W。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（2）光源：LED光源。</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（3）配光：聚光+泛光切换</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（4）工作模式：强光 工作光 节能光</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（5）工作模式：3米处照度≥900 lx。</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（6）光通量：GB/T 9468-2008的要求进行测试，灯具光通量≥280 lm。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（7）★防爆等级：具备气体、粉尘双重防爆认证，Ex ib IIC T4 Gb;Ex ib IIIC T130℃ Db。（需提供检验中心出具的防爆合格证复印件并加盖供应商</w:t>
            </w:r>
            <w:r>
              <w:rPr>
                <w:rFonts w:hint="eastAsia" w:ascii="宋体" w:hAnsi="宋体" w:cs="宋体"/>
                <w:b w:val="0"/>
                <w:bCs w:val="0"/>
                <w:i w:val="0"/>
                <w:iCs w:val="0"/>
                <w:color w:val="000000"/>
                <w:kern w:val="0"/>
                <w:sz w:val="24"/>
                <w:szCs w:val="24"/>
                <w:u w:val="none"/>
                <w:lang w:val="en-US" w:eastAsia="zh-CN" w:bidi="ar"/>
              </w:rPr>
              <w:t>公</w:t>
            </w:r>
            <w:r>
              <w:rPr>
                <w:rFonts w:hint="eastAsia" w:ascii="宋体" w:hAnsi="宋体" w:eastAsia="宋体" w:cs="宋体"/>
                <w:b w:val="0"/>
                <w:bCs w:val="0"/>
                <w:i w:val="0"/>
                <w:iCs w:val="0"/>
                <w:color w:val="000000"/>
                <w:kern w:val="0"/>
                <w:sz w:val="24"/>
                <w:szCs w:val="24"/>
                <w:u w:val="none"/>
                <w:lang w:val="en-US" w:eastAsia="zh-CN" w:bidi="ar"/>
              </w:rPr>
              <w:t>章）</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（8）★电池容量：≥3.0Ah，具有四格电量显示，低电量时灯具闪烁警告。</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（9）★照明时间：强光≥4h，工作光≥50h，节能光≥200h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（10）重量：≤200g。（不带包装）</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（11）充电时间：≤8h。</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（12）工作环境温度：-20℃～40℃。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（13）★防水等级：≥IP68。</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（14）电池循环寿命：≥1200次充放电。</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（15）防腐等级：WF2。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（16）</w:t>
            </w:r>
            <w:r>
              <w:rPr>
                <w:rFonts w:hint="eastAsia" w:ascii="宋体" w:hAnsi="宋体" w:cs="宋体"/>
                <w:b w:val="0"/>
                <w:bCs w:val="0"/>
                <w:i w:val="0"/>
                <w:iCs w:val="0"/>
                <w:color w:val="000000"/>
                <w:kern w:val="0"/>
                <w:sz w:val="24"/>
                <w:szCs w:val="24"/>
                <w:u w:val="none"/>
                <w:lang w:val="en-US" w:eastAsia="zh-CN" w:bidi="ar"/>
              </w:rPr>
              <w:t>标注</w:t>
            </w:r>
            <w:r>
              <w:rPr>
                <w:rFonts w:hint="eastAsia" w:ascii="宋体" w:hAnsi="宋体" w:eastAsia="宋体" w:cs="宋体"/>
                <w:b w:val="0"/>
                <w:bCs w:val="0"/>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的</w:t>
            </w:r>
            <w:r>
              <w:rPr>
                <w:rFonts w:hint="eastAsia" w:ascii="宋体" w:hAnsi="宋体" w:eastAsia="宋体" w:cs="宋体"/>
                <w:b w:val="0"/>
                <w:bCs w:val="0"/>
                <w:i w:val="0"/>
                <w:iCs w:val="0"/>
                <w:color w:val="000000"/>
                <w:kern w:val="0"/>
                <w:sz w:val="24"/>
                <w:szCs w:val="24"/>
                <w:u w:val="none"/>
                <w:lang w:val="en-US" w:eastAsia="zh-CN" w:bidi="ar"/>
              </w:rPr>
              <w:t>需提供带CMA标识和CNAS标识的检测机构出具的检测报告复印件并加盖投标供应商</w:t>
            </w:r>
            <w:r>
              <w:rPr>
                <w:rFonts w:hint="eastAsia" w:ascii="宋体" w:hAnsi="宋体" w:cs="宋体"/>
                <w:b w:val="0"/>
                <w:bCs w:val="0"/>
                <w:i w:val="0"/>
                <w:iCs w:val="0"/>
                <w:color w:val="000000"/>
                <w:kern w:val="0"/>
                <w:sz w:val="24"/>
                <w:szCs w:val="24"/>
                <w:u w:val="none"/>
                <w:lang w:val="en-US" w:eastAsia="zh-CN" w:bidi="ar"/>
              </w:rPr>
              <w:t>公</w:t>
            </w:r>
            <w:r>
              <w:rPr>
                <w:rFonts w:hint="eastAsia" w:ascii="宋体" w:hAnsi="宋体" w:eastAsia="宋体" w:cs="宋体"/>
                <w:b w:val="0"/>
                <w:bCs w:val="0"/>
                <w:i w:val="0"/>
                <w:iCs w:val="0"/>
                <w:color w:val="000000"/>
                <w:kern w:val="0"/>
                <w:sz w:val="24"/>
                <w:szCs w:val="24"/>
                <w:u w:val="none"/>
                <w:lang w:val="en-US" w:eastAsia="zh-CN" w:bidi="ar"/>
              </w:rPr>
              <w:t>章予以佐证，中标供应商签订合同前需提供检测报告原件备查。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救生抛投器</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1、符合 GB/T 27906-2011《救生抛投器》标准要求；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2、产品配置：发射主机 1 个（抛投器主机内置1.5 升碳纤维气瓶）、多功能底座 1 个、陆用救援弹≥2 个（内置救援绳）、水用救援弹≥2 个（内置水用救援绳，带自动充气救生圈）、训练弹≥1 个、绳包≥2 个（分别内含≥190 米水用救援绳，与水用救援弹和训练弹配合使用）、装绳器≥1 个、收绳器≥1 套、双滚珠角度仪≥1 套、气瓶充绳器≥1 套、16 克 CO2 压缩气瓶≥4 个、触发剂≥4 个、救生圈保护套≥2 套、包一套；</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3、工作压力：≥8.5Mpa（±0.1 Mpa），重量≤8.5KG（净重）；</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★4、抛射距离：陆用时抛射距离≥350 米；水用时抛射自动充气救生圈距离≥250 米，锚钩抛射距离≥80m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★5、抛绳规格：陆用抛绳规格：抛绳断裂强度≥2300N；水用抛绳规格：抛绳断裂强度≥7000N；</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★6、抛射偏差角≤0.5°；</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7、枪体上有手动泄压阀，精准控制抛投器工作压力；</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8、配备有充绳用的气瓶收绳器，连接 G5/8 国标气瓶空呼气瓶进行充绳，实现现场充装弹头；</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9、配备金属多功能底座，有 30°、45°、55°、65°、75°等 5 个调整角度。带有 2 个钢钎及防滑橡胶，适用多种复杂环境下使用；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10、枪体上装有压力表（内嵌枪体里），实时显示阀体工作压力；</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11、配备有调校发射角度的双滚珠角度仪，便于控制发射角度，实现有效抛投，能使救援弹抛射的更加接近目的地、且抛射距离更远；</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12、铝合金航空包装箱，坚固防水抗震，可规则堆放在救援车上，方便快速投入救援；</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13、配备有收绳用的收绳器，能快速回收救援绳，提高救援的时间和效率。</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标★项提供具有CMA 或CNAS标识的第三方检测机构出具的相关检测/检验/试验/测试报告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3</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救援舟艇组合（冲锋舟）</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冲锋舟</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长度：≥600cm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宽度：≥185cm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高度：≥85cm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乘员：≥10人</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材质：玻璃钢</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船重量：≥260kg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舷外机</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1、产品为2冲程，符合GJB 9001C-2017标准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2、气缸数：≥2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3、输出功率：≥40HP</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4、排气量 ：≥700cc</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5、启动方式：手动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6、操作方式：后操</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7、档位： 前--空--倒档</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8、起动发动机落水后1分钟，通过沥干、排水措施，2 次拉发能正常起动。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★9、操舵灵活，左满舵角度≥46°，右满舵角度≥45°.</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★10、舷外机横倾10°，纵倾5°，时长10分钟后能正常工作，不影响使用。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11、燃油 ：无铅汽油</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12、冷却系统：水冷</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13、净重：＜83KG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14、额定转数（RPM）：5500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4</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救援舟艇组合（舟艇拖车）</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1、长度≥6400mm 2、宽≥2200mm 3、载重≥1000kg 4、车轴：单轴 5、轮胎：185R14LT真空轮胎2个</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6、多用途滚轮设计 7、绞盘≥540kg 8、千斤顶≥540kg 9、表面热镀锌防锈处理，配备通用LED防水尾灯（ADR认证），拖挂车专用尾灯线束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5</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救援舟艇组合（橡皮舟）</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3.56</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橡皮舟</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1、船外长≥ 400cm，船外宽≥ 180cm；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2、浮筒直径50cm，气囊数 4+2个，具备电动充放气功能。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3、结构:船底“V”型充气拉丝底板，D 型艇底，船体发动机围板腰线提升防止渗水，船底双层加厚，浮筒底部加装耐磨加厚装甲</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4、艇净重≤80kg，最大载荷≥1000kg。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5、最大载人：≥6人</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6、艇身材质： 聚氯乙烯PVC图层夹网气密材料，厚度 0.9mm，拉伸强度≥3900N/5CM,伸长率warp27%+weft39%，撕裂强度warp540N+weft498N，剥离度（正反面）112N/5CM,107/5CM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7、船体结构：底板为一体式2气室拉丝底板。底部水刀两端为坡面设计，水刀之间前端间距≥后端间距；采用涡旋式导流倾斜船艉。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8、艇体工艺：浮筒和配件采用机器热熔技术，发动机围板采用进口胶水粘合技术</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9、耐压性：满载状态，船艇各气囊加压至 1.1 倍额定压力后静置 30min，无异常。</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10、气密性：空载状态，浮筒额定压力充气至 0.025Mpa 后，静置 60min 后剩余压力为 0.025Mpa；空载状态，龙骨额定压力充气至 0.035Mpa 后，静置 60min 后剩余压力为 0.035Mpa。</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舷外机</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1、产品为2冲程，符合 GJB 9001C-2017 标准；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2、气缸数：≥2；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3、输出功率：≥ 20kW；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4、排量 ：≥490cc；</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5、操作方式：后操；</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6、燃油 ：无铅汽油；</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7、档位： 前--空--倒档；</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8、冷却系统：水冷；</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9、油箱≥20L；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10、净重：＜55KG；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11、额定转数（RPM）≥5500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12、起动发动机落水后1分钟，通过沥干、排水措施，2 次拉发能正常起动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13、操舵灵活，左满舵角度≥46°，右满舵角度≥45°.（提供检测报告佐证）</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14、舷外机横倾10°，纵倾5°，时长10分钟后能正常工作，不影响使用；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6</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流速监测仪</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0.8</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用于液体流速、流量监测。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旋桨回转直径：≥125mm；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旋桨水力螺距b：≥200mm（理论值）；</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起转速度v0：≤0.04m/s；</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测速范围：0.04m/s～10m/s；</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测量误差：≤1.5%；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输出信号：磁激式开关接点通断信号；</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信号数/转子转数：≥1/20（每20转1个信号）；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显示屏：4X16位液晶显示；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电源：DC4.8V（充电电池），充满后可连续工作40小时以上；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工作水体环境：水温0℃～＋40℃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水深：0.2m～50m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悬移质含沙量：≤50kg/m3</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贮存环境：温度－25℃～＋55℃</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湿度：≤90%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7</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水深探测仪</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0.8</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1、显示:中文 LCD；</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2、精度:≤士 1%X 量程；</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3、量程:≥150 米；</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4、最小显示分辨率:≤1mm；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5、工作频率:200~2000KHz；</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6、功率:发射功率 32 级，自动增益调整；</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7、工作温度:&lt;80%RH 无结露；</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8、储存温度:-40°C~70°；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9、输出:RS232/RS485 口；</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10、储存:SD 卡，生成 EXCEL 文件(定时或者手动存储)。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7"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lang w:val="en-US" w:eastAsia="zh-CN"/>
              </w:rPr>
            </w:pPr>
            <w:r>
              <w:rPr>
                <w:rFonts w:hint="eastAsia" w:ascii="宋体" w:hAnsi="宋体" w:cs="宋体"/>
                <w:b w:val="0"/>
                <w:bCs w:val="0"/>
                <w:i w:val="0"/>
                <w:iCs w:val="0"/>
                <w:color w:val="000000"/>
                <w:sz w:val="24"/>
                <w:szCs w:val="24"/>
                <w:u w:val="none"/>
                <w:lang w:val="en-US" w:eastAsia="zh-CN"/>
              </w:rPr>
              <w:t>8</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舷外机</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1、产品为2冲程，符合 GJB 9001C-2017 标准；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2、气缸数：≥2；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3、输出功率：≥ 20kW；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4、排量 ：≥490cc；</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5、操作方式：后操；</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6、燃油 ：无铅汽油；</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7、档位： 前--空--倒档；</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8、冷却系统：水冷；</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9、油箱≥20L；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10、净重：＜55KG；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11、额定转数（RPM）≥5500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12、起动发动机落水后1分钟，通过沥干、排水措施，2 次拉发能正常起动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13、操舵灵活，左满舵角度≥46°，右满舵角度≥45°.（提供检测报告佐证）</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14、舷外机横倾10°，纵倾5°，时长10分钟后能正常工作，不影响使用；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9</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抗洪抢险</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浮艇泵</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1、水泵类型：单泵单极离心泵；</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2、燃油类型：92号及以上汽油；</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3、启动方式：手、电、遥控器启动；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4、最大输出功率：≥10KW；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5、最低吸水深度：≤8Cm；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6、进水口口径：80mm底部带过滤网；</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7、出水口口径：65mm；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★8、额定压力：≥0.5Mpa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★9、设备性能（需在检测报告中体现）：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10、最大流量：≥1500L/min；</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11、额定扬程：≥60米；</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12、发动机类型：单缸 四冲程 卧式 风冷；</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13、★遥控距离：≥150米（需在检测报告中体现）；</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14、遥控方式：遥控器上可控制启动、熄火、风门、油门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大小等功能；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15、点火方式：晶体管电子点火；</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16、重量：≤55Kg；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17、尺寸：≤850*800*500mm；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18、油箱容量：≥4L；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19、泵体材质：高强度铝镁合金或更优材质压铸泵体；</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20、浮箱材质：高强度聚氨酯；</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cs="宋体"/>
                <w:b w:val="0"/>
                <w:bCs w:val="0"/>
                <w:i w:val="0"/>
                <w:iCs w:val="0"/>
                <w:color w:val="000000"/>
                <w:kern w:val="0"/>
                <w:sz w:val="24"/>
                <w:szCs w:val="24"/>
                <w:u w:val="none"/>
                <w:lang w:val="en-US" w:eastAsia="zh-CN" w:bidi="ar"/>
              </w:rPr>
              <w:t>标有</w:t>
            </w:r>
            <w:r>
              <w:rPr>
                <w:rFonts w:hint="eastAsia" w:ascii="宋体" w:hAnsi="宋体" w:eastAsia="宋体" w:cs="宋体"/>
                <w:b w:val="0"/>
                <w:bCs w:val="0"/>
                <w:i w:val="0"/>
                <w:iCs w:val="0"/>
                <w:color w:val="000000"/>
                <w:kern w:val="0"/>
                <w:sz w:val="24"/>
                <w:szCs w:val="24"/>
                <w:u w:val="none"/>
                <w:lang w:val="en-US" w:eastAsia="zh-CN" w:bidi="ar"/>
              </w:rPr>
              <w:t>★产品</w:t>
            </w:r>
            <w:r>
              <w:rPr>
                <w:rFonts w:hint="eastAsia" w:ascii="宋体" w:hAnsi="宋体" w:cs="宋体"/>
                <w:b w:val="0"/>
                <w:bCs w:val="0"/>
                <w:i w:val="0"/>
                <w:iCs w:val="0"/>
                <w:color w:val="000000"/>
                <w:kern w:val="0"/>
                <w:sz w:val="24"/>
                <w:szCs w:val="24"/>
                <w:u w:val="none"/>
                <w:lang w:val="en-US" w:eastAsia="zh-CN" w:bidi="ar"/>
              </w:rPr>
              <w:t>须出具</w:t>
            </w:r>
            <w:r>
              <w:rPr>
                <w:rFonts w:hint="eastAsia" w:ascii="宋体" w:hAnsi="宋体" w:eastAsia="宋体" w:cs="宋体"/>
                <w:b w:val="0"/>
                <w:bCs w:val="0"/>
                <w:i w:val="0"/>
                <w:iCs w:val="0"/>
                <w:color w:val="000000"/>
                <w:kern w:val="0"/>
                <w:sz w:val="24"/>
                <w:szCs w:val="24"/>
                <w:u w:val="none"/>
                <w:lang w:val="en-US" w:eastAsia="zh-CN" w:bidi="ar"/>
              </w:rPr>
              <w:t>省级（含）及以上产品质量检验机构出具的检验/检测报告；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救生拉杆</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27</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1、救生伸缩杆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（1）材料：超轻碳纤维杆,可漂浮；</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（2）展开长度（米）≥6m；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（3）折叠后长度（米）≤1.8m；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（4）重量（公斤）≤1Kg；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2、浮水球:重量≥1200g，浮力≥9kg；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3、浮力圈:直径≥580mm，重量≤280g，浮力≥9kg；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4、挂 钩:不锈钢，长度≥300mm，重量≥350g；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5、捕捞网:可收合。横向、纵向开口距离均≥500mm，网兜高度≥1500mm；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6、破窗冲头:冲头具收缩回弹性能，冲头长度≥90mm。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11</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汽（柴）油机泵</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产品参数：</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1、外形尺寸（mm）长×宽×高：≤1300×1100×1000；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2、设备重量（Kg）：≤150；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3、移动方式：采用单轴两轮手推式，轮胎直径≤265±5mm；轮胎宽度≤85mm；把手长度：≤340mm；水泵及发动机两侧具备安全保护板；主体框架及护板采用酸洗磷化静电喷涂防锈处理；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4、泵的种类：自吸式离心泵；泵体要求具备注水口和放水口，进水口要求具备单向阀；</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5、叶轮结构：开式叶轮；</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6、叶轮：叶轮使用开式叶轮，材质为铸铁；</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7、泵体材质：泵壳为铸铁，泵轴为合金钢；</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8、★流量（m³/h）：≥150；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9、★吸程（m）：≥7.4；</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10、★扬程（m）：≥24；</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11、★通过固体颗粒直径（mm）：≥38；</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12、设备配备照明装置：可升降式 LED 照明装置；照明灯源：12V,30W；升降高度：≥1.70m（含灯），升降高度：≥1.60m（不含灯）；灯架含灯折叠尺寸：≤780x230mm，灯架不含灯折叠尺寸：≤595x230mm；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13、发动机起动方式：钥匙启动（同时具备手动启动功能）；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14、发动机缸体数量（个）：2；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15、泵最大输入功率（kw）：≥15Kw；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16、电池电压及容量：12V，36AH；</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17、燃油箱容量（L）：≥15；</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18、发动机类型：汽油双缸发动机；</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19、发动机组控制系统要求：电压显示模块，运行指示灯，急停开关，启动钥匙，照明航空插头及开关；</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20、发动机转速（rpm）：≤3600；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21、进水管：口径 100mm，长度≥6 米/根，可承受负压1.0MPa 抗压不变形塑筋管；</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22、出水管：口径 100mm，长度≥100 米，可承受压力0.6MPa，采用可卷曲消防水带；</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23、快接头套组：配直径 DN100mm 铝合金快速接头套组 2套，密闭性能完好；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24、滤网：配直径 100mm 滤网 1 个，保证通过颗粒物不大于泵的可通过颗粒物直径；</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25、卡箍：配直径 100mm 卡箍 3 个，卡紧管路防止漏水；</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26、集成面板集中控制，含配件包；</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27、提供整车三维设计组装图纸，泵体组装生产结构图纸及实物照片。</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标★项提供具有CMA或CNAS标识的第三方检测机构出具的相关检测/检验/试验/测试报告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12</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组合式防洪板</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0.2</w:t>
            </w:r>
          </w:p>
        </w:tc>
        <w:tc>
          <w:tcPr>
            <w:tcW w:w="4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1、有效挡水高度≥50cm。宽≥90cm，长≥60cm（±2 cm），材质：高强度复合材料</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2、重量：5.5 KG（±5%），</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3、平均厚度：4.2 mm（±0.5 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4、弯曲强度≥65MPa,拉伸强度≥45MPa</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5、单元体简支梁冲击强度≥40 KJ/㎡</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6、迎水面为曲面体型；</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7、相邻单元拼接方式：弹簧锁扣式；</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8、承水部端部设有可拆卸的鱼鳍式防渗件,承水部底面设有柔性高摩擦防滑垫。</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9、产品获得省级（含）及以上产品质量检验机构出具的检验/检测报告</w:t>
            </w:r>
          </w:p>
        </w:tc>
      </w:tr>
    </w:tbl>
    <w:p>
      <w:pPr>
        <w:rPr>
          <w:rFonts w:hint="eastAsia" w:ascii="宋体" w:hAnsi="宋体" w:cs="宋体"/>
          <w:b/>
          <w:bCs/>
          <w:sz w:val="24"/>
          <w:lang w:eastAsia="zh-CN"/>
        </w:rPr>
      </w:pPr>
      <w:r>
        <w:rPr>
          <w:rFonts w:hint="eastAsia" w:ascii="宋体" w:hAnsi="宋体" w:cs="宋体"/>
          <w:b/>
          <w:bCs/>
          <w:sz w:val="24"/>
          <w:lang w:eastAsia="zh-CN"/>
        </w:rPr>
        <w:br w:type="page"/>
      </w:r>
    </w:p>
    <w:p>
      <w:pPr>
        <w:rPr>
          <w:rFonts w:hint="eastAsia" w:ascii="宋体" w:hAnsi="宋体" w:cs="宋体"/>
          <w:b/>
          <w:bCs/>
          <w:sz w:val="24"/>
          <w:lang w:eastAsia="zh-CN"/>
        </w:rPr>
      </w:pPr>
      <w:r>
        <w:rPr>
          <w:rFonts w:hint="eastAsia" w:ascii="宋体" w:hAnsi="宋体" w:cs="宋体"/>
          <w:b/>
          <w:bCs/>
          <w:sz w:val="24"/>
          <w:lang w:eastAsia="zh-CN"/>
        </w:rPr>
        <w:t>标项三：</w:t>
      </w:r>
      <w:r>
        <w:rPr>
          <w:rFonts w:hint="eastAsia" w:ascii="宋体" w:hAnsi="宋体" w:eastAsia="宋体" w:cs="宋体"/>
          <w:b/>
          <w:bCs/>
          <w:sz w:val="24"/>
          <w:lang w:eastAsia="zh-CN"/>
        </w:rPr>
        <w:t>采购清单</w:t>
      </w:r>
      <w:r>
        <w:rPr>
          <w:rFonts w:hint="eastAsia" w:ascii="宋体" w:hAnsi="宋体" w:cs="宋体"/>
          <w:b/>
          <w:bCs/>
          <w:sz w:val="24"/>
          <w:lang w:eastAsia="zh-CN"/>
        </w:rPr>
        <w:t>及技术参数</w:t>
      </w:r>
    </w:p>
    <w:tbl>
      <w:tblPr>
        <w:tblStyle w:val="63"/>
        <w:tblW w:w="6193" w:type="pct"/>
        <w:tblInd w:w="-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9"/>
        <w:gridCol w:w="521"/>
        <w:gridCol w:w="793"/>
        <w:gridCol w:w="694"/>
        <w:gridCol w:w="669"/>
        <w:gridCol w:w="496"/>
        <w:gridCol w:w="508"/>
        <w:gridCol w:w="577"/>
        <w:gridCol w:w="623"/>
        <w:gridCol w:w="830"/>
        <w:gridCol w:w="4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6"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大类</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小类</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南湖区</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秀洲区</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海盐县</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海宁市</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桐乡市</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数量小计</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单价最高限价（万元）</w:t>
            </w:r>
          </w:p>
        </w:tc>
        <w:tc>
          <w:tcPr>
            <w:tcW w:w="2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地震地质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灾害救援</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便携式防水防爆应急强光灯</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0.5</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（1）功率≥160W。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（2）光源：LED光源。</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（3）配光：聚光、泛光、警示光。</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（4）工作模式：强光、工作光、警示光。</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（5）★工作模式：10米处最大照度≥1800 lx，50米处照度≥30 lx，100米处照度≥8 lx</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（6）电量指示：LCD显示屏电量显示，具备低电压报警功能。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（7）★防爆等级：具备气体、粉尘双重防爆认证，Ex nR IIC T5 Gc;Ex tc IIIC T95℃ Db。产品防爆认证应满足GB/T 3836.1-2021新版标准认证（需提供权威检验中心出具的防爆合格证复印件并加盖供应商鲜章）</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（8）电池容量：≥12Ah，电池组能量≥300Wh。</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（9）照明时间：聚光强光≥10h，聚光工作光≥15h，泛光强光≥10h，泛光工作光≥15h。</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（10）外形尺寸：方便携带和使用，尺寸不大于（长）150×（宽）160×（高）900mm。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（11）升降方式：可进行手动升降，升降高度≥2米</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（12）重量：≤12kg。（不带包装）</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（13）充电时间：≤7h。</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（14）工作环境温度：-20℃～40℃。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（15）★防护等级：IP66。</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（16）电池循环寿命：≥1500次充放电。</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（17）防腐等级：WF2。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（18）携带方式：可手提、肩背。</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（19）</w:t>
            </w:r>
            <w:r>
              <w:rPr>
                <w:rFonts w:hint="eastAsia" w:ascii="宋体" w:hAnsi="宋体" w:cs="宋体"/>
                <w:b w:val="0"/>
                <w:bCs w:val="0"/>
                <w:i w:val="0"/>
                <w:iCs w:val="0"/>
                <w:color w:val="000000"/>
                <w:kern w:val="0"/>
                <w:sz w:val="24"/>
                <w:szCs w:val="24"/>
                <w:u w:val="none"/>
                <w:lang w:val="en-US" w:eastAsia="zh-CN" w:bidi="ar"/>
              </w:rPr>
              <w:t>标</w:t>
            </w:r>
            <w:r>
              <w:rPr>
                <w:rFonts w:hint="eastAsia" w:ascii="宋体" w:hAnsi="宋体" w:eastAsia="宋体" w:cs="宋体"/>
                <w:b w:val="0"/>
                <w:bCs w:val="0"/>
                <w:i w:val="0"/>
                <w:iCs w:val="0"/>
                <w:color w:val="000000"/>
                <w:kern w:val="0"/>
                <w:sz w:val="24"/>
                <w:szCs w:val="24"/>
                <w:u w:val="none"/>
                <w:lang w:val="en-US" w:eastAsia="zh-CN" w:bidi="ar"/>
              </w:rPr>
              <w:t>★需提供带CMA标识和CNAS标识的检测机构出具的检测报告复印件并加盖投标供应商</w:t>
            </w:r>
            <w:r>
              <w:rPr>
                <w:rFonts w:hint="eastAsia" w:ascii="宋体" w:hAnsi="宋体" w:cs="宋体"/>
                <w:b w:val="0"/>
                <w:bCs w:val="0"/>
                <w:i w:val="0"/>
                <w:iCs w:val="0"/>
                <w:color w:val="000000"/>
                <w:kern w:val="0"/>
                <w:sz w:val="24"/>
                <w:szCs w:val="24"/>
                <w:u w:val="none"/>
                <w:lang w:val="en-US" w:eastAsia="zh-CN" w:bidi="ar"/>
              </w:rPr>
              <w:t>公</w:t>
            </w:r>
            <w:r>
              <w:rPr>
                <w:rFonts w:hint="eastAsia" w:ascii="宋体" w:hAnsi="宋体" w:eastAsia="宋体" w:cs="宋体"/>
                <w:b w:val="0"/>
                <w:bCs w:val="0"/>
                <w:i w:val="0"/>
                <w:iCs w:val="0"/>
                <w:color w:val="000000"/>
                <w:kern w:val="0"/>
                <w:sz w:val="24"/>
                <w:szCs w:val="24"/>
                <w:u w:val="none"/>
                <w:lang w:val="en-US" w:eastAsia="zh-CN" w:bidi="ar"/>
              </w:rPr>
              <w:t>章予以佐证，中标供应商签订合同前需提供检测报告原件备查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钢筋速断器</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一、产品功能要求：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用于切断钢筋施救。</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二、技术参数：</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1、质量（Kg)≦10；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2、剪切能力：Q235A 圆钢（mm)≧20；（HB400)钢筋（mm)≧20；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3、锂电池（Ah)≧4；</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4、最大剪切力（kN）≧290；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5、最大开口距离（mm)≧23；</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6、电量显示功能≧4 档；</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7、照明功能：机身设有照明灯；</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8、旋转功能：液压工作段能 360 度旋转；</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9、绝缘电阻&gt;200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10、剪切时间：切割φ20mm 圆钢（Q235A 材质）钢筋≤3.5S，切割φ20mm （HB400)热扎带肋钢筋4.0S；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3</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激光测距仪</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0.3</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1.测距范围：≥2000m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2.测距方式：半导体激光测距(对人眼无害)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3.测距误差：≤1m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4.角度测量范围：≥+ 90°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5.角度测量精度：≤+ 1°</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6.角度测量分辨率：≤0.5°</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7.测距显示方式：视野内LCD显示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8.有效物镜口径：≥42 mm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9.膜系：镀多层膜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10.出瞳直径：≥5 mm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11.出瞳距离：≥16 mm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12.对焦方式：目镜调焦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13.望远镜倍率：≥ 8 倍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14.在1000 m之视野为122 m(视场7°)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15.瞳距：58~76mm；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16.测距模式:RAIN,1ST,LAST,无显示（标准模式）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17.电源：≤3V (不含)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18.外形尺寸：≤173×135×64 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19.重量：≤1.2Kg；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20.防水功能：≥IP54。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4</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链锯</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0.3</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一、产品功能：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用于对木材、钢筋、混凝土等结构构件进行切割。</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二、技术参数：</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1、汽缸排量≧70cc；</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2、汽缸直径≧50mm；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3、行程≧35mm；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4、标准怠速≦2800rpm；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5、无负荷最大转速≧13000rpm；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6、功率≧3.9kw；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7、燃油箱容积≧0.75L；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8、机油箱容积≧0.4L；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9、质量( 无导板链条)≦6.5kg；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10、导板尺寸≧20 寸；</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11、额定电压≥24V。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漏电检测仪</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.用于确定泄漏电源具体位置，声光报警；</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.探测电压120VAC（电压交流电）以上；</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.测试频率范围20～100Hz；</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cs="宋体"/>
                <w:b w:val="0"/>
                <w:bCs w:val="0"/>
                <w:i w:val="0"/>
                <w:iCs w:val="0"/>
                <w:color w:val="000000"/>
                <w:kern w:val="0"/>
                <w:sz w:val="24"/>
                <w:szCs w:val="24"/>
                <w:u w:val="none"/>
                <w:lang w:val="en-US" w:eastAsia="zh-CN" w:bidi="ar"/>
              </w:rPr>
              <w:t>4</w:t>
            </w:r>
            <w:r>
              <w:rPr>
                <w:rFonts w:hint="eastAsia" w:ascii="宋体" w:hAnsi="宋体" w:eastAsia="宋体" w:cs="宋体"/>
                <w:b w:val="0"/>
                <w:bCs w:val="0"/>
                <w:i w:val="0"/>
                <w:iCs w:val="0"/>
                <w:color w:val="000000"/>
                <w:kern w:val="0"/>
                <w:sz w:val="24"/>
                <w:szCs w:val="24"/>
                <w:u w:val="none"/>
                <w:lang w:val="en-US" w:eastAsia="zh-CN" w:bidi="ar"/>
              </w:rPr>
              <w:t>.工作温度为-30-50℃，储存温度为-40-70℃；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cs="宋体"/>
                <w:b w:val="0"/>
                <w:bCs w:val="0"/>
                <w:i w:val="0"/>
                <w:iCs w:val="0"/>
                <w:color w:val="000000"/>
                <w:kern w:val="0"/>
                <w:sz w:val="24"/>
                <w:szCs w:val="24"/>
                <w:u w:val="none"/>
                <w:lang w:val="en-US" w:eastAsia="zh-CN" w:bidi="ar"/>
              </w:rPr>
              <w:t>5</w:t>
            </w:r>
            <w:r>
              <w:rPr>
                <w:rFonts w:hint="eastAsia" w:ascii="宋体" w:hAnsi="宋体" w:eastAsia="宋体" w:cs="宋体"/>
                <w:b w:val="0"/>
                <w:bCs w:val="0"/>
                <w:i w:val="0"/>
                <w:iCs w:val="0"/>
                <w:color w:val="000000"/>
                <w:kern w:val="0"/>
                <w:sz w:val="24"/>
                <w:szCs w:val="24"/>
                <w:u w:val="none"/>
                <w:lang w:val="en-US" w:eastAsia="zh-CN" w:bidi="ar"/>
              </w:rPr>
              <w:t>.具有高灵敏度、低灵敏度和目标前置3档；</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cs="宋体"/>
                <w:b w:val="0"/>
                <w:bCs w:val="0"/>
                <w:i w:val="0"/>
                <w:iCs w:val="0"/>
                <w:color w:val="000000"/>
                <w:kern w:val="0"/>
                <w:sz w:val="24"/>
                <w:szCs w:val="24"/>
                <w:u w:val="none"/>
                <w:lang w:val="en-US" w:eastAsia="zh-CN" w:bidi="ar"/>
              </w:rPr>
              <w:t>6</w:t>
            </w:r>
            <w:r>
              <w:rPr>
                <w:rFonts w:hint="eastAsia" w:ascii="宋体" w:hAnsi="宋体" w:eastAsia="宋体" w:cs="宋体"/>
                <w:b w:val="0"/>
                <w:bCs w:val="0"/>
                <w:i w:val="0"/>
                <w:iCs w:val="0"/>
                <w:color w:val="000000"/>
                <w:kern w:val="0"/>
                <w:sz w:val="24"/>
                <w:szCs w:val="24"/>
                <w:u w:val="none"/>
                <w:lang w:val="en-US" w:eastAsia="zh-CN" w:bidi="ar"/>
              </w:rPr>
              <w:t>.检测时无须接触电源，随着与漏电电源距离的接近，报警频率增加。</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cs="宋体"/>
                <w:b w:val="0"/>
                <w:bCs w:val="0"/>
                <w:i w:val="0"/>
                <w:iCs w:val="0"/>
                <w:color w:val="000000"/>
                <w:kern w:val="0"/>
                <w:sz w:val="24"/>
                <w:szCs w:val="24"/>
                <w:u w:val="none"/>
                <w:lang w:val="en-US" w:eastAsia="zh-CN" w:bidi="ar"/>
              </w:rPr>
              <w:t>7</w:t>
            </w:r>
            <w:r>
              <w:rPr>
                <w:rFonts w:hint="eastAsia" w:ascii="宋体" w:hAnsi="宋体" w:eastAsia="宋体" w:cs="宋体"/>
                <w:b w:val="0"/>
                <w:bCs w:val="0"/>
                <w:i w:val="0"/>
                <w:iCs w:val="0"/>
                <w:color w:val="000000"/>
                <w:kern w:val="0"/>
                <w:sz w:val="24"/>
                <w:szCs w:val="24"/>
                <w:u w:val="none"/>
                <w:lang w:val="en-US" w:eastAsia="zh-CN" w:bidi="ar"/>
              </w:rPr>
              <w:t>.锂电池供电不需要拆卸直接充电，铝盒金手提箱。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6</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切割锯套装</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产品技术要求：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1、无齿锯</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①、汽缸排量≧70cc；</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②、标准怠速≦2800rpm；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③、无负荷最大转速≦ 9500±100rpm-13500；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④、功率≧3.7kw；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⑤、燃油箱体积 ≧0.75L；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⑥、质量( 无燃油、锯片)≦10kg；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⑦、锯片转速≧5500rpm；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⑧、锯片砂轮直径≧350mm；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⑨、切割深度≧120mm。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2、链锯：</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①、汽缸排量≧70cc；</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②、汽缸直径≧50mm；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③、行程≧35mm；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④、标准怠速≦2800rpm；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⑤、无负荷最大转速≧14000rpm；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⑥、功率≧3.9kw；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⑦、燃油箱容积≧0.75L；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⑧、机油箱容积≧0.4L；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⑨、质量( 无导板链条)≦6.5kg；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⑩、导板尺寸≧20 寸；</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3、双轮异向切割锯：</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①、切割深度≧110mm；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②、整备质量（kg)≦15；</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③、切割速度（cm²/min)≧50；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④、在-25℃~-20℃的环境中其低温启动时间应不大于 30s；</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⑤、空载最高转速时的噪声应不大于 105 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7</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绳索救援套装</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用于辅助救援人员进行攀爬以及搭建救援通道抢救和运送伤员。1.包括但不限于：绳索手套1双、山岳救援头盔1顶、头灯1个，护目镜1个，全身式安全吊带1根、安全绳100米1根、安全钩10个、上升器1个、抓绳器1个、下降器1个、双滑轮1个、连接带（扁带）2根、缓冲器1个</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 技术标准 符合XF494-2004《消防用防坠落装备》的标准或CE认证。</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3.绳索手套：绳索救援业用手套。整体使⽤山羊⽪制造，手背柔软。掌⼼⼯作部位双层防磨材料，双层凯夫拉缝线。⼿碗处对称锁孔，⽅便⽤锁挂起挂于安全带上，重量≤120g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4.山岳救援头盔：高空作业，山岳救援的专用安全头盔，外壳带有8个通风孔，带有安装前照灯的夹子，带有安装面罩、耳罩和无线电通信设备的预钻孔，提供多种颜色 （白色，黄色，红色，蓝色，黑色），通用尺寸（ 52-64 厘米），重量≤385g，工作温度范围：–10至+50°C</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5.头灯：紧凑而强大的前照灯，IPX6级防水保护，重量≤56g，光照距离≥120m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6.护目镜：头盔面罩由日本产的优质聚碳酸酯制成，由于外壳上带有预先标记的孔，因此随附的安装套件可以轻松地与头盔组装在一起。透明，重量≤80g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全身式安全吊带：肩带，腰带，腿环为加宽透气型衬垫结构。全身安全带配有5个工作挂点（胸部、前腰部、背部各1个承重挂点，腰部左右各1个水平定位），腰部有4个器材挂点，可倒置。带原装胸上（原厂原装胸上）；全身安全带腿部卡扣采用快插扣设计拉力均在18KN，能够快速穿脱。极限负荷≥23kN</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8.静力绳100米：直径≥10.5mm，断裂强度：≥32KN，重量≤72g/m，8字节点拉力 8字节点拉力≥18kN，静力延展率：≤3%，提供国家消防检测中心的检测报告，执行标准：XF494-2004</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9.安全钩：铝制D型安全钩，丝扣设计，横向拉力≥27KN，纵向拉力≥9KN，开口拉力≥9KN，重量≤73g，开门尺寸≥23mm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10.上升器：右手上升器，整体采用铝合金设计，具备新型人体工程学的开启杆，易于操作，并具有防震和防止意外开启的危险，重量≤225g，工作负荷≥100kg，可通过绳索直径：8-13mm。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11.抓绳器：用于单人攀登和高空作业的自我保护，在不受力时可在绳索上自由上下滑动，一旦使用者坠落，它可以立刻在绳索上锁紧，保护使用者。最大承载力≥11KN；适用绳直径：8-13mm。重量≤117g，橘红色。</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12.下降器：具有双重自动锁定系统，带有新型的可回弹的手柄，在释放操纵杆或按下操纵杆时均可锁定，下降速度：0.5-2米/秒，承重负荷≥200kg，重量≤480g，适用于绳索：10-12mm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13.双滑轮：带双轮的铝制滑轮，活动侧板和高效率（91％）滚珠轴承，配备两个固定点，可用于复杂的提升系统，重量≤490g，断裂负荷≥50KN，适用绳索直径：Ø≤13mm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14.连接带：15mm聚酰胺材质制成，颜色：黑红，拉力≥22KN，长度：120cm，重量≤90g。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15.缓冲器：可配合止坠器使用减少了坠落时的冲击力，降低了操作员受伤的风险，织带的撕裂吸收掉落的能量，长度≥25CM，最大延展率≥1.4m，重量≤175g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16.器材包：采用⾼周波压合技术，坚固耐磨，背负顶上置有1个直向提⼿，侧⾯有1个横向提⼿。袋内置有1个拉链⼩件附袋，5个挂点，容量≥45L(可⼊200⽶ 10.5mm新绳)，重量≤1500g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液压破拆工具组</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一、使用工况要求：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用于地震、塌方、建筑物坍塌等灾害现场障碍物起重和支撑作业，对金属或非金属结构进行剪切、扩张、撑顶等,以保障救援行动的有序进行。主要由液压泵、剪切器、扩张器、千斤顶、开缝器、液压撑顶器等组成。</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二、产品技术参数：</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1、液压泵：产品符合GB/T 17906-2021消防应急救援装备液压破拆工具通用技术条件标准要求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①、质量（Kg)≦26；</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②、低压输出2.75L/min，高压输出0.7L/min；双倍流量模式低压流量5.8L/min，双倍流量模式高压流量1.35L/min；</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③、额定工作压力（MPa）≧72；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④、发动机功率：≥2kw；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⑤、液压油箱（L)≧3；</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⑥、汽油箱（L)≧0.7；                                                                                                                                                          ⑦、转速3400rpm，可同时连接使用两件工具</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2、液压剪切器：产品符合GB/T 17906-2021消防应急救援装备液压破拆工具通用技术条件标准要求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①、质量(kg）≦15；</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②、剪切能力(mm)≧φ35( Q235A圆钢)；20mm（Q235A板材）</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③、开口距离(mm)≧158；</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④、额定工作压力（MPa）≧72；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⑤、最大剪切力：≥640kN；</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3、液压扩张器：产品符合GB/T 17906-2021消防应急救援装备液压破拆工具通用技术条件标准要求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①、质量(kg）≦20；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②、扩张距离（mm)≧740；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③、最小扩张力(KN)≧42；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④、最大扩张力（距尖端25mm处）51.2kN，最大扩张力(kN)≧120；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⑤ 、额定工作压力（MPa）≧72；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⑥、最大牵引力(KN)≧40；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4、液压千斤顶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①、千斤顶组套不低于三种规格，至少包含 5 吨、10 吨、20 吨三种规格；</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②、5 吨：撑顶力≥50kN、撑顶行程≥100mm、收缩位置长度≤190mm、重量≤2kg；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③、10 吨：撑顶力≥100kN、撑顶行程≥200mm、收缩位置长度≤300mm、重量≤4kg；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④、20 吨：撑顶力≥200kN、撑顶行程≥230mm、收缩位置长度≤340mm、重量≤10kg；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5、液压开缝器：产品符合GB/T 17906消防应急救援装备液压破拆工具通用技术条件标准要求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①、质量(kg）≦12；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②、扩张力（kN)≧300；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③、最大开缝距离(mm)≧55，最小开缝距离(mm)≦2；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④、额定工作压力（MPa）≧72；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6、液压撑顶器：产品符合GB/T 17906消防应急救援装备液压破拆工具通用技术条件标准要求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①、质量（kg)：≤15；</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②、最大撑顶力（KN）≧140；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③、撑顶长度750mm；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④、额定工作压力（mp)≧72；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⑤、退回行程长度500mm，伸出长度1150mm。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9</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液压破拆工具组（液压泵）</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产品符合GB/T 17906-2021消防应急救援装备液压破拆工具通用技术条件标准要求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①、质量（Kg)≦26；</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②、低压输出2.75L/min，高压输出0.7L/min；双倍流量模式低压流量5.8L/min，双倍流量模式高压流量1.35L/min；</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③、额定工作压力（MPa）≧72；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④、发动机功率：≥2kw；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⑤、液压油箱（L)≧3；</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⑥、汽油箱（L)≧0.7。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⑦、转速3400rpm，可同时连接使用两件工具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正压空气呼吸器</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54</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一、产品功能要求：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具有耐高温、阻燃、绝缘、防腐、防水和便携等性能。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二、产品技术参数要求：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1、气瓶公称容积 ≧ 9L；</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2、气瓶公称压力≧30MPa；</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3、减压器输出压力：（0.5-0.9）MPa；</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4、佩戴质量 ≦13KG；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5、使用时间 ≧1.5h；</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6、碳纤维复合气瓶。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11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同上</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重型支撑套装</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20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一、产品功能要求：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用于地震、塌方、建筑物坍塌等支撑作业，由支撑杆及各种附件组成， 互相通用，具有重量轻、便携带、强度高等特点。</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二、产品技术要求：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①、结构组成：重型支撑套具由气动手锁支撑柱、延长柱、各种底座和工作头、三脚架头组件、脚踏气泵组成，最大支撑力≥25t。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②、气动手锁支撑柱 2 根，收拢长度:≥600MM,最大展开长度：≥800mm，质量：≤7KG；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③、气动手锁支撑柱 2 根，收拢长度:≥900MM, 最大展开长度：≥1300mm，质量：≤8KG；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④、气动手锁支撑柱 2 根，收拢长度:≥1200MM, 最大展开长度：≥1800mm，质量：≤12KG；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⑤、延长柱 3 根，长度≥500mm，质量：≤3KG；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⑥、延长柱 3 根，长度≥700mm，质量：≤6KG；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⑦、L 型工作头≥3 个，质量：≤1.5KG；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⑧、U 型支撑底座≥3 个，质量：≤1.5KG；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⑨、平面底座≥4 个，质量：≤2.6KG；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⑩、八角 90 度底座≥4 个，质量：≤2.0KG；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⑪、配件：牵引带≥2 根，长度≥5 米，脚踏泵 1个，气管 1 根，长度≥5 米，钩形扳手 1 个；</w:t>
            </w:r>
          </w:p>
        </w:tc>
      </w:tr>
    </w:tbl>
    <w:p>
      <w:pPr>
        <w:pStyle w:val="55"/>
        <w:rPr>
          <w:rFonts w:hint="eastAsia"/>
          <w:lang w:eastAsia="zh-CN"/>
        </w:rPr>
      </w:pPr>
    </w:p>
    <w:p>
      <w:pPr>
        <w:pStyle w:val="40"/>
        <w:numPr>
          <w:ilvl w:val="0"/>
          <w:numId w:val="0"/>
        </w:numPr>
        <w:rPr>
          <w:rFonts w:hint="eastAsia"/>
          <w:sz w:val="24"/>
          <w:szCs w:val="24"/>
          <w:lang w:eastAsia="zh-CN"/>
        </w:rPr>
      </w:pPr>
    </w:p>
    <w:p>
      <w:pPr>
        <w:widowControl/>
        <w:jc w:val="left"/>
        <w:textAlignment w:val="center"/>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二</w:t>
      </w:r>
      <w:r>
        <w:rPr>
          <w:rFonts w:hint="eastAsia" w:ascii="宋体" w:hAnsi="宋体" w:cs="宋体"/>
          <w:b/>
          <w:bCs/>
          <w:color w:val="000000"/>
          <w:kern w:val="0"/>
          <w:sz w:val="24"/>
        </w:rPr>
        <w:t>、商务条款</w:t>
      </w:r>
      <w:r>
        <w:rPr>
          <w:rFonts w:hint="eastAsia" w:ascii="宋体" w:hAnsi="宋体" w:cs="宋体"/>
          <w:b/>
          <w:bCs/>
          <w:color w:val="000000"/>
          <w:kern w:val="0"/>
          <w:sz w:val="24"/>
          <w:lang w:eastAsia="zh-CN"/>
        </w:rPr>
        <w:t>（适用于所有标项）</w:t>
      </w:r>
    </w:p>
    <w:tbl>
      <w:tblPr>
        <w:tblStyle w:val="63"/>
        <w:tblW w:w="9372" w:type="dxa"/>
        <w:jc w:val="center"/>
        <w:tblLayout w:type="fixed"/>
        <w:tblCellMar>
          <w:top w:w="0" w:type="dxa"/>
          <w:left w:w="0" w:type="dxa"/>
          <w:bottom w:w="0" w:type="dxa"/>
          <w:right w:w="0" w:type="dxa"/>
        </w:tblCellMar>
      </w:tblPr>
      <w:tblGrid>
        <w:gridCol w:w="1523"/>
        <w:gridCol w:w="7849"/>
      </w:tblGrid>
      <w:tr>
        <w:tblPrEx>
          <w:tblCellMar>
            <w:top w:w="0" w:type="dxa"/>
            <w:left w:w="0" w:type="dxa"/>
            <w:bottom w:w="0" w:type="dxa"/>
            <w:right w:w="0" w:type="dxa"/>
          </w:tblCellMar>
        </w:tblPrEx>
        <w:trPr>
          <w:trHeight w:val="1085"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ascii="宋体" w:hAnsi="宋体" w:cs="宋体"/>
                <w:b/>
                <w:bCs/>
                <w:sz w:val="24"/>
              </w:rPr>
            </w:pPr>
            <w:r>
              <w:rPr>
                <w:rFonts w:hint="eastAsia" w:ascii="宋体" w:hAnsi="宋体" w:cs="宋体"/>
                <w:b/>
                <w:bCs/>
                <w:sz w:val="24"/>
              </w:rPr>
              <w:t>质保期</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1、所有产品质保</w:t>
            </w:r>
            <w:r>
              <w:rPr>
                <w:rFonts w:hint="eastAsia" w:ascii="宋体" w:hAnsi="宋体" w:cs="宋体"/>
                <w:sz w:val="24"/>
                <w:lang w:val="en-US" w:eastAsia="zh-CN"/>
              </w:rPr>
              <w:t>2</w:t>
            </w:r>
            <w:r>
              <w:rPr>
                <w:rFonts w:hint="eastAsia" w:ascii="宋体" w:hAnsi="宋体" w:cs="宋体"/>
                <w:sz w:val="24"/>
              </w:rPr>
              <w:t>年。质保期内（非因人为破坏）因货物本身缺陷造成各种故障应由中标供应商免费更换。</w:t>
            </w:r>
          </w:p>
          <w:p>
            <w:pPr>
              <w:rPr>
                <w:rFonts w:hint="eastAsia" w:ascii="宋体" w:hAnsi="宋体" w:cs="宋体"/>
                <w:sz w:val="24"/>
              </w:rPr>
            </w:pPr>
            <w:r>
              <w:rPr>
                <w:rFonts w:hint="eastAsia" w:ascii="宋体" w:hAnsi="宋体" w:cs="宋体"/>
                <w:sz w:val="24"/>
              </w:rPr>
              <w:t>2、验收不符合采购方要求的产品，供应商负责更换产品。</w:t>
            </w:r>
          </w:p>
          <w:p>
            <w:pPr>
              <w:rPr>
                <w:rFonts w:hint="eastAsia" w:ascii="宋体" w:hAnsi="宋体" w:eastAsia="宋体" w:cs="宋体"/>
                <w:b w:val="0"/>
                <w:bCs w:val="0"/>
                <w:kern w:val="2"/>
                <w:sz w:val="24"/>
                <w:szCs w:val="24"/>
                <w:lang w:val="en-US" w:eastAsia="zh-CN" w:bidi="ar-SA"/>
              </w:rPr>
            </w:pPr>
            <w:r>
              <w:rPr>
                <w:rFonts w:hint="eastAsia" w:ascii="宋体" w:hAnsi="宋体" w:cs="宋体"/>
                <w:sz w:val="24"/>
                <w:lang w:val="en-US" w:eastAsia="zh-CN"/>
              </w:rPr>
              <w:t>3、</w:t>
            </w:r>
            <w:r>
              <w:rPr>
                <w:rFonts w:hint="eastAsia" w:ascii="宋体" w:hAnsi="宋体" w:eastAsia="宋体" w:cs="宋体"/>
                <w:b w:val="0"/>
                <w:bCs w:val="0"/>
                <w:kern w:val="2"/>
                <w:sz w:val="24"/>
                <w:szCs w:val="24"/>
                <w:lang w:val="en-US" w:eastAsia="zh-CN" w:bidi="ar-SA"/>
              </w:rPr>
              <w:t>在超出保修期范围内，须长期提供配件及维修。中标人须设有维修服务电话，负责解答用户在设备使用中遇到的问题，及时提出解决问题的建议和操作方法。如设备出现故障，电话响应无法解决，中标人必须在接报修电话24小时到现场并解决问题。</w:t>
            </w:r>
          </w:p>
          <w:p>
            <w:r>
              <w:rPr>
                <w:rFonts w:hint="eastAsia" w:ascii="宋体" w:hAnsi="宋体" w:eastAsia="宋体" w:cs="宋体"/>
                <w:b w:val="0"/>
                <w:bCs w:val="0"/>
                <w:kern w:val="2"/>
                <w:sz w:val="24"/>
                <w:szCs w:val="24"/>
                <w:lang w:val="en-US" w:eastAsia="zh-CN" w:bidi="ar-SA"/>
              </w:rPr>
              <w:t>4、中标人应向采购人提供全方位、及时而有效的技术支持和服务。中标人负责供货、安装、调试。</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ascii="宋体" w:hAnsi="宋体" w:cs="宋体"/>
                <w:b/>
                <w:bCs/>
                <w:sz w:val="24"/>
              </w:rPr>
            </w:pPr>
            <w:r>
              <w:rPr>
                <w:rFonts w:hint="eastAsia" w:ascii="宋体" w:hAnsi="宋体" w:cs="宋体"/>
                <w:b/>
                <w:bCs/>
                <w:sz w:val="24"/>
              </w:rPr>
              <w:t>工期</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合同签订后</w:t>
            </w:r>
            <w:r>
              <w:rPr>
                <w:rFonts w:hint="eastAsia" w:ascii="宋体" w:hAnsi="宋体" w:cs="宋体"/>
                <w:sz w:val="24"/>
                <w:lang w:val="en-US" w:eastAsia="zh-CN"/>
              </w:rPr>
              <w:t>3</w:t>
            </w:r>
            <w:r>
              <w:rPr>
                <w:rFonts w:hint="eastAsia" w:ascii="宋体" w:hAnsi="宋体" w:cs="宋体"/>
                <w:sz w:val="24"/>
              </w:rPr>
              <w:t>个月内交货；交货地点：按采购人指定地点交货。</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ascii="宋体" w:hAnsi="宋体" w:cs="宋体"/>
                <w:b/>
                <w:bCs/>
                <w:sz w:val="24"/>
              </w:rPr>
            </w:pPr>
            <w:r>
              <w:rPr>
                <w:rFonts w:hint="eastAsia" w:ascii="宋体" w:hAnsi="宋体" w:cs="宋体"/>
                <w:b/>
                <w:bCs/>
                <w:sz w:val="24"/>
              </w:rPr>
              <w:t>实施要求</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供应商须向</w:t>
            </w:r>
            <w:r>
              <w:rPr>
                <w:rFonts w:hint="eastAsia" w:ascii="宋体" w:hAnsi="宋体" w:cs="宋体"/>
                <w:sz w:val="24"/>
                <w:lang w:eastAsia="zh-CN"/>
              </w:rPr>
              <w:t>采购方</w:t>
            </w:r>
            <w:r>
              <w:rPr>
                <w:rFonts w:hint="eastAsia" w:ascii="宋体" w:hAnsi="宋体" w:cs="宋体"/>
                <w:sz w:val="24"/>
              </w:rPr>
              <w:t>推荐有经验的实施人员承担现场实施任务，现场项目实施人员的指派须满足</w:t>
            </w:r>
            <w:r>
              <w:rPr>
                <w:rFonts w:hint="eastAsia" w:ascii="宋体" w:hAnsi="宋体" w:cs="宋体"/>
                <w:sz w:val="24"/>
                <w:lang w:eastAsia="zh-CN"/>
              </w:rPr>
              <w:t>采购方</w:t>
            </w:r>
            <w:r>
              <w:rPr>
                <w:rFonts w:hint="eastAsia" w:ascii="宋体" w:hAnsi="宋体" w:cs="宋体"/>
                <w:sz w:val="24"/>
              </w:rPr>
              <w:t>的要求，</w:t>
            </w:r>
            <w:r>
              <w:rPr>
                <w:rFonts w:hint="eastAsia" w:ascii="宋体" w:hAnsi="宋体" w:cs="宋体"/>
                <w:sz w:val="24"/>
                <w:lang w:eastAsia="zh-CN"/>
              </w:rPr>
              <w:t>采购方</w:t>
            </w:r>
            <w:r>
              <w:rPr>
                <w:rFonts w:hint="eastAsia" w:ascii="宋体" w:hAnsi="宋体" w:cs="宋体"/>
                <w:sz w:val="24"/>
              </w:rPr>
              <w:t>认为不满足要求的可以要求承建方更换人员，由此产生的工期延误等后果由</w:t>
            </w:r>
            <w:r>
              <w:rPr>
                <w:rFonts w:hint="eastAsia" w:ascii="宋体" w:hAnsi="宋体" w:cs="宋体"/>
                <w:sz w:val="24"/>
                <w:lang w:eastAsia="zh-CN"/>
              </w:rPr>
              <w:t>中标</w:t>
            </w:r>
            <w:r>
              <w:rPr>
                <w:rFonts w:hint="eastAsia" w:ascii="宋体" w:hAnsi="宋体" w:cs="宋体"/>
                <w:sz w:val="24"/>
              </w:rPr>
              <w:t>方承担。</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ascii="宋体" w:hAnsi="宋体" w:cs="宋体"/>
                <w:b/>
                <w:bCs/>
                <w:sz w:val="24"/>
              </w:rPr>
            </w:pPr>
            <w:r>
              <w:rPr>
                <w:rFonts w:hint="eastAsia" w:ascii="宋体" w:hAnsi="宋体" w:cs="宋体"/>
                <w:b/>
                <w:bCs/>
                <w:sz w:val="24"/>
              </w:rPr>
              <w:t>安装调试</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1)安装地点：甲方指定地点。</w:t>
            </w:r>
          </w:p>
          <w:p>
            <w:pPr>
              <w:rPr>
                <w:rFonts w:ascii="宋体" w:hAnsi="宋体" w:cs="宋体"/>
                <w:sz w:val="24"/>
              </w:rPr>
            </w:pPr>
            <w:r>
              <w:rPr>
                <w:rFonts w:hint="eastAsia" w:ascii="宋体" w:hAnsi="宋体" w:cs="宋体"/>
                <w:sz w:val="24"/>
              </w:rPr>
              <w:t>2)安装标准：符合我国国家有关技术规范要求和技术标准。</w:t>
            </w:r>
          </w:p>
          <w:p>
            <w:pPr>
              <w:rPr>
                <w:rFonts w:ascii="宋体" w:hAnsi="宋体" w:cs="宋体"/>
                <w:sz w:val="24"/>
              </w:rPr>
            </w:pPr>
            <w:r>
              <w:rPr>
                <w:rFonts w:hint="eastAsia" w:ascii="宋体" w:hAnsi="宋体" w:cs="宋体"/>
                <w:sz w:val="24"/>
              </w:rPr>
              <w:t>3)安装过程中发生的费用由供应商考虑在投标报价中。</w:t>
            </w:r>
          </w:p>
          <w:p>
            <w:pPr>
              <w:rPr>
                <w:rFonts w:ascii="宋体" w:hAnsi="宋体" w:cs="宋体"/>
                <w:sz w:val="24"/>
              </w:rPr>
            </w:pPr>
            <w:r>
              <w:rPr>
                <w:rFonts w:hint="eastAsia" w:ascii="宋体" w:hAnsi="宋体" w:cs="宋体"/>
                <w:sz w:val="24"/>
              </w:rPr>
              <w:t>供应商应在投标文件中提供其安装调试过程中使用单位需配合的内容。</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hint="eastAsia" w:ascii="宋体" w:hAnsi="宋体" w:eastAsia="宋体" w:cs="宋体"/>
                <w:b/>
                <w:bCs/>
                <w:sz w:val="24"/>
                <w:lang w:eastAsia="zh-CN"/>
              </w:rPr>
            </w:pPr>
            <w:r>
              <w:rPr>
                <w:rFonts w:hint="eastAsia" w:ascii="宋体" w:hAnsi="宋体" w:cs="宋体"/>
                <w:b/>
                <w:bCs/>
                <w:sz w:val="24"/>
                <w:lang w:eastAsia="zh-CN"/>
              </w:rPr>
              <w:t>培训服务</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1、免费为使用单位操作及工程技术人员提供培训，保证操作及工程技术人员能够正常使用设备的各种功能；</w:t>
            </w:r>
          </w:p>
          <w:p>
            <w:pPr>
              <w:rPr>
                <w:rFonts w:hint="eastAsia" w:ascii="宋体" w:hAnsi="宋体" w:eastAsia="宋体" w:cs="宋体"/>
                <w:sz w:val="24"/>
                <w:lang w:val="en-US" w:eastAsia="zh-CN"/>
              </w:rPr>
            </w:pPr>
            <w:r>
              <w:rPr>
                <w:rFonts w:hint="eastAsia" w:ascii="宋体" w:hAnsi="宋体" w:eastAsia="宋体" w:cs="宋体"/>
                <w:sz w:val="24"/>
                <w:lang w:val="en-US" w:eastAsia="zh-CN"/>
              </w:rPr>
              <w:t>2、培训内容：主要培训内容为设备的硬件组成、安装等，日常保养与维护，常见故障的排除，紧急情况的处理等。</w:t>
            </w:r>
          </w:p>
          <w:p>
            <w:pPr>
              <w:rPr>
                <w:rFonts w:hint="eastAsia" w:ascii="宋体" w:hAnsi="宋体" w:cs="宋体"/>
                <w:sz w:val="24"/>
              </w:rPr>
            </w:pPr>
            <w:r>
              <w:rPr>
                <w:rFonts w:hint="eastAsia" w:ascii="宋体" w:hAnsi="宋体" w:eastAsia="宋体" w:cs="宋体"/>
                <w:sz w:val="24"/>
                <w:lang w:val="en-US" w:eastAsia="zh-CN"/>
              </w:rPr>
              <w:t>3、培训材料：中标人免费提供全面、完整、详细的技术手册，包括介绍、现场安装、软件操作、故障处理、维护以及使用安全。</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ascii="宋体" w:hAnsi="宋体" w:cs="宋体"/>
                <w:b/>
                <w:bCs/>
                <w:sz w:val="24"/>
              </w:rPr>
            </w:pPr>
            <w:r>
              <w:rPr>
                <w:rFonts w:hint="eastAsia" w:ascii="宋体" w:hAnsi="宋体" w:cs="宋体"/>
                <w:b/>
                <w:bCs/>
                <w:sz w:val="24"/>
              </w:rPr>
              <w:t>履约保证金</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无</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ascii="宋体" w:hAnsi="宋体" w:cs="宋体"/>
                <w:b/>
                <w:bCs/>
                <w:sz w:val="24"/>
              </w:rPr>
            </w:pPr>
            <w:r>
              <w:rPr>
                <w:rFonts w:hint="eastAsia" w:ascii="宋体" w:hAnsi="宋体" w:cs="宋体"/>
                <w:b/>
                <w:bCs/>
                <w:sz w:val="24"/>
              </w:rPr>
              <w:t>付款方式</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pacing w:line="360" w:lineRule="auto"/>
              <w:rPr>
                <w:rFonts w:ascii="宋体" w:hAnsi="宋体" w:cs="宋体"/>
                <w:sz w:val="24"/>
              </w:rPr>
            </w:pPr>
            <w:r>
              <w:rPr>
                <w:rFonts w:hint="eastAsia" w:ascii="宋体" w:hAnsi="宋体" w:cs="宋体"/>
                <w:sz w:val="24"/>
              </w:rPr>
              <w:t>合同生效后7个工作日内支付</w:t>
            </w:r>
            <w:r>
              <w:rPr>
                <w:rFonts w:hint="eastAsia" w:ascii="宋体" w:hAnsi="宋体" w:cs="宋体"/>
                <w:sz w:val="24"/>
                <w:lang w:eastAsia="zh-CN"/>
              </w:rPr>
              <w:t>各个</w:t>
            </w:r>
            <w:r>
              <w:rPr>
                <w:rFonts w:hint="eastAsia" w:ascii="宋体" w:hAnsi="宋体" w:cs="宋体"/>
                <w:sz w:val="24"/>
              </w:rPr>
              <w:t>合同价40%的预付款，待项目经采购人</w:t>
            </w:r>
            <w:r>
              <w:rPr>
                <w:rFonts w:hint="eastAsia" w:ascii="宋体" w:hAnsi="宋体" w:cs="宋体"/>
                <w:sz w:val="24"/>
                <w:lang w:eastAsia="zh-CN"/>
              </w:rPr>
              <w:t>（县市区）</w:t>
            </w:r>
            <w:r>
              <w:rPr>
                <w:rFonts w:hint="eastAsia" w:ascii="宋体" w:hAnsi="宋体" w:cs="宋体"/>
                <w:sz w:val="24"/>
              </w:rPr>
              <w:t xml:space="preserve">整体验收合格后支付至合同价款的100%。 </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hint="eastAsia" w:ascii="宋体" w:hAnsi="宋体" w:eastAsia="宋体" w:cs="宋体"/>
                <w:b/>
                <w:bCs/>
                <w:sz w:val="24"/>
                <w:lang w:eastAsia="zh-CN"/>
              </w:rPr>
            </w:pPr>
            <w:r>
              <w:rPr>
                <w:rFonts w:hint="eastAsia" w:ascii="宋体" w:hAnsi="宋体" w:cs="宋体"/>
                <w:b/>
                <w:bCs/>
                <w:sz w:val="24"/>
                <w:lang w:eastAsia="zh-CN"/>
              </w:rPr>
              <w:t>其他要求</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1、货物的生产、安装、维修、检验、验收等按照以下原则执行：有国家标准的执行国家标准；无国家标准的执行行业标准；无行业标准的执行地方标准；无地方标准的执行企业标准。</w:t>
            </w:r>
          </w:p>
          <w:p>
            <w:pPr>
              <w:spacing w:line="360" w:lineRule="auto"/>
              <w:rPr>
                <w:rFonts w:hint="eastAsia" w:ascii="宋体" w:hAnsi="宋体" w:cs="宋体"/>
                <w:sz w:val="24"/>
              </w:rPr>
            </w:pPr>
            <w:r>
              <w:rPr>
                <w:rFonts w:hint="eastAsia" w:ascii="宋体" w:hAnsi="宋体" w:eastAsia="宋体" w:cs="宋体"/>
                <w:sz w:val="24"/>
                <w:lang w:val="en-US" w:eastAsia="zh-CN"/>
              </w:rPr>
              <w:t>2、所有货物（包括零部件）须为全新的、未使用过的原装正品，并完全符合国家质量标准。</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ascii="宋体" w:hAnsi="宋体" w:cs="宋体"/>
                <w:b/>
                <w:bCs/>
                <w:sz w:val="24"/>
              </w:rPr>
            </w:pPr>
            <w:r>
              <w:rPr>
                <w:rFonts w:hint="eastAsia" w:ascii="宋体" w:hAnsi="宋体" w:cs="宋体"/>
                <w:b/>
                <w:bCs/>
                <w:sz w:val="24"/>
              </w:rPr>
              <w:t>责任认定</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在服务期内，因服务商原因，未能完全履行服务承诺，采购方有权追究中标单位的责任。</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ascii="宋体" w:hAnsi="宋体" w:cs="宋体"/>
                <w:b/>
                <w:bCs/>
                <w:sz w:val="24"/>
              </w:rPr>
            </w:pPr>
            <w:r>
              <w:rPr>
                <w:rFonts w:hint="eastAsia" w:ascii="宋体" w:hAnsi="宋体" w:cs="宋体"/>
                <w:b/>
                <w:bCs/>
                <w:sz w:val="24"/>
              </w:rPr>
              <w:t>政策性条件</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政府采购节能产品、环境标志产品实施品目清单管理：投标产品符合财库〔2019〕9号《关于调整优化节能产品、环境标志产品政府采购执行机制的通知》条件，属于强制采购目录的，投标时需提供有效的认证证书，不属于强制采购的产品鼓励使用节能产品，予以政策加分；供应商属于小微企业、监狱企业、残疾人福利性单位视为小型、微型企业，享受小微企业政策扶持。</w:t>
            </w:r>
          </w:p>
        </w:tc>
      </w:tr>
      <w:tr>
        <w:tblPrEx>
          <w:tblCellMar>
            <w:top w:w="0" w:type="dxa"/>
            <w:left w:w="0" w:type="dxa"/>
            <w:bottom w:w="0" w:type="dxa"/>
            <w:right w:w="0" w:type="dxa"/>
          </w:tblCellMar>
        </w:tblPrEx>
        <w:trPr>
          <w:trHeight w:val="421" w:hRule="atLeast"/>
          <w:jc w:val="center"/>
        </w:trPr>
        <w:tc>
          <w:tcPr>
            <w:tcW w:w="152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snapToGrid w:val="0"/>
              <w:spacing w:line="360" w:lineRule="auto"/>
              <w:jc w:val="center"/>
              <w:rPr>
                <w:rFonts w:hint="eastAsia" w:ascii="宋体" w:hAnsi="宋体" w:eastAsia="宋体" w:cs="宋体"/>
                <w:b/>
                <w:bCs/>
                <w:sz w:val="24"/>
                <w:lang w:eastAsia="zh-CN"/>
              </w:rPr>
            </w:pPr>
            <w:r>
              <w:rPr>
                <w:rFonts w:hint="eastAsia" w:ascii="宋体" w:hAnsi="宋体" w:cs="宋体"/>
                <w:b/>
                <w:bCs/>
                <w:sz w:val="24"/>
                <w:lang w:eastAsia="zh-CN"/>
              </w:rPr>
              <w:t>其他</w:t>
            </w:r>
          </w:p>
        </w:tc>
        <w:tc>
          <w:tcPr>
            <w:tcW w:w="784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rPr>
                <w:rFonts w:hint="eastAsia" w:ascii="宋体" w:hAnsi="宋体" w:eastAsia="宋体" w:cs="宋体"/>
                <w:sz w:val="24"/>
                <w:lang w:eastAsia="zh-CN"/>
              </w:rPr>
            </w:pPr>
            <w:r>
              <w:rPr>
                <w:rFonts w:hint="eastAsia" w:ascii="宋体" w:hAnsi="宋体" w:cs="宋体"/>
                <w:sz w:val="24"/>
                <w:lang w:eastAsia="zh-CN"/>
              </w:rPr>
              <w:t>本项目为统招分签项目，中标单位中标后须与各县市区单位单独签订合同。</w:t>
            </w:r>
          </w:p>
        </w:tc>
      </w:tr>
    </w:tbl>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29" w:name="_Toc184312121"/>
      <w:bookmarkEnd w:id="29"/>
      <w:bookmarkStart w:id="30" w:name="_Toc184314416"/>
      <w:bookmarkEnd w:id="30"/>
      <w:bookmarkStart w:id="31" w:name="_Toc184308077"/>
      <w:bookmarkEnd w:id="31"/>
      <w:bookmarkStart w:id="32" w:name="_Toc184310332"/>
      <w:bookmarkEnd w:id="32"/>
      <w:bookmarkStart w:id="33" w:name="_Toc184314463"/>
      <w:bookmarkEnd w:id="33"/>
      <w:bookmarkStart w:id="34" w:name="_Toc184313257"/>
      <w:bookmarkEnd w:id="34"/>
      <w:bookmarkStart w:id="35" w:name="_Toc184312130"/>
      <w:bookmarkEnd w:id="35"/>
      <w:bookmarkStart w:id="36" w:name="_Toc184310333"/>
      <w:bookmarkEnd w:id="36"/>
      <w:bookmarkStart w:id="37" w:name="_Toc184308054"/>
      <w:bookmarkEnd w:id="37"/>
      <w:bookmarkStart w:id="38" w:name="_Toc184314410"/>
      <w:bookmarkEnd w:id="38"/>
      <w:bookmarkStart w:id="39" w:name="_Toc184312136"/>
      <w:bookmarkEnd w:id="39"/>
      <w:bookmarkStart w:id="40" w:name="_Toc184310315"/>
      <w:bookmarkEnd w:id="40"/>
      <w:bookmarkStart w:id="41" w:name="_Toc184314464"/>
      <w:bookmarkEnd w:id="41"/>
      <w:bookmarkStart w:id="42" w:name="_Toc184310331"/>
      <w:bookmarkEnd w:id="42"/>
      <w:bookmarkStart w:id="43" w:name="_Toc184313273"/>
      <w:bookmarkEnd w:id="43"/>
      <w:bookmarkStart w:id="44" w:name="_Toc184313251"/>
      <w:bookmarkEnd w:id="44"/>
      <w:bookmarkStart w:id="45" w:name="_Toc184312077"/>
      <w:bookmarkEnd w:id="45"/>
      <w:bookmarkStart w:id="46" w:name="_Toc184313266"/>
      <w:bookmarkEnd w:id="46"/>
      <w:bookmarkStart w:id="47" w:name="_Toc184314450"/>
      <w:bookmarkEnd w:id="47"/>
      <w:bookmarkStart w:id="48" w:name="_Toc184314433"/>
      <w:bookmarkEnd w:id="48"/>
      <w:bookmarkStart w:id="49" w:name="_Toc184313259"/>
      <w:bookmarkEnd w:id="49"/>
      <w:bookmarkStart w:id="50" w:name="_Toc184310314"/>
      <w:bookmarkEnd w:id="50"/>
      <w:bookmarkStart w:id="51" w:name="_Toc184313275"/>
      <w:bookmarkEnd w:id="51"/>
      <w:bookmarkStart w:id="52" w:name="_Toc184314445"/>
      <w:bookmarkEnd w:id="52"/>
      <w:bookmarkStart w:id="53" w:name="_Toc184308087"/>
      <w:bookmarkEnd w:id="53"/>
      <w:bookmarkStart w:id="54" w:name="_Toc184308094"/>
      <w:bookmarkEnd w:id="54"/>
      <w:bookmarkStart w:id="55" w:name="_Toc184312139"/>
      <w:bookmarkEnd w:id="55"/>
      <w:bookmarkStart w:id="56" w:name="_Toc184308044"/>
      <w:bookmarkEnd w:id="56"/>
      <w:bookmarkStart w:id="57" w:name="_Toc184313301"/>
      <w:bookmarkEnd w:id="57"/>
      <w:bookmarkStart w:id="58" w:name="_Toc184308096"/>
      <w:bookmarkEnd w:id="58"/>
      <w:bookmarkStart w:id="59" w:name="_Toc184314414"/>
      <w:bookmarkEnd w:id="59"/>
      <w:bookmarkStart w:id="60" w:name="_Toc184314449"/>
      <w:bookmarkEnd w:id="60"/>
      <w:bookmarkStart w:id="61" w:name="_Toc184314442"/>
      <w:bookmarkEnd w:id="61"/>
      <w:bookmarkStart w:id="62" w:name="_Toc184312067"/>
      <w:bookmarkEnd w:id="62"/>
      <w:bookmarkStart w:id="63" w:name="_Toc184310301"/>
      <w:bookmarkEnd w:id="63"/>
      <w:bookmarkStart w:id="64" w:name="_Toc184308086"/>
      <w:bookmarkEnd w:id="64"/>
      <w:bookmarkStart w:id="65" w:name="_Toc184313261"/>
      <w:bookmarkEnd w:id="65"/>
      <w:bookmarkStart w:id="66" w:name="_Toc184313254"/>
      <w:bookmarkEnd w:id="66"/>
      <w:bookmarkStart w:id="67" w:name="_Toc184312111"/>
      <w:bookmarkEnd w:id="67"/>
      <w:bookmarkStart w:id="68" w:name="_Toc184312115"/>
      <w:bookmarkEnd w:id="68"/>
      <w:bookmarkStart w:id="69" w:name="_Toc184313295"/>
      <w:bookmarkEnd w:id="69"/>
      <w:bookmarkStart w:id="70" w:name="_Toc184310319"/>
      <w:bookmarkEnd w:id="70"/>
      <w:bookmarkStart w:id="71" w:name="_Toc184310321"/>
      <w:bookmarkEnd w:id="71"/>
      <w:bookmarkStart w:id="72" w:name="_Toc184313243"/>
      <w:bookmarkEnd w:id="72"/>
      <w:bookmarkStart w:id="73" w:name="_Toc184310286"/>
      <w:bookmarkEnd w:id="73"/>
      <w:bookmarkStart w:id="74" w:name="_Toc184313265"/>
      <w:bookmarkEnd w:id="74"/>
      <w:bookmarkStart w:id="75" w:name="_Toc184314415"/>
      <w:bookmarkEnd w:id="75"/>
      <w:bookmarkStart w:id="76" w:name="_Toc184308101"/>
      <w:bookmarkEnd w:id="76"/>
      <w:bookmarkStart w:id="77" w:name="_Toc184312089"/>
      <w:bookmarkEnd w:id="77"/>
      <w:bookmarkStart w:id="78" w:name="_Toc184308076"/>
      <w:bookmarkEnd w:id="78"/>
      <w:bookmarkStart w:id="79" w:name="_Toc184312134"/>
      <w:bookmarkEnd w:id="79"/>
      <w:bookmarkStart w:id="80" w:name="_Toc184312083"/>
      <w:bookmarkEnd w:id="80"/>
      <w:bookmarkStart w:id="81" w:name="_Toc184312073"/>
      <w:bookmarkEnd w:id="81"/>
      <w:bookmarkStart w:id="82" w:name="_Toc184308040"/>
      <w:bookmarkEnd w:id="82"/>
      <w:bookmarkStart w:id="83" w:name="_Toc184313240"/>
      <w:bookmarkEnd w:id="83"/>
      <w:bookmarkStart w:id="84" w:name="_Toc184310338"/>
      <w:bookmarkEnd w:id="84"/>
      <w:bookmarkStart w:id="85" w:name="_Toc184312106"/>
      <w:bookmarkEnd w:id="85"/>
      <w:bookmarkStart w:id="86" w:name="_Toc184310341"/>
      <w:bookmarkEnd w:id="86"/>
      <w:bookmarkStart w:id="87" w:name="_Toc184313242"/>
      <w:bookmarkEnd w:id="87"/>
      <w:bookmarkStart w:id="88" w:name="_Toc184314453"/>
      <w:bookmarkEnd w:id="88"/>
      <w:bookmarkStart w:id="89" w:name="_Toc184310316"/>
      <w:bookmarkEnd w:id="89"/>
      <w:bookmarkStart w:id="90" w:name="_Toc184308068"/>
      <w:bookmarkEnd w:id="90"/>
      <w:bookmarkStart w:id="91" w:name="_Toc184313268"/>
      <w:bookmarkEnd w:id="91"/>
      <w:bookmarkStart w:id="92" w:name="_Toc184308085"/>
      <w:bookmarkEnd w:id="92"/>
      <w:bookmarkStart w:id="93" w:name="_Toc184308047"/>
      <w:bookmarkEnd w:id="93"/>
      <w:bookmarkStart w:id="94" w:name="_Toc184312128"/>
      <w:bookmarkEnd w:id="94"/>
      <w:bookmarkStart w:id="95" w:name="_Toc184310293"/>
      <w:bookmarkEnd w:id="95"/>
      <w:bookmarkStart w:id="96" w:name="_Toc184312117"/>
      <w:bookmarkEnd w:id="96"/>
      <w:bookmarkStart w:id="97" w:name="_Toc184310337"/>
      <w:bookmarkEnd w:id="97"/>
      <w:bookmarkStart w:id="98" w:name="_Toc184312118"/>
      <w:bookmarkEnd w:id="98"/>
      <w:bookmarkStart w:id="99" w:name="_Toc184312105"/>
      <w:bookmarkEnd w:id="99"/>
      <w:bookmarkStart w:id="100" w:name="_Toc184308069"/>
      <w:bookmarkEnd w:id="100"/>
      <w:bookmarkStart w:id="101" w:name="_Toc184312133"/>
      <w:bookmarkEnd w:id="101"/>
      <w:bookmarkStart w:id="102" w:name="_Toc184313302"/>
      <w:bookmarkEnd w:id="102"/>
      <w:bookmarkStart w:id="103" w:name="_Toc184308074"/>
      <w:bookmarkEnd w:id="103"/>
      <w:bookmarkStart w:id="104" w:name="_Toc184314459"/>
      <w:bookmarkEnd w:id="104"/>
      <w:bookmarkStart w:id="105" w:name="_Toc184312088"/>
      <w:bookmarkEnd w:id="105"/>
      <w:bookmarkStart w:id="106" w:name="_Toc184312069"/>
      <w:bookmarkEnd w:id="106"/>
      <w:bookmarkStart w:id="107" w:name="_Toc184314412"/>
      <w:bookmarkEnd w:id="107"/>
      <w:bookmarkStart w:id="108" w:name="_Toc184314470"/>
      <w:bookmarkEnd w:id="108"/>
      <w:bookmarkStart w:id="109" w:name="_Toc184310307"/>
      <w:bookmarkEnd w:id="109"/>
      <w:bookmarkStart w:id="110" w:name="_Toc184310326"/>
      <w:bookmarkEnd w:id="110"/>
      <w:bookmarkStart w:id="111" w:name="_Toc184310327"/>
      <w:bookmarkEnd w:id="111"/>
      <w:bookmarkStart w:id="112" w:name="_Toc184308092"/>
      <w:bookmarkEnd w:id="112"/>
      <w:bookmarkStart w:id="113" w:name="_Toc184312132"/>
      <w:bookmarkEnd w:id="113"/>
      <w:bookmarkStart w:id="114" w:name="_Toc184313286"/>
      <w:bookmarkEnd w:id="114"/>
      <w:bookmarkStart w:id="115" w:name="_Toc184310276"/>
      <w:bookmarkEnd w:id="115"/>
      <w:bookmarkStart w:id="116" w:name="_Toc184308043"/>
      <w:bookmarkEnd w:id="116"/>
      <w:bookmarkStart w:id="117" w:name="_Toc184308072"/>
      <w:bookmarkEnd w:id="117"/>
      <w:bookmarkStart w:id="118" w:name="_Toc184312100"/>
      <w:bookmarkEnd w:id="118"/>
      <w:bookmarkStart w:id="119" w:name="_Toc184308064"/>
      <w:bookmarkEnd w:id="119"/>
      <w:bookmarkStart w:id="120" w:name="_Toc184308098"/>
      <w:bookmarkEnd w:id="120"/>
      <w:bookmarkStart w:id="121" w:name="_Toc184308080"/>
      <w:bookmarkEnd w:id="121"/>
      <w:bookmarkStart w:id="122" w:name="_Toc184313250"/>
      <w:bookmarkEnd w:id="122"/>
      <w:bookmarkStart w:id="123" w:name="_Toc184308057"/>
      <w:bookmarkEnd w:id="123"/>
      <w:bookmarkStart w:id="124" w:name="_Toc184313281"/>
      <w:bookmarkEnd w:id="124"/>
      <w:bookmarkStart w:id="125" w:name="_Toc184312113"/>
      <w:bookmarkEnd w:id="125"/>
      <w:bookmarkStart w:id="126" w:name="_Toc184312108"/>
      <w:bookmarkEnd w:id="126"/>
      <w:bookmarkStart w:id="127" w:name="_Toc184310325"/>
      <w:bookmarkEnd w:id="127"/>
      <w:bookmarkStart w:id="128" w:name="_Toc184308050"/>
      <w:bookmarkEnd w:id="128"/>
      <w:bookmarkStart w:id="129" w:name="_Toc184308059"/>
      <w:bookmarkEnd w:id="129"/>
      <w:bookmarkStart w:id="130" w:name="_Toc184314465"/>
      <w:bookmarkEnd w:id="130"/>
      <w:bookmarkStart w:id="131" w:name="_Toc184310328"/>
      <w:bookmarkEnd w:id="131"/>
      <w:bookmarkStart w:id="132" w:name="_Toc184308093"/>
      <w:bookmarkEnd w:id="132"/>
      <w:bookmarkStart w:id="133" w:name="_Toc184313297"/>
      <w:bookmarkEnd w:id="133"/>
      <w:bookmarkStart w:id="134" w:name="_Toc184314421"/>
      <w:bookmarkEnd w:id="134"/>
      <w:bookmarkStart w:id="135" w:name="_Toc184312076"/>
      <w:bookmarkEnd w:id="135"/>
      <w:bookmarkStart w:id="136" w:name="_Toc184310340"/>
      <w:bookmarkEnd w:id="136"/>
      <w:bookmarkStart w:id="137" w:name="_Toc184314423"/>
      <w:bookmarkEnd w:id="137"/>
      <w:bookmarkStart w:id="138" w:name="_Toc184310278"/>
      <w:bookmarkEnd w:id="138"/>
      <w:bookmarkStart w:id="139" w:name="_Toc184314462"/>
      <w:bookmarkEnd w:id="139"/>
      <w:bookmarkStart w:id="140" w:name="_Toc184310300"/>
      <w:bookmarkEnd w:id="140"/>
      <w:bookmarkStart w:id="141" w:name="_Toc184314440"/>
      <w:bookmarkEnd w:id="141"/>
      <w:bookmarkStart w:id="142" w:name="_Toc184314436"/>
      <w:bookmarkEnd w:id="142"/>
      <w:bookmarkStart w:id="143" w:name="_Toc184313278"/>
      <w:bookmarkEnd w:id="143"/>
      <w:bookmarkStart w:id="144" w:name="_Toc184314417"/>
      <w:bookmarkEnd w:id="144"/>
      <w:bookmarkStart w:id="145" w:name="_Toc184312131"/>
      <w:bookmarkEnd w:id="145"/>
      <w:bookmarkStart w:id="146" w:name="_Toc184314480"/>
      <w:bookmarkEnd w:id="146"/>
      <w:bookmarkStart w:id="147" w:name="_Toc184310336"/>
      <w:bookmarkEnd w:id="147"/>
      <w:bookmarkStart w:id="148" w:name="_Toc184313274"/>
      <w:bookmarkEnd w:id="148"/>
      <w:bookmarkStart w:id="149" w:name="_Toc184308081"/>
      <w:bookmarkEnd w:id="149"/>
      <w:bookmarkStart w:id="150" w:name="_Toc184313280"/>
      <w:bookmarkEnd w:id="150"/>
      <w:bookmarkStart w:id="151" w:name="_Toc184312080"/>
      <w:bookmarkEnd w:id="151"/>
      <w:bookmarkStart w:id="152" w:name="_Toc184310334"/>
      <w:bookmarkEnd w:id="152"/>
      <w:bookmarkStart w:id="153" w:name="_Toc184312078"/>
      <w:bookmarkEnd w:id="153"/>
      <w:bookmarkStart w:id="154" w:name="_Toc184310291"/>
      <w:bookmarkEnd w:id="154"/>
      <w:bookmarkStart w:id="155" w:name="_Toc184313300"/>
      <w:bookmarkEnd w:id="155"/>
      <w:bookmarkStart w:id="156" w:name="_Toc184310320"/>
      <w:bookmarkEnd w:id="156"/>
      <w:bookmarkStart w:id="157" w:name="_Toc184308078"/>
      <w:bookmarkEnd w:id="157"/>
      <w:bookmarkStart w:id="158" w:name="_Toc184314427"/>
      <w:bookmarkEnd w:id="158"/>
      <w:bookmarkStart w:id="159" w:name="_Toc184314422"/>
      <w:bookmarkEnd w:id="159"/>
      <w:bookmarkStart w:id="160" w:name="_Toc184308103"/>
      <w:bookmarkEnd w:id="160"/>
      <w:bookmarkStart w:id="161" w:name="_Toc184313263"/>
      <w:bookmarkEnd w:id="161"/>
      <w:bookmarkStart w:id="162" w:name="_Toc184310339"/>
      <w:bookmarkEnd w:id="162"/>
      <w:bookmarkStart w:id="163" w:name="_Toc184312091"/>
      <w:bookmarkEnd w:id="163"/>
      <w:bookmarkStart w:id="164" w:name="_Toc184313253"/>
      <w:bookmarkEnd w:id="164"/>
      <w:bookmarkStart w:id="165" w:name="_Toc184313245"/>
      <w:bookmarkEnd w:id="165"/>
      <w:bookmarkStart w:id="166" w:name="_Toc184310342"/>
      <w:bookmarkEnd w:id="166"/>
      <w:bookmarkStart w:id="167" w:name="_Toc184312097"/>
      <w:bookmarkEnd w:id="167"/>
      <w:bookmarkStart w:id="168" w:name="_Toc184310298"/>
      <w:bookmarkEnd w:id="168"/>
      <w:bookmarkStart w:id="169" w:name="_Toc184314448"/>
      <w:bookmarkEnd w:id="169"/>
      <w:bookmarkStart w:id="170" w:name="_Toc184314451"/>
      <w:bookmarkEnd w:id="170"/>
      <w:bookmarkStart w:id="171" w:name="_Toc184310280"/>
      <w:bookmarkEnd w:id="171"/>
      <w:bookmarkStart w:id="172" w:name="_Toc184312124"/>
      <w:bookmarkEnd w:id="172"/>
      <w:bookmarkStart w:id="173" w:name="_Toc184310335"/>
      <w:bookmarkEnd w:id="173"/>
      <w:bookmarkStart w:id="174" w:name="_Toc184312082"/>
      <w:bookmarkEnd w:id="174"/>
      <w:bookmarkStart w:id="175" w:name="_Toc184308036"/>
      <w:bookmarkEnd w:id="175"/>
      <w:bookmarkStart w:id="176" w:name="_Toc184308048"/>
      <w:bookmarkEnd w:id="176"/>
      <w:bookmarkStart w:id="177" w:name="_Toc184308056"/>
      <w:bookmarkEnd w:id="177"/>
      <w:bookmarkStart w:id="178" w:name="_Toc184312126"/>
      <w:bookmarkEnd w:id="178"/>
      <w:bookmarkStart w:id="179" w:name="_Toc184314455"/>
      <w:bookmarkEnd w:id="179"/>
      <w:bookmarkStart w:id="180" w:name="_Toc184310302"/>
      <w:bookmarkEnd w:id="180"/>
      <w:bookmarkStart w:id="181" w:name="_Toc184314426"/>
      <w:bookmarkEnd w:id="181"/>
      <w:bookmarkStart w:id="182" w:name="_Toc184308049"/>
      <w:bookmarkEnd w:id="182"/>
      <w:bookmarkStart w:id="183" w:name="_Toc184312098"/>
      <w:bookmarkEnd w:id="183"/>
      <w:bookmarkStart w:id="184" w:name="_Toc184308053"/>
      <w:bookmarkEnd w:id="184"/>
      <w:bookmarkStart w:id="185" w:name="_Toc184314472"/>
      <w:bookmarkEnd w:id="185"/>
      <w:bookmarkStart w:id="186" w:name="_Toc184310304"/>
      <w:bookmarkEnd w:id="186"/>
      <w:bookmarkStart w:id="187" w:name="_Toc184313247"/>
      <w:bookmarkEnd w:id="187"/>
      <w:bookmarkStart w:id="188" w:name="_Toc184312122"/>
      <w:bookmarkEnd w:id="188"/>
      <w:bookmarkStart w:id="189" w:name="_Toc184312068"/>
      <w:bookmarkEnd w:id="189"/>
      <w:bookmarkStart w:id="190" w:name="_Toc184313255"/>
      <w:bookmarkEnd w:id="190"/>
      <w:bookmarkStart w:id="191" w:name="_Toc184312070"/>
      <w:bookmarkEnd w:id="191"/>
      <w:bookmarkStart w:id="192" w:name="_Toc184314458"/>
      <w:bookmarkEnd w:id="192"/>
      <w:bookmarkStart w:id="193" w:name="_Toc184312112"/>
      <w:bookmarkEnd w:id="193"/>
      <w:bookmarkStart w:id="194" w:name="_Toc184310275"/>
      <w:bookmarkEnd w:id="194"/>
      <w:bookmarkStart w:id="195" w:name="_Toc184308065"/>
      <w:bookmarkEnd w:id="195"/>
      <w:bookmarkStart w:id="196" w:name="_Toc184312095"/>
      <w:bookmarkEnd w:id="196"/>
      <w:bookmarkStart w:id="197" w:name="_Toc184310343"/>
      <w:bookmarkEnd w:id="197"/>
      <w:bookmarkStart w:id="198" w:name="_Toc184310329"/>
      <w:bookmarkEnd w:id="198"/>
      <w:bookmarkStart w:id="199" w:name="_Toc184312119"/>
      <w:bookmarkEnd w:id="199"/>
      <w:bookmarkStart w:id="200" w:name="_Toc184313285"/>
      <w:bookmarkEnd w:id="200"/>
      <w:bookmarkStart w:id="201" w:name="_Toc184313299"/>
      <w:bookmarkEnd w:id="201"/>
      <w:bookmarkStart w:id="202" w:name="_Toc184314452"/>
      <w:bookmarkEnd w:id="202"/>
      <w:bookmarkStart w:id="203" w:name="_Toc184308075"/>
      <w:bookmarkEnd w:id="203"/>
      <w:bookmarkStart w:id="204" w:name="_Toc184313241"/>
      <w:bookmarkEnd w:id="204"/>
      <w:bookmarkStart w:id="205" w:name="_Toc184308070"/>
      <w:bookmarkEnd w:id="205"/>
      <w:bookmarkStart w:id="206" w:name="_Toc184310310"/>
      <w:bookmarkEnd w:id="206"/>
      <w:bookmarkStart w:id="207" w:name="_Toc184310313"/>
      <w:bookmarkEnd w:id="207"/>
      <w:bookmarkStart w:id="208" w:name="_Toc184308083"/>
      <w:bookmarkEnd w:id="208"/>
      <w:bookmarkStart w:id="209" w:name="_Toc184314437"/>
      <w:bookmarkEnd w:id="209"/>
      <w:bookmarkStart w:id="210" w:name="_Toc184312125"/>
      <w:bookmarkEnd w:id="210"/>
      <w:bookmarkStart w:id="211" w:name="_Toc184310309"/>
      <w:bookmarkEnd w:id="211"/>
      <w:bookmarkStart w:id="212" w:name="_Toc184313289"/>
      <w:bookmarkEnd w:id="212"/>
      <w:bookmarkStart w:id="213" w:name="_Toc184314476"/>
      <w:bookmarkEnd w:id="213"/>
      <w:bookmarkStart w:id="214" w:name="_Toc184314432"/>
      <w:bookmarkEnd w:id="214"/>
      <w:bookmarkStart w:id="215" w:name="_Toc184312107"/>
      <w:bookmarkEnd w:id="215"/>
      <w:bookmarkStart w:id="216" w:name="_Toc184308060"/>
      <w:bookmarkEnd w:id="216"/>
      <w:bookmarkStart w:id="217" w:name="_Toc184313283"/>
      <w:bookmarkEnd w:id="217"/>
      <w:bookmarkStart w:id="218" w:name="_Toc184313284"/>
      <w:bookmarkEnd w:id="218"/>
      <w:bookmarkStart w:id="219" w:name="_Toc184308037"/>
      <w:bookmarkEnd w:id="219"/>
      <w:bookmarkStart w:id="220" w:name="_Toc184313292"/>
      <w:bookmarkEnd w:id="220"/>
      <w:bookmarkStart w:id="221" w:name="_Toc184313270"/>
      <w:bookmarkEnd w:id="221"/>
      <w:bookmarkStart w:id="222" w:name="_Toc184310294"/>
      <w:bookmarkEnd w:id="222"/>
      <w:bookmarkStart w:id="223" w:name="_Toc184312114"/>
      <w:bookmarkEnd w:id="223"/>
      <w:bookmarkStart w:id="224" w:name="_Toc184313304"/>
      <w:bookmarkEnd w:id="224"/>
      <w:bookmarkStart w:id="225" w:name="_Toc184313279"/>
      <w:bookmarkEnd w:id="225"/>
      <w:bookmarkStart w:id="226" w:name="_Toc184310277"/>
      <w:bookmarkEnd w:id="226"/>
      <w:bookmarkStart w:id="227" w:name="_Toc184312084"/>
      <w:bookmarkEnd w:id="227"/>
      <w:bookmarkStart w:id="228" w:name="_Toc184314434"/>
      <w:bookmarkEnd w:id="228"/>
      <w:bookmarkStart w:id="229" w:name="_Toc184308046"/>
      <w:bookmarkEnd w:id="229"/>
      <w:bookmarkStart w:id="230" w:name="_Toc184308104"/>
      <w:bookmarkEnd w:id="230"/>
      <w:bookmarkStart w:id="231" w:name="_Toc184314477"/>
      <w:bookmarkEnd w:id="231"/>
      <w:bookmarkStart w:id="232" w:name="_Toc184308055"/>
      <w:bookmarkEnd w:id="232"/>
      <w:bookmarkStart w:id="233" w:name="_Toc184313267"/>
      <w:bookmarkEnd w:id="233"/>
      <w:bookmarkStart w:id="234" w:name="_Toc184313260"/>
      <w:bookmarkEnd w:id="234"/>
      <w:bookmarkStart w:id="235" w:name="_Toc184312129"/>
      <w:bookmarkEnd w:id="235"/>
      <w:bookmarkStart w:id="236" w:name="_Toc184308051"/>
      <w:bookmarkEnd w:id="236"/>
      <w:bookmarkStart w:id="237" w:name="_Toc184314430"/>
      <w:bookmarkEnd w:id="237"/>
      <w:bookmarkStart w:id="238" w:name="_Toc184310299"/>
      <w:bookmarkEnd w:id="238"/>
      <w:bookmarkStart w:id="239" w:name="_Toc184314469"/>
      <w:bookmarkEnd w:id="239"/>
      <w:bookmarkStart w:id="240" w:name="_Toc184310288"/>
      <w:bookmarkEnd w:id="240"/>
      <w:bookmarkStart w:id="241" w:name="_Toc184312110"/>
      <w:bookmarkEnd w:id="241"/>
      <w:bookmarkStart w:id="242" w:name="_Toc184312137"/>
      <w:bookmarkEnd w:id="242"/>
      <w:bookmarkStart w:id="243" w:name="_Toc184308073"/>
      <w:bookmarkEnd w:id="243"/>
      <w:bookmarkStart w:id="244" w:name="_Toc184313258"/>
      <w:bookmarkEnd w:id="244"/>
      <w:bookmarkStart w:id="245" w:name="_Toc184310297"/>
      <w:bookmarkEnd w:id="245"/>
      <w:bookmarkStart w:id="246" w:name="_Toc184314419"/>
      <w:bookmarkEnd w:id="246"/>
      <w:bookmarkStart w:id="247" w:name="_Toc184312103"/>
      <w:bookmarkEnd w:id="247"/>
      <w:bookmarkStart w:id="248" w:name="_Toc184313293"/>
      <w:bookmarkEnd w:id="248"/>
      <w:bookmarkStart w:id="249" w:name="_Toc184308038"/>
      <w:bookmarkEnd w:id="249"/>
      <w:bookmarkStart w:id="250" w:name="_Toc184313269"/>
      <w:bookmarkEnd w:id="250"/>
      <w:bookmarkStart w:id="251" w:name="_Toc184314446"/>
      <w:bookmarkEnd w:id="251"/>
      <w:bookmarkStart w:id="252" w:name="_Toc184313288"/>
      <w:bookmarkEnd w:id="252"/>
      <w:bookmarkStart w:id="253" w:name="_Toc184313282"/>
      <w:bookmarkEnd w:id="253"/>
      <w:bookmarkStart w:id="254" w:name="_Toc184313246"/>
      <w:bookmarkEnd w:id="254"/>
      <w:bookmarkStart w:id="255" w:name="_Toc184310279"/>
      <w:bookmarkEnd w:id="255"/>
      <w:bookmarkStart w:id="256" w:name="_Toc184310330"/>
      <w:bookmarkEnd w:id="256"/>
      <w:bookmarkStart w:id="257" w:name="_Toc184310272"/>
      <w:bookmarkEnd w:id="257"/>
      <w:bookmarkStart w:id="258" w:name="_Toc184313248"/>
      <w:bookmarkEnd w:id="258"/>
      <w:bookmarkStart w:id="259" w:name="_Toc184310289"/>
      <w:bookmarkEnd w:id="259"/>
      <w:bookmarkStart w:id="260" w:name="_Toc184312096"/>
      <w:bookmarkEnd w:id="260"/>
      <w:bookmarkStart w:id="261" w:name="_Toc184314443"/>
      <w:bookmarkEnd w:id="261"/>
      <w:bookmarkStart w:id="262" w:name="_Toc184312104"/>
      <w:bookmarkEnd w:id="262"/>
      <w:bookmarkStart w:id="263" w:name="_Toc184310285"/>
      <w:bookmarkEnd w:id="263"/>
      <w:bookmarkStart w:id="264" w:name="_Toc184308082"/>
      <w:bookmarkEnd w:id="264"/>
      <w:bookmarkStart w:id="265" w:name="_Toc184314468"/>
      <w:bookmarkEnd w:id="265"/>
      <w:bookmarkStart w:id="266" w:name="_Toc184308106"/>
      <w:bookmarkEnd w:id="266"/>
      <w:bookmarkStart w:id="267" w:name="_Toc184314482"/>
      <w:bookmarkEnd w:id="267"/>
      <w:bookmarkStart w:id="268" w:name="_Toc184314479"/>
      <w:bookmarkEnd w:id="268"/>
      <w:bookmarkStart w:id="269" w:name="_Toc184313307"/>
      <w:bookmarkEnd w:id="269"/>
      <w:bookmarkStart w:id="270" w:name="_Toc184313305"/>
      <w:bookmarkEnd w:id="270"/>
      <w:bookmarkStart w:id="271" w:name="_Toc184312074"/>
      <w:bookmarkEnd w:id="271"/>
      <w:bookmarkStart w:id="272" w:name="_Toc184313287"/>
      <w:bookmarkEnd w:id="272"/>
      <w:bookmarkStart w:id="273" w:name="_Toc184314467"/>
      <w:bookmarkEnd w:id="273"/>
      <w:bookmarkStart w:id="274" w:name="_Toc184312102"/>
      <w:bookmarkEnd w:id="274"/>
      <w:bookmarkStart w:id="275" w:name="_Toc184313309"/>
      <w:bookmarkEnd w:id="275"/>
      <w:bookmarkStart w:id="276" w:name="_Toc184313310"/>
      <w:bookmarkEnd w:id="276"/>
      <w:bookmarkStart w:id="277" w:name="_Toc184312101"/>
      <w:bookmarkEnd w:id="277"/>
      <w:bookmarkStart w:id="278" w:name="_Toc184308063"/>
      <w:bookmarkEnd w:id="278"/>
      <w:bookmarkStart w:id="279" w:name="_Toc184314439"/>
      <w:bookmarkEnd w:id="279"/>
      <w:bookmarkStart w:id="280" w:name="_Toc184313277"/>
      <w:bookmarkEnd w:id="280"/>
      <w:bookmarkStart w:id="281" w:name="_Toc184313296"/>
      <w:bookmarkEnd w:id="281"/>
      <w:bookmarkStart w:id="282" w:name="_Toc184314454"/>
      <w:bookmarkEnd w:id="282"/>
      <w:bookmarkStart w:id="283" w:name="_Toc184312138"/>
      <w:bookmarkEnd w:id="283"/>
      <w:bookmarkStart w:id="284" w:name="_Toc184308067"/>
      <w:bookmarkEnd w:id="284"/>
      <w:bookmarkStart w:id="285" w:name="_Toc184310295"/>
      <w:bookmarkEnd w:id="285"/>
      <w:bookmarkStart w:id="286" w:name="_Toc184313306"/>
      <w:bookmarkEnd w:id="286"/>
      <w:bookmarkStart w:id="287" w:name="_Toc184314474"/>
      <w:bookmarkEnd w:id="287"/>
      <w:bookmarkStart w:id="288" w:name="_Toc184313298"/>
      <w:bookmarkEnd w:id="288"/>
      <w:bookmarkStart w:id="289" w:name="_Toc184314411"/>
      <w:bookmarkEnd w:id="289"/>
      <w:bookmarkStart w:id="290" w:name="_Toc184312081"/>
      <w:bookmarkEnd w:id="290"/>
      <w:bookmarkStart w:id="291" w:name="_Toc184310303"/>
      <w:bookmarkEnd w:id="291"/>
      <w:bookmarkStart w:id="292" w:name="_Toc184314473"/>
      <w:bookmarkEnd w:id="292"/>
      <w:bookmarkStart w:id="293" w:name="_Toc184313262"/>
      <w:bookmarkEnd w:id="293"/>
      <w:bookmarkStart w:id="294" w:name="_Toc184312079"/>
      <w:bookmarkEnd w:id="294"/>
      <w:bookmarkStart w:id="295" w:name="_Toc184312086"/>
      <w:bookmarkEnd w:id="295"/>
      <w:bookmarkStart w:id="296" w:name="_Toc184310344"/>
      <w:bookmarkEnd w:id="296"/>
      <w:bookmarkStart w:id="297" w:name="_Toc184308108"/>
      <w:bookmarkEnd w:id="297"/>
      <w:bookmarkStart w:id="298" w:name="_Toc184314431"/>
      <w:bookmarkEnd w:id="298"/>
      <w:bookmarkStart w:id="299" w:name="_Toc184310323"/>
      <w:bookmarkEnd w:id="299"/>
      <w:bookmarkStart w:id="300" w:name="_Toc184308062"/>
      <w:bookmarkEnd w:id="300"/>
      <w:bookmarkStart w:id="301" w:name="_Toc184313238"/>
      <w:bookmarkEnd w:id="301"/>
      <w:bookmarkStart w:id="302" w:name="_Toc184314418"/>
      <w:bookmarkEnd w:id="302"/>
      <w:bookmarkStart w:id="303" w:name="_Toc184312127"/>
      <w:bookmarkEnd w:id="303"/>
      <w:bookmarkStart w:id="304" w:name="_Toc184308089"/>
      <w:bookmarkEnd w:id="304"/>
      <w:bookmarkStart w:id="305" w:name="_Toc184313272"/>
      <w:bookmarkEnd w:id="305"/>
      <w:bookmarkStart w:id="306" w:name="_Toc184312071"/>
      <w:bookmarkEnd w:id="306"/>
      <w:bookmarkStart w:id="307" w:name="_Toc184308105"/>
      <w:bookmarkEnd w:id="307"/>
      <w:bookmarkStart w:id="308" w:name="_Toc184312099"/>
      <w:bookmarkEnd w:id="308"/>
      <w:bookmarkStart w:id="309" w:name="_Toc184314471"/>
      <w:bookmarkEnd w:id="309"/>
      <w:bookmarkStart w:id="310" w:name="_Toc184308100"/>
      <w:bookmarkEnd w:id="310"/>
      <w:bookmarkStart w:id="311" w:name="_Toc184308097"/>
      <w:bookmarkEnd w:id="311"/>
      <w:bookmarkStart w:id="312" w:name="_Toc184313264"/>
      <w:bookmarkEnd w:id="312"/>
      <w:bookmarkStart w:id="313" w:name="_Toc184312123"/>
      <w:bookmarkEnd w:id="313"/>
      <w:bookmarkStart w:id="314" w:name="_Toc184310281"/>
      <w:bookmarkEnd w:id="314"/>
      <w:bookmarkStart w:id="315" w:name="_Toc184308039"/>
      <w:bookmarkEnd w:id="315"/>
      <w:bookmarkStart w:id="316" w:name="_Toc184310282"/>
      <w:bookmarkEnd w:id="316"/>
      <w:bookmarkStart w:id="317" w:name="_Toc184308084"/>
      <w:bookmarkEnd w:id="317"/>
      <w:bookmarkStart w:id="318" w:name="_Toc184310292"/>
      <w:bookmarkEnd w:id="318"/>
      <w:bookmarkStart w:id="319" w:name="_Toc184313294"/>
      <w:bookmarkEnd w:id="319"/>
      <w:bookmarkStart w:id="320" w:name="_Toc184310312"/>
      <w:bookmarkEnd w:id="320"/>
      <w:bookmarkStart w:id="321" w:name="_Toc184314456"/>
      <w:bookmarkEnd w:id="321"/>
      <w:bookmarkStart w:id="322" w:name="_Toc184314441"/>
      <w:bookmarkEnd w:id="322"/>
      <w:bookmarkStart w:id="323" w:name="_Toc184310273"/>
      <w:bookmarkEnd w:id="323"/>
      <w:bookmarkStart w:id="324" w:name="_Toc184313303"/>
      <w:bookmarkEnd w:id="324"/>
      <w:bookmarkStart w:id="325" w:name="_Toc184310287"/>
      <w:bookmarkEnd w:id="325"/>
      <w:bookmarkStart w:id="326" w:name="_Toc184313256"/>
      <w:bookmarkEnd w:id="326"/>
      <w:bookmarkStart w:id="327" w:name="_Toc184308071"/>
      <w:bookmarkEnd w:id="327"/>
      <w:bookmarkStart w:id="328" w:name="_Toc184314420"/>
      <w:bookmarkEnd w:id="328"/>
      <w:bookmarkStart w:id="329" w:name="_Toc184314447"/>
      <w:bookmarkEnd w:id="329"/>
      <w:bookmarkStart w:id="330" w:name="_Toc184312085"/>
      <w:bookmarkEnd w:id="330"/>
      <w:bookmarkStart w:id="331" w:name="_Toc184314429"/>
      <w:bookmarkEnd w:id="331"/>
      <w:bookmarkStart w:id="332" w:name="_Toc184314444"/>
      <w:bookmarkEnd w:id="332"/>
      <w:bookmarkStart w:id="333" w:name="_Toc184314460"/>
      <w:bookmarkEnd w:id="333"/>
      <w:bookmarkStart w:id="334" w:name="_Toc184314438"/>
      <w:bookmarkEnd w:id="334"/>
      <w:bookmarkStart w:id="335" w:name="_Toc184313249"/>
      <w:bookmarkEnd w:id="335"/>
      <w:bookmarkStart w:id="336" w:name="_Toc184312109"/>
      <w:bookmarkEnd w:id="336"/>
      <w:bookmarkStart w:id="337" w:name="_Toc184312075"/>
      <w:bookmarkEnd w:id="337"/>
      <w:bookmarkStart w:id="338" w:name="_Toc184310318"/>
      <w:bookmarkEnd w:id="338"/>
      <w:bookmarkStart w:id="339" w:name="_Toc184313291"/>
      <w:bookmarkEnd w:id="339"/>
      <w:bookmarkStart w:id="340" w:name="_Toc184314478"/>
      <w:bookmarkEnd w:id="340"/>
      <w:bookmarkStart w:id="341" w:name="_Toc184314461"/>
      <w:bookmarkEnd w:id="341"/>
      <w:bookmarkStart w:id="342" w:name="_Toc184310283"/>
      <w:bookmarkEnd w:id="342"/>
      <w:bookmarkStart w:id="343" w:name="_Toc184310311"/>
      <w:bookmarkEnd w:id="343"/>
      <w:bookmarkStart w:id="344" w:name="_Toc184312135"/>
      <w:bookmarkEnd w:id="344"/>
      <w:bookmarkStart w:id="345" w:name="_Toc184313252"/>
      <w:bookmarkEnd w:id="345"/>
      <w:bookmarkStart w:id="346" w:name="_Toc184310284"/>
      <w:bookmarkEnd w:id="346"/>
      <w:bookmarkStart w:id="347" w:name="_Toc184312092"/>
      <w:bookmarkEnd w:id="347"/>
      <w:bookmarkStart w:id="348" w:name="_Toc184310296"/>
      <w:bookmarkEnd w:id="348"/>
      <w:bookmarkStart w:id="349" w:name="_Toc184310306"/>
      <w:bookmarkEnd w:id="349"/>
      <w:bookmarkStart w:id="350" w:name="_Toc184308045"/>
      <w:bookmarkEnd w:id="350"/>
      <w:bookmarkStart w:id="351" w:name="_Toc184312093"/>
      <w:bookmarkEnd w:id="351"/>
      <w:bookmarkStart w:id="352" w:name="_Toc184308041"/>
      <w:bookmarkEnd w:id="352"/>
      <w:bookmarkStart w:id="353" w:name="_Toc184313244"/>
      <w:bookmarkEnd w:id="353"/>
      <w:bookmarkStart w:id="354" w:name="_Toc184308066"/>
      <w:bookmarkEnd w:id="354"/>
      <w:bookmarkStart w:id="355" w:name="_Toc184308042"/>
      <w:bookmarkEnd w:id="355"/>
      <w:bookmarkStart w:id="356" w:name="_Toc184314428"/>
      <w:bookmarkEnd w:id="356"/>
      <w:bookmarkStart w:id="357" w:name="_Toc184313239"/>
      <w:bookmarkEnd w:id="357"/>
      <w:bookmarkStart w:id="358" w:name="_Toc184314457"/>
      <w:bookmarkEnd w:id="358"/>
      <w:bookmarkStart w:id="359" w:name="_Toc184310324"/>
      <w:bookmarkEnd w:id="359"/>
      <w:bookmarkStart w:id="360" w:name="_Toc184310290"/>
      <w:bookmarkEnd w:id="360"/>
      <w:bookmarkStart w:id="361" w:name="_Toc184308095"/>
      <w:bookmarkEnd w:id="361"/>
      <w:bookmarkStart w:id="362" w:name="_Toc184308091"/>
      <w:bookmarkEnd w:id="362"/>
      <w:bookmarkStart w:id="363" w:name="_Toc184313271"/>
      <w:bookmarkEnd w:id="363"/>
      <w:bookmarkStart w:id="364" w:name="_Toc184310274"/>
      <w:bookmarkEnd w:id="364"/>
      <w:bookmarkStart w:id="365" w:name="_Toc184312120"/>
      <w:bookmarkEnd w:id="365"/>
      <w:bookmarkStart w:id="366" w:name="_Toc184314466"/>
      <w:bookmarkEnd w:id="366"/>
      <w:bookmarkStart w:id="367" w:name="_Toc184313290"/>
      <w:bookmarkEnd w:id="367"/>
      <w:bookmarkStart w:id="368" w:name="_Toc184313276"/>
      <w:bookmarkEnd w:id="368"/>
      <w:bookmarkStart w:id="369" w:name="_Toc184308052"/>
      <w:bookmarkEnd w:id="369"/>
      <w:bookmarkStart w:id="370" w:name="_Toc184313308"/>
      <w:bookmarkEnd w:id="370"/>
      <w:bookmarkStart w:id="371" w:name="_Toc184308061"/>
      <w:bookmarkEnd w:id="371"/>
      <w:bookmarkStart w:id="372" w:name="_Toc184312116"/>
      <w:bookmarkEnd w:id="372"/>
      <w:bookmarkStart w:id="373" w:name="_Toc184308099"/>
      <w:bookmarkEnd w:id="373"/>
      <w:bookmarkStart w:id="374" w:name="_Toc184314425"/>
      <w:bookmarkEnd w:id="374"/>
      <w:bookmarkStart w:id="375" w:name="_Toc184314424"/>
      <w:bookmarkEnd w:id="375"/>
      <w:bookmarkStart w:id="376" w:name="_Toc184312090"/>
      <w:bookmarkEnd w:id="376"/>
      <w:bookmarkStart w:id="377" w:name="_Toc184314475"/>
      <w:bookmarkEnd w:id="377"/>
      <w:bookmarkStart w:id="378" w:name="_Toc184312087"/>
      <w:bookmarkEnd w:id="378"/>
      <w:bookmarkStart w:id="379" w:name="_Toc184312094"/>
      <w:bookmarkEnd w:id="379"/>
      <w:bookmarkStart w:id="380" w:name="_Toc184308107"/>
      <w:bookmarkEnd w:id="380"/>
      <w:bookmarkStart w:id="381" w:name="_Toc184314481"/>
      <w:bookmarkEnd w:id="381"/>
      <w:bookmarkStart w:id="382" w:name="_Toc184308058"/>
      <w:bookmarkEnd w:id="382"/>
      <w:bookmarkStart w:id="383" w:name="_Toc184314435"/>
      <w:bookmarkEnd w:id="383"/>
      <w:bookmarkStart w:id="384" w:name="_Toc184310305"/>
      <w:bookmarkEnd w:id="384"/>
      <w:bookmarkStart w:id="385" w:name="_Toc184308090"/>
      <w:bookmarkEnd w:id="385"/>
      <w:bookmarkStart w:id="386" w:name="_Toc184308088"/>
      <w:bookmarkEnd w:id="386"/>
      <w:bookmarkStart w:id="387" w:name="_Toc184312072"/>
      <w:bookmarkEnd w:id="387"/>
      <w:bookmarkStart w:id="388" w:name="_Toc184314413"/>
      <w:bookmarkEnd w:id="388"/>
      <w:bookmarkStart w:id="389" w:name="_Toc184310317"/>
      <w:bookmarkEnd w:id="389"/>
      <w:bookmarkStart w:id="390" w:name="_Toc184310322"/>
      <w:bookmarkEnd w:id="390"/>
      <w:bookmarkStart w:id="391" w:name="_Toc184310308"/>
      <w:bookmarkEnd w:id="391"/>
      <w:bookmarkStart w:id="392" w:name="_Toc184308079"/>
      <w:bookmarkEnd w:id="392"/>
      <w:bookmarkStart w:id="393" w:name="_Toc184308102"/>
      <w:bookmarkEnd w:id="393"/>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snapToGrid w:val="0"/>
        <w:spacing w:line="360" w:lineRule="auto"/>
        <w:rPr>
          <w:rFonts w:hint="eastAsia" w:ascii="宋体" w:hAnsi="宋体" w:eastAsia="宋体" w:cs="宋体"/>
          <w:b/>
          <w:sz w:val="30"/>
          <w:szCs w:val="30"/>
          <w:lang w:eastAsia="zh-CN"/>
        </w:rPr>
      </w:pPr>
      <w:r>
        <w:rPr>
          <w:rFonts w:hint="eastAsia" w:ascii="宋体" w:hAnsi="宋体" w:cs="宋体"/>
          <w:b/>
          <w:sz w:val="30"/>
          <w:szCs w:val="30"/>
        </w:rPr>
        <w:t>资信商务技术分（70分）</w:t>
      </w:r>
      <w:r>
        <w:rPr>
          <w:rFonts w:hint="eastAsia" w:ascii="宋体" w:hAnsi="宋体" w:cs="宋体"/>
          <w:b/>
          <w:sz w:val="30"/>
          <w:szCs w:val="30"/>
          <w:lang w:eastAsia="zh-CN"/>
        </w:rPr>
        <w:t>（适用于所有标项）</w:t>
      </w:r>
    </w:p>
    <w:tbl>
      <w:tblPr>
        <w:tblStyle w:val="63"/>
        <w:tblW w:w="50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70"/>
        <w:gridCol w:w="6160"/>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6" w:hRule="atLeast"/>
          <w:jc w:val="center"/>
        </w:trPr>
        <w:tc>
          <w:tcPr>
            <w:tcW w:w="818" w:type="pct"/>
            <w:noWrap w:val="0"/>
            <w:vAlign w:val="center"/>
          </w:tcPr>
          <w:p>
            <w:pPr>
              <w:widowControl/>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评审项目</w:t>
            </w:r>
          </w:p>
        </w:tc>
        <w:tc>
          <w:tcPr>
            <w:tcW w:w="3679" w:type="pct"/>
            <w:noWrap w:val="0"/>
            <w:vAlign w:val="center"/>
          </w:tcPr>
          <w:p>
            <w:pPr>
              <w:widowControl/>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501" w:type="pct"/>
            <w:noWrap w:val="0"/>
            <w:vAlign w:val="center"/>
          </w:tcPr>
          <w:p>
            <w:pPr>
              <w:widowControl/>
              <w:spacing w:line="240" w:lineRule="auto"/>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1" w:hRule="atLeast"/>
          <w:jc w:val="center"/>
        </w:trPr>
        <w:tc>
          <w:tcPr>
            <w:tcW w:w="818" w:type="pct"/>
            <w:noWrap w:val="0"/>
            <w:vAlign w:val="center"/>
          </w:tcPr>
          <w:p>
            <w:pPr>
              <w:widowControl/>
              <w:spacing w:line="240" w:lineRule="auto"/>
              <w:jc w:val="left"/>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类似业绩</w:t>
            </w:r>
          </w:p>
        </w:tc>
        <w:tc>
          <w:tcPr>
            <w:tcW w:w="3679" w:type="pct"/>
            <w:noWrap w:val="0"/>
            <w:vAlign w:val="top"/>
          </w:tcPr>
          <w:p>
            <w:pPr>
              <w:pStyle w:val="2"/>
              <w:spacing w:line="240" w:lineRule="auto"/>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val="0"/>
                <w:bCs w:val="0"/>
                <w:color w:val="auto"/>
                <w:sz w:val="24"/>
                <w:szCs w:val="24"/>
                <w:lang w:val="en-US" w:eastAsia="zh-CN"/>
              </w:rPr>
              <w:t>2021年1月1日起至今（以合同签订时间为准），承担过类似项目业绩每个得1分，最高得3分。</w:t>
            </w:r>
            <w:r>
              <w:rPr>
                <w:rFonts w:hint="eastAsia" w:ascii="宋体" w:hAnsi="宋体" w:eastAsia="宋体" w:cs="宋体"/>
                <w:b/>
                <w:bCs/>
                <w:color w:val="auto"/>
                <w:sz w:val="24"/>
                <w:szCs w:val="24"/>
                <w:lang w:val="en-US" w:eastAsia="zh-CN"/>
              </w:rPr>
              <w:t>注：响应文件中须提供中标通知书及合同原件扫描件，否则不得分。</w:t>
            </w:r>
          </w:p>
        </w:tc>
        <w:tc>
          <w:tcPr>
            <w:tcW w:w="501" w:type="pct"/>
            <w:noWrap w:val="0"/>
            <w:vAlign w:val="center"/>
          </w:tcPr>
          <w:p>
            <w:pPr>
              <w:widowControl/>
              <w:spacing w:line="240" w:lineRule="auto"/>
              <w:jc w:val="left"/>
              <w:textAlignment w:val="center"/>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sz w:val="24"/>
                <w:szCs w:val="24"/>
                <w:lang w:val="en-US" w:eastAsia="zh-CN" w:bidi="ar"/>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6" w:hRule="atLeast"/>
          <w:jc w:val="center"/>
        </w:trPr>
        <w:tc>
          <w:tcPr>
            <w:tcW w:w="818" w:type="pct"/>
            <w:noWrap w:val="0"/>
            <w:vAlign w:val="center"/>
          </w:tcPr>
          <w:p>
            <w:pPr>
              <w:spacing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认证证书</w:t>
            </w:r>
          </w:p>
        </w:tc>
        <w:tc>
          <w:tcPr>
            <w:tcW w:w="3679" w:type="pct"/>
            <w:noWrap w:val="0"/>
            <w:vAlign w:val="center"/>
          </w:tcPr>
          <w:p>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投标人具有质量管理体系认证证书得2分；</w:t>
            </w:r>
          </w:p>
          <w:p>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投标人具有环境管理体系认证证书得2分；</w:t>
            </w:r>
          </w:p>
          <w:p>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投标人具有职业健康与安全管理体系认证证书得2分；</w:t>
            </w:r>
          </w:p>
          <w:p>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本项最高得6分。</w:t>
            </w:r>
          </w:p>
          <w:p>
            <w:pPr>
              <w:spacing w:beforeLines="30" w:afterLines="30"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eastAsia="zh-CN"/>
              </w:rPr>
              <w:t>注：</w:t>
            </w:r>
            <w:r>
              <w:rPr>
                <w:rFonts w:hint="eastAsia" w:ascii="宋体" w:hAnsi="宋体" w:eastAsia="宋体" w:cs="宋体"/>
                <w:b/>
                <w:bCs/>
                <w:color w:val="auto"/>
                <w:sz w:val="24"/>
                <w:szCs w:val="24"/>
                <w:lang w:val="en-US" w:eastAsia="zh-CN"/>
              </w:rPr>
              <w:t>响应</w:t>
            </w:r>
            <w:r>
              <w:rPr>
                <w:rFonts w:hint="eastAsia" w:ascii="宋体" w:hAnsi="宋体" w:eastAsia="宋体" w:cs="宋体"/>
                <w:b/>
                <w:bCs/>
                <w:color w:val="auto"/>
                <w:sz w:val="24"/>
                <w:szCs w:val="24"/>
                <w:lang w:eastAsia="zh-CN"/>
              </w:rPr>
              <w:t>文件中须提供有效期内证书原件扫描件，否则不得分。</w:t>
            </w:r>
          </w:p>
        </w:tc>
        <w:tc>
          <w:tcPr>
            <w:tcW w:w="501" w:type="pct"/>
            <w:noWrap w:val="0"/>
            <w:vAlign w:val="center"/>
          </w:tcPr>
          <w:p>
            <w:pPr>
              <w:widowControl/>
              <w:spacing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3" w:hRule="atLeast"/>
          <w:jc w:val="center"/>
        </w:trPr>
        <w:tc>
          <w:tcPr>
            <w:tcW w:w="818" w:type="pct"/>
            <w:noWrap w:val="0"/>
            <w:vAlign w:val="center"/>
          </w:tcPr>
          <w:p>
            <w:pPr>
              <w:widowControl/>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投标产品参数与招标指标的符合性</w:t>
            </w:r>
          </w:p>
        </w:tc>
        <w:tc>
          <w:tcPr>
            <w:tcW w:w="3679" w:type="pct"/>
            <w:noWrap w:val="0"/>
            <w:vAlign w:val="center"/>
          </w:tcPr>
          <w:p>
            <w:pPr>
              <w:widowControl/>
              <w:spacing w:line="24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标项一：</w:t>
            </w:r>
            <w:r>
              <w:rPr>
                <w:rFonts w:hint="eastAsia" w:ascii="宋体" w:hAnsi="宋体" w:eastAsia="宋体" w:cs="宋体"/>
                <w:b w:val="0"/>
                <w:bCs w:val="0"/>
                <w:color w:val="auto"/>
                <w:sz w:val="24"/>
                <w:szCs w:val="24"/>
                <w:highlight w:val="none"/>
                <w:lang w:val="en-US" w:eastAsia="zh-CN"/>
              </w:rPr>
              <w:t>根据本次采购产品的各技术功能指标要求，对应于招标文件技术要求的符合度进行评分：本项满分</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en-US" w:eastAsia="zh-CN"/>
              </w:rPr>
              <w:t>分，若每一项★条款有负偏离扣1分</w:t>
            </w:r>
            <w:r>
              <w:rPr>
                <w:rFonts w:hint="eastAsia" w:ascii="宋体" w:hAnsi="宋体" w:cs="宋体"/>
                <w:b w:val="0"/>
                <w:bCs w:val="0"/>
                <w:color w:val="auto"/>
                <w:sz w:val="24"/>
                <w:szCs w:val="24"/>
                <w:highlight w:val="none"/>
                <w:lang w:val="en-US" w:eastAsia="zh-CN"/>
              </w:rPr>
              <w:t>，最多扣13分</w:t>
            </w:r>
            <w:r>
              <w:rPr>
                <w:rFonts w:hint="eastAsia" w:ascii="宋体" w:hAnsi="宋体" w:eastAsia="宋体" w:cs="宋体"/>
                <w:b w:val="0"/>
                <w:bCs w:val="0"/>
                <w:color w:val="auto"/>
                <w:sz w:val="24"/>
                <w:szCs w:val="24"/>
                <w:highlight w:val="none"/>
                <w:lang w:val="en-US" w:eastAsia="zh-CN"/>
              </w:rPr>
              <w:t>，其他条款每一项有负偏离扣0.5分，扣完为止。注：打▲号指标为实质性要求，如有负偏离将作为无效标。(★项参数以检测报告为准，未提供合格的检测报告则此项不得分)</w:t>
            </w:r>
          </w:p>
          <w:p>
            <w:pPr>
              <w:widowControl/>
              <w:spacing w:line="240" w:lineRule="auto"/>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标项二：</w:t>
            </w:r>
            <w:r>
              <w:rPr>
                <w:rFonts w:hint="eastAsia" w:ascii="宋体" w:hAnsi="宋体" w:eastAsia="宋体" w:cs="宋体"/>
                <w:b w:val="0"/>
                <w:bCs w:val="0"/>
                <w:color w:val="auto"/>
                <w:sz w:val="24"/>
                <w:szCs w:val="24"/>
                <w:highlight w:val="none"/>
                <w:lang w:val="en-US" w:eastAsia="zh-CN"/>
              </w:rPr>
              <w:t>根据本次采购产品的各技术功能指标要求，对应于招标文件技术要求的符合度进行评分：本项满分</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en-US" w:eastAsia="zh-CN"/>
              </w:rPr>
              <w:t>分，若每一项★条款有负偏离扣1分，</w:t>
            </w:r>
            <w:r>
              <w:rPr>
                <w:rFonts w:hint="eastAsia" w:ascii="宋体" w:hAnsi="宋体" w:cs="宋体"/>
                <w:b w:val="0"/>
                <w:bCs w:val="0"/>
                <w:color w:val="auto"/>
                <w:sz w:val="24"/>
                <w:szCs w:val="24"/>
                <w:highlight w:val="none"/>
                <w:lang w:val="en-US" w:eastAsia="zh-CN"/>
              </w:rPr>
              <w:t>最多扣16分，</w:t>
            </w:r>
            <w:r>
              <w:rPr>
                <w:rFonts w:hint="eastAsia" w:ascii="宋体" w:hAnsi="宋体" w:eastAsia="宋体" w:cs="宋体"/>
                <w:b w:val="0"/>
                <w:bCs w:val="0"/>
                <w:color w:val="auto"/>
                <w:sz w:val="24"/>
                <w:szCs w:val="24"/>
                <w:highlight w:val="none"/>
                <w:lang w:val="en-US" w:eastAsia="zh-CN"/>
              </w:rPr>
              <w:t>其他条款每一项有负偏离扣0.5分，扣完为止。注：打▲号指标为实质性要求，如有负偏离将作为无效标。(★项参数以检测报告为准，未提供合格的检测报告则此项不得分)</w:t>
            </w:r>
          </w:p>
          <w:p>
            <w:pPr>
              <w:widowControl/>
              <w:spacing w:line="240" w:lineRule="auto"/>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标项三：</w:t>
            </w:r>
            <w:r>
              <w:rPr>
                <w:rFonts w:hint="eastAsia" w:ascii="宋体" w:hAnsi="宋体" w:eastAsia="宋体" w:cs="宋体"/>
                <w:b w:val="0"/>
                <w:bCs w:val="0"/>
                <w:color w:val="auto"/>
                <w:sz w:val="24"/>
                <w:szCs w:val="24"/>
                <w:highlight w:val="none"/>
                <w:lang w:val="en-US" w:eastAsia="zh-CN"/>
              </w:rPr>
              <w:t>根据本次采购产品的各技术功能指标要求，对应于招标文件技术要求的符合度进行评分：本项满分</w:t>
            </w:r>
            <w:r>
              <w:rPr>
                <w:rFonts w:hint="eastAsia" w:ascii="宋体" w:hAnsi="宋体" w:cs="宋体"/>
                <w:b w:val="0"/>
                <w:bCs w:val="0"/>
                <w:color w:val="auto"/>
                <w:sz w:val="24"/>
                <w:szCs w:val="24"/>
                <w:highlight w:val="none"/>
                <w:lang w:val="en-US" w:eastAsia="zh-CN"/>
              </w:rPr>
              <w:t>30</w:t>
            </w:r>
            <w:r>
              <w:rPr>
                <w:rFonts w:hint="eastAsia" w:ascii="宋体" w:hAnsi="宋体" w:eastAsia="宋体" w:cs="宋体"/>
                <w:b w:val="0"/>
                <w:bCs w:val="0"/>
                <w:color w:val="auto"/>
                <w:sz w:val="24"/>
                <w:szCs w:val="24"/>
                <w:highlight w:val="none"/>
                <w:lang w:val="en-US" w:eastAsia="zh-CN"/>
              </w:rPr>
              <w:t>分，若每一项★条款有负偏离扣</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最多扣6分，</w:t>
            </w:r>
            <w:r>
              <w:rPr>
                <w:rFonts w:hint="eastAsia" w:ascii="宋体" w:hAnsi="宋体" w:eastAsia="宋体" w:cs="宋体"/>
                <w:b w:val="0"/>
                <w:bCs w:val="0"/>
                <w:color w:val="auto"/>
                <w:sz w:val="24"/>
                <w:szCs w:val="24"/>
                <w:highlight w:val="none"/>
                <w:lang w:val="en-US" w:eastAsia="zh-CN"/>
              </w:rPr>
              <w:t>其他条款每一项有负偏离扣</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分，扣完为止。注：打▲号指标为实质性要求，如有负偏离将作为无效标。(★项参数以检测报告为准，未提供合格的检测报告则此项不得分)</w:t>
            </w:r>
          </w:p>
        </w:tc>
        <w:tc>
          <w:tcPr>
            <w:tcW w:w="501" w:type="pct"/>
            <w:noWrap w:val="0"/>
            <w:vAlign w:val="center"/>
          </w:tcPr>
          <w:p>
            <w:pPr>
              <w:widowControl/>
              <w:spacing w:line="240" w:lineRule="auto"/>
              <w:jc w:val="left"/>
              <w:textAlignment w:val="center"/>
              <w:rPr>
                <w:rFonts w:hint="eastAsia" w:ascii="宋体" w:hAnsi="宋体" w:eastAsia="宋体" w:cs="宋体"/>
                <w:b w:val="0"/>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7" w:hRule="atLeast"/>
          <w:jc w:val="center"/>
        </w:trPr>
        <w:tc>
          <w:tcPr>
            <w:tcW w:w="818" w:type="pct"/>
            <w:noWrap w:val="0"/>
            <w:vAlign w:val="center"/>
          </w:tcPr>
          <w:p>
            <w:pPr>
              <w:widowControl/>
              <w:spacing w:line="24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val="zh-CN"/>
              </w:rPr>
              <w:t>设备供货、</w:t>
            </w:r>
            <w:r>
              <w:rPr>
                <w:rFonts w:hint="eastAsia" w:ascii="宋体" w:hAnsi="宋体" w:eastAsia="宋体" w:cs="宋体"/>
                <w:color w:val="auto"/>
                <w:sz w:val="24"/>
                <w:szCs w:val="24"/>
                <w:lang w:val="en-US" w:eastAsia="zh-CN"/>
              </w:rPr>
              <w:t>供应</w:t>
            </w:r>
            <w:r>
              <w:rPr>
                <w:rFonts w:hint="eastAsia" w:ascii="宋体" w:hAnsi="宋体" w:eastAsia="宋体" w:cs="宋体"/>
                <w:color w:val="auto"/>
                <w:sz w:val="24"/>
                <w:szCs w:val="24"/>
                <w:lang w:val="zh-CN"/>
              </w:rPr>
              <w:t>方案</w:t>
            </w:r>
          </w:p>
        </w:tc>
        <w:tc>
          <w:tcPr>
            <w:tcW w:w="3679" w:type="pct"/>
            <w:noWrap w:val="0"/>
            <w:vAlign w:val="center"/>
          </w:tcPr>
          <w:p>
            <w:pPr>
              <w:spacing w:beforeLines="30" w:afterLines="30" w:line="240" w:lineRule="auto"/>
              <w:jc w:val="left"/>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zh-CN" w:eastAsia="zh-CN"/>
              </w:rPr>
              <w:t>根据供应商提供的设备供货、</w:t>
            </w:r>
            <w:r>
              <w:rPr>
                <w:rFonts w:hint="eastAsia" w:ascii="宋体" w:hAnsi="宋体" w:eastAsia="宋体" w:cs="宋体"/>
                <w:color w:val="auto"/>
                <w:sz w:val="24"/>
                <w:szCs w:val="24"/>
                <w:lang w:val="en-US" w:eastAsia="zh-CN"/>
              </w:rPr>
              <w:t>供应等</w:t>
            </w:r>
            <w:r>
              <w:rPr>
                <w:rFonts w:hint="eastAsia" w:ascii="宋体" w:hAnsi="宋体" w:eastAsia="宋体" w:cs="宋体"/>
                <w:b w:val="0"/>
                <w:bCs w:val="0"/>
                <w:color w:val="auto"/>
                <w:sz w:val="24"/>
                <w:szCs w:val="24"/>
                <w:lang w:val="zh-CN" w:eastAsia="zh-CN"/>
              </w:rPr>
              <w:t>方案进行综合评议打分（方案应具体、详细、可行，有利于项目实施；包括设备</w:t>
            </w:r>
            <w:r>
              <w:rPr>
                <w:rFonts w:hint="eastAsia" w:ascii="宋体" w:hAnsi="宋体" w:eastAsia="宋体" w:cs="宋体"/>
                <w:color w:val="auto"/>
                <w:sz w:val="24"/>
                <w:szCs w:val="24"/>
              </w:rPr>
              <w:t>采购、供货、包装、检测</w:t>
            </w:r>
            <w:r>
              <w:rPr>
                <w:rFonts w:hint="eastAsia" w:ascii="宋体" w:hAnsi="宋体" w:eastAsia="宋体" w:cs="宋体"/>
                <w:b w:val="0"/>
                <w:bCs w:val="0"/>
                <w:color w:val="auto"/>
                <w:sz w:val="24"/>
                <w:szCs w:val="24"/>
                <w:lang w:val="zh-CN" w:eastAsia="zh-CN"/>
              </w:rPr>
              <w:t>等内容）。</w:t>
            </w:r>
          </w:p>
          <w:p>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方案全面、具体、详尽、可行性高，得</w:t>
            </w:r>
            <w:r>
              <w:rPr>
                <w:rFonts w:hint="eastAsia" w:ascii="宋体" w:hAnsi="宋体" w:eastAsia="宋体" w:cs="宋体"/>
                <w:color w:val="auto"/>
                <w:kern w:val="2"/>
                <w:sz w:val="24"/>
                <w:szCs w:val="24"/>
                <w:lang w:val="en-US" w:eastAsia="zh-CN" w:bidi="ar-SA"/>
              </w:rPr>
              <w:t>5-6</w:t>
            </w:r>
            <w:r>
              <w:rPr>
                <w:rFonts w:hint="eastAsia" w:ascii="宋体" w:hAnsi="宋体" w:eastAsia="宋体" w:cs="宋体"/>
                <w:b w:val="0"/>
                <w:bCs w:val="0"/>
                <w:color w:val="auto"/>
                <w:sz w:val="24"/>
                <w:szCs w:val="24"/>
                <w:lang w:val="en-US" w:eastAsia="zh-CN"/>
              </w:rPr>
              <w:t>分；</w:t>
            </w:r>
          </w:p>
          <w:p>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w:t>
            </w:r>
            <w:r>
              <w:rPr>
                <w:rFonts w:hint="eastAsia" w:ascii="宋体" w:hAnsi="宋体" w:eastAsia="宋体" w:cs="宋体"/>
                <w:color w:val="auto"/>
                <w:kern w:val="0"/>
                <w:sz w:val="24"/>
                <w:szCs w:val="24"/>
                <w:highlight w:val="none"/>
                <w:lang w:bidi="ar"/>
              </w:rPr>
              <w:t>基本可行</w:t>
            </w:r>
            <w:r>
              <w:rPr>
                <w:rFonts w:hint="eastAsia" w:ascii="宋体" w:hAnsi="宋体" w:eastAsia="宋体" w:cs="宋体"/>
                <w:b w:val="0"/>
                <w:bCs w:val="0"/>
                <w:color w:val="auto"/>
                <w:sz w:val="24"/>
                <w:szCs w:val="24"/>
                <w:lang w:val="en-US" w:eastAsia="zh-CN"/>
              </w:rPr>
              <w:t>，得</w:t>
            </w:r>
            <w:r>
              <w:rPr>
                <w:rFonts w:hint="eastAsia" w:ascii="宋体" w:hAnsi="宋体" w:eastAsia="宋体" w:cs="宋体"/>
                <w:color w:val="auto"/>
                <w:kern w:val="2"/>
                <w:sz w:val="24"/>
                <w:szCs w:val="24"/>
                <w:lang w:val="en-US" w:eastAsia="zh-CN" w:bidi="ar-SA"/>
              </w:rPr>
              <w:t>3-4</w:t>
            </w:r>
            <w:r>
              <w:rPr>
                <w:rFonts w:hint="eastAsia" w:ascii="宋体" w:hAnsi="宋体" w:eastAsia="宋体" w:cs="宋体"/>
                <w:b w:val="0"/>
                <w:bCs w:val="0"/>
                <w:color w:val="auto"/>
                <w:sz w:val="24"/>
                <w:szCs w:val="24"/>
                <w:lang w:val="en-US" w:eastAsia="zh-CN"/>
              </w:rPr>
              <w:t>分；</w:t>
            </w:r>
          </w:p>
          <w:p>
            <w:pPr>
              <w:spacing w:beforeLines="30" w:afterLines="30" w:line="24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方案</w:t>
            </w:r>
            <w:r>
              <w:rPr>
                <w:rFonts w:hint="eastAsia" w:ascii="宋体" w:hAnsi="宋体" w:eastAsia="宋体" w:cs="宋体"/>
                <w:color w:val="auto"/>
                <w:kern w:val="0"/>
                <w:sz w:val="24"/>
                <w:szCs w:val="24"/>
                <w:highlight w:val="none"/>
                <w:lang w:bidi="ar"/>
              </w:rPr>
              <w:t>不严密、存在明显缺陷</w:t>
            </w:r>
            <w:r>
              <w:rPr>
                <w:rFonts w:hint="eastAsia" w:ascii="宋体" w:hAnsi="宋体" w:eastAsia="宋体" w:cs="宋体"/>
                <w:b w:val="0"/>
                <w:bCs w:val="0"/>
                <w:color w:val="auto"/>
                <w:sz w:val="24"/>
                <w:szCs w:val="24"/>
                <w:lang w:val="en-US" w:eastAsia="zh-CN"/>
              </w:rPr>
              <w:t>，得</w:t>
            </w:r>
            <w:r>
              <w:rPr>
                <w:rFonts w:hint="eastAsia" w:ascii="宋体" w:hAnsi="宋体" w:eastAsia="宋体" w:cs="宋体"/>
                <w:color w:val="auto"/>
                <w:sz w:val="24"/>
                <w:szCs w:val="24"/>
                <w:lang w:val="en-US" w:eastAsia="zh-CN"/>
              </w:rPr>
              <w:t>0-2</w:t>
            </w:r>
            <w:r>
              <w:rPr>
                <w:rFonts w:hint="eastAsia" w:ascii="宋体" w:hAnsi="宋体" w:eastAsia="宋体" w:cs="宋体"/>
                <w:b w:val="0"/>
                <w:bCs w:val="0"/>
                <w:color w:val="auto"/>
                <w:sz w:val="24"/>
                <w:szCs w:val="24"/>
                <w:lang w:val="en-US" w:eastAsia="zh-CN"/>
              </w:rPr>
              <w:t>分。</w:t>
            </w:r>
          </w:p>
        </w:tc>
        <w:tc>
          <w:tcPr>
            <w:tcW w:w="501" w:type="pct"/>
            <w:noWrap w:val="0"/>
            <w:vAlign w:val="center"/>
          </w:tcPr>
          <w:p>
            <w:pPr>
              <w:widowControl/>
              <w:spacing w:line="240" w:lineRule="auto"/>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0" w:hRule="atLeast"/>
          <w:jc w:val="center"/>
        </w:trPr>
        <w:tc>
          <w:tcPr>
            <w:tcW w:w="818" w:type="pct"/>
            <w:noWrap w:val="0"/>
            <w:vAlign w:val="center"/>
          </w:tcPr>
          <w:p>
            <w:pPr>
              <w:widowControl/>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设备调试、验收方案</w:t>
            </w:r>
          </w:p>
        </w:tc>
        <w:tc>
          <w:tcPr>
            <w:tcW w:w="3679" w:type="pct"/>
            <w:noWrap w:val="0"/>
            <w:vAlign w:val="center"/>
          </w:tcPr>
          <w:p>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按招标文件中的验收标准要求，根据投标人提供的针对本项目的验收方案和措施进行综合评分：</w:t>
            </w:r>
          </w:p>
          <w:p>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方案全面、具体、详尽、可行性高，得</w:t>
            </w:r>
            <w:r>
              <w:rPr>
                <w:rFonts w:hint="eastAsia" w:ascii="宋体" w:hAnsi="宋体" w:eastAsia="宋体" w:cs="宋体"/>
                <w:color w:val="auto"/>
                <w:kern w:val="2"/>
                <w:sz w:val="24"/>
                <w:szCs w:val="24"/>
                <w:lang w:val="en-US" w:eastAsia="zh-CN" w:bidi="ar-SA"/>
              </w:rPr>
              <w:t>5-6</w:t>
            </w:r>
            <w:r>
              <w:rPr>
                <w:rFonts w:hint="eastAsia" w:ascii="宋体" w:hAnsi="宋体" w:eastAsia="宋体" w:cs="宋体"/>
                <w:b w:val="0"/>
                <w:bCs w:val="0"/>
                <w:color w:val="auto"/>
                <w:sz w:val="24"/>
                <w:szCs w:val="24"/>
                <w:lang w:val="en-US" w:eastAsia="zh-CN"/>
              </w:rPr>
              <w:t>分；</w:t>
            </w:r>
          </w:p>
          <w:p>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w:t>
            </w:r>
            <w:r>
              <w:rPr>
                <w:rFonts w:hint="eastAsia" w:ascii="宋体" w:hAnsi="宋体" w:eastAsia="宋体" w:cs="宋体"/>
                <w:color w:val="auto"/>
                <w:kern w:val="0"/>
                <w:sz w:val="24"/>
                <w:szCs w:val="24"/>
                <w:highlight w:val="none"/>
                <w:lang w:bidi="ar"/>
              </w:rPr>
              <w:t>基本可行</w:t>
            </w:r>
            <w:r>
              <w:rPr>
                <w:rFonts w:hint="eastAsia" w:ascii="宋体" w:hAnsi="宋体" w:eastAsia="宋体" w:cs="宋体"/>
                <w:b w:val="0"/>
                <w:bCs w:val="0"/>
                <w:color w:val="auto"/>
                <w:sz w:val="24"/>
                <w:szCs w:val="24"/>
                <w:lang w:val="en-US" w:eastAsia="zh-CN"/>
              </w:rPr>
              <w:t>，得</w:t>
            </w:r>
            <w:r>
              <w:rPr>
                <w:rFonts w:hint="eastAsia" w:ascii="宋体" w:hAnsi="宋体" w:eastAsia="宋体" w:cs="宋体"/>
                <w:color w:val="auto"/>
                <w:kern w:val="2"/>
                <w:sz w:val="24"/>
                <w:szCs w:val="24"/>
                <w:lang w:val="en-US" w:eastAsia="zh-CN" w:bidi="ar-SA"/>
              </w:rPr>
              <w:t>3-4</w:t>
            </w:r>
            <w:r>
              <w:rPr>
                <w:rFonts w:hint="eastAsia" w:ascii="宋体" w:hAnsi="宋体" w:eastAsia="宋体" w:cs="宋体"/>
                <w:b w:val="0"/>
                <w:bCs w:val="0"/>
                <w:color w:val="auto"/>
                <w:sz w:val="24"/>
                <w:szCs w:val="24"/>
                <w:lang w:val="en-US" w:eastAsia="zh-CN"/>
              </w:rPr>
              <w:t>分；</w:t>
            </w:r>
          </w:p>
          <w:p>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w:t>
            </w:r>
            <w:r>
              <w:rPr>
                <w:rFonts w:hint="eastAsia" w:ascii="宋体" w:hAnsi="宋体" w:eastAsia="宋体" w:cs="宋体"/>
                <w:color w:val="auto"/>
                <w:kern w:val="0"/>
                <w:sz w:val="24"/>
                <w:szCs w:val="24"/>
                <w:highlight w:val="none"/>
                <w:lang w:bidi="ar"/>
              </w:rPr>
              <w:t>不严密、存在明显缺陷</w:t>
            </w:r>
            <w:r>
              <w:rPr>
                <w:rFonts w:hint="eastAsia" w:ascii="宋体" w:hAnsi="宋体" w:eastAsia="宋体" w:cs="宋体"/>
                <w:b w:val="0"/>
                <w:bCs w:val="0"/>
                <w:color w:val="auto"/>
                <w:sz w:val="24"/>
                <w:szCs w:val="24"/>
                <w:lang w:val="en-US" w:eastAsia="zh-CN"/>
              </w:rPr>
              <w:t>，得</w:t>
            </w:r>
            <w:r>
              <w:rPr>
                <w:rFonts w:hint="eastAsia" w:ascii="宋体" w:hAnsi="宋体" w:eastAsia="宋体" w:cs="宋体"/>
                <w:color w:val="auto"/>
                <w:sz w:val="24"/>
                <w:szCs w:val="24"/>
                <w:lang w:val="en-US" w:eastAsia="zh-CN"/>
              </w:rPr>
              <w:t>0-2</w:t>
            </w:r>
            <w:r>
              <w:rPr>
                <w:rFonts w:hint="eastAsia" w:ascii="宋体" w:hAnsi="宋体" w:eastAsia="宋体" w:cs="宋体"/>
                <w:b w:val="0"/>
                <w:bCs w:val="0"/>
                <w:color w:val="auto"/>
                <w:sz w:val="24"/>
                <w:szCs w:val="24"/>
                <w:lang w:val="en-US" w:eastAsia="zh-CN"/>
              </w:rPr>
              <w:t>分。</w:t>
            </w:r>
          </w:p>
        </w:tc>
        <w:tc>
          <w:tcPr>
            <w:tcW w:w="501" w:type="pct"/>
            <w:noWrap w:val="0"/>
            <w:vAlign w:val="center"/>
          </w:tcPr>
          <w:p>
            <w:pPr>
              <w:widowControl/>
              <w:spacing w:line="24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0" w:hRule="atLeast"/>
          <w:jc w:val="center"/>
        </w:trPr>
        <w:tc>
          <w:tcPr>
            <w:tcW w:w="818" w:type="pct"/>
            <w:noWrap w:val="0"/>
            <w:vAlign w:val="center"/>
          </w:tcPr>
          <w:p>
            <w:pPr>
              <w:widowControl/>
              <w:spacing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产品质量保证措施</w:t>
            </w:r>
          </w:p>
        </w:tc>
        <w:tc>
          <w:tcPr>
            <w:tcW w:w="3679" w:type="pct"/>
            <w:noWrap w:val="0"/>
            <w:vAlign w:val="center"/>
          </w:tcPr>
          <w:p>
            <w:pPr>
              <w:spacing w:beforeLines="30" w:afterLines="30"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根据投标人提供</w:t>
            </w:r>
            <w:r>
              <w:rPr>
                <w:rFonts w:hint="eastAsia" w:ascii="宋体" w:hAnsi="宋体" w:eastAsia="宋体" w:cs="宋体"/>
                <w:color w:val="auto"/>
                <w:sz w:val="24"/>
                <w:szCs w:val="24"/>
                <w:lang w:val="en-US" w:eastAsia="zh-CN"/>
              </w:rPr>
              <w:t>的救援装备</w:t>
            </w:r>
            <w:r>
              <w:rPr>
                <w:rFonts w:hint="eastAsia" w:ascii="宋体" w:hAnsi="宋体" w:eastAsia="宋体" w:cs="宋体"/>
                <w:color w:val="auto"/>
                <w:sz w:val="24"/>
                <w:szCs w:val="24"/>
              </w:rPr>
              <w:t>质量保证措施方案进行评分：</w:t>
            </w:r>
          </w:p>
          <w:p>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方案全面、具体、详尽、可行性高，得</w:t>
            </w:r>
            <w:r>
              <w:rPr>
                <w:rFonts w:hint="eastAsia" w:ascii="宋体" w:hAnsi="宋体" w:eastAsia="宋体" w:cs="宋体"/>
                <w:color w:val="auto"/>
                <w:kern w:val="2"/>
                <w:sz w:val="24"/>
                <w:szCs w:val="24"/>
                <w:lang w:val="en-US" w:eastAsia="zh-CN" w:bidi="ar-SA"/>
              </w:rPr>
              <w:t>5-6</w:t>
            </w:r>
            <w:r>
              <w:rPr>
                <w:rFonts w:hint="eastAsia" w:ascii="宋体" w:hAnsi="宋体" w:eastAsia="宋体" w:cs="宋体"/>
                <w:b w:val="0"/>
                <w:bCs w:val="0"/>
                <w:color w:val="auto"/>
                <w:sz w:val="24"/>
                <w:szCs w:val="24"/>
                <w:lang w:val="en-US" w:eastAsia="zh-CN"/>
              </w:rPr>
              <w:t>分；</w:t>
            </w:r>
          </w:p>
          <w:p>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w:t>
            </w:r>
            <w:r>
              <w:rPr>
                <w:rFonts w:hint="eastAsia" w:ascii="宋体" w:hAnsi="宋体" w:eastAsia="宋体" w:cs="宋体"/>
                <w:color w:val="auto"/>
                <w:kern w:val="0"/>
                <w:sz w:val="24"/>
                <w:szCs w:val="24"/>
                <w:highlight w:val="none"/>
                <w:lang w:bidi="ar"/>
              </w:rPr>
              <w:t>基本可行</w:t>
            </w:r>
            <w:r>
              <w:rPr>
                <w:rFonts w:hint="eastAsia" w:ascii="宋体" w:hAnsi="宋体" w:eastAsia="宋体" w:cs="宋体"/>
                <w:b w:val="0"/>
                <w:bCs w:val="0"/>
                <w:color w:val="auto"/>
                <w:sz w:val="24"/>
                <w:szCs w:val="24"/>
                <w:lang w:val="en-US" w:eastAsia="zh-CN"/>
              </w:rPr>
              <w:t>，得</w:t>
            </w:r>
            <w:r>
              <w:rPr>
                <w:rFonts w:hint="eastAsia" w:ascii="宋体" w:hAnsi="宋体" w:eastAsia="宋体" w:cs="宋体"/>
                <w:color w:val="auto"/>
                <w:kern w:val="2"/>
                <w:sz w:val="24"/>
                <w:szCs w:val="24"/>
                <w:lang w:val="en-US" w:eastAsia="zh-CN" w:bidi="ar-SA"/>
              </w:rPr>
              <w:t>3-4</w:t>
            </w:r>
            <w:r>
              <w:rPr>
                <w:rFonts w:hint="eastAsia" w:ascii="宋体" w:hAnsi="宋体" w:eastAsia="宋体" w:cs="宋体"/>
                <w:b w:val="0"/>
                <w:bCs w:val="0"/>
                <w:color w:val="auto"/>
                <w:sz w:val="24"/>
                <w:szCs w:val="24"/>
                <w:lang w:val="en-US" w:eastAsia="zh-CN"/>
              </w:rPr>
              <w:t>分；</w:t>
            </w:r>
          </w:p>
          <w:p>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方案</w:t>
            </w:r>
            <w:r>
              <w:rPr>
                <w:rFonts w:hint="eastAsia" w:ascii="宋体" w:hAnsi="宋体" w:eastAsia="宋体" w:cs="宋体"/>
                <w:color w:val="auto"/>
                <w:kern w:val="0"/>
                <w:sz w:val="24"/>
                <w:szCs w:val="24"/>
                <w:highlight w:val="none"/>
                <w:lang w:bidi="ar"/>
              </w:rPr>
              <w:t>不严密、存在明显缺陷</w:t>
            </w:r>
            <w:r>
              <w:rPr>
                <w:rFonts w:hint="eastAsia" w:ascii="宋体" w:hAnsi="宋体" w:eastAsia="宋体" w:cs="宋体"/>
                <w:b w:val="0"/>
                <w:bCs w:val="0"/>
                <w:color w:val="auto"/>
                <w:sz w:val="24"/>
                <w:szCs w:val="24"/>
                <w:lang w:val="en-US" w:eastAsia="zh-CN"/>
              </w:rPr>
              <w:t>，得</w:t>
            </w:r>
            <w:r>
              <w:rPr>
                <w:rFonts w:hint="eastAsia" w:ascii="宋体" w:hAnsi="宋体" w:eastAsia="宋体" w:cs="宋体"/>
                <w:color w:val="auto"/>
                <w:sz w:val="24"/>
                <w:szCs w:val="24"/>
                <w:lang w:val="en-US" w:eastAsia="zh-CN"/>
              </w:rPr>
              <w:t>0-2</w:t>
            </w:r>
            <w:r>
              <w:rPr>
                <w:rFonts w:hint="eastAsia" w:ascii="宋体" w:hAnsi="宋体" w:eastAsia="宋体" w:cs="宋体"/>
                <w:b w:val="0"/>
                <w:bCs w:val="0"/>
                <w:color w:val="auto"/>
                <w:sz w:val="24"/>
                <w:szCs w:val="24"/>
                <w:lang w:val="en-US" w:eastAsia="zh-CN"/>
              </w:rPr>
              <w:t>分。</w:t>
            </w:r>
          </w:p>
        </w:tc>
        <w:tc>
          <w:tcPr>
            <w:tcW w:w="501" w:type="pct"/>
            <w:noWrap w:val="0"/>
            <w:vAlign w:val="center"/>
          </w:tcPr>
          <w:p>
            <w:pPr>
              <w:widowControl/>
              <w:spacing w:line="240" w:lineRule="auto"/>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818" w:type="pct"/>
            <w:noWrap w:val="0"/>
            <w:vAlign w:val="center"/>
          </w:tcPr>
          <w:p>
            <w:pPr>
              <w:widowControl/>
              <w:spacing w:line="24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lang w:eastAsia="zh-CN"/>
              </w:rPr>
              <w:t>培训</w:t>
            </w:r>
            <w:r>
              <w:rPr>
                <w:rFonts w:hint="eastAsia" w:ascii="宋体" w:hAnsi="宋体" w:eastAsia="宋体" w:cs="宋体"/>
                <w:color w:val="auto"/>
                <w:sz w:val="24"/>
                <w:szCs w:val="24"/>
              </w:rPr>
              <w:t>方案</w:t>
            </w:r>
          </w:p>
        </w:tc>
        <w:tc>
          <w:tcPr>
            <w:tcW w:w="3679" w:type="pct"/>
            <w:noWrap w:val="0"/>
            <w:vAlign w:val="center"/>
          </w:tcPr>
          <w:p>
            <w:pPr>
              <w:pStyle w:val="23"/>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根据供应商提供的培训方案进行综合评议</w:t>
            </w:r>
            <w:r>
              <w:rPr>
                <w:rFonts w:hint="eastAsia" w:ascii="宋体" w:hAnsi="宋体" w:eastAsia="宋体" w:cs="宋体"/>
                <w:bCs/>
                <w:color w:val="auto"/>
                <w:sz w:val="24"/>
                <w:szCs w:val="24"/>
                <w:highlight w:val="none"/>
                <w:lang w:eastAsia="zh-CN"/>
              </w:rPr>
              <w:t>打分</w:t>
            </w:r>
            <w:r>
              <w:rPr>
                <w:rFonts w:hint="eastAsia" w:ascii="宋体" w:hAnsi="宋体" w:eastAsia="宋体" w:cs="宋体"/>
                <w:b w:val="0"/>
                <w:bCs w:val="0"/>
                <w:color w:val="auto"/>
                <w:sz w:val="24"/>
                <w:szCs w:val="24"/>
                <w:lang w:val="zh-CN" w:eastAsia="zh-CN"/>
              </w:rPr>
              <w:t>（方案应具体、详细、可行，有利于项目实施；方案内容设备培训目的、培训内容、培训计划组织等内容）</w:t>
            </w:r>
            <w:r>
              <w:rPr>
                <w:rFonts w:hint="eastAsia" w:ascii="宋体" w:hAnsi="宋体" w:eastAsia="宋体" w:cs="宋体"/>
                <w:bCs/>
                <w:color w:val="auto"/>
                <w:sz w:val="24"/>
                <w:szCs w:val="24"/>
                <w:highlight w:val="none"/>
              </w:rPr>
              <w:t>：</w:t>
            </w:r>
          </w:p>
          <w:p>
            <w:pPr>
              <w:spacing w:beforeLines="30" w:afterLines="30"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培训方案</w:t>
            </w:r>
            <w:r>
              <w:rPr>
                <w:rFonts w:hint="eastAsia" w:ascii="宋体" w:hAnsi="宋体" w:eastAsia="宋体" w:cs="宋体"/>
                <w:bCs/>
                <w:color w:val="auto"/>
                <w:sz w:val="24"/>
                <w:szCs w:val="24"/>
                <w:highlight w:val="none"/>
                <w:lang w:val="zh-CN"/>
              </w:rPr>
              <w:t>内容完整、措施有效、</w:t>
            </w:r>
            <w:r>
              <w:rPr>
                <w:rFonts w:hint="eastAsia" w:ascii="宋体" w:hAnsi="宋体" w:eastAsia="宋体" w:cs="宋体"/>
                <w:bCs/>
                <w:color w:val="auto"/>
                <w:sz w:val="24"/>
                <w:szCs w:val="24"/>
                <w:highlight w:val="none"/>
              </w:rPr>
              <w:t>切实可行的</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得</w:t>
            </w:r>
            <w:r>
              <w:rPr>
                <w:rFonts w:hint="eastAsia" w:ascii="宋体" w:hAnsi="宋体" w:eastAsia="宋体" w:cs="宋体"/>
                <w:color w:val="auto"/>
                <w:kern w:val="2"/>
                <w:sz w:val="24"/>
                <w:szCs w:val="24"/>
                <w:lang w:val="en-US" w:eastAsia="zh-CN" w:bidi="ar-SA"/>
              </w:rPr>
              <w:t>3-4</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pPr>
              <w:spacing w:beforeLines="30" w:afterLines="30"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培训方案</w:t>
            </w:r>
            <w:r>
              <w:rPr>
                <w:rFonts w:hint="eastAsia" w:ascii="宋体" w:hAnsi="宋体" w:eastAsia="宋体" w:cs="宋体"/>
                <w:bCs/>
                <w:color w:val="auto"/>
                <w:sz w:val="24"/>
                <w:szCs w:val="24"/>
                <w:highlight w:val="none"/>
                <w:lang w:val="zh-CN"/>
              </w:rPr>
              <w:t>内容较完整、措施较有效、较</w:t>
            </w:r>
            <w:r>
              <w:rPr>
                <w:rFonts w:hint="eastAsia" w:ascii="宋体" w:hAnsi="宋体" w:eastAsia="宋体" w:cs="宋体"/>
                <w:bCs/>
                <w:color w:val="auto"/>
                <w:sz w:val="24"/>
                <w:szCs w:val="24"/>
                <w:highlight w:val="none"/>
              </w:rPr>
              <w:t>切实可行的</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得</w:t>
            </w:r>
            <w:r>
              <w:rPr>
                <w:rFonts w:hint="eastAsia" w:ascii="宋体" w:hAnsi="宋体" w:eastAsia="宋体" w:cs="宋体"/>
                <w:color w:val="auto"/>
                <w:kern w:val="2"/>
                <w:sz w:val="24"/>
                <w:szCs w:val="24"/>
                <w:lang w:val="en-US" w:eastAsia="zh-CN" w:bidi="ar-SA"/>
              </w:rPr>
              <w:t>2-3</w:t>
            </w:r>
            <w:r>
              <w:rPr>
                <w:rFonts w:hint="eastAsia" w:ascii="宋体" w:hAnsi="宋体" w:eastAsia="宋体" w:cs="宋体"/>
                <w:color w:val="auto"/>
                <w:sz w:val="24"/>
                <w:szCs w:val="24"/>
                <w:lang w:val="en-US" w:eastAsia="zh-CN"/>
              </w:rPr>
              <w:t>（不含）</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p>
          <w:p>
            <w:pPr>
              <w:spacing w:beforeLines="30" w:afterLines="30"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Cs/>
                <w:color w:val="auto"/>
                <w:sz w:val="24"/>
                <w:szCs w:val="24"/>
                <w:highlight w:val="none"/>
              </w:rPr>
              <w:t>培训方案</w:t>
            </w:r>
            <w:r>
              <w:rPr>
                <w:rFonts w:hint="eastAsia" w:ascii="宋体" w:hAnsi="宋体" w:eastAsia="宋体" w:cs="宋体"/>
                <w:bCs/>
                <w:color w:val="auto"/>
                <w:sz w:val="24"/>
                <w:szCs w:val="24"/>
                <w:highlight w:val="none"/>
                <w:lang w:val="zh-CN"/>
              </w:rPr>
              <w:t>内容不够完整、措施不够有效、不够</w:t>
            </w:r>
            <w:r>
              <w:rPr>
                <w:rFonts w:hint="eastAsia" w:ascii="宋体" w:hAnsi="宋体" w:eastAsia="宋体" w:cs="宋体"/>
                <w:bCs/>
                <w:color w:val="auto"/>
                <w:sz w:val="24"/>
                <w:szCs w:val="24"/>
                <w:highlight w:val="none"/>
              </w:rPr>
              <w:t>切实可行的</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0-2（不含）</w:t>
            </w:r>
            <w:r>
              <w:rPr>
                <w:rFonts w:hint="eastAsia" w:ascii="宋体" w:hAnsi="宋体" w:eastAsia="宋体" w:cs="宋体"/>
                <w:color w:val="auto"/>
                <w:sz w:val="24"/>
                <w:szCs w:val="24"/>
              </w:rPr>
              <w:t>分。</w:t>
            </w:r>
          </w:p>
        </w:tc>
        <w:tc>
          <w:tcPr>
            <w:tcW w:w="501" w:type="pct"/>
            <w:noWrap w:val="0"/>
            <w:vAlign w:val="center"/>
          </w:tcPr>
          <w:p>
            <w:pPr>
              <w:widowControl/>
              <w:spacing w:line="240" w:lineRule="auto"/>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56" w:hRule="atLeast"/>
          <w:jc w:val="center"/>
        </w:trPr>
        <w:tc>
          <w:tcPr>
            <w:tcW w:w="818" w:type="pct"/>
            <w:noWrap w:val="0"/>
            <w:vAlign w:val="center"/>
          </w:tcPr>
          <w:p>
            <w:pPr>
              <w:widowControl/>
              <w:spacing w:line="24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color w:val="auto"/>
                <w:sz w:val="24"/>
                <w:szCs w:val="24"/>
              </w:rPr>
              <w:t>售后服务方案</w:t>
            </w:r>
          </w:p>
        </w:tc>
        <w:tc>
          <w:tcPr>
            <w:tcW w:w="3679" w:type="pct"/>
            <w:noWrap w:val="0"/>
            <w:vAlign w:val="center"/>
          </w:tcPr>
          <w:p>
            <w:pPr>
              <w:widowControl/>
              <w:snapToGrid w:val="0"/>
              <w:spacing w:line="36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1.根据投标人售后服务方案,包括但不限于售后服务网点、服务响应时间、服务内容、</w:t>
            </w:r>
            <w:r>
              <w:rPr>
                <w:rFonts w:hint="eastAsia" w:ascii="宋体" w:hAnsi="宋体" w:eastAsia="宋体" w:cs="宋体"/>
                <w:color w:val="auto"/>
                <w:sz w:val="24"/>
                <w:szCs w:val="24"/>
                <w:lang w:val="en-US" w:eastAsia="zh-CN"/>
              </w:rPr>
              <w:t>售后</w:t>
            </w:r>
            <w:r>
              <w:rPr>
                <w:rFonts w:hint="eastAsia" w:ascii="宋体" w:hAnsi="宋体" w:eastAsia="宋体" w:cs="宋体"/>
                <w:color w:val="auto"/>
                <w:sz w:val="24"/>
                <w:szCs w:val="24"/>
              </w:rPr>
              <w:t>服务能力。方案完整、合理的得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分；方案基本完整、合理的得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分；方案不完整或一般的得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分；未提出实质性方案的不得分。</w:t>
            </w:r>
          </w:p>
          <w:p>
            <w:pPr>
              <w:widowControl/>
              <w:snapToGrid w:val="0"/>
              <w:spacing w:line="360" w:lineRule="exact"/>
              <w:jc w:val="left"/>
              <w:rPr>
                <w:rFonts w:hint="eastAsia" w:ascii="宋体" w:hAnsi="宋体" w:eastAsia="宋体" w:cs="宋体"/>
                <w:b w:val="0"/>
                <w:bCs w:val="0"/>
                <w:color w:val="auto"/>
                <w:kern w:val="2"/>
                <w:sz w:val="24"/>
                <w:szCs w:val="24"/>
                <w:lang w:val="en-US" w:eastAsia="zh-CN" w:bidi="ar-SA"/>
              </w:rPr>
            </w:pPr>
            <w:bookmarkStart w:id="552" w:name="_GoBack"/>
            <w:r>
              <w:rPr>
                <w:rFonts w:hint="eastAsia" w:ascii="宋体" w:hAnsi="宋体" w:eastAsia="宋体" w:cs="宋体"/>
                <w:color w:val="auto"/>
                <w:sz w:val="24"/>
                <w:szCs w:val="24"/>
                <w:highlight w:val="none"/>
              </w:rPr>
              <w:t>2.售后服务人员具有售后服务管理师证书的，每个得1分，最高得4分。</w:t>
            </w:r>
            <w:r>
              <w:rPr>
                <w:rFonts w:hint="eastAsia" w:ascii="宋体" w:hAnsi="宋体" w:eastAsia="宋体" w:cs="宋体"/>
                <w:b/>
                <w:color w:val="auto"/>
                <w:sz w:val="24"/>
                <w:szCs w:val="24"/>
                <w:highlight w:val="none"/>
              </w:rPr>
              <w:t>需提供证书扫描件及近3个月社保</w:t>
            </w:r>
            <w:r>
              <w:rPr>
                <w:rFonts w:hint="eastAsia" w:ascii="宋体" w:hAnsi="宋体" w:eastAsia="宋体" w:cs="宋体"/>
                <w:b/>
                <w:color w:val="auto"/>
                <w:sz w:val="24"/>
                <w:szCs w:val="24"/>
                <w:highlight w:val="none"/>
                <w:lang w:val="en-US" w:eastAsia="zh-CN"/>
              </w:rPr>
              <w:t>缴纳</w:t>
            </w:r>
            <w:r>
              <w:rPr>
                <w:rFonts w:hint="eastAsia" w:ascii="宋体" w:hAnsi="宋体" w:eastAsia="宋体" w:cs="宋体"/>
                <w:b/>
                <w:color w:val="auto"/>
                <w:sz w:val="24"/>
                <w:szCs w:val="24"/>
                <w:highlight w:val="none"/>
              </w:rPr>
              <w:t>证明，否则不得分。</w:t>
            </w:r>
            <w:bookmarkEnd w:id="552"/>
          </w:p>
        </w:tc>
        <w:tc>
          <w:tcPr>
            <w:tcW w:w="501" w:type="pct"/>
            <w:noWrap w:val="0"/>
            <w:vAlign w:val="center"/>
          </w:tcPr>
          <w:p>
            <w:pPr>
              <w:widowControl/>
              <w:spacing w:line="240" w:lineRule="auto"/>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3" w:hRule="atLeast"/>
          <w:jc w:val="center"/>
        </w:trPr>
        <w:tc>
          <w:tcPr>
            <w:tcW w:w="818" w:type="pct"/>
            <w:noWrap w:val="0"/>
            <w:vAlign w:val="center"/>
          </w:tcPr>
          <w:p>
            <w:pPr>
              <w:pStyle w:val="25"/>
              <w:spacing w:line="240" w:lineRule="auto"/>
              <w:ind w:left="0" w:leftChars="0" w:firstLine="0" w:firstLineChars="0"/>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highlight w:val="none"/>
                <w:lang w:val="en-US" w:eastAsia="zh-CN"/>
              </w:rPr>
              <w:t>服务承诺</w:t>
            </w:r>
          </w:p>
        </w:tc>
        <w:tc>
          <w:tcPr>
            <w:tcW w:w="3679" w:type="pct"/>
            <w:noWrap w:val="0"/>
            <w:vAlign w:val="center"/>
          </w:tcPr>
          <w:p>
            <w:pPr>
              <w:pStyle w:val="25"/>
              <w:spacing w:line="240" w:lineRule="auto"/>
              <w:ind w:left="0" w:leftChars="0" w:firstLine="0" w:firstLineChars="0"/>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对提供的服务承诺是否符合项目需求等情况进行打分，1条被采纳的得0.5分，最多得2分。</w:t>
            </w:r>
          </w:p>
        </w:tc>
        <w:tc>
          <w:tcPr>
            <w:tcW w:w="501" w:type="pct"/>
            <w:noWrap w:val="0"/>
            <w:vAlign w:val="center"/>
          </w:tcPr>
          <w:p>
            <w:pPr>
              <w:widowControl/>
              <w:spacing w:line="240" w:lineRule="auto"/>
              <w:jc w:val="left"/>
              <w:rPr>
                <w:rFonts w:hint="eastAsia" w:ascii="宋体" w:hAnsi="宋体" w:eastAsia="宋体" w:cs="宋体"/>
                <w:b w:val="0"/>
                <w:color w:val="auto"/>
                <w:sz w:val="24"/>
                <w:szCs w:val="24"/>
                <w:lang w:val="en-US" w:eastAsia="zh-CN" w:bidi="ar"/>
              </w:rPr>
            </w:pPr>
            <w:r>
              <w:rPr>
                <w:rFonts w:hint="eastAsia" w:ascii="宋体" w:hAnsi="宋体" w:eastAsia="宋体" w:cs="宋体"/>
                <w:b w:val="0"/>
                <w:color w:val="auto"/>
                <w:sz w:val="24"/>
                <w:szCs w:val="24"/>
                <w:lang w:val="en-US" w:eastAsia="zh-CN" w:bidi="ar"/>
              </w:rPr>
              <w:t>0-2分</w:t>
            </w:r>
          </w:p>
        </w:tc>
      </w:tr>
    </w:tbl>
    <w:p>
      <w:pPr>
        <w:pStyle w:val="62"/>
        <w:ind w:left="210" w:leftChars="0" w:firstLine="0" w:firstLineChars="0"/>
        <w:rPr>
          <w:rFonts w:cs="宋体"/>
          <w:b/>
          <w:sz w:val="30"/>
          <w:szCs w:val="30"/>
        </w:rPr>
      </w:pPr>
      <w:r>
        <w:rPr>
          <w:rFonts w:hint="eastAsia" w:cs="宋体"/>
          <w:b/>
          <w:sz w:val="30"/>
          <w:szCs w:val="30"/>
        </w:rPr>
        <w:t>报价分（30分）</w:t>
      </w:r>
    </w:p>
    <w:p>
      <w:pPr>
        <w:pStyle w:val="25"/>
        <w:spacing w:line="360" w:lineRule="auto"/>
        <w:rPr>
          <w:rFonts w:cs="宋体"/>
          <w:bCs/>
        </w:rPr>
      </w:pPr>
      <w:r>
        <w:rPr>
          <w:rFonts w:hint="eastAsia" w:cs="宋体"/>
          <w:bCs/>
        </w:rPr>
        <w:t>1.价格分采用低价优先法计算，即满足招标文件要求且投标价格最低的投标报价为评标基准价，其他供应商的价格分按照下列公式计算：</w:t>
      </w:r>
    </w:p>
    <w:p>
      <w:pPr>
        <w:spacing w:line="360" w:lineRule="auto"/>
        <w:ind w:firstLine="480" w:firstLineChars="200"/>
        <w:rPr>
          <w:rFonts w:ascii="宋体" w:hAnsi="宋体" w:cs="宋体"/>
          <w:sz w:val="24"/>
        </w:rPr>
      </w:pPr>
      <w:r>
        <w:rPr>
          <w:rFonts w:hint="eastAsia" w:ascii="宋体" w:hAnsi="宋体" w:cs="宋体"/>
          <w:sz w:val="24"/>
        </w:rPr>
        <w:t>价格分=（评标基准价/投标报价）×30%×100</w:t>
      </w:r>
    </w:p>
    <w:p>
      <w:pPr>
        <w:pStyle w:val="25"/>
        <w:numPr>
          <w:ilvl w:val="0"/>
          <w:numId w:val="3"/>
        </w:numPr>
        <w:spacing w:line="360" w:lineRule="auto"/>
        <w:rPr>
          <w:rFonts w:cs="宋体"/>
          <w:b/>
        </w:rPr>
      </w:pPr>
      <w:r>
        <w:rPr>
          <w:rFonts w:hint="eastAsia" w:cs="宋体"/>
          <w:bCs/>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r>
        <w:rPr>
          <w:rFonts w:hint="eastAsia" w:cs="宋体"/>
        </w:rPr>
        <w:t>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5"/>
        <w:snapToGrid w:val="0"/>
        <w:spacing w:line="360" w:lineRule="auto"/>
        <w:rPr>
          <w:rFonts w:cs="宋体"/>
        </w:rPr>
      </w:pPr>
      <w:r>
        <w:rPr>
          <w:rFonts w:hint="eastAsia" w:cs="宋体"/>
        </w:rPr>
        <w:t>5.1符合专业条件的供应商或者对招标文件作实质响应的供应商不足3家的；</w:t>
      </w:r>
    </w:p>
    <w:p>
      <w:pPr>
        <w:pStyle w:val="25"/>
        <w:snapToGrid w:val="0"/>
        <w:spacing w:line="360" w:lineRule="auto"/>
        <w:rPr>
          <w:rFonts w:cs="宋体"/>
        </w:rPr>
      </w:pPr>
      <w:r>
        <w:rPr>
          <w:rFonts w:hint="eastAsia" w:cs="宋体"/>
        </w:rPr>
        <w:t>5.2出现影响采购公正的违法、违规行为的；</w:t>
      </w:r>
    </w:p>
    <w:p>
      <w:pPr>
        <w:pStyle w:val="25"/>
        <w:snapToGrid w:val="0"/>
        <w:spacing w:line="360" w:lineRule="auto"/>
        <w:rPr>
          <w:rFonts w:cs="宋体"/>
        </w:rPr>
      </w:pPr>
      <w:r>
        <w:rPr>
          <w:rFonts w:hint="eastAsia" w:cs="宋体"/>
        </w:rPr>
        <w:t>5.3投标人的报价均超过了采购预算，采购人不能支付的；</w:t>
      </w:r>
    </w:p>
    <w:p>
      <w:pPr>
        <w:pStyle w:val="25"/>
        <w:snapToGrid w:val="0"/>
        <w:spacing w:line="360" w:lineRule="auto"/>
        <w:rPr>
          <w:rFonts w:cs="宋体"/>
        </w:rPr>
      </w:pPr>
      <w:r>
        <w:rPr>
          <w:rFonts w:hint="eastAsia" w:cs="宋体"/>
        </w:rPr>
        <w:t>5.4因重大变故，采购任务取消的。</w:t>
      </w:r>
    </w:p>
    <w:p>
      <w:pPr>
        <w:pStyle w:val="25"/>
        <w:snapToGrid w:val="0"/>
        <w:spacing w:line="360" w:lineRule="auto"/>
        <w:rPr>
          <w:rFonts w:cs="宋体"/>
        </w:rPr>
      </w:pPr>
      <w:r>
        <w:rPr>
          <w:rFonts w:hint="eastAsia" w:cs="宋体"/>
        </w:rPr>
        <w:t>废标后，采购代理机构应当将废标理由通知所有投标人。</w:t>
      </w:r>
    </w:p>
    <w:p>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5"/>
        <w:snapToGrid w:val="0"/>
        <w:spacing w:line="360" w:lineRule="auto"/>
        <w:rPr>
          <w:rFonts w:cs="宋体"/>
        </w:rPr>
      </w:pPr>
      <w:r>
        <w:rPr>
          <w:rFonts w:hint="eastAsia" w:cs="宋体"/>
        </w:rPr>
        <w:t>7.1未确定中标供应商的，终止本次政府采购活动，重新开展政府采购活动。</w:t>
      </w:r>
    </w:p>
    <w:p>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rPr>
      </w:pPr>
      <w:r>
        <w:rPr>
          <w:rFonts w:hint="eastAsia" w:cs="宋体"/>
        </w:rPr>
        <w:t>7.4政府采购合同已经履行，给采购人、供应商造成损失的，由责任人承担赔偿责任。</w:t>
      </w:r>
    </w:p>
    <w:p>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rPr>
      </w:pPr>
    </w:p>
    <w:bookmarkEnd w:id="28"/>
    <w:p>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pPr>
        <w:pStyle w:val="62"/>
        <w:ind w:firstLine="723"/>
        <w:rPr>
          <w:rFonts w:cs="宋体"/>
          <w:b/>
          <w:sz w:val="36"/>
          <w:szCs w:val="36"/>
        </w:rPr>
      </w:pPr>
    </w:p>
    <w:p>
      <w:pPr>
        <w:rPr>
          <w:rFonts w:ascii="宋体" w:hAnsi="宋体" w:cs="宋体"/>
          <w:b/>
          <w:sz w:val="36"/>
          <w:szCs w:val="36"/>
        </w:rPr>
      </w:pPr>
    </w:p>
    <w:p>
      <w:pPr>
        <w:pStyle w:val="40"/>
        <w:rPr>
          <w:rFonts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702"/>
        <w:rPr>
          <w:rFonts w:ascii="宋体" w:hAnsi="宋体" w:cs="宋体"/>
          <w:szCs w:val="24"/>
        </w:rPr>
      </w:pPr>
    </w:p>
    <w:p>
      <w:pPr>
        <w:pStyle w:val="702"/>
        <w:rPr>
          <w:rFonts w:ascii="宋体" w:hAnsi="宋体" w:cs="宋体"/>
          <w:szCs w:val="24"/>
        </w:rPr>
      </w:pPr>
    </w:p>
    <w:p>
      <w:pPr>
        <w:pStyle w:val="702"/>
        <w:jc w:val="center"/>
        <w:rPr>
          <w:rFonts w:ascii="宋体" w:hAnsi="宋体" w:cs="宋体"/>
          <w:szCs w:val="24"/>
        </w:rPr>
      </w:pPr>
    </w:p>
    <w:p>
      <w:pPr>
        <w:pStyle w:val="702"/>
        <w:ind w:firstLine="2843" w:firstLineChars="1180"/>
        <w:rPr>
          <w:rFonts w:ascii="宋体" w:hAnsi="宋体" w:cs="宋体"/>
          <w:b/>
          <w:szCs w:val="24"/>
        </w:rPr>
      </w:pPr>
      <w:r>
        <w:rPr>
          <w:rFonts w:hint="eastAsia" w:ascii="宋体" w:hAnsi="宋体" w:cs="宋体"/>
          <w:b/>
          <w:szCs w:val="24"/>
        </w:rPr>
        <w:t>第一部分 合同书</w:t>
      </w:r>
    </w:p>
    <w:p>
      <w:pPr>
        <w:pStyle w:val="702"/>
        <w:rPr>
          <w:rFonts w:ascii="宋体" w:hAnsi="宋体" w:cs="宋体"/>
          <w:szCs w:val="24"/>
        </w:rPr>
      </w:pPr>
    </w:p>
    <w:p>
      <w:pPr>
        <w:pStyle w:val="702"/>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9"/>
        <w:spacing w:before="120" w:line="22" w:lineRule="atLeast"/>
        <w:rPr>
          <w:rFonts w:ascii="宋体" w:hAnsi="宋体" w:eastAsia="宋体" w:cs="宋体"/>
          <w:szCs w:val="24"/>
        </w:rPr>
      </w:pPr>
    </w:p>
    <w:p>
      <w:pPr>
        <w:pStyle w:val="599"/>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（采购人）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（项目名称、编号）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396" w:name="_Toc24059"/>
      <w:bookmarkStart w:id="397" w:name="_Toc3029"/>
      <w:bookmarkStart w:id="398" w:name="_Toc2232"/>
      <w:r>
        <w:rPr>
          <w:rFonts w:hint="eastAsia" w:ascii="宋体" w:hAnsi="宋体" w:cs="宋体"/>
          <w:b/>
          <w:sz w:val="24"/>
        </w:rPr>
        <w:t>1.1 合同组成部分</w:t>
      </w:r>
      <w:bookmarkEnd w:id="396"/>
      <w:bookmarkEnd w:id="397"/>
      <w:bookmarkEnd w:id="398"/>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399" w:name="_Toc24300"/>
      <w:bookmarkStart w:id="400" w:name="_Toc21295"/>
      <w:bookmarkStart w:id="401" w:name="_Toc27126"/>
      <w:r>
        <w:rPr>
          <w:rFonts w:hint="eastAsia" w:ascii="宋体" w:hAnsi="宋体" w:cs="宋体"/>
          <w:b/>
          <w:sz w:val="24"/>
        </w:rPr>
        <w:t>1.2 货物</w:t>
      </w:r>
      <w:bookmarkEnd w:id="399"/>
      <w:bookmarkEnd w:id="400"/>
      <w:bookmarkEnd w:id="401"/>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02" w:name="_Toc21631"/>
      <w:bookmarkStart w:id="403" w:name="_Toc21551"/>
      <w:bookmarkStart w:id="404" w:name="_Toc23292"/>
      <w:r>
        <w:rPr>
          <w:rFonts w:hint="eastAsia" w:ascii="宋体" w:hAnsi="宋体" w:cs="宋体"/>
          <w:b/>
          <w:sz w:val="24"/>
        </w:rPr>
        <w:t>1.3 价款</w:t>
      </w:r>
      <w:bookmarkEnd w:id="402"/>
      <w:bookmarkEnd w:id="403"/>
      <w:bookmarkEnd w:id="404"/>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20"/>
              <w:spacing w:line="560" w:lineRule="exact"/>
              <w:ind w:firstLine="200"/>
              <w:jc w:val="center"/>
              <w:rPr>
                <w:rFonts w:hAnsi="宋体" w:cs="宋体"/>
                <w:sz w:val="24"/>
                <w:szCs w:val="24"/>
              </w:rPr>
            </w:pPr>
          </w:p>
        </w:tc>
      </w:tr>
    </w:tbl>
    <w:p>
      <w:pPr>
        <w:pStyle w:val="960"/>
        <w:spacing w:before="0" w:beforeAutospacing="0" w:after="0" w:afterAutospacing="0" w:line="360" w:lineRule="auto"/>
        <w:ind w:firstLine="480"/>
        <w:rPr>
          <w:b/>
        </w:rPr>
      </w:pPr>
      <w:bookmarkStart w:id="405" w:name="_Toc22618"/>
      <w:bookmarkStart w:id="406" w:name="_Toc10340"/>
      <w:bookmarkStart w:id="407" w:name="_Toc1814"/>
      <w:r>
        <w:rPr>
          <w:rFonts w:hint="eastAsia"/>
          <w:b/>
        </w:rPr>
        <w:t>1.4履约保证金：无</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5"/>
      <w:bookmarkEnd w:id="406"/>
      <w:bookmarkEnd w:id="407"/>
      <w:r>
        <w:rPr>
          <w:rFonts w:hint="eastAsia" w:ascii="宋体" w:hAnsi="宋体" w:cs="宋体"/>
          <w:b/>
          <w:sz w:val="24"/>
        </w:rPr>
        <w:t>预付款</w:t>
      </w:r>
    </w:p>
    <w:p>
      <w:pPr>
        <w:pStyle w:val="960"/>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60"/>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0"/>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60"/>
        <w:spacing w:before="0" w:beforeAutospacing="0" w:after="0" w:afterAutospacing="0" w:line="360" w:lineRule="auto"/>
        <w:ind w:firstLine="480"/>
        <w:rPr>
          <w:b/>
          <w:bCs/>
        </w:rPr>
      </w:pPr>
      <w:r>
        <w:rPr>
          <w:rFonts w:hint="eastAsia"/>
          <w:b/>
          <w:bCs/>
        </w:rPr>
        <w:t>1.6资金支付</w:t>
      </w:r>
    </w:p>
    <w:p>
      <w:pPr>
        <w:pStyle w:val="960"/>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08" w:name="_Toc2846"/>
      <w:bookmarkStart w:id="409" w:name="_Toc32071"/>
      <w:bookmarkStart w:id="410" w:name="_Toc19304"/>
      <w:r>
        <w:rPr>
          <w:rFonts w:hint="eastAsia" w:ascii="宋体" w:hAnsi="宋体" w:cs="宋体"/>
          <w:b/>
          <w:sz w:val="24"/>
        </w:rPr>
        <w:t>1.7货物交付期限、地点和方式</w:t>
      </w:r>
      <w:bookmarkEnd w:id="408"/>
      <w:bookmarkEnd w:id="409"/>
      <w:bookmarkEnd w:id="410"/>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1" w:name="_Toc21423"/>
      <w:bookmarkStart w:id="412" w:name="_Toc19554"/>
      <w:bookmarkStart w:id="413" w:name="_Toc27250"/>
      <w:r>
        <w:rPr>
          <w:rFonts w:hint="eastAsia" w:ascii="宋体" w:hAnsi="宋体" w:cs="宋体"/>
          <w:b/>
          <w:sz w:val="24"/>
        </w:rPr>
        <w:t>1.8违约责任</w:t>
      </w:r>
      <w:bookmarkEnd w:id="411"/>
      <w:bookmarkEnd w:id="412"/>
      <w:bookmarkEnd w:id="413"/>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14" w:name="_Toc28375"/>
      <w:bookmarkStart w:id="415" w:name="_Toc16021"/>
      <w:bookmarkStart w:id="416" w:name="_Toc15583"/>
      <w:r>
        <w:rPr>
          <w:rFonts w:hint="eastAsia" w:ascii="宋体" w:hAnsi="宋体" w:cs="宋体"/>
          <w:b/>
          <w:sz w:val="24"/>
        </w:rPr>
        <w:t>1.9合同争议的解决</w:t>
      </w:r>
      <w:bookmarkEnd w:id="414"/>
      <w:bookmarkEnd w:id="415"/>
      <w:bookmarkEnd w:id="416"/>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sz w:val="24"/>
          <w:u w:val="single"/>
          <w:lang w:val="en-US" w:eastAsia="zh-CN"/>
        </w:rPr>
        <w:t>2</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lang w:eastAsia="zh-CN"/>
        </w:rPr>
        <w:t>嘉兴</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lang w:eastAsia="zh-CN"/>
        </w:rPr>
        <w:t>有管辖权的</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17" w:name="_Toc11173"/>
      <w:bookmarkStart w:id="418" w:name="_Toc15322"/>
      <w:bookmarkStart w:id="419" w:name="_Toc7245"/>
      <w:r>
        <w:rPr>
          <w:rFonts w:hint="eastAsia" w:ascii="宋体" w:hAnsi="宋体" w:cs="宋体"/>
          <w:b/>
          <w:sz w:val="24"/>
        </w:rPr>
        <w:t>2.0 合同生效</w:t>
      </w:r>
      <w:bookmarkEnd w:id="417"/>
      <w:bookmarkEnd w:id="418"/>
      <w:bookmarkEnd w:id="419"/>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3"/>
        <w:rPr>
          <w:rFonts w:ascii="宋体" w:hAnsi="宋体" w:cs="宋体"/>
          <w:sz w:val="24"/>
        </w:rPr>
      </w:pPr>
    </w:p>
    <w:p>
      <w:pPr>
        <w:rPr>
          <w:rFonts w:ascii="宋体" w:hAnsi="宋体" w:cs="宋体"/>
          <w:sz w:val="24"/>
        </w:rPr>
      </w:pPr>
    </w:p>
    <w:p>
      <w:pPr>
        <w:pStyle w:val="62"/>
        <w:rPr>
          <w:rFonts w:ascii="宋体" w:hAnsi="宋体" w:cs="宋体"/>
          <w:sz w:val="24"/>
        </w:rPr>
      </w:pPr>
    </w:p>
    <w:p/>
    <w:p>
      <w:pPr>
        <w:pStyle w:val="702"/>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20" w:name="_Toc487900349"/>
      <w:bookmarkStart w:id="421" w:name="_Ref467379205"/>
      <w:bookmarkStart w:id="422" w:name="_Ref467379094"/>
      <w:bookmarkStart w:id="423" w:name="_Toc19614"/>
      <w:bookmarkStart w:id="424" w:name="_Ref467379109"/>
      <w:bookmarkStart w:id="425" w:name="_Ref467379214"/>
      <w:bookmarkStart w:id="426" w:name="_Toc16917"/>
      <w:bookmarkStart w:id="427" w:name="_Toc259093669"/>
      <w:bookmarkStart w:id="428" w:name="_Ref467378463"/>
      <w:bookmarkStart w:id="429" w:name="_Ref467378499"/>
      <w:bookmarkStart w:id="430" w:name="_Ref467379225"/>
      <w:bookmarkStart w:id="431" w:name="_Ref467378404"/>
      <w:bookmarkStart w:id="432" w:name="_Ref467379195"/>
      <w:bookmarkStart w:id="433" w:name="_Toc28763"/>
      <w:bookmarkStart w:id="434" w:name="_Toc279701240"/>
      <w:bookmarkStart w:id="435" w:name="_Ref467379101"/>
      <w:r>
        <w:rPr>
          <w:rFonts w:hint="eastAsia" w:ascii="宋体" w:hAnsi="宋体" w:cs="宋体"/>
          <w:b/>
          <w:sz w:val="24"/>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36" w:name="_Ref467378840"/>
      <w:r>
        <w:rPr>
          <w:rFonts w:hint="eastAsia" w:ascii="宋体" w:hAnsi="宋体" w:cs="宋体"/>
          <w:sz w:val="24"/>
        </w:rPr>
        <w:t>2.1.4 “甲方”系指与中标或成交供应商签署合同的采购人</w:t>
      </w:r>
      <w:bookmarkEnd w:id="436"/>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37" w:name="_Ref467379400"/>
      <w:r>
        <w:rPr>
          <w:rFonts w:hint="eastAsia" w:ascii="宋体" w:hAnsi="宋体" w:cs="宋体"/>
          <w:sz w:val="24"/>
        </w:rPr>
        <w:t>2.1.5 “乙方”系指根据合同约定交付货物的中标或成交供应商</w:t>
      </w:r>
      <w:bookmarkEnd w:id="437"/>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38" w:name="_Ref467379436"/>
      <w:r>
        <w:rPr>
          <w:rFonts w:hint="eastAsia" w:ascii="宋体" w:hAnsi="宋体" w:cs="宋体"/>
          <w:sz w:val="24"/>
        </w:rPr>
        <w:t>2.1.6 “现场”系指合同约定货物将要运至或者安装的地点。</w:t>
      </w:r>
      <w:bookmarkEnd w:id="438"/>
    </w:p>
    <w:p>
      <w:pPr>
        <w:spacing w:line="560" w:lineRule="exact"/>
        <w:ind w:firstLine="482" w:firstLineChars="200"/>
        <w:outlineLvl w:val="0"/>
        <w:rPr>
          <w:rFonts w:ascii="宋体" w:hAnsi="宋体" w:cs="宋体"/>
          <w:b/>
          <w:sz w:val="24"/>
        </w:rPr>
      </w:pPr>
      <w:bookmarkStart w:id="439" w:name="_Toc259093670"/>
      <w:bookmarkStart w:id="440" w:name="_Toc487900350"/>
      <w:bookmarkStart w:id="441" w:name="_Toc32504"/>
      <w:bookmarkStart w:id="442" w:name="_Toc13336"/>
      <w:bookmarkStart w:id="443" w:name="_Toc279701241"/>
      <w:bookmarkStart w:id="444" w:name="_Toc27635"/>
      <w:r>
        <w:rPr>
          <w:rFonts w:hint="eastAsia" w:ascii="宋体" w:hAnsi="宋体" w:cs="宋体"/>
          <w:b/>
          <w:sz w:val="24"/>
        </w:rPr>
        <w:t>2.2 技术规范</w:t>
      </w:r>
      <w:bookmarkEnd w:id="439"/>
      <w:bookmarkEnd w:id="440"/>
      <w:bookmarkEnd w:id="441"/>
      <w:bookmarkEnd w:id="442"/>
      <w:bookmarkEnd w:id="443"/>
      <w:bookmarkEnd w:id="444"/>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45" w:name="_Toc31634"/>
      <w:bookmarkStart w:id="446" w:name="_Toc487900351"/>
      <w:bookmarkStart w:id="447" w:name="_Toc9829"/>
      <w:bookmarkStart w:id="448" w:name="_Toc27853"/>
      <w:bookmarkStart w:id="449" w:name="_Toc259093671"/>
      <w:bookmarkStart w:id="450" w:name="_Toc279701242"/>
      <w:r>
        <w:rPr>
          <w:rFonts w:hint="eastAsia" w:ascii="宋体" w:hAnsi="宋体" w:cs="宋体"/>
          <w:b/>
          <w:sz w:val="24"/>
        </w:rPr>
        <w:t>2.3 知识产权</w:t>
      </w:r>
      <w:bookmarkEnd w:id="445"/>
      <w:bookmarkEnd w:id="446"/>
      <w:bookmarkEnd w:id="447"/>
      <w:bookmarkEnd w:id="448"/>
      <w:bookmarkEnd w:id="449"/>
      <w:bookmarkEnd w:id="450"/>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1" w:name="_Toc29149"/>
      <w:bookmarkStart w:id="452" w:name="_Toc4194"/>
      <w:bookmarkStart w:id="453" w:name="_Toc11932"/>
      <w:r>
        <w:rPr>
          <w:rFonts w:hint="eastAsia" w:ascii="宋体" w:hAnsi="宋体" w:cs="宋体"/>
          <w:b/>
          <w:sz w:val="24"/>
        </w:rPr>
        <w:t>2.4 包装和装运</w:t>
      </w:r>
      <w:bookmarkEnd w:id="451"/>
      <w:bookmarkEnd w:id="452"/>
      <w:bookmarkEnd w:id="453"/>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54" w:name="_Ref467379542"/>
      <w:bookmarkStart w:id="455" w:name="_Ref467378591"/>
      <w:bookmarkStart w:id="456" w:name="_Ref467379527"/>
      <w:bookmarkStart w:id="457" w:name="_Toc279701245"/>
      <w:bookmarkStart w:id="458" w:name="_Ref467378541"/>
      <w:bookmarkStart w:id="459" w:name="_Toc259093674"/>
      <w:bookmarkStart w:id="460" w:name="_Ref467379536"/>
      <w:bookmarkStart w:id="461" w:name="_Toc487900354"/>
      <w:bookmarkStart w:id="462" w:name="_Toc30272"/>
      <w:bookmarkStart w:id="463" w:name="_Toc26182"/>
      <w:bookmarkStart w:id="464" w:name="_Toc19074"/>
      <w:r>
        <w:rPr>
          <w:rFonts w:hint="eastAsia" w:ascii="宋体" w:hAnsi="宋体" w:cs="宋体"/>
          <w:b/>
          <w:sz w:val="24"/>
        </w:rPr>
        <w:t>2.</w:t>
      </w:r>
      <w:bookmarkEnd w:id="454"/>
      <w:bookmarkEnd w:id="455"/>
      <w:bookmarkEnd w:id="456"/>
      <w:bookmarkEnd w:id="457"/>
      <w:bookmarkEnd w:id="458"/>
      <w:bookmarkEnd w:id="459"/>
      <w:bookmarkEnd w:id="460"/>
      <w:bookmarkEnd w:id="461"/>
      <w:r>
        <w:rPr>
          <w:rFonts w:hint="eastAsia" w:ascii="宋体" w:hAnsi="宋体" w:cs="宋体"/>
          <w:b/>
          <w:sz w:val="24"/>
        </w:rPr>
        <w:t>5 履约检查和问题反馈</w:t>
      </w:r>
      <w:bookmarkEnd w:id="462"/>
      <w:bookmarkEnd w:id="463"/>
      <w:bookmarkEnd w:id="464"/>
    </w:p>
    <w:p>
      <w:pPr>
        <w:spacing w:line="560" w:lineRule="exact"/>
        <w:ind w:firstLine="480" w:firstLineChars="200"/>
        <w:rPr>
          <w:rFonts w:ascii="宋体" w:hAnsi="宋体" w:cs="宋体"/>
          <w:sz w:val="24"/>
        </w:rPr>
      </w:pPr>
      <w:bookmarkStart w:id="465" w:name="_Ref467379657"/>
      <w:r>
        <w:rPr>
          <w:rFonts w:hint="eastAsia" w:ascii="宋体" w:hAnsi="宋体" w:cs="宋体"/>
          <w:sz w:val="24"/>
        </w:rPr>
        <w:t>2.5.1</w:t>
      </w:r>
      <w:bookmarkEnd w:id="465"/>
      <w:bookmarkStart w:id="466" w:name="_Toc186431854"/>
      <w:bookmarkStart w:id="467" w:name="_Toc487900357"/>
      <w:bookmarkStart w:id="468" w:name="_Ref467379807"/>
      <w:bookmarkStart w:id="469" w:name="_Ref467379793"/>
      <w:bookmarkStart w:id="470" w:name="_Toc279701247"/>
      <w:bookmarkStart w:id="471"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cs="宋体"/>
          <w:sz w:val="24"/>
        </w:rPr>
        <w:t>。</w:t>
      </w:r>
    </w:p>
    <w:bookmarkEnd w:id="467"/>
    <w:bookmarkEnd w:id="468"/>
    <w:bookmarkEnd w:id="469"/>
    <w:bookmarkEnd w:id="470"/>
    <w:bookmarkEnd w:id="471"/>
    <w:bookmarkEnd w:id="472"/>
    <w:p>
      <w:pPr>
        <w:spacing w:line="560" w:lineRule="exact"/>
        <w:ind w:firstLine="482" w:firstLineChars="200"/>
        <w:outlineLvl w:val="0"/>
        <w:rPr>
          <w:rFonts w:ascii="宋体" w:hAnsi="宋体" w:cs="宋体"/>
          <w:b/>
          <w:sz w:val="24"/>
        </w:rPr>
      </w:pPr>
      <w:bookmarkStart w:id="473" w:name="_Ref467379923"/>
      <w:bookmarkStart w:id="474" w:name="_Ref467379852"/>
      <w:bookmarkStart w:id="475" w:name="_Toc259093677"/>
      <w:bookmarkStart w:id="476" w:name="_Toc487900358"/>
      <w:bookmarkStart w:id="477" w:name="_Toc279701248"/>
      <w:bookmarkStart w:id="478" w:name="_Ref467379863"/>
      <w:bookmarkStart w:id="479" w:name="_Toc16110"/>
      <w:bookmarkStart w:id="480" w:name="_Toc3225"/>
      <w:bookmarkStart w:id="481" w:name="_Toc774"/>
      <w:r>
        <w:rPr>
          <w:rFonts w:hint="eastAsia" w:ascii="宋体" w:hAnsi="宋体" w:cs="宋体"/>
          <w:b/>
          <w:sz w:val="24"/>
        </w:rPr>
        <w:t>2.6 技术资料</w:t>
      </w:r>
      <w:bookmarkEnd w:id="473"/>
      <w:bookmarkEnd w:id="474"/>
      <w:bookmarkEnd w:id="475"/>
      <w:bookmarkEnd w:id="476"/>
      <w:bookmarkEnd w:id="477"/>
      <w:bookmarkEnd w:id="478"/>
      <w:r>
        <w:rPr>
          <w:rFonts w:hint="eastAsia" w:ascii="宋体" w:hAnsi="宋体" w:cs="宋体"/>
          <w:b/>
          <w:sz w:val="24"/>
        </w:rPr>
        <w:t>和保密义务</w:t>
      </w:r>
      <w:bookmarkEnd w:id="479"/>
      <w:bookmarkEnd w:id="480"/>
      <w:bookmarkEnd w:id="481"/>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82" w:name="_Toc7860"/>
      <w:r>
        <w:rPr>
          <w:rFonts w:hint="eastAsia" w:ascii="宋体" w:hAnsi="宋体" w:cs="宋体"/>
          <w:b/>
          <w:sz w:val="24"/>
        </w:rPr>
        <w:t>2.7 质量保证</w:t>
      </w:r>
      <w:bookmarkEnd w:id="482"/>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83" w:name="_Toc17244"/>
      <w:bookmarkStart w:id="484" w:name="_Toc487900362"/>
      <w:bookmarkStart w:id="485" w:name="_Toc259093681"/>
      <w:bookmarkStart w:id="486" w:name="_Toc279701252"/>
      <w:r>
        <w:rPr>
          <w:rFonts w:hint="eastAsia" w:ascii="宋体" w:hAnsi="宋体" w:cs="宋体"/>
          <w:b/>
          <w:sz w:val="24"/>
        </w:rPr>
        <w:t>2.8 货物的风险负担</w:t>
      </w:r>
      <w:bookmarkEnd w:id="483"/>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87" w:name="_Toc14055"/>
      <w:r>
        <w:rPr>
          <w:rFonts w:hint="eastAsia" w:ascii="宋体" w:hAnsi="宋体" w:cs="宋体"/>
          <w:b/>
          <w:sz w:val="24"/>
        </w:rPr>
        <w:t>2.9 延迟交货</w:t>
      </w:r>
      <w:bookmarkEnd w:id="484"/>
      <w:bookmarkEnd w:id="485"/>
      <w:bookmarkEnd w:id="486"/>
      <w:bookmarkEnd w:id="487"/>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88" w:name="_Toc7502"/>
      <w:bookmarkStart w:id="489" w:name="_Toc279701254"/>
      <w:bookmarkStart w:id="490" w:name="_Ref467378121"/>
      <w:bookmarkStart w:id="491" w:name="_Toc487900364"/>
      <w:bookmarkStart w:id="492" w:name="_Toc259093683"/>
      <w:r>
        <w:rPr>
          <w:rFonts w:hint="eastAsia" w:ascii="宋体" w:hAnsi="宋体" w:cs="宋体"/>
          <w:b/>
          <w:sz w:val="24"/>
        </w:rPr>
        <w:t>2.10 合同变更</w:t>
      </w:r>
      <w:bookmarkEnd w:id="488"/>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3" w:name="_Toc487900369"/>
      <w:bookmarkStart w:id="494" w:name="_Toc259093688"/>
      <w:bookmarkStart w:id="495" w:name="_Toc279701259"/>
    </w:p>
    <w:p>
      <w:pPr>
        <w:spacing w:line="560" w:lineRule="exact"/>
        <w:ind w:firstLine="482" w:firstLineChars="200"/>
        <w:outlineLvl w:val="0"/>
        <w:rPr>
          <w:rFonts w:ascii="宋体" w:hAnsi="宋体" w:cs="宋体"/>
          <w:b/>
          <w:sz w:val="24"/>
        </w:rPr>
      </w:pPr>
      <w:bookmarkStart w:id="496" w:name="_Toc10366"/>
      <w:bookmarkStart w:id="497" w:name="_Toc15237"/>
      <w:bookmarkStart w:id="498" w:name="_Toc22955"/>
      <w:r>
        <w:rPr>
          <w:rFonts w:hint="eastAsia" w:ascii="宋体" w:hAnsi="宋体" w:cs="宋体"/>
          <w:b/>
          <w:sz w:val="24"/>
        </w:rPr>
        <w:t>2.11 合同转让</w:t>
      </w:r>
      <w:bookmarkEnd w:id="493"/>
      <w:bookmarkEnd w:id="494"/>
      <w:bookmarkEnd w:id="495"/>
      <w:r>
        <w:rPr>
          <w:rFonts w:hint="eastAsia" w:ascii="宋体" w:hAnsi="宋体" w:cs="宋体"/>
          <w:b/>
          <w:sz w:val="24"/>
        </w:rPr>
        <w:t>和分包</w:t>
      </w:r>
      <w:bookmarkEnd w:id="496"/>
      <w:bookmarkEnd w:id="497"/>
      <w:bookmarkEnd w:id="498"/>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499" w:name="_Toc14066"/>
      <w:bookmarkStart w:id="500" w:name="_Toc13566"/>
      <w:bookmarkStart w:id="501" w:name="_Toc16508"/>
      <w:r>
        <w:rPr>
          <w:rFonts w:hint="eastAsia" w:ascii="宋体" w:hAnsi="宋体" w:cs="宋体"/>
          <w:b/>
          <w:sz w:val="24"/>
        </w:rPr>
        <w:t>2.12 不可抗力</w:t>
      </w:r>
      <w:bookmarkEnd w:id="499"/>
      <w:bookmarkEnd w:id="500"/>
      <w:bookmarkEnd w:id="501"/>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02" w:name="_Toc259093684"/>
      <w:bookmarkStart w:id="503" w:name="_Toc6969"/>
      <w:bookmarkStart w:id="504" w:name="_Toc30676"/>
      <w:bookmarkStart w:id="505" w:name="_Toc487900365"/>
      <w:bookmarkStart w:id="506" w:name="_Toc689"/>
      <w:bookmarkStart w:id="507" w:name="_Toc279701255"/>
      <w:r>
        <w:rPr>
          <w:rFonts w:hint="eastAsia" w:ascii="宋体" w:hAnsi="宋体" w:cs="宋体"/>
          <w:b/>
          <w:sz w:val="24"/>
        </w:rPr>
        <w:t>2.13 税费</w:t>
      </w:r>
      <w:bookmarkEnd w:id="502"/>
      <w:bookmarkEnd w:id="503"/>
      <w:bookmarkEnd w:id="504"/>
      <w:bookmarkEnd w:id="505"/>
      <w:bookmarkEnd w:id="506"/>
      <w:bookmarkEnd w:id="507"/>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08" w:name="_Toc487900368"/>
      <w:bookmarkStart w:id="509" w:name="_Toc279701258"/>
      <w:bookmarkStart w:id="510" w:name="_Toc8298"/>
      <w:bookmarkStart w:id="511" w:name="_Toc7102"/>
      <w:bookmarkStart w:id="512" w:name="_Toc259093687"/>
      <w:bookmarkStart w:id="513" w:name="_Toc16959"/>
      <w:r>
        <w:rPr>
          <w:rFonts w:hint="eastAsia" w:ascii="宋体" w:hAnsi="宋体" w:cs="宋体"/>
          <w:b/>
          <w:sz w:val="24"/>
        </w:rPr>
        <w:t>2.14乙方破产</w:t>
      </w:r>
      <w:bookmarkEnd w:id="508"/>
      <w:bookmarkEnd w:id="509"/>
      <w:bookmarkEnd w:id="510"/>
      <w:bookmarkEnd w:id="511"/>
      <w:bookmarkEnd w:id="512"/>
      <w:bookmarkEnd w:id="513"/>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14" w:name="_Toc15387"/>
      <w:bookmarkStart w:id="515" w:name="_Toc29333"/>
      <w:bookmarkStart w:id="516" w:name="_Toc6134"/>
      <w:r>
        <w:rPr>
          <w:rFonts w:hint="eastAsia" w:ascii="宋体" w:hAnsi="宋体" w:cs="宋体"/>
          <w:b/>
          <w:sz w:val="24"/>
        </w:rPr>
        <w:t>2.15 合同中止、终止</w:t>
      </w:r>
      <w:bookmarkEnd w:id="514"/>
      <w:bookmarkEnd w:id="515"/>
      <w:bookmarkEnd w:id="516"/>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17" w:name="_Toc6596"/>
      <w:bookmarkStart w:id="518" w:name="_Toc14563"/>
      <w:bookmarkStart w:id="519" w:name="_Toc1125"/>
      <w:r>
        <w:rPr>
          <w:rFonts w:hint="eastAsia" w:ascii="宋体" w:hAnsi="宋体" w:cs="宋体"/>
          <w:b/>
          <w:sz w:val="24"/>
        </w:rPr>
        <w:t>2.16检验和验收</w:t>
      </w:r>
      <w:bookmarkEnd w:id="517"/>
      <w:bookmarkEnd w:id="518"/>
      <w:bookmarkEnd w:id="519"/>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89"/>
    <w:bookmarkEnd w:id="490"/>
    <w:bookmarkEnd w:id="491"/>
    <w:bookmarkEnd w:id="492"/>
    <w:p>
      <w:pPr>
        <w:spacing w:line="560" w:lineRule="exact"/>
        <w:ind w:firstLine="482" w:firstLineChars="200"/>
        <w:outlineLvl w:val="0"/>
        <w:rPr>
          <w:rFonts w:ascii="宋体" w:hAnsi="宋体" w:cs="宋体"/>
          <w:b/>
          <w:sz w:val="24"/>
        </w:rPr>
      </w:pPr>
      <w:bookmarkStart w:id="520" w:name="_Toc279701261"/>
      <w:bookmarkStart w:id="521" w:name="_Toc487900371"/>
      <w:bookmarkStart w:id="522" w:name="_Toc259093690"/>
      <w:bookmarkStart w:id="523" w:name="_Toc19604"/>
      <w:bookmarkStart w:id="524" w:name="_Toc11284"/>
      <w:bookmarkStart w:id="525" w:name="_Toc25182"/>
      <w:r>
        <w:rPr>
          <w:rFonts w:hint="eastAsia" w:ascii="宋体" w:hAnsi="宋体" w:cs="宋体"/>
          <w:b/>
          <w:sz w:val="24"/>
        </w:rPr>
        <w:t>2.17 通知</w:t>
      </w:r>
      <w:bookmarkEnd w:id="520"/>
      <w:bookmarkEnd w:id="521"/>
      <w:bookmarkEnd w:id="522"/>
      <w:r>
        <w:rPr>
          <w:rFonts w:hint="eastAsia" w:ascii="宋体" w:hAnsi="宋体" w:cs="宋体"/>
          <w:b/>
          <w:sz w:val="24"/>
        </w:rPr>
        <w:t>和送达</w:t>
      </w:r>
      <w:bookmarkEnd w:id="523"/>
      <w:bookmarkEnd w:id="524"/>
      <w:bookmarkEnd w:id="525"/>
    </w:p>
    <w:p>
      <w:pPr>
        <w:spacing w:line="560" w:lineRule="exact"/>
        <w:ind w:firstLine="480" w:firstLineChars="200"/>
        <w:rPr>
          <w:rFonts w:ascii="宋体" w:hAnsi="宋体" w:cs="宋体"/>
          <w:sz w:val="24"/>
        </w:rPr>
      </w:pPr>
      <w:bookmarkStart w:id="526" w:name="_Toc6698"/>
      <w:bookmarkStart w:id="527" w:name="_Toc3135"/>
      <w:bookmarkStart w:id="528" w:name="_Toc487900372"/>
      <w:bookmarkStart w:id="529" w:name="_Toc259093691"/>
      <w:bookmarkStart w:id="530" w:name="_Toc27970126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6"/>
      <w:bookmarkEnd w:id="527"/>
    </w:p>
    <w:p>
      <w:pPr>
        <w:spacing w:line="560" w:lineRule="exact"/>
        <w:ind w:firstLine="480" w:firstLineChars="200"/>
        <w:rPr>
          <w:rFonts w:ascii="宋体" w:hAnsi="宋体" w:cs="宋体"/>
          <w:sz w:val="24"/>
        </w:rPr>
      </w:pPr>
      <w:bookmarkStart w:id="531" w:name="_Toc23294"/>
      <w:bookmarkStart w:id="532"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pacing w:line="560" w:lineRule="exact"/>
        <w:ind w:firstLine="482" w:firstLineChars="200"/>
        <w:outlineLvl w:val="0"/>
        <w:rPr>
          <w:rFonts w:ascii="宋体" w:hAnsi="宋体" w:cs="宋体"/>
          <w:b/>
          <w:sz w:val="24"/>
        </w:rPr>
      </w:pPr>
      <w:bookmarkStart w:id="533" w:name="_Toc18540"/>
      <w:bookmarkStart w:id="534" w:name="_Toc4355"/>
      <w:bookmarkStart w:id="535" w:name="_Toc30599"/>
      <w:r>
        <w:rPr>
          <w:rFonts w:hint="eastAsia" w:ascii="宋体" w:hAnsi="宋体" w:cs="宋体"/>
          <w:b/>
          <w:sz w:val="24"/>
        </w:rPr>
        <w:t>2.18 计量单位</w:t>
      </w:r>
      <w:bookmarkEnd w:id="528"/>
      <w:bookmarkEnd w:id="529"/>
      <w:bookmarkEnd w:id="530"/>
      <w:bookmarkEnd w:id="533"/>
      <w:bookmarkEnd w:id="534"/>
      <w:bookmarkEnd w:id="535"/>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36" w:name="_Toc18567"/>
      <w:bookmarkStart w:id="537" w:name="_Toc487900373"/>
      <w:bookmarkStart w:id="538" w:name="_Toc259093692"/>
      <w:bookmarkStart w:id="539" w:name="_Toc12773"/>
      <w:bookmarkStart w:id="540" w:name="_Toc279701263"/>
      <w:bookmarkStart w:id="541" w:name="_Toc10330"/>
      <w:r>
        <w:rPr>
          <w:rFonts w:hint="eastAsia" w:ascii="宋体" w:hAnsi="宋体" w:cs="宋体"/>
          <w:b/>
          <w:sz w:val="24"/>
        </w:rPr>
        <w:t>2.19 合同使用的文字和适用的法律</w:t>
      </w:r>
      <w:bookmarkEnd w:id="536"/>
      <w:bookmarkEnd w:id="537"/>
      <w:bookmarkEnd w:id="538"/>
      <w:bookmarkEnd w:id="539"/>
      <w:bookmarkEnd w:id="540"/>
      <w:bookmarkEnd w:id="541"/>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42" w:name="_Toc6885"/>
      <w:bookmarkStart w:id="543" w:name="_Toc14001"/>
      <w:bookmarkStart w:id="544" w:name="_Toc19890"/>
      <w:r>
        <w:rPr>
          <w:rFonts w:hint="eastAsia" w:ascii="宋体" w:hAnsi="宋体" w:cs="宋体"/>
          <w:b/>
          <w:sz w:val="24"/>
        </w:rPr>
        <w:t>2.20 合同份数</w:t>
      </w:r>
      <w:bookmarkEnd w:id="542"/>
      <w:bookmarkEnd w:id="543"/>
      <w:bookmarkEnd w:id="544"/>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3"/>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3"/>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w:t>
      </w:r>
      <w:r>
        <w:rPr>
          <w:rFonts w:hint="eastAsia" w:ascii="宋体" w:hAnsi="宋体" w:cs="宋体"/>
          <w:sz w:val="24"/>
          <w:lang w:eastAsia="zh-CN"/>
        </w:rPr>
        <w:t>（如有）</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9"/>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4" w:hRule="atLeast"/>
          <w:jc w:val="center"/>
        </w:trPr>
        <w:tc>
          <w:tcPr>
            <w:tcW w:w="9207" w:type="dxa"/>
          </w:tcPr>
          <w:p>
            <w:pPr>
              <w:pStyle w:val="149"/>
              <w:adjustRightInd w:val="0"/>
              <w:spacing w:line="360" w:lineRule="auto"/>
              <w:rPr>
                <w:rFonts w:hAnsi="宋体" w:cs="宋体"/>
                <w:bCs/>
                <w:sz w:val="24"/>
              </w:rPr>
            </w:pPr>
            <w:r>
              <w:rPr>
                <w:rFonts w:hint="eastAsia" w:hAnsi="宋体" w:cs="宋体"/>
                <w:bCs/>
                <w:sz w:val="24"/>
              </w:rPr>
              <w:t>正面：                                 反面：</w:t>
            </w:r>
          </w:p>
          <w:p>
            <w:pPr>
              <w:pStyle w:val="14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三、符合性审查资料</w:t>
      </w:r>
    </w:p>
    <w:p>
      <w:pPr>
        <w:jc w:val="center"/>
        <w:rPr>
          <w:rFonts w:ascii="宋体" w:hAnsi="宋体" w:cs="宋体"/>
          <w:b/>
          <w:kern w:val="0"/>
          <w:sz w:val="32"/>
          <w:szCs w:val="32"/>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四、评标标准相应的商务技术资料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五、投标标的清单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2）。]</w:t>
      </w:r>
    </w:p>
    <w:p>
      <w:pPr>
        <w:pStyle w:val="693"/>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45" w:name="_Toc465665161"/>
      <w:r>
        <w:rPr>
          <w:rFonts w:hint="eastAsia" w:ascii="宋体" w:hAnsi="宋体" w:cs="宋体"/>
        </w:rPr>
        <w:t>附件</w:t>
      </w:r>
      <w:bookmarkEnd w:id="545"/>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46" w:name="OLE_LINK13"/>
      <w:bookmarkStart w:id="547" w:name="OLE_LINK14"/>
      <w:r>
        <w:rPr>
          <w:rFonts w:hint="eastAsia" w:ascii="宋体" w:hAnsi="宋体" w:cs="宋体"/>
          <w:b/>
          <w:spacing w:val="6"/>
          <w:sz w:val="32"/>
          <w:szCs w:val="32"/>
        </w:rPr>
        <w:t>残疾人福利性单位声明函</w:t>
      </w:r>
    </w:p>
    <w:bookmarkEnd w:id="546"/>
    <w:bookmarkEnd w:id="547"/>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hint="eastAsia" w:ascii="宋体" w:hAnsi="宋体" w:cs="宋体"/>
          <w:b/>
          <w:kern w:val="0"/>
          <w:sz w:val="44"/>
          <w:szCs w:val="44"/>
          <w:lang w:val="en-US" w:eastAsia="zh-CN"/>
        </w:rPr>
        <w:t>2</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w:t>
      </w:r>
      <w:r>
        <w:rPr>
          <w:rFonts w:hint="eastAsia" w:ascii="宋体" w:hAnsi="宋体" w:cs="宋体"/>
          <w:b/>
          <w:bCs/>
          <w:sz w:val="24"/>
        </w:rPr>
        <w:t>提供的货物全部由符合政策要求的中小企业制造</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华文中宋"/>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华文中宋"/>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48" w:name="_Toc164085800"/>
    <w:bookmarkStart w:id="549" w:name="_Toc91899912"/>
    <w:bookmarkStart w:id="550" w:name="_Toc131845147"/>
    <w:bookmarkStart w:id="551" w:name="_Toc36110187"/>
    <w:r>
      <w:rPr>
        <w:rFonts w:hint="eastAsia" w:ascii="仿宋_GB2312" w:eastAsia="仿宋_GB2312"/>
        <w:kern w:val="0"/>
        <w:szCs w:val="21"/>
      </w:rPr>
      <w:t xml:space="preserve"> 页</w:t>
    </w:r>
    <w:bookmarkEnd w:id="548"/>
    <w:bookmarkEnd w:id="549"/>
    <w:bookmarkEnd w:id="550"/>
    <w:bookmarkEnd w:id="55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18499"/>
    <w:multiLevelType w:val="singleLevel"/>
    <w:tmpl w:val="95E18499"/>
    <w:lvl w:ilvl="0" w:tentative="0">
      <w:start w:val="10"/>
      <w:numFmt w:val="chineseCounting"/>
      <w:suff w:val="nothing"/>
      <w:lvlText w:val="%1、"/>
      <w:lvlJc w:val="left"/>
      <w:rPr>
        <w:rFonts w:hint="eastAsia"/>
      </w:rPr>
    </w:lvl>
  </w:abstractNum>
  <w:abstractNum w:abstractNumId="1">
    <w:nsid w:val="08FF0D67"/>
    <w:multiLevelType w:val="singleLevel"/>
    <w:tmpl w:val="08FF0D67"/>
    <w:lvl w:ilvl="0" w:tentative="0">
      <w:start w:val="3"/>
      <w:numFmt w:val="chineseCounting"/>
      <w:suff w:val="space"/>
      <w:lvlText w:val="第%1部分"/>
      <w:lvlJc w:val="left"/>
      <w:rPr>
        <w:rFonts w:hint="eastAsia"/>
      </w:rPr>
    </w:lvl>
  </w:abstractNum>
  <w:abstractNum w:abstractNumId="2">
    <w:nsid w:val="55DB99F9"/>
    <w:multiLevelType w:val="singleLevel"/>
    <w:tmpl w:val="55DB99F9"/>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mZlMmMwNDEyOTNkZTA3ZDJhZDU5ODNiZjVhY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2E1"/>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1FF9"/>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C16"/>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9A0"/>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4F2C"/>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528"/>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D9C"/>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AA6"/>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9515E"/>
    <w:rsid w:val="011E3D92"/>
    <w:rsid w:val="011F6449"/>
    <w:rsid w:val="01236AFB"/>
    <w:rsid w:val="0154597F"/>
    <w:rsid w:val="01551C08"/>
    <w:rsid w:val="01983A63"/>
    <w:rsid w:val="019F7441"/>
    <w:rsid w:val="01B37585"/>
    <w:rsid w:val="01D55165"/>
    <w:rsid w:val="01DF6BF8"/>
    <w:rsid w:val="01EC2C57"/>
    <w:rsid w:val="0236335D"/>
    <w:rsid w:val="025F0711"/>
    <w:rsid w:val="026B2E25"/>
    <w:rsid w:val="02775E4F"/>
    <w:rsid w:val="02824D4D"/>
    <w:rsid w:val="029A1B3E"/>
    <w:rsid w:val="02C72207"/>
    <w:rsid w:val="02DC4B10"/>
    <w:rsid w:val="02DD76CE"/>
    <w:rsid w:val="02F36323"/>
    <w:rsid w:val="02F5619C"/>
    <w:rsid w:val="02FE3E7B"/>
    <w:rsid w:val="0326446A"/>
    <w:rsid w:val="032D5555"/>
    <w:rsid w:val="035241C7"/>
    <w:rsid w:val="036634D2"/>
    <w:rsid w:val="03767EB5"/>
    <w:rsid w:val="03892540"/>
    <w:rsid w:val="03C230FA"/>
    <w:rsid w:val="03C868DE"/>
    <w:rsid w:val="03DD35E4"/>
    <w:rsid w:val="03E017D2"/>
    <w:rsid w:val="04076900"/>
    <w:rsid w:val="041A5A3B"/>
    <w:rsid w:val="041D6583"/>
    <w:rsid w:val="042311BA"/>
    <w:rsid w:val="04267B2D"/>
    <w:rsid w:val="042B157A"/>
    <w:rsid w:val="04390A47"/>
    <w:rsid w:val="04446205"/>
    <w:rsid w:val="046E5030"/>
    <w:rsid w:val="048F763B"/>
    <w:rsid w:val="04992996"/>
    <w:rsid w:val="049F330E"/>
    <w:rsid w:val="04AA775C"/>
    <w:rsid w:val="04AB17C9"/>
    <w:rsid w:val="04AF1889"/>
    <w:rsid w:val="04B844FD"/>
    <w:rsid w:val="04D72BD5"/>
    <w:rsid w:val="04D8694E"/>
    <w:rsid w:val="04EE7CB8"/>
    <w:rsid w:val="04F66F48"/>
    <w:rsid w:val="05251E14"/>
    <w:rsid w:val="05257DE5"/>
    <w:rsid w:val="0571302A"/>
    <w:rsid w:val="05A16594"/>
    <w:rsid w:val="05A7762D"/>
    <w:rsid w:val="060E5941"/>
    <w:rsid w:val="06110FAF"/>
    <w:rsid w:val="061615A5"/>
    <w:rsid w:val="06493CA7"/>
    <w:rsid w:val="065A6178"/>
    <w:rsid w:val="066F1CF3"/>
    <w:rsid w:val="06930BB8"/>
    <w:rsid w:val="06BA455D"/>
    <w:rsid w:val="06E9015D"/>
    <w:rsid w:val="071D4AEC"/>
    <w:rsid w:val="07245D42"/>
    <w:rsid w:val="07264C62"/>
    <w:rsid w:val="07342561"/>
    <w:rsid w:val="0779354C"/>
    <w:rsid w:val="08061376"/>
    <w:rsid w:val="082F4AD6"/>
    <w:rsid w:val="08452D77"/>
    <w:rsid w:val="085F734D"/>
    <w:rsid w:val="086401F8"/>
    <w:rsid w:val="08646E76"/>
    <w:rsid w:val="08751CAA"/>
    <w:rsid w:val="087B41C0"/>
    <w:rsid w:val="087E4C40"/>
    <w:rsid w:val="08A871D0"/>
    <w:rsid w:val="08AC4379"/>
    <w:rsid w:val="08B82D1E"/>
    <w:rsid w:val="08D266E7"/>
    <w:rsid w:val="08D66AD6"/>
    <w:rsid w:val="08DA33A3"/>
    <w:rsid w:val="08E43B13"/>
    <w:rsid w:val="08E80F13"/>
    <w:rsid w:val="092A5642"/>
    <w:rsid w:val="09335624"/>
    <w:rsid w:val="0944690F"/>
    <w:rsid w:val="09535675"/>
    <w:rsid w:val="095F057D"/>
    <w:rsid w:val="09642282"/>
    <w:rsid w:val="096802A0"/>
    <w:rsid w:val="09733572"/>
    <w:rsid w:val="09772C16"/>
    <w:rsid w:val="09822942"/>
    <w:rsid w:val="098353B5"/>
    <w:rsid w:val="09A92330"/>
    <w:rsid w:val="09B06B87"/>
    <w:rsid w:val="09B821A2"/>
    <w:rsid w:val="09C13146"/>
    <w:rsid w:val="09E04166"/>
    <w:rsid w:val="0A1C0718"/>
    <w:rsid w:val="0A1C108A"/>
    <w:rsid w:val="0A1C72DC"/>
    <w:rsid w:val="0A2226F7"/>
    <w:rsid w:val="0A2E773B"/>
    <w:rsid w:val="0A2F5262"/>
    <w:rsid w:val="0A326F50"/>
    <w:rsid w:val="0A3E7710"/>
    <w:rsid w:val="0A5B7E63"/>
    <w:rsid w:val="0AA374A5"/>
    <w:rsid w:val="0AAB7649"/>
    <w:rsid w:val="0AAE262A"/>
    <w:rsid w:val="0ABC5606"/>
    <w:rsid w:val="0AE8038F"/>
    <w:rsid w:val="0B30404E"/>
    <w:rsid w:val="0B4C6C14"/>
    <w:rsid w:val="0B547599"/>
    <w:rsid w:val="0B631A88"/>
    <w:rsid w:val="0B683D45"/>
    <w:rsid w:val="0B6B4077"/>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C11E8"/>
    <w:rsid w:val="0CFE707A"/>
    <w:rsid w:val="0D0112D9"/>
    <w:rsid w:val="0D063BDA"/>
    <w:rsid w:val="0D08375F"/>
    <w:rsid w:val="0D184CFB"/>
    <w:rsid w:val="0D4A7419"/>
    <w:rsid w:val="0D827401"/>
    <w:rsid w:val="0D84094E"/>
    <w:rsid w:val="0D8A00E9"/>
    <w:rsid w:val="0D8D589E"/>
    <w:rsid w:val="0D8E6743"/>
    <w:rsid w:val="0D9A6E96"/>
    <w:rsid w:val="0DA01C73"/>
    <w:rsid w:val="0DB37F58"/>
    <w:rsid w:val="0DD63300"/>
    <w:rsid w:val="0DE87C01"/>
    <w:rsid w:val="0DF50604"/>
    <w:rsid w:val="0DF702FE"/>
    <w:rsid w:val="0DFD63B0"/>
    <w:rsid w:val="0E060E51"/>
    <w:rsid w:val="0E4B7603"/>
    <w:rsid w:val="0E5604B2"/>
    <w:rsid w:val="0E6D5D79"/>
    <w:rsid w:val="0E7E40C2"/>
    <w:rsid w:val="0E9D0089"/>
    <w:rsid w:val="0EB803EE"/>
    <w:rsid w:val="0EE51366"/>
    <w:rsid w:val="0EED1247"/>
    <w:rsid w:val="0EF3685E"/>
    <w:rsid w:val="0EF94D4B"/>
    <w:rsid w:val="0F040A6B"/>
    <w:rsid w:val="0F4958DC"/>
    <w:rsid w:val="0F515DF7"/>
    <w:rsid w:val="0F596BA8"/>
    <w:rsid w:val="0F6248D2"/>
    <w:rsid w:val="0F693536"/>
    <w:rsid w:val="0F7B0511"/>
    <w:rsid w:val="0F7B76D9"/>
    <w:rsid w:val="0F816ACD"/>
    <w:rsid w:val="0F9832DB"/>
    <w:rsid w:val="0FBF2BE4"/>
    <w:rsid w:val="0FBF3FD2"/>
    <w:rsid w:val="0FBF7FF3"/>
    <w:rsid w:val="0FFC5AC6"/>
    <w:rsid w:val="0FFC5BE6"/>
    <w:rsid w:val="1008458B"/>
    <w:rsid w:val="10646583"/>
    <w:rsid w:val="10693909"/>
    <w:rsid w:val="107D4B15"/>
    <w:rsid w:val="108A3C80"/>
    <w:rsid w:val="109A05F6"/>
    <w:rsid w:val="10C26171"/>
    <w:rsid w:val="10E34150"/>
    <w:rsid w:val="10F33360"/>
    <w:rsid w:val="10FB5E9E"/>
    <w:rsid w:val="10FC16EA"/>
    <w:rsid w:val="10FF2BA3"/>
    <w:rsid w:val="110F1D40"/>
    <w:rsid w:val="11266F33"/>
    <w:rsid w:val="117F262B"/>
    <w:rsid w:val="118963A1"/>
    <w:rsid w:val="11BF435B"/>
    <w:rsid w:val="11C6522A"/>
    <w:rsid w:val="11E104CC"/>
    <w:rsid w:val="11E20309"/>
    <w:rsid w:val="11E60596"/>
    <w:rsid w:val="12224E20"/>
    <w:rsid w:val="12255233"/>
    <w:rsid w:val="12530213"/>
    <w:rsid w:val="125E4936"/>
    <w:rsid w:val="127723A9"/>
    <w:rsid w:val="12862074"/>
    <w:rsid w:val="12883966"/>
    <w:rsid w:val="12950318"/>
    <w:rsid w:val="129E2F84"/>
    <w:rsid w:val="129E45B4"/>
    <w:rsid w:val="12D348D5"/>
    <w:rsid w:val="12D81596"/>
    <w:rsid w:val="12F93F2B"/>
    <w:rsid w:val="13072A44"/>
    <w:rsid w:val="133833D9"/>
    <w:rsid w:val="13431A4F"/>
    <w:rsid w:val="1356560D"/>
    <w:rsid w:val="135F4BE2"/>
    <w:rsid w:val="137D2B9A"/>
    <w:rsid w:val="139B1A0A"/>
    <w:rsid w:val="139D25C7"/>
    <w:rsid w:val="13AF4D1D"/>
    <w:rsid w:val="13BF3CE4"/>
    <w:rsid w:val="13DF5603"/>
    <w:rsid w:val="13E22693"/>
    <w:rsid w:val="141008D8"/>
    <w:rsid w:val="14125FE6"/>
    <w:rsid w:val="141C3BE8"/>
    <w:rsid w:val="1444190A"/>
    <w:rsid w:val="14474BA9"/>
    <w:rsid w:val="14505AAA"/>
    <w:rsid w:val="146D271E"/>
    <w:rsid w:val="14795A57"/>
    <w:rsid w:val="1487281B"/>
    <w:rsid w:val="14982588"/>
    <w:rsid w:val="149A5AD9"/>
    <w:rsid w:val="14A7619D"/>
    <w:rsid w:val="14A979BF"/>
    <w:rsid w:val="14FB646C"/>
    <w:rsid w:val="150536C3"/>
    <w:rsid w:val="150C1963"/>
    <w:rsid w:val="151447A0"/>
    <w:rsid w:val="15237771"/>
    <w:rsid w:val="154A6454"/>
    <w:rsid w:val="154A73F4"/>
    <w:rsid w:val="15681C02"/>
    <w:rsid w:val="15762120"/>
    <w:rsid w:val="15E6711C"/>
    <w:rsid w:val="16005D04"/>
    <w:rsid w:val="1642631D"/>
    <w:rsid w:val="169A1CB5"/>
    <w:rsid w:val="16A8729C"/>
    <w:rsid w:val="16B33777"/>
    <w:rsid w:val="16BC70A7"/>
    <w:rsid w:val="16BF796D"/>
    <w:rsid w:val="16C3745D"/>
    <w:rsid w:val="16C6339E"/>
    <w:rsid w:val="172B0B5F"/>
    <w:rsid w:val="172F2D79"/>
    <w:rsid w:val="17515193"/>
    <w:rsid w:val="17557BEF"/>
    <w:rsid w:val="17614581"/>
    <w:rsid w:val="178070FD"/>
    <w:rsid w:val="179130B8"/>
    <w:rsid w:val="17B46DA6"/>
    <w:rsid w:val="17B943BD"/>
    <w:rsid w:val="17D349C1"/>
    <w:rsid w:val="18226406"/>
    <w:rsid w:val="18244F26"/>
    <w:rsid w:val="1830729E"/>
    <w:rsid w:val="1870062C"/>
    <w:rsid w:val="18817102"/>
    <w:rsid w:val="18830A15"/>
    <w:rsid w:val="18852B28"/>
    <w:rsid w:val="188B5321"/>
    <w:rsid w:val="188E5849"/>
    <w:rsid w:val="18A40BC9"/>
    <w:rsid w:val="18EB2C9C"/>
    <w:rsid w:val="191A70DD"/>
    <w:rsid w:val="196071E6"/>
    <w:rsid w:val="19882298"/>
    <w:rsid w:val="19932372"/>
    <w:rsid w:val="19A20DD5"/>
    <w:rsid w:val="19AE03F1"/>
    <w:rsid w:val="19BB526A"/>
    <w:rsid w:val="19DE010A"/>
    <w:rsid w:val="19F94F44"/>
    <w:rsid w:val="1A071A03"/>
    <w:rsid w:val="1A1C2159"/>
    <w:rsid w:val="1A1F16AE"/>
    <w:rsid w:val="1A3B5C77"/>
    <w:rsid w:val="1A6920CA"/>
    <w:rsid w:val="1A984BAD"/>
    <w:rsid w:val="1AB8220E"/>
    <w:rsid w:val="1AB86BAD"/>
    <w:rsid w:val="1AE4166C"/>
    <w:rsid w:val="1AF06CFB"/>
    <w:rsid w:val="1AF11B8D"/>
    <w:rsid w:val="1B11359C"/>
    <w:rsid w:val="1B1F4E7E"/>
    <w:rsid w:val="1B2A271F"/>
    <w:rsid w:val="1B530544"/>
    <w:rsid w:val="1B713184"/>
    <w:rsid w:val="1BA209CF"/>
    <w:rsid w:val="1BB4777D"/>
    <w:rsid w:val="1BD75AB8"/>
    <w:rsid w:val="1BDC5123"/>
    <w:rsid w:val="1C0459C2"/>
    <w:rsid w:val="1C1B3B4A"/>
    <w:rsid w:val="1C5D0DEA"/>
    <w:rsid w:val="1C6E7E6B"/>
    <w:rsid w:val="1C88086E"/>
    <w:rsid w:val="1CAC2742"/>
    <w:rsid w:val="1CF33ECD"/>
    <w:rsid w:val="1D047EEC"/>
    <w:rsid w:val="1D266CE1"/>
    <w:rsid w:val="1D3963AF"/>
    <w:rsid w:val="1D4604A0"/>
    <w:rsid w:val="1D6A673C"/>
    <w:rsid w:val="1D6C5BEC"/>
    <w:rsid w:val="1D6F3E9B"/>
    <w:rsid w:val="1D9247AE"/>
    <w:rsid w:val="1DB567EC"/>
    <w:rsid w:val="1DE005DE"/>
    <w:rsid w:val="1DF51A98"/>
    <w:rsid w:val="1E051CD9"/>
    <w:rsid w:val="1E3D060F"/>
    <w:rsid w:val="1E3E4FB4"/>
    <w:rsid w:val="1E3F7D2E"/>
    <w:rsid w:val="1E4134E4"/>
    <w:rsid w:val="1E5062B3"/>
    <w:rsid w:val="1E523514"/>
    <w:rsid w:val="1E714A66"/>
    <w:rsid w:val="1E7352C5"/>
    <w:rsid w:val="1E796654"/>
    <w:rsid w:val="1E802593"/>
    <w:rsid w:val="1E8B6156"/>
    <w:rsid w:val="1EA703CC"/>
    <w:rsid w:val="1EB7330C"/>
    <w:rsid w:val="1F0A0FF3"/>
    <w:rsid w:val="1F470500"/>
    <w:rsid w:val="1F5771FF"/>
    <w:rsid w:val="1F947BE9"/>
    <w:rsid w:val="1FCD30FB"/>
    <w:rsid w:val="1FD52574"/>
    <w:rsid w:val="1FE868A9"/>
    <w:rsid w:val="20034907"/>
    <w:rsid w:val="20173E4B"/>
    <w:rsid w:val="203F5CE6"/>
    <w:rsid w:val="204E48BC"/>
    <w:rsid w:val="20582F84"/>
    <w:rsid w:val="208921B3"/>
    <w:rsid w:val="20973DEB"/>
    <w:rsid w:val="20B26522"/>
    <w:rsid w:val="20B44310"/>
    <w:rsid w:val="20CC6AC9"/>
    <w:rsid w:val="20D45243"/>
    <w:rsid w:val="211116EB"/>
    <w:rsid w:val="215313DE"/>
    <w:rsid w:val="216133FC"/>
    <w:rsid w:val="21D56769"/>
    <w:rsid w:val="21E52EF3"/>
    <w:rsid w:val="21FB5D7B"/>
    <w:rsid w:val="22015E94"/>
    <w:rsid w:val="220B1C3D"/>
    <w:rsid w:val="221D1D20"/>
    <w:rsid w:val="22334A87"/>
    <w:rsid w:val="225E628C"/>
    <w:rsid w:val="226A4C31"/>
    <w:rsid w:val="229D5007"/>
    <w:rsid w:val="22AA2371"/>
    <w:rsid w:val="22BE6801"/>
    <w:rsid w:val="22EE5862"/>
    <w:rsid w:val="23007E1A"/>
    <w:rsid w:val="232A616E"/>
    <w:rsid w:val="233500BF"/>
    <w:rsid w:val="23377FF7"/>
    <w:rsid w:val="233D63B0"/>
    <w:rsid w:val="234C07DB"/>
    <w:rsid w:val="236B425F"/>
    <w:rsid w:val="23836192"/>
    <w:rsid w:val="23901F29"/>
    <w:rsid w:val="239C0061"/>
    <w:rsid w:val="23AC6325"/>
    <w:rsid w:val="23B908A4"/>
    <w:rsid w:val="23E95BEF"/>
    <w:rsid w:val="23FD0064"/>
    <w:rsid w:val="240B5FA0"/>
    <w:rsid w:val="245375B0"/>
    <w:rsid w:val="24642C0A"/>
    <w:rsid w:val="24A73F1B"/>
    <w:rsid w:val="24B22173"/>
    <w:rsid w:val="24B95AD9"/>
    <w:rsid w:val="24BE24DA"/>
    <w:rsid w:val="24CF5825"/>
    <w:rsid w:val="24D663E6"/>
    <w:rsid w:val="24D77F2B"/>
    <w:rsid w:val="24DC16EA"/>
    <w:rsid w:val="250F7D12"/>
    <w:rsid w:val="251E2D78"/>
    <w:rsid w:val="253B28B5"/>
    <w:rsid w:val="256242E5"/>
    <w:rsid w:val="256828C9"/>
    <w:rsid w:val="258B00E2"/>
    <w:rsid w:val="259F4BF2"/>
    <w:rsid w:val="25A917A6"/>
    <w:rsid w:val="25BE27CC"/>
    <w:rsid w:val="25F74A5C"/>
    <w:rsid w:val="2628662C"/>
    <w:rsid w:val="262D45DE"/>
    <w:rsid w:val="263C4B36"/>
    <w:rsid w:val="263E440B"/>
    <w:rsid w:val="26597496"/>
    <w:rsid w:val="26697889"/>
    <w:rsid w:val="26871DC8"/>
    <w:rsid w:val="26995AE5"/>
    <w:rsid w:val="26A53EF9"/>
    <w:rsid w:val="26A94201"/>
    <w:rsid w:val="26AC274F"/>
    <w:rsid w:val="26CD578F"/>
    <w:rsid w:val="27044A29"/>
    <w:rsid w:val="271D34C8"/>
    <w:rsid w:val="275B15F6"/>
    <w:rsid w:val="276142BF"/>
    <w:rsid w:val="27783712"/>
    <w:rsid w:val="278A444C"/>
    <w:rsid w:val="27907362"/>
    <w:rsid w:val="27A961FC"/>
    <w:rsid w:val="28333E1D"/>
    <w:rsid w:val="28454BD6"/>
    <w:rsid w:val="28455253"/>
    <w:rsid w:val="28551971"/>
    <w:rsid w:val="285B1C53"/>
    <w:rsid w:val="28807DA7"/>
    <w:rsid w:val="289F7086"/>
    <w:rsid w:val="28B27332"/>
    <w:rsid w:val="28C32028"/>
    <w:rsid w:val="28CC490F"/>
    <w:rsid w:val="28CD7CC8"/>
    <w:rsid w:val="28DE40AA"/>
    <w:rsid w:val="28E32688"/>
    <w:rsid w:val="29345E77"/>
    <w:rsid w:val="294C65AD"/>
    <w:rsid w:val="29806583"/>
    <w:rsid w:val="298B3C4C"/>
    <w:rsid w:val="298C22CD"/>
    <w:rsid w:val="29D55C0D"/>
    <w:rsid w:val="29D62BAC"/>
    <w:rsid w:val="29F26D24"/>
    <w:rsid w:val="2A15033F"/>
    <w:rsid w:val="2A1662C1"/>
    <w:rsid w:val="2A187669"/>
    <w:rsid w:val="2A1C7367"/>
    <w:rsid w:val="2A2815FA"/>
    <w:rsid w:val="2A6401B8"/>
    <w:rsid w:val="2A6D6092"/>
    <w:rsid w:val="2A7D76B4"/>
    <w:rsid w:val="2AAD2577"/>
    <w:rsid w:val="2AF14141"/>
    <w:rsid w:val="2B287437"/>
    <w:rsid w:val="2B437463"/>
    <w:rsid w:val="2B7807EE"/>
    <w:rsid w:val="2B942D1F"/>
    <w:rsid w:val="2BA50BF7"/>
    <w:rsid w:val="2BBF00EC"/>
    <w:rsid w:val="2BC37CFD"/>
    <w:rsid w:val="2BD5237F"/>
    <w:rsid w:val="2BE10952"/>
    <w:rsid w:val="2BE152E7"/>
    <w:rsid w:val="2BE536CE"/>
    <w:rsid w:val="2BE758D9"/>
    <w:rsid w:val="2BF346BB"/>
    <w:rsid w:val="2C09049E"/>
    <w:rsid w:val="2C0A653C"/>
    <w:rsid w:val="2C191F85"/>
    <w:rsid w:val="2C2916B9"/>
    <w:rsid w:val="2CAC098D"/>
    <w:rsid w:val="2CE82D6F"/>
    <w:rsid w:val="2D343236"/>
    <w:rsid w:val="2D575011"/>
    <w:rsid w:val="2D960FD0"/>
    <w:rsid w:val="2DCB3979"/>
    <w:rsid w:val="2DD15014"/>
    <w:rsid w:val="2DE54A8D"/>
    <w:rsid w:val="2DF72DE4"/>
    <w:rsid w:val="2DFB52D7"/>
    <w:rsid w:val="2E020414"/>
    <w:rsid w:val="2E0220AF"/>
    <w:rsid w:val="2E2B796A"/>
    <w:rsid w:val="2E310CF9"/>
    <w:rsid w:val="2E4B082A"/>
    <w:rsid w:val="2E565881"/>
    <w:rsid w:val="2E5D4E86"/>
    <w:rsid w:val="2E5D790B"/>
    <w:rsid w:val="2E81758A"/>
    <w:rsid w:val="2E9A3C18"/>
    <w:rsid w:val="2EBB0FEE"/>
    <w:rsid w:val="2EBF4557"/>
    <w:rsid w:val="2EC27BA3"/>
    <w:rsid w:val="2EC63002"/>
    <w:rsid w:val="2ECF6A3D"/>
    <w:rsid w:val="2EF64DE1"/>
    <w:rsid w:val="2F087CAC"/>
    <w:rsid w:val="2F0A6B38"/>
    <w:rsid w:val="2F2A2B97"/>
    <w:rsid w:val="2F4B5DEA"/>
    <w:rsid w:val="2F9257C7"/>
    <w:rsid w:val="2F946CCB"/>
    <w:rsid w:val="2FD25781"/>
    <w:rsid w:val="2FD34925"/>
    <w:rsid w:val="2FDC745C"/>
    <w:rsid w:val="2FE9188B"/>
    <w:rsid w:val="2FFD7934"/>
    <w:rsid w:val="301937F3"/>
    <w:rsid w:val="3034687E"/>
    <w:rsid w:val="30733ACD"/>
    <w:rsid w:val="307D0225"/>
    <w:rsid w:val="308C3862"/>
    <w:rsid w:val="309379D8"/>
    <w:rsid w:val="3095556F"/>
    <w:rsid w:val="30A270F7"/>
    <w:rsid w:val="30B05F05"/>
    <w:rsid w:val="30DF1478"/>
    <w:rsid w:val="30EC586F"/>
    <w:rsid w:val="31353333"/>
    <w:rsid w:val="319C6071"/>
    <w:rsid w:val="31A55A5F"/>
    <w:rsid w:val="31AC537E"/>
    <w:rsid w:val="31E3679B"/>
    <w:rsid w:val="31E732FD"/>
    <w:rsid w:val="324F174E"/>
    <w:rsid w:val="32517576"/>
    <w:rsid w:val="328C0BF4"/>
    <w:rsid w:val="32B53CA7"/>
    <w:rsid w:val="32B65F9A"/>
    <w:rsid w:val="32BE5C2C"/>
    <w:rsid w:val="32C6227D"/>
    <w:rsid w:val="32DD4AEB"/>
    <w:rsid w:val="32DF1FDC"/>
    <w:rsid w:val="32FB6478"/>
    <w:rsid w:val="331C1F78"/>
    <w:rsid w:val="33263B3F"/>
    <w:rsid w:val="336963EB"/>
    <w:rsid w:val="33816EEB"/>
    <w:rsid w:val="33883169"/>
    <w:rsid w:val="33A50F2E"/>
    <w:rsid w:val="33EB55CD"/>
    <w:rsid w:val="33EC4C02"/>
    <w:rsid w:val="340D2360"/>
    <w:rsid w:val="3410665D"/>
    <w:rsid w:val="34211214"/>
    <w:rsid w:val="342E63AB"/>
    <w:rsid w:val="34950E68"/>
    <w:rsid w:val="34986E94"/>
    <w:rsid w:val="34AF62C9"/>
    <w:rsid w:val="34CB4388"/>
    <w:rsid w:val="34FA6E12"/>
    <w:rsid w:val="35270760"/>
    <w:rsid w:val="354D7158"/>
    <w:rsid w:val="356E2833"/>
    <w:rsid w:val="358D5588"/>
    <w:rsid w:val="35D2691D"/>
    <w:rsid w:val="35E30B2B"/>
    <w:rsid w:val="36017203"/>
    <w:rsid w:val="361339D9"/>
    <w:rsid w:val="363A3B40"/>
    <w:rsid w:val="365302AE"/>
    <w:rsid w:val="36607A0A"/>
    <w:rsid w:val="366E227C"/>
    <w:rsid w:val="366F2E0D"/>
    <w:rsid w:val="367B6A5C"/>
    <w:rsid w:val="369669C6"/>
    <w:rsid w:val="369E0057"/>
    <w:rsid w:val="36A74ADA"/>
    <w:rsid w:val="36AD60D5"/>
    <w:rsid w:val="36B224F9"/>
    <w:rsid w:val="36EC0CC9"/>
    <w:rsid w:val="373F410B"/>
    <w:rsid w:val="37461371"/>
    <w:rsid w:val="37AD13F0"/>
    <w:rsid w:val="37DF17C6"/>
    <w:rsid w:val="37EE7094"/>
    <w:rsid w:val="37FA215C"/>
    <w:rsid w:val="38040324"/>
    <w:rsid w:val="38296C89"/>
    <w:rsid w:val="383002EB"/>
    <w:rsid w:val="38586797"/>
    <w:rsid w:val="385D15DF"/>
    <w:rsid w:val="38675A43"/>
    <w:rsid w:val="388C36FB"/>
    <w:rsid w:val="38BC0149"/>
    <w:rsid w:val="38D87D1C"/>
    <w:rsid w:val="39022AE9"/>
    <w:rsid w:val="39636459"/>
    <w:rsid w:val="396B7F6C"/>
    <w:rsid w:val="39AB7282"/>
    <w:rsid w:val="39B417A9"/>
    <w:rsid w:val="39E41315"/>
    <w:rsid w:val="39FC5695"/>
    <w:rsid w:val="3A006D8E"/>
    <w:rsid w:val="3A0379ED"/>
    <w:rsid w:val="3A3651E5"/>
    <w:rsid w:val="3A73663B"/>
    <w:rsid w:val="3A744481"/>
    <w:rsid w:val="3A8076E9"/>
    <w:rsid w:val="3A8C7BEF"/>
    <w:rsid w:val="3A90478F"/>
    <w:rsid w:val="3A906246"/>
    <w:rsid w:val="3AB42A96"/>
    <w:rsid w:val="3B07350D"/>
    <w:rsid w:val="3B2349B7"/>
    <w:rsid w:val="3B365BA1"/>
    <w:rsid w:val="3B565BC2"/>
    <w:rsid w:val="3B616CFF"/>
    <w:rsid w:val="3B6259F6"/>
    <w:rsid w:val="3B64626A"/>
    <w:rsid w:val="3B976654"/>
    <w:rsid w:val="3BC01EFC"/>
    <w:rsid w:val="3BCA786A"/>
    <w:rsid w:val="3BD31E2F"/>
    <w:rsid w:val="3BF15831"/>
    <w:rsid w:val="3C105946"/>
    <w:rsid w:val="3C2F4ACD"/>
    <w:rsid w:val="3C471448"/>
    <w:rsid w:val="3C4E0CFB"/>
    <w:rsid w:val="3C591B47"/>
    <w:rsid w:val="3C5F759A"/>
    <w:rsid w:val="3C6A3835"/>
    <w:rsid w:val="3C6C525A"/>
    <w:rsid w:val="3CCC056A"/>
    <w:rsid w:val="3CCE23CB"/>
    <w:rsid w:val="3CD016DD"/>
    <w:rsid w:val="3CD17D17"/>
    <w:rsid w:val="3CF7826A"/>
    <w:rsid w:val="3D17730C"/>
    <w:rsid w:val="3D3C7F39"/>
    <w:rsid w:val="3D440F09"/>
    <w:rsid w:val="3D4504A0"/>
    <w:rsid w:val="3D7B5AED"/>
    <w:rsid w:val="3D8734BB"/>
    <w:rsid w:val="3D9A11D4"/>
    <w:rsid w:val="3DA16D89"/>
    <w:rsid w:val="3DA364BE"/>
    <w:rsid w:val="3DD551FD"/>
    <w:rsid w:val="3DE041CB"/>
    <w:rsid w:val="3DEB7678"/>
    <w:rsid w:val="3E0D48F6"/>
    <w:rsid w:val="3E1868B4"/>
    <w:rsid w:val="3E352D7B"/>
    <w:rsid w:val="3E377251"/>
    <w:rsid w:val="3E42664B"/>
    <w:rsid w:val="3E483C21"/>
    <w:rsid w:val="3E5A7334"/>
    <w:rsid w:val="3E7B5D6B"/>
    <w:rsid w:val="3E843E66"/>
    <w:rsid w:val="3E8F51FE"/>
    <w:rsid w:val="3E926F87"/>
    <w:rsid w:val="3E9A59DE"/>
    <w:rsid w:val="3EAF4836"/>
    <w:rsid w:val="3EC33DFA"/>
    <w:rsid w:val="3EEA2F2A"/>
    <w:rsid w:val="3EFB5137"/>
    <w:rsid w:val="3F060E16"/>
    <w:rsid w:val="3F161F71"/>
    <w:rsid w:val="3F1D1096"/>
    <w:rsid w:val="3F2F0234"/>
    <w:rsid w:val="3F424B14"/>
    <w:rsid w:val="3F6363FE"/>
    <w:rsid w:val="3F6902F3"/>
    <w:rsid w:val="3F746C97"/>
    <w:rsid w:val="3F756B8F"/>
    <w:rsid w:val="3F7F8007"/>
    <w:rsid w:val="3F9133A5"/>
    <w:rsid w:val="3F95482B"/>
    <w:rsid w:val="3FB672B0"/>
    <w:rsid w:val="4019356B"/>
    <w:rsid w:val="403A57EB"/>
    <w:rsid w:val="40592157"/>
    <w:rsid w:val="406E1CAE"/>
    <w:rsid w:val="40A0133A"/>
    <w:rsid w:val="40A63041"/>
    <w:rsid w:val="40C31A53"/>
    <w:rsid w:val="40C96B6F"/>
    <w:rsid w:val="40CE54E7"/>
    <w:rsid w:val="40FF545D"/>
    <w:rsid w:val="410067C8"/>
    <w:rsid w:val="41306BEE"/>
    <w:rsid w:val="418F0D2A"/>
    <w:rsid w:val="419158DF"/>
    <w:rsid w:val="41D01505"/>
    <w:rsid w:val="41DA54D8"/>
    <w:rsid w:val="421B0D70"/>
    <w:rsid w:val="424566C9"/>
    <w:rsid w:val="42474939"/>
    <w:rsid w:val="424C3C57"/>
    <w:rsid w:val="42613FF3"/>
    <w:rsid w:val="42660D96"/>
    <w:rsid w:val="4278084D"/>
    <w:rsid w:val="428667D2"/>
    <w:rsid w:val="42CD1CE0"/>
    <w:rsid w:val="42E1381E"/>
    <w:rsid w:val="42ED6459"/>
    <w:rsid w:val="42FE58DD"/>
    <w:rsid w:val="43014CE6"/>
    <w:rsid w:val="43065E58"/>
    <w:rsid w:val="43106CD7"/>
    <w:rsid w:val="43174B3D"/>
    <w:rsid w:val="432D1637"/>
    <w:rsid w:val="433B1FA6"/>
    <w:rsid w:val="434B790E"/>
    <w:rsid w:val="4360274F"/>
    <w:rsid w:val="43937AE5"/>
    <w:rsid w:val="43977AB6"/>
    <w:rsid w:val="43A3342B"/>
    <w:rsid w:val="43C53F65"/>
    <w:rsid w:val="43C77C27"/>
    <w:rsid w:val="43D1290A"/>
    <w:rsid w:val="43DD305D"/>
    <w:rsid w:val="43DE09EE"/>
    <w:rsid w:val="44000AFA"/>
    <w:rsid w:val="44002FAD"/>
    <w:rsid w:val="44101C89"/>
    <w:rsid w:val="448434D9"/>
    <w:rsid w:val="449101DD"/>
    <w:rsid w:val="44DE1391"/>
    <w:rsid w:val="451B225C"/>
    <w:rsid w:val="452139A6"/>
    <w:rsid w:val="45240818"/>
    <w:rsid w:val="452410C9"/>
    <w:rsid w:val="45317DFB"/>
    <w:rsid w:val="454A1AA6"/>
    <w:rsid w:val="45594965"/>
    <w:rsid w:val="456D3CE4"/>
    <w:rsid w:val="4579042C"/>
    <w:rsid w:val="457F0571"/>
    <w:rsid w:val="45851176"/>
    <w:rsid w:val="45C63B94"/>
    <w:rsid w:val="45E561F9"/>
    <w:rsid w:val="460074D7"/>
    <w:rsid w:val="460E7DA5"/>
    <w:rsid w:val="463F7FFF"/>
    <w:rsid w:val="46422483"/>
    <w:rsid w:val="464E3D9E"/>
    <w:rsid w:val="4659254A"/>
    <w:rsid w:val="465B0637"/>
    <w:rsid w:val="465E3F0D"/>
    <w:rsid w:val="466A16E6"/>
    <w:rsid w:val="46761B7E"/>
    <w:rsid w:val="46893F2B"/>
    <w:rsid w:val="46C4686E"/>
    <w:rsid w:val="472B0583"/>
    <w:rsid w:val="474A6C5C"/>
    <w:rsid w:val="475950F1"/>
    <w:rsid w:val="477B778F"/>
    <w:rsid w:val="478203EC"/>
    <w:rsid w:val="47AF4D11"/>
    <w:rsid w:val="47B025FA"/>
    <w:rsid w:val="47C84024"/>
    <w:rsid w:val="4809698F"/>
    <w:rsid w:val="4811697D"/>
    <w:rsid w:val="4834284E"/>
    <w:rsid w:val="4842748C"/>
    <w:rsid w:val="487A3E25"/>
    <w:rsid w:val="48877A3B"/>
    <w:rsid w:val="488B5503"/>
    <w:rsid w:val="48937E21"/>
    <w:rsid w:val="489A0361"/>
    <w:rsid w:val="489F4A9D"/>
    <w:rsid w:val="489F6B33"/>
    <w:rsid w:val="48B94FF3"/>
    <w:rsid w:val="48E37AAB"/>
    <w:rsid w:val="48FD4B4C"/>
    <w:rsid w:val="490A68E0"/>
    <w:rsid w:val="491055FE"/>
    <w:rsid w:val="495F5B3E"/>
    <w:rsid w:val="496F77D7"/>
    <w:rsid w:val="497654FD"/>
    <w:rsid w:val="49B64211"/>
    <w:rsid w:val="49E50EBD"/>
    <w:rsid w:val="49F6167F"/>
    <w:rsid w:val="4A064FA0"/>
    <w:rsid w:val="4A16615C"/>
    <w:rsid w:val="4A4424D7"/>
    <w:rsid w:val="4A986521"/>
    <w:rsid w:val="4AB82D0F"/>
    <w:rsid w:val="4AE0041E"/>
    <w:rsid w:val="4AEB7664"/>
    <w:rsid w:val="4AFD7C19"/>
    <w:rsid w:val="4B0567D1"/>
    <w:rsid w:val="4B236AAE"/>
    <w:rsid w:val="4B4E2A92"/>
    <w:rsid w:val="4B661B8A"/>
    <w:rsid w:val="4B707271"/>
    <w:rsid w:val="4B8B35AB"/>
    <w:rsid w:val="4B9739F7"/>
    <w:rsid w:val="4BA6642B"/>
    <w:rsid w:val="4BEE2503"/>
    <w:rsid w:val="4C245A30"/>
    <w:rsid w:val="4C553931"/>
    <w:rsid w:val="4C765DFD"/>
    <w:rsid w:val="4C7D53DD"/>
    <w:rsid w:val="4CA362BB"/>
    <w:rsid w:val="4CB6685F"/>
    <w:rsid w:val="4CBD1C7E"/>
    <w:rsid w:val="4CC367FE"/>
    <w:rsid w:val="4D077F3C"/>
    <w:rsid w:val="4D123355"/>
    <w:rsid w:val="4D2A3B31"/>
    <w:rsid w:val="4D312C52"/>
    <w:rsid w:val="4D427A0E"/>
    <w:rsid w:val="4D5D6FBD"/>
    <w:rsid w:val="4D6D78F2"/>
    <w:rsid w:val="4D901140"/>
    <w:rsid w:val="4D905305"/>
    <w:rsid w:val="4D964A72"/>
    <w:rsid w:val="4D9C1254"/>
    <w:rsid w:val="4E2D2E33"/>
    <w:rsid w:val="4E683E6B"/>
    <w:rsid w:val="4E793892"/>
    <w:rsid w:val="4E800872"/>
    <w:rsid w:val="4EC569ED"/>
    <w:rsid w:val="4ED50EA1"/>
    <w:rsid w:val="4EEC050C"/>
    <w:rsid w:val="4F104EC3"/>
    <w:rsid w:val="4F314BA2"/>
    <w:rsid w:val="4F47354A"/>
    <w:rsid w:val="4F610FE6"/>
    <w:rsid w:val="4F911C54"/>
    <w:rsid w:val="4F9A62A6"/>
    <w:rsid w:val="4FE625E0"/>
    <w:rsid w:val="501A73E7"/>
    <w:rsid w:val="5021480F"/>
    <w:rsid w:val="502C022B"/>
    <w:rsid w:val="505C7A00"/>
    <w:rsid w:val="507E7856"/>
    <w:rsid w:val="50962ECB"/>
    <w:rsid w:val="50A42E38"/>
    <w:rsid w:val="50A4577F"/>
    <w:rsid w:val="50B73D1F"/>
    <w:rsid w:val="50BD5BC9"/>
    <w:rsid w:val="50C11EEE"/>
    <w:rsid w:val="50DC2AD2"/>
    <w:rsid w:val="50E97CFC"/>
    <w:rsid w:val="50FA4028"/>
    <w:rsid w:val="510D65B7"/>
    <w:rsid w:val="511157AB"/>
    <w:rsid w:val="511856D5"/>
    <w:rsid w:val="5142540C"/>
    <w:rsid w:val="514D7488"/>
    <w:rsid w:val="518832C8"/>
    <w:rsid w:val="519D3C50"/>
    <w:rsid w:val="51A0432A"/>
    <w:rsid w:val="51A86090"/>
    <w:rsid w:val="51B7396D"/>
    <w:rsid w:val="51BC0756"/>
    <w:rsid w:val="51D830B6"/>
    <w:rsid w:val="51FD2B1C"/>
    <w:rsid w:val="520914C1"/>
    <w:rsid w:val="52171E30"/>
    <w:rsid w:val="52247C1D"/>
    <w:rsid w:val="522E4CC3"/>
    <w:rsid w:val="52346A17"/>
    <w:rsid w:val="5244713B"/>
    <w:rsid w:val="524E4E4A"/>
    <w:rsid w:val="525E0E06"/>
    <w:rsid w:val="525E180D"/>
    <w:rsid w:val="52615633"/>
    <w:rsid w:val="526F4DE4"/>
    <w:rsid w:val="526F57C8"/>
    <w:rsid w:val="527414FE"/>
    <w:rsid w:val="52742DDF"/>
    <w:rsid w:val="5290573F"/>
    <w:rsid w:val="52977FD4"/>
    <w:rsid w:val="52A25790"/>
    <w:rsid w:val="52A96B6F"/>
    <w:rsid w:val="52B45975"/>
    <w:rsid w:val="52D94AA4"/>
    <w:rsid w:val="52EA3A62"/>
    <w:rsid w:val="52F50BB8"/>
    <w:rsid w:val="52F537F4"/>
    <w:rsid w:val="53097272"/>
    <w:rsid w:val="530D557F"/>
    <w:rsid w:val="53544462"/>
    <w:rsid w:val="5397158E"/>
    <w:rsid w:val="53C4022E"/>
    <w:rsid w:val="54013861"/>
    <w:rsid w:val="54106B37"/>
    <w:rsid w:val="5426635A"/>
    <w:rsid w:val="54487265"/>
    <w:rsid w:val="544D6070"/>
    <w:rsid w:val="54605E1E"/>
    <w:rsid w:val="547F5A6B"/>
    <w:rsid w:val="549A4653"/>
    <w:rsid w:val="549D01D5"/>
    <w:rsid w:val="54B3506A"/>
    <w:rsid w:val="54C64399"/>
    <w:rsid w:val="54CA0D16"/>
    <w:rsid w:val="54DD4057"/>
    <w:rsid w:val="54E7490F"/>
    <w:rsid w:val="54F2448F"/>
    <w:rsid w:val="550764A4"/>
    <w:rsid w:val="550B2BF6"/>
    <w:rsid w:val="55214EB5"/>
    <w:rsid w:val="5532325D"/>
    <w:rsid w:val="553625CD"/>
    <w:rsid w:val="55364EFD"/>
    <w:rsid w:val="555D4828"/>
    <w:rsid w:val="555E7D76"/>
    <w:rsid w:val="557A4C8B"/>
    <w:rsid w:val="558931E1"/>
    <w:rsid w:val="55923347"/>
    <w:rsid w:val="55925180"/>
    <w:rsid w:val="55983B1B"/>
    <w:rsid w:val="55A8376B"/>
    <w:rsid w:val="55DC29B6"/>
    <w:rsid w:val="55DD4241"/>
    <w:rsid w:val="5612303A"/>
    <w:rsid w:val="562C1C22"/>
    <w:rsid w:val="566B6D1E"/>
    <w:rsid w:val="56B440F1"/>
    <w:rsid w:val="56E878F7"/>
    <w:rsid w:val="57032A2C"/>
    <w:rsid w:val="570F5219"/>
    <w:rsid w:val="5737087F"/>
    <w:rsid w:val="57513011"/>
    <w:rsid w:val="57522D60"/>
    <w:rsid w:val="575D12B5"/>
    <w:rsid w:val="57610A87"/>
    <w:rsid w:val="577B1140"/>
    <w:rsid w:val="577B7F21"/>
    <w:rsid w:val="577F181B"/>
    <w:rsid w:val="57917F8F"/>
    <w:rsid w:val="57921984"/>
    <w:rsid w:val="579737F0"/>
    <w:rsid w:val="57AB7B30"/>
    <w:rsid w:val="57AF5251"/>
    <w:rsid w:val="57B26373"/>
    <w:rsid w:val="57B63F04"/>
    <w:rsid w:val="57BC3869"/>
    <w:rsid w:val="57CD20C2"/>
    <w:rsid w:val="57D675AB"/>
    <w:rsid w:val="57D73717"/>
    <w:rsid w:val="57D95FDD"/>
    <w:rsid w:val="57FB0B32"/>
    <w:rsid w:val="5846521D"/>
    <w:rsid w:val="58472D43"/>
    <w:rsid w:val="587753D7"/>
    <w:rsid w:val="58917D2F"/>
    <w:rsid w:val="5894085C"/>
    <w:rsid w:val="58AE4F0C"/>
    <w:rsid w:val="58B85899"/>
    <w:rsid w:val="58E363A9"/>
    <w:rsid w:val="59166304"/>
    <w:rsid w:val="592D1F39"/>
    <w:rsid w:val="595E1678"/>
    <w:rsid w:val="596D5BD4"/>
    <w:rsid w:val="597E3DD8"/>
    <w:rsid w:val="59ED6182"/>
    <w:rsid w:val="59F80043"/>
    <w:rsid w:val="5A09252F"/>
    <w:rsid w:val="5A0B2778"/>
    <w:rsid w:val="5A2A7C7B"/>
    <w:rsid w:val="5A3E2560"/>
    <w:rsid w:val="5A5D3B6E"/>
    <w:rsid w:val="5A637A76"/>
    <w:rsid w:val="5A6D33BA"/>
    <w:rsid w:val="5A792B1F"/>
    <w:rsid w:val="5A874767"/>
    <w:rsid w:val="5A9000B3"/>
    <w:rsid w:val="5A9304C2"/>
    <w:rsid w:val="5AA85BE2"/>
    <w:rsid w:val="5AA93841"/>
    <w:rsid w:val="5AAD6F28"/>
    <w:rsid w:val="5AD63A24"/>
    <w:rsid w:val="5B2829B8"/>
    <w:rsid w:val="5B2E1A1D"/>
    <w:rsid w:val="5B3A093D"/>
    <w:rsid w:val="5B3F7D02"/>
    <w:rsid w:val="5B843A1C"/>
    <w:rsid w:val="5B873E3F"/>
    <w:rsid w:val="5B920779"/>
    <w:rsid w:val="5BBE3F27"/>
    <w:rsid w:val="5BC30933"/>
    <w:rsid w:val="5BD14DFE"/>
    <w:rsid w:val="5BD26DC8"/>
    <w:rsid w:val="5C02690E"/>
    <w:rsid w:val="5C196DA7"/>
    <w:rsid w:val="5C2869E8"/>
    <w:rsid w:val="5C2A048C"/>
    <w:rsid w:val="5C80234E"/>
    <w:rsid w:val="5C8A680C"/>
    <w:rsid w:val="5CAC7619"/>
    <w:rsid w:val="5CFB7F82"/>
    <w:rsid w:val="5D0905C7"/>
    <w:rsid w:val="5D0C4701"/>
    <w:rsid w:val="5D0F0395"/>
    <w:rsid w:val="5D1F14F3"/>
    <w:rsid w:val="5D221076"/>
    <w:rsid w:val="5D397964"/>
    <w:rsid w:val="5D5A391C"/>
    <w:rsid w:val="5D5F10C0"/>
    <w:rsid w:val="5D891B7B"/>
    <w:rsid w:val="5D997B9D"/>
    <w:rsid w:val="5DAD38EE"/>
    <w:rsid w:val="5DB93D9B"/>
    <w:rsid w:val="5E006862"/>
    <w:rsid w:val="5E0207B9"/>
    <w:rsid w:val="5E06592F"/>
    <w:rsid w:val="5E1834A1"/>
    <w:rsid w:val="5E261785"/>
    <w:rsid w:val="5E4A7017"/>
    <w:rsid w:val="5E4F2952"/>
    <w:rsid w:val="5E552BBA"/>
    <w:rsid w:val="5E611C10"/>
    <w:rsid w:val="5E7A0F3F"/>
    <w:rsid w:val="5E820631"/>
    <w:rsid w:val="5EC73292"/>
    <w:rsid w:val="5EDC2437"/>
    <w:rsid w:val="5EFC7377"/>
    <w:rsid w:val="5F061262"/>
    <w:rsid w:val="5F06174D"/>
    <w:rsid w:val="5F2E07B9"/>
    <w:rsid w:val="5F3A3602"/>
    <w:rsid w:val="5F45733B"/>
    <w:rsid w:val="5F6277C6"/>
    <w:rsid w:val="5F6D0B1D"/>
    <w:rsid w:val="5F8D0B82"/>
    <w:rsid w:val="5FA10F8B"/>
    <w:rsid w:val="5FAB3BB8"/>
    <w:rsid w:val="5FAC2AD0"/>
    <w:rsid w:val="5FBB72B7"/>
    <w:rsid w:val="5FC133DB"/>
    <w:rsid w:val="5FC353A5"/>
    <w:rsid w:val="5FCC5339"/>
    <w:rsid w:val="5FE34A5B"/>
    <w:rsid w:val="5FE84E0C"/>
    <w:rsid w:val="5FFE1E36"/>
    <w:rsid w:val="600D4872"/>
    <w:rsid w:val="601479AF"/>
    <w:rsid w:val="60232584"/>
    <w:rsid w:val="607330CE"/>
    <w:rsid w:val="60825176"/>
    <w:rsid w:val="609F2AC4"/>
    <w:rsid w:val="60A43DC3"/>
    <w:rsid w:val="60FA2EE8"/>
    <w:rsid w:val="61011818"/>
    <w:rsid w:val="61054A27"/>
    <w:rsid w:val="610A52BC"/>
    <w:rsid w:val="611D2366"/>
    <w:rsid w:val="612E684E"/>
    <w:rsid w:val="61340EDD"/>
    <w:rsid w:val="61421856"/>
    <w:rsid w:val="615227C4"/>
    <w:rsid w:val="61654E3F"/>
    <w:rsid w:val="618037CC"/>
    <w:rsid w:val="6182292A"/>
    <w:rsid w:val="618D37CD"/>
    <w:rsid w:val="619F7F92"/>
    <w:rsid w:val="61F94C26"/>
    <w:rsid w:val="62000E56"/>
    <w:rsid w:val="624F3E49"/>
    <w:rsid w:val="62632286"/>
    <w:rsid w:val="626A0569"/>
    <w:rsid w:val="62885958"/>
    <w:rsid w:val="62AD7C47"/>
    <w:rsid w:val="62F40B65"/>
    <w:rsid w:val="62FC2CFE"/>
    <w:rsid w:val="63024505"/>
    <w:rsid w:val="63040DEB"/>
    <w:rsid w:val="635600A5"/>
    <w:rsid w:val="635B1DB5"/>
    <w:rsid w:val="63711FED"/>
    <w:rsid w:val="63880DDC"/>
    <w:rsid w:val="638D750D"/>
    <w:rsid w:val="639A641D"/>
    <w:rsid w:val="63A44063"/>
    <w:rsid w:val="63AC6CC0"/>
    <w:rsid w:val="64055776"/>
    <w:rsid w:val="64061D04"/>
    <w:rsid w:val="640D21FF"/>
    <w:rsid w:val="64240056"/>
    <w:rsid w:val="643E143A"/>
    <w:rsid w:val="64491666"/>
    <w:rsid w:val="648B6EEF"/>
    <w:rsid w:val="64A82DBC"/>
    <w:rsid w:val="64BE3D78"/>
    <w:rsid w:val="64C158BF"/>
    <w:rsid w:val="64CE2EAA"/>
    <w:rsid w:val="64ED07CF"/>
    <w:rsid w:val="64EE6A20"/>
    <w:rsid w:val="653C3090"/>
    <w:rsid w:val="655B7E2E"/>
    <w:rsid w:val="65854376"/>
    <w:rsid w:val="658767BE"/>
    <w:rsid w:val="65892531"/>
    <w:rsid w:val="65C92FEA"/>
    <w:rsid w:val="66195831"/>
    <w:rsid w:val="662E75B1"/>
    <w:rsid w:val="66342C2E"/>
    <w:rsid w:val="663E784C"/>
    <w:rsid w:val="66593055"/>
    <w:rsid w:val="66636F9A"/>
    <w:rsid w:val="667E5B82"/>
    <w:rsid w:val="668B6A45"/>
    <w:rsid w:val="66E96DCF"/>
    <w:rsid w:val="671D539B"/>
    <w:rsid w:val="672D1356"/>
    <w:rsid w:val="672F3F24"/>
    <w:rsid w:val="673E055F"/>
    <w:rsid w:val="67551CE3"/>
    <w:rsid w:val="675E7762"/>
    <w:rsid w:val="67A22552"/>
    <w:rsid w:val="67B22DCC"/>
    <w:rsid w:val="67BE71AA"/>
    <w:rsid w:val="67D90273"/>
    <w:rsid w:val="67DE5875"/>
    <w:rsid w:val="67E55852"/>
    <w:rsid w:val="67EB1AB4"/>
    <w:rsid w:val="67EFD7F0"/>
    <w:rsid w:val="67FA1285"/>
    <w:rsid w:val="681C0BAB"/>
    <w:rsid w:val="682E720F"/>
    <w:rsid w:val="685017A0"/>
    <w:rsid w:val="68551F4F"/>
    <w:rsid w:val="687C10C9"/>
    <w:rsid w:val="68815DFE"/>
    <w:rsid w:val="68840C16"/>
    <w:rsid w:val="68876EFB"/>
    <w:rsid w:val="68884654"/>
    <w:rsid w:val="688B27D8"/>
    <w:rsid w:val="688C3C05"/>
    <w:rsid w:val="689F444F"/>
    <w:rsid w:val="689F6284"/>
    <w:rsid w:val="68B96DBB"/>
    <w:rsid w:val="68CA2805"/>
    <w:rsid w:val="68E937A3"/>
    <w:rsid w:val="68F16ADF"/>
    <w:rsid w:val="693E15D3"/>
    <w:rsid w:val="69474951"/>
    <w:rsid w:val="695B664F"/>
    <w:rsid w:val="69627681"/>
    <w:rsid w:val="6977531D"/>
    <w:rsid w:val="69AE49D0"/>
    <w:rsid w:val="69B47B0D"/>
    <w:rsid w:val="69CC2BFF"/>
    <w:rsid w:val="69DA44D8"/>
    <w:rsid w:val="69FD55B8"/>
    <w:rsid w:val="6A0B1C62"/>
    <w:rsid w:val="6A2406C8"/>
    <w:rsid w:val="6A6D488B"/>
    <w:rsid w:val="6AA656A7"/>
    <w:rsid w:val="6ADE0BD1"/>
    <w:rsid w:val="6AE96859"/>
    <w:rsid w:val="6B147746"/>
    <w:rsid w:val="6B24787C"/>
    <w:rsid w:val="6B573233"/>
    <w:rsid w:val="6B5B6274"/>
    <w:rsid w:val="6B935D53"/>
    <w:rsid w:val="6BF301E7"/>
    <w:rsid w:val="6C196F71"/>
    <w:rsid w:val="6C226FCB"/>
    <w:rsid w:val="6C31226F"/>
    <w:rsid w:val="6C552F0B"/>
    <w:rsid w:val="6C681E3D"/>
    <w:rsid w:val="6C8C65DA"/>
    <w:rsid w:val="6C8C67B7"/>
    <w:rsid w:val="6C991968"/>
    <w:rsid w:val="6C9D744C"/>
    <w:rsid w:val="6CEA21C3"/>
    <w:rsid w:val="6CF272CA"/>
    <w:rsid w:val="6D167928"/>
    <w:rsid w:val="6D26299B"/>
    <w:rsid w:val="6D4772EC"/>
    <w:rsid w:val="6D9078AF"/>
    <w:rsid w:val="6DAA3FEF"/>
    <w:rsid w:val="6DC0172B"/>
    <w:rsid w:val="6DCB690C"/>
    <w:rsid w:val="6DD41A5B"/>
    <w:rsid w:val="6DF43C2E"/>
    <w:rsid w:val="6DF51CA3"/>
    <w:rsid w:val="6E0B7A39"/>
    <w:rsid w:val="6E8335BD"/>
    <w:rsid w:val="6E8E12EF"/>
    <w:rsid w:val="6E972936"/>
    <w:rsid w:val="6EAB14DE"/>
    <w:rsid w:val="6ED446C5"/>
    <w:rsid w:val="6EEC3E21"/>
    <w:rsid w:val="6F1E43A6"/>
    <w:rsid w:val="6F2A7D94"/>
    <w:rsid w:val="6F5B4617"/>
    <w:rsid w:val="6F8331F1"/>
    <w:rsid w:val="6FAE1A09"/>
    <w:rsid w:val="6FD75BF8"/>
    <w:rsid w:val="6FD902CD"/>
    <w:rsid w:val="701C72FC"/>
    <w:rsid w:val="70515BC5"/>
    <w:rsid w:val="7056082F"/>
    <w:rsid w:val="707723D0"/>
    <w:rsid w:val="7089584F"/>
    <w:rsid w:val="708E0135"/>
    <w:rsid w:val="709661BE"/>
    <w:rsid w:val="70B003CF"/>
    <w:rsid w:val="70BA1EAD"/>
    <w:rsid w:val="70F5661B"/>
    <w:rsid w:val="71003E62"/>
    <w:rsid w:val="71096990"/>
    <w:rsid w:val="711F7F62"/>
    <w:rsid w:val="71360107"/>
    <w:rsid w:val="713B688E"/>
    <w:rsid w:val="717804FA"/>
    <w:rsid w:val="71AF7537"/>
    <w:rsid w:val="71D43752"/>
    <w:rsid w:val="71F1796A"/>
    <w:rsid w:val="72076452"/>
    <w:rsid w:val="720F6228"/>
    <w:rsid w:val="72154626"/>
    <w:rsid w:val="72262B5D"/>
    <w:rsid w:val="72283FF7"/>
    <w:rsid w:val="722E7212"/>
    <w:rsid w:val="723A0474"/>
    <w:rsid w:val="725923E4"/>
    <w:rsid w:val="72800ED4"/>
    <w:rsid w:val="72864BF7"/>
    <w:rsid w:val="728704B4"/>
    <w:rsid w:val="729023FC"/>
    <w:rsid w:val="72A42E14"/>
    <w:rsid w:val="73041721"/>
    <w:rsid w:val="731F249B"/>
    <w:rsid w:val="733028FA"/>
    <w:rsid w:val="733221CE"/>
    <w:rsid w:val="738F3B0F"/>
    <w:rsid w:val="73C0646E"/>
    <w:rsid w:val="742222F5"/>
    <w:rsid w:val="74476126"/>
    <w:rsid w:val="74706664"/>
    <w:rsid w:val="74721889"/>
    <w:rsid w:val="747F3682"/>
    <w:rsid w:val="74844CAB"/>
    <w:rsid w:val="74847DD7"/>
    <w:rsid w:val="749C4185"/>
    <w:rsid w:val="74AB66DC"/>
    <w:rsid w:val="74CC381E"/>
    <w:rsid w:val="75067759"/>
    <w:rsid w:val="752E6DCD"/>
    <w:rsid w:val="7530273D"/>
    <w:rsid w:val="754D1541"/>
    <w:rsid w:val="7551380D"/>
    <w:rsid w:val="75600BE5"/>
    <w:rsid w:val="7564475C"/>
    <w:rsid w:val="757F661D"/>
    <w:rsid w:val="7581743D"/>
    <w:rsid w:val="7583797F"/>
    <w:rsid w:val="7589009F"/>
    <w:rsid w:val="75D20F1D"/>
    <w:rsid w:val="75DA2C18"/>
    <w:rsid w:val="75F54412"/>
    <w:rsid w:val="76067942"/>
    <w:rsid w:val="761D08E0"/>
    <w:rsid w:val="762322A2"/>
    <w:rsid w:val="762F50EB"/>
    <w:rsid w:val="763612C0"/>
    <w:rsid w:val="765D347C"/>
    <w:rsid w:val="76826699"/>
    <w:rsid w:val="76944F4E"/>
    <w:rsid w:val="76C87133"/>
    <w:rsid w:val="76CD08D5"/>
    <w:rsid w:val="76DB4B92"/>
    <w:rsid w:val="76EC08E6"/>
    <w:rsid w:val="77052AA4"/>
    <w:rsid w:val="77136511"/>
    <w:rsid w:val="77340A39"/>
    <w:rsid w:val="77351FD0"/>
    <w:rsid w:val="77472422"/>
    <w:rsid w:val="774921DC"/>
    <w:rsid w:val="774E77F3"/>
    <w:rsid w:val="77507CC8"/>
    <w:rsid w:val="77764653"/>
    <w:rsid w:val="777F31F2"/>
    <w:rsid w:val="77D1700D"/>
    <w:rsid w:val="77EC04CC"/>
    <w:rsid w:val="78436C2C"/>
    <w:rsid w:val="78770683"/>
    <w:rsid w:val="78775729"/>
    <w:rsid w:val="78795E8C"/>
    <w:rsid w:val="789E3E62"/>
    <w:rsid w:val="78A42DB0"/>
    <w:rsid w:val="78A656AB"/>
    <w:rsid w:val="78B2245C"/>
    <w:rsid w:val="78C95383"/>
    <w:rsid w:val="78E172CC"/>
    <w:rsid w:val="78EA1D1F"/>
    <w:rsid w:val="7903403E"/>
    <w:rsid w:val="7904172F"/>
    <w:rsid w:val="790F7E27"/>
    <w:rsid w:val="79142376"/>
    <w:rsid w:val="792A231A"/>
    <w:rsid w:val="79316829"/>
    <w:rsid w:val="7936738E"/>
    <w:rsid w:val="797E66A9"/>
    <w:rsid w:val="798518A4"/>
    <w:rsid w:val="79A97383"/>
    <w:rsid w:val="79E27E8B"/>
    <w:rsid w:val="79F850CE"/>
    <w:rsid w:val="79F857F4"/>
    <w:rsid w:val="79FD443C"/>
    <w:rsid w:val="7A1D1975"/>
    <w:rsid w:val="7A1D3C4A"/>
    <w:rsid w:val="7A3E5150"/>
    <w:rsid w:val="7A4553DD"/>
    <w:rsid w:val="7A4670D6"/>
    <w:rsid w:val="7A534B63"/>
    <w:rsid w:val="7A615382"/>
    <w:rsid w:val="7A67303B"/>
    <w:rsid w:val="7A6A88F4"/>
    <w:rsid w:val="7AAB1D04"/>
    <w:rsid w:val="7ABA4368"/>
    <w:rsid w:val="7ABE4C8F"/>
    <w:rsid w:val="7AC1208A"/>
    <w:rsid w:val="7AC64C01"/>
    <w:rsid w:val="7AD05746"/>
    <w:rsid w:val="7AD3663F"/>
    <w:rsid w:val="7B257FFD"/>
    <w:rsid w:val="7B343476"/>
    <w:rsid w:val="7B5A2978"/>
    <w:rsid w:val="7B5A7E4C"/>
    <w:rsid w:val="7B667AF9"/>
    <w:rsid w:val="7B6E58D4"/>
    <w:rsid w:val="7B7468F8"/>
    <w:rsid w:val="7BEE0103"/>
    <w:rsid w:val="7BF87D2D"/>
    <w:rsid w:val="7C0A0FE4"/>
    <w:rsid w:val="7C1E6BD3"/>
    <w:rsid w:val="7C254906"/>
    <w:rsid w:val="7C590818"/>
    <w:rsid w:val="7C7C10F6"/>
    <w:rsid w:val="7C853BEA"/>
    <w:rsid w:val="7C881368"/>
    <w:rsid w:val="7CE27788"/>
    <w:rsid w:val="7CE3149D"/>
    <w:rsid w:val="7D034BDB"/>
    <w:rsid w:val="7D0C32F1"/>
    <w:rsid w:val="7D0F408D"/>
    <w:rsid w:val="7D491C6C"/>
    <w:rsid w:val="7D5429C0"/>
    <w:rsid w:val="7D6E6D43"/>
    <w:rsid w:val="7DB57A34"/>
    <w:rsid w:val="7DE60973"/>
    <w:rsid w:val="7DEC38C1"/>
    <w:rsid w:val="7DEF0916"/>
    <w:rsid w:val="7E1E5218"/>
    <w:rsid w:val="7E6C58F5"/>
    <w:rsid w:val="7E9A4E1F"/>
    <w:rsid w:val="7E9B156F"/>
    <w:rsid w:val="7EA7723A"/>
    <w:rsid w:val="7EF56FBB"/>
    <w:rsid w:val="7F0768EB"/>
    <w:rsid w:val="7F143BEC"/>
    <w:rsid w:val="7F1C4477"/>
    <w:rsid w:val="7F213448"/>
    <w:rsid w:val="7F715AF2"/>
    <w:rsid w:val="7F886E69"/>
    <w:rsid w:val="85E7DA2E"/>
    <w:rsid w:val="8BFB4B9B"/>
    <w:rsid w:val="BB7FA927"/>
    <w:rsid w:val="F5FFD31F"/>
    <w:rsid w:val="FA7E3F18"/>
    <w:rsid w:val="FDFA0B30"/>
    <w:rsid w:val="FDFFBC19"/>
    <w:rsid w:val="FF8BD6A0"/>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5"/>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paragraph" w:styleId="62">
    <w:name w:val="Body Text First Indent 2"/>
    <w:basedOn w:val="25"/>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自动更正"/>
    <w:qFormat/>
    <w:uiPriority w:val="99"/>
    <w:pPr>
      <w:widowControl w:val="0"/>
    </w:pPr>
    <w:rPr>
      <w:rFonts w:ascii="Times New Roman" w:hAnsi="Times New Roman" w:eastAsia="宋体" w:cs="Times New Roman"/>
      <w:kern w:val="2"/>
      <w:sz w:val="24"/>
      <w:szCs w:val="24"/>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普通表格1"/>
    <w:unhideWhenUsed/>
    <w:qFormat/>
    <w:uiPriority w:val="99"/>
    <w:pPr>
      <w:keepNext w:val="0"/>
      <w:keepLines w:val="0"/>
      <w:widowControl/>
      <w:suppressLineNumbers w:val="0"/>
      <w:spacing w:before="0" w:beforeAutospacing="0" w:after="0" w:afterAutospacing="0"/>
      <w:ind w:left="0" w:right="0"/>
    </w:pPr>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38677</Words>
  <Characters>42998</Characters>
  <Lines>651</Lines>
  <Paragraphs>183</Paragraphs>
  <TotalTime>26</TotalTime>
  <ScaleCrop>false</ScaleCrop>
  <LinksUpToDate>false</LinksUpToDate>
  <CharactersWithSpaces>47473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Administrator</cp:lastModifiedBy>
  <cp:lastPrinted>2021-12-28T03:06:00Z</cp:lastPrinted>
  <dcterms:modified xsi:type="dcterms:W3CDTF">2024-05-24T03:13:22Z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1B79959FEC76457B875B6A651E749005_13</vt:lpwstr>
  </property>
</Properties>
</file>