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hint="eastAsia" w:ascii="仿宋" w:hAnsi="仿宋" w:eastAsia="仿宋" w:cs="仿宋_GB2312"/>
          <w:b/>
          <w:color w:val="auto"/>
          <w:sz w:val="24"/>
          <w:highlight w:val="none"/>
        </w:rPr>
      </w:pPr>
    </w:p>
    <w:p>
      <w:pPr>
        <w:spacing w:before="120" w:beforeLines="50"/>
        <w:jc w:val="center"/>
        <w:rPr>
          <w:rFonts w:hint="eastAsia" w:ascii="宋体" w:hAnsi="宋体"/>
          <w:color w:val="auto"/>
          <w:sz w:val="56"/>
          <w:szCs w:val="56"/>
          <w:highlight w:val="none"/>
        </w:rPr>
      </w:pPr>
      <w:bookmarkStart w:id="0" w:name="_Hlt67893495"/>
      <w:bookmarkEnd w:id="0"/>
    </w:p>
    <w:p>
      <w:pPr>
        <w:spacing w:before="120" w:beforeLines="50"/>
        <w:jc w:val="center"/>
        <w:rPr>
          <w:rFonts w:ascii="宋体" w:hAnsi="宋体"/>
          <w:b/>
          <w:bCs/>
          <w:color w:val="auto"/>
          <w:sz w:val="56"/>
          <w:szCs w:val="56"/>
          <w:highlight w:val="none"/>
        </w:rPr>
      </w:pPr>
      <w:r>
        <w:rPr>
          <w:rFonts w:hint="eastAsia" w:ascii="宋体" w:hAnsi="宋体"/>
          <w:b/>
          <w:bCs/>
          <w:color w:val="auto"/>
          <w:sz w:val="56"/>
          <w:szCs w:val="56"/>
          <w:highlight w:val="none"/>
        </w:rPr>
        <w:t>嘉善县救助管理站救助服务外包项目</w:t>
      </w:r>
    </w:p>
    <w:p>
      <w:pPr>
        <w:spacing w:before="120" w:beforeLines="50"/>
        <w:rPr>
          <w:rFonts w:ascii="宋体" w:hAnsi="宋体"/>
          <w:color w:val="auto"/>
          <w:sz w:val="72"/>
          <w:szCs w:val="72"/>
          <w:highlight w:val="none"/>
        </w:rPr>
      </w:pPr>
    </w:p>
    <w:p>
      <w:pPr>
        <w:spacing w:before="120" w:beforeLines="50"/>
        <w:rPr>
          <w:rFonts w:ascii="宋体" w:hAnsi="宋体"/>
          <w:color w:val="auto"/>
          <w:sz w:val="72"/>
          <w:szCs w:val="72"/>
          <w:highlight w:val="none"/>
        </w:rPr>
      </w:pPr>
    </w:p>
    <w:p>
      <w:pPr>
        <w:spacing w:before="120" w:beforeLines="50"/>
        <w:jc w:val="center"/>
        <w:rPr>
          <w:rFonts w:hint="eastAsia" w:ascii="宋体" w:hAnsi="宋体"/>
          <w:color w:val="auto"/>
          <w:sz w:val="72"/>
          <w:szCs w:val="72"/>
          <w:highlight w:val="none"/>
        </w:rPr>
      </w:pPr>
    </w:p>
    <w:p>
      <w:pPr>
        <w:spacing w:before="120" w:beforeLines="50"/>
        <w:jc w:val="center"/>
        <w:rPr>
          <w:rFonts w:hint="eastAsia" w:ascii="宋体" w:hAnsi="宋体"/>
          <w:color w:val="auto"/>
          <w:sz w:val="72"/>
          <w:szCs w:val="72"/>
          <w:highlight w:val="none"/>
        </w:rPr>
      </w:pPr>
    </w:p>
    <w:p>
      <w:pPr>
        <w:spacing w:before="120" w:beforeLines="50"/>
        <w:jc w:val="center"/>
        <w:rPr>
          <w:rFonts w:ascii="宋体" w:hAnsi="宋体"/>
          <w:color w:val="auto"/>
          <w:sz w:val="72"/>
          <w:szCs w:val="72"/>
          <w:highlight w:val="none"/>
        </w:rPr>
      </w:pPr>
      <w:r>
        <w:rPr>
          <w:rFonts w:hint="eastAsia" w:ascii="宋体" w:hAnsi="宋体"/>
          <w:color w:val="auto"/>
          <w:sz w:val="72"/>
          <w:szCs w:val="72"/>
          <w:highlight w:val="none"/>
        </w:rPr>
        <w:t>公开招标</w:t>
      </w:r>
      <w:r>
        <w:rPr>
          <w:rFonts w:hint="eastAsia" w:ascii="宋体" w:hAnsi="宋体"/>
          <w:color w:val="auto"/>
          <w:sz w:val="72"/>
          <w:szCs w:val="72"/>
          <w:highlight w:val="none"/>
          <w:lang w:eastAsia="zh-CN"/>
        </w:rPr>
        <w:t>采购</w:t>
      </w:r>
      <w:bookmarkStart w:id="36" w:name="_GoBack"/>
      <w:bookmarkEnd w:id="36"/>
      <w:r>
        <w:rPr>
          <w:rFonts w:hint="eastAsia" w:ascii="宋体" w:hAnsi="宋体"/>
          <w:color w:val="auto"/>
          <w:sz w:val="72"/>
          <w:szCs w:val="72"/>
          <w:highlight w:val="none"/>
        </w:rPr>
        <w:t>文件</w:t>
      </w:r>
    </w:p>
    <w:p>
      <w:pPr>
        <w:pStyle w:val="64"/>
        <w:rPr>
          <w:color w:val="auto"/>
          <w:highlight w:val="none"/>
        </w:rPr>
      </w:pPr>
    </w:p>
    <w:p>
      <w:pPr>
        <w:snapToGrid w:val="0"/>
        <w:spacing w:before="120" w:beforeLines="50" w:line="360" w:lineRule="auto"/>
        <w:jc w:val="center"/>
        <w:rPr>
          <w:rFonts w:ascii="宋体" w:hAnsi="宋体"/>
          <w:color w:val="auto"/>
          <w:sz w:val="30"/>
          <w:szCs w:val="72"/>
          <w:highlight w:val="none"/>
        </w:rPr>
      </w:pPr>
    </w:p>
    <w:p>
      <w:pPr>
        <w:snapToGrid w:val="0"/>
        <w:spacing w:before="120" w:beforeLines="50" w:line="360" w:lineRule="auto"/>
        <w:rPr>
          <w:rFonts w:ascii="宋体" w:hAnsi="宋体"/>
          <w:color w:val="auto"/>
          <w:sz w:val="30"/>
          <w:szCs w:val="72"/>
          <w:highlight w:val="none"/>
        </w:rPr>
      </w:pPr>
    </w:p>
    <w:p>
      <w:pPr>
        <w:pStyle w:val="35"/>
        <w:snapToGrid w:val="0"/>
        <w:spacing w:before="120" w:after="120" w:line="360" w:lineRule="auto"/>
        <w:rPr>
          <w:b/>
          <w:color w:val="auto"/>
          <w:sz w:val="30"/>
          <w:szCs w:val="30"/>
          <w:highlight w:val="none"/>
        </w:rPr>
      </w:pPr>
    </w:p>
    <w:p>
      <w:pPr>
        <w:pStyle w:val="35"/>
        <w:snapToGrid w:val="0"/>
        <w:spacing w:before="120" w:after="120" w:line="360" w:lineRule="auto"/>
        <w:jc w:val="left"/>
        <w:rPr>
          <w:b/>
          <w:color w:val="auto"/>
          <w:sz w:val="30"/>
          <w:szCs w:val="30"/>
          <w:highlight w:val="none"/>
        </w:rPr>
      </w:pPr>
    </w:p>
    <w:p>
      <w:pPr>
        <w:pStyle w:val="35"/>
        <w:snapToGrid w:val="0"/>
        <w:spacing w:before="120" w:after="120" w:line="360" w:lineRule="auto"/>
        <w:jc w:val="left"/>
        <w:rPr>
          <w:b/>
          <w:color w:val="auto"/>
          <w:sz w:val="30"/>
          <w:szCs w:val="30"/>
          <w:highlight w:val="none"/>
        </w:rPr>
      </w:pPr>
    </w:p>
    <w:p>
      <w:pPr>
        <w:pStyle w:val="35"/>
        <w:snapToGrid w:val="0"/>
        <w:spacing w:before="120" w:after="120" w:line="360" w:lineRule="auto"/>
        <w:jc w:val="left"/>
        <w:rPr>
          <w:b/>
          <w:color w:val="auto"/>
          <w:sz w:val="30"/>
          <w:szCs w:val="30"/>
          <w:highlight w:val="none"/>
        </w:rPr>
      </w:pPr>
      <w:r>
        <w:rPr>
          <w:b/>
          <w:color w:val="auto"/>
          <w:sz w:val="30"/>
          <w:szCs w:val="30"/>
          <w:highlight w:val="none"/>
        </w:rPr>
        <w:t>项目编号：</w:t>
      </w:r>
      <w:r>
        <w:rPr>
          <w:rFonts w:hint="eastAsia" w:hAnsi="宋体"/>
          <w:b/>
          <w:color w:val="auto"/>
          <w:sz w:val="30"/>
          <w:szCs w:val="48"/>
          <w:highlight w:val="none"/>
          <w:lang w:eastAsia="zh-CN"/>
        </w:rPr>
        <w:t>JXYJ2022040</w:t>
      </w:r>
      <w:r>
        <w:rPr>
          <w:rFonts w:hint="eastAsia" w:hAnsi="宋体"/>
          <w:b/>
          <w:color w:val="auto"/>
          <w:sz w:val="30"/>
          <w:szCs w:val="48"/>
          <w:highlight w:val="none"/>
        </w:rPr>
        <w:t>(G)</w:t>
      </w:r>
    </w:p>
    <w:p>
      <w:pPr>
        <w:pStyle w:val="35"/>
        <w:snapToGrid w:val="0"/>
        <w:spacing w:before="120" w:after="120" w:line="360" w:lineRule="auto"/>
        <w:jc w:val="left"/>
        <w:rPr>
          <w:rFonts w:hint="eastAsia" w:eastAsia="宋体"/>
          <w:b/>
          <w:color w:val="auto"/>
          <w:sz w:val="30"/>
          <w:szCs w:val="30"/>
          <w:highlight w:val="none"/>
          <w:lang w:eastAsia="zh-CN"/>
        </w:rPr>
      </w:pPr>
      <w:r>
        <w:rPr>
          <w:rFonts w:hint="eastAsia"/>
          <w:b/>
          <w:color w:val="auto"/>
          <w:sz w:val="30"/>
          <w:szCs w:val="30"/>
          <w:highlight w:val="none"/>
        </w:rPr>
        <w:t>项目名称：嘉善县救助管理站救助服务外包项目</w:t>
      </w:r>
    </w:p>
    <w:p>
      <w:pPr>
        <w:pStyle w:val="35"/>
        <w:snapToGrid w:val="0"/>
        <w:spacing w:before="120" w:after="120" w:line="360" w:lineRule="auto"/>
        <w:jc w:val="left"/>
        <w:rPr>
          <w:rFonts w:hint="eastAsia" w:hAnsi="宋体" w:eastAsia="宋体"/>
          <w:b/>
          <w:color w:val="auto"/>
          <w:sz w:val="30"/>
          <w:szCs w:val="30"/>
          <w:highlight w:val="none"/>
          <w:lang w:eastAsia="zh-CN"/>
        </w:rPr>
      </w:pPr>
      <w:r>
        <w:rPr>
          <w:b/>
          <w:color w:val="auto"/>
          <w:sz w:val="30"/>
          <w:szCs w:val="30"/>
          <w:highlight w:val="none"/>
        </w:rPr>
        <w:t>采购</w:t>
      </w:r>
      <w:r>
        <w:rPr>
          <w:rFonts w:hint="eastAsia"/>
          <w:b/>
          <w:color w:val="auto"/>
          <w:sz w:val="30"/>
          <w:szCs w:val="30"/>
          <w:highlight w:val="none"/>
        </w:rPr>
        <w:t>单位</w:t>
      </w:r>
      <w:r>
        <w:rPr>
          <w:b/>
          <w:color w:val="auto"/>
          <w:sz w:val="30"/>
          <w:szCs w:val="30"/>
          <w:highlight w:val="none"/>
        </w:rPr>
        <w:t>：</w:t>
      </w:r>
      <w:r>
        <w:rPr>
          <w:rFonts w:hint="eastAsia"/>
          <w:b/>
          <w:color w:val="auto"/>
          <w:sz w:val="30"/>
          <w:szCs w:val="30"/>
          <w:highlight w:val="none"/>
          <w:lang w:eastAsia="zh-CN"/>
        </w:rPr>
        <w:t>浙江省嘉善县民政局</w:t>
      </w:r>
    </w:p>
    <w:p>
      <w:pPr>
        <w:pStyle w:val="35"/>
        <w:snapToGrid w:val="0"/>
        <w:spacing w:before="120" w:after="120" w:line="360" w:lineRule="auto"/>
        <w:jc w:val="left"/>
        <w:rPr>
          <w:rFonts w:hAnsi="宋体"/>
          <w:b/>
          <w:bCs/>
          <w:color w:val="auto"/>
          <w:sz w:val="30"/>
          <w:szCs w:val="30"/>
          <w:highlight w:val="none"/>
        </w:rPr>
      </w:pPr>
      <w:r>
        <w:rPr>
          <w:rFonts w:hint="eastAsia"/>
          <w:b/>
          <w:color w:val="auto"/>
          <w:sz w:val="30"/>
          <w:szCs w:val="30"/>
          <w:highlight w:val="none"/>
        </w:rPr>
        <w:t>采购代理机构</w:t>
      </w:r>
      <w:r>
        <w:rPr>
          <w:b/>
          <w:color w:val="auto"/>
          <w:sz w:val="30"/>
          <w:szCs w:val="30"/>
          <w:highlight w:val="none"/>
        </w:rPr>
        <w:t>：</w:t>
      </w:r>
      <w:r>
        <w:rPr>
          <w:rFonts w:hint="eastAsia"/>
          <w:b/>
          <w:color w:val="auto"/>
          <w:sz w:val="30"/>
          <w:szCs w:val="30"/>
          <w:highlight w:val="none"/>
        </w:rPr>
        <w:t>嘉兴市银建工程咨询评估有限公司</w:t>
      </w:r>
    </w:p>
    <w:p>
      <w:pPr>
        <w:spacing w:line="360" w:lineRule="auto"/>
        <w:jc w:val="center"/>
        <w:rPr>
          <w:rFonts w:ascii="仿宋" w:hAnsi="仿宋" w:eastAsia="仿宋" w:cs="仿宋_GB2312"/>
          <w:color w:val="auto"/>
          <w:sz w:val="24"/>
          <w:highlight w:val="none"/>
        </w:rPr>
      </w:pPr>
      <w:r>
        <w:rPr>
          <w:rFonts w:hint="eastAsia" w:ascii="宋体" w:hAnsi="宋体"/>
          <w:b/>
          <w:bCs/>
          <w:color w:val="auto"/>
          <w:w w:val="95"/>
          <w:sz w:val="30"/>
          <w:szCs w:val="30"/>
          <w:highlight w:val="none"/>
        </w:rPr>
        <w:t>2022年</w:t>
      </w:r>
      <w:r>
        <w:rPr>
          <w:rFonts w:hint="eastAsia" w:ascii="宋体" w:hAnsi="宋体"/>
          <w:b/>
          <w:bCs/>
          <w:color w:val="auto"/>
          <w:w w:val="95"/>
          <w:sz w:val="30"/>
          <w:szCs w:val="30"/>
          <w:highlight w:val="none"/>
          <w:lang w:val="en-US" w:eastAsia="zh-CN"/>
        </w:rPr>
        <w:t>11</w:t>
      </w:r>
      <w:r>
        <w:rPr>
          <w:rFonts w:hint="eastAsia" w:ascii="宋体" w:hAnsi="宋体"/>
          <w:b/>
          <w:bCs/>
          <w:color w:val="auto"/>
          <w:w w:val="95"/>
          <w:sz w:val="30"/>
          <w:szCs w:val="30"/>
          <w:highlight w:val="none"/>
        </w:rPr>
        <w:t>月</w:t>
      </w:r>
    </w:p>
    <w:p>
      <w:pPr>
        <w:rPr>
          <w:rFonts w:ascii="仿宋" w:hAnsi="仿宋" w:eastAsia="仿宋" w:cs="仿宋_GB2312"/>
          <w:color w:val="auto"/>
          <w:sz w:val="24"/>
          <w:highlight w:val="none"/>
        </w:rPr>
        <w:sectPr>
          <w:headerReference r:id="rId3" w:type="default"/>
          <w:headerReference r:id="rId4" w:type="even"/>
          <w:footerReference r:id="rId5" w:type="even"/>
          <w:pgSz w:w="11906" w:h="16838"/>
          <w:pgMar w:top="680" w:right="1418" w:bottom="471" w:left="1418" w:header="851" w:footer="992" w:gutter="0"/>
          <w:cols w:space="720" w:num="1"/>
          <w:titlePg/>
          <w:docGrid w:linePitch="312" w:charSpace="0"/>
        </w:sectPr>
      </w:pPr>
    </w:p>
    <w:p>
      <w:pPr>
        <w:pStyle w:val="4"/>
        <w:rPr>
          <w:color w:val="auto"/>
          <w:highlight w:val="none"/>
        </w:rPr>
      </w:pPr>
    </w:p>
    <w:p>
      <w:pPr>
        <w:pStyle w:val="64"/>
        <w:rPr>
          <w:rFonts w:ascii="仿宋" w:hAnsi="仿宋" w:eastAsia="仿宋" w:cs="仿宋_GB2312"/>
          <w:color w:val="auto"/>
          <w:highlight w:val="none"/>
        </w:rPr>
      </w:pPr>
    </w:p>
    <w:p>
      <w:pPr>
        <w:rPr>
          <w:rFonts w:ascii="仿宋" w:hAnsi="仿宋" w:eastAsia="仿宋" w:cs="仿宋_GB2312"/>
          <w:color w:val="auto"/>
          <w:sz w:val="24"/>
          <w:highlight w:val="none"/>
        </w:rPr>
      </w:pPr>
    </w:p>
    <w:p>
      <w:pPr>
        <w:pStyle w:val="35"/>
        <w:spacing w:before="120" w:after="120" w:line="600" w:lineRule="exact"/>
        <w:rPr>
          <w:rFonts w:ascii="创艺简标宋" w:hAnsi="宋体" w:eastAsia="创艺简标宋"/>
          <w:b/>
          <w:color w:val="auto"/>
          <w:sz w:val="44"/>
          <w:szCs w:val="44"/>
          <w:highlight w:val="none"/>
        </w:rPr>
      </w:pPr>
      <w:bookmarkStart w:id="1" w:name="_Hlt91233176"/>
      <w:bookmarkEnd w:id="1"/>
      <w:bookmarkStart w:id="2" w:name="_Toc91899869"/>
    </w:p>
    <w:p>
      <w:pPr>
        <w:pStyle w:val="35"/>
        <w:spacing w:before="120" w:after="120" w:line="600" w:lineRule="exact"/>
        <w:jc w:val="center"/>
        <w:rPr>
          <w:rFonts w:hAnsi="宋体" w:cs="宋体"/>
          <w:b/>
          <w:color w:val="auto"/>
          <w:sz w:val="44"/>
          <w:szCs w:val="44"/>
          <w:highlight w:val="none"/>
        </w:rPr>
      </w:pPr>
      <w:r>
        <w:rPr>
          <w:rFonts w:hint="eastAsia" w:hAnsi="宋体" w:cs="宋体"/>
          <w:b/>
          <w:color w:val="auto"/>
          <w:sz w:val="44"/>
          <w:szCs w:val="44"/>
          <w:highlight w:val="none"/>
        </w:rPr>
        <w:t>目    录</w:t>
      </w:r>
    </w:p>
    <w:p>
      <w:pPr>
        <w:pStyle w:val="35"/>
        <w:tabs>
          <w:tab w:val="left" w:pos="6645"/>
        </w:tabs>
        <w:spacing w:before="120" w:after="120" w:line="600" w:lineRule="exact"/>
        <w:jc w:val="left"/>
        <w:rPr>
          <w:rFonts w:ascii="创艺简标宋" w:hAnsi="宋体" w:eastAsia="创艺简标宋"/>
          <w:b/>
          <w:color w:val="auto"/>
          <w:sz w:val="44"/>
          <w:szCs w:val="44"/>
          <w:highlight w:val="none"/>
        </w:rPr>
      </w:pPr>
      <w:r>
        <w:rPr>
          <w:rFonts w:ascii="创艺简标宋" w:hAnsi="宋体" w:eastAsia="创艺简标宋"/>
          <w:b/>
          <w:color w:val="auto"/>
          <w:sz w:val="44"/>
          <w:szCs w:val="44"/>
          <w:highlight w:val="none"/>
        </w:rPr>
        <w:tab/>
      </w:r>
    </w:p>
    <w:p>
      <w:pPr>
        <w:pStyle w:val="46"/>
        <w:tabs>
          <w:tab w:val="right" w:leader="dot" w:pos="8834"/>
        </w:tabs>
        <w:spacing w:line="480" w:lineRule="auto"/>
        <w:rPr>
          <w:b/>
          <w:color w:val="auto"/>
          <w:sz w:val="32"/>
          <w:szCs w:val="32"/>
          <w:highlight w:val="none"/>
        </w:rPr>
      </w:pPr>
      <w:r>
        <w:rPr>
          <w:b/>
          <w:color w:val="auto"/>
          <w:sz w:val="32"/>
          <w:szCs w:val="32"/>
          <w:highlight w:val="none"/>
        </w:rPr>
        <w:fldChar w:fldCharType="begin"/>
      </w:r>
      <w:r>
        <w:rPr>
          <w:b/>
          <w:color w:val="auto"/>
          <w:sz w:val="32"/>
          <w:szCs w:val="32"/>
          <w:highlight w:val="none"/>
        </w:rPr>
        <w:instrText xml:space="preserve"> TOC \o "1-1" \h \z \u </w:instrText>
      </w:r>
      <w:r>
        <w:rPr>
          <w:b/>
          <w:color w:val="auto"/>
          <w:sz w:val="32"/>
          <w:szCs w:val="32"/>
          <w:highlight w:val="none"/>
        </w:rPr>
        <w:fldChar w:fldCharType="separate"/>
      </w:r>
      <w:r>
        <w:rPr>
          <w:color w:val="auto"/>
          <w:highlight w:val="none"/>
        </w:rPr>
        <w:fldChar w:fldCharType="begin"/>
      </w:r>
      <w:r>
        <w:rPr>
          <w:color w:val="auto"/>
          <w:highlight w:val="none"/>
        </w:rPr>
        <w:instrText xml:space="preserve"> HYPERLINK \l "_Toc406402981" </w:instrText>
      </w:r>
      <w:r>
        <w:rPr>
          <w:color w:val="auto"/>
          <w:highlight w:val="none"/>
        </w:rPr>
        <w:fldChar w:fldCharType="separate"/>
      </w:r>
      <w:r>
        <w:rPr>
          <w:rStyle w:val="79"/>
          <w:rFonts w:hint="eastAsia"/>
          <w:b/>
          <w:color w:val="auto"/>
          <w:sz w:val="32"/>
          <w:szCs w:val="32"/>
          <w:highlight w:val="none"/>
        </w:rPr>
        <w:t>第一章</w:t>
      </w:r>
      <w:r>
        <w:rPr>
          <w:rStyle w:val="79"/>
          <w:rFonts w:hint="eastAsia"/>
          <w:b/>
          <w:color w:val="auto"/>
          <w:sz w:val="32"/>
          <w:szCs w:val="32"/>
          <w:highlight w:val="none"/>
          <w:lang w:val="en-US"/>
        </w:rPr>
        <w:t xml:space="preserve"> </w:t>
      </w:r>
      <w:r>
        <w:rPr>
          <w:rStyle w:val="79"/>
          <w:rFonts w:hint="eastAsia"/>
          <w:b/>
          <w:color w:val="auto"/>
          <w:sz w:val="32"/>
          <w:szCs w:val="32"/>
          <w:highlight w:val="none"/>
        </w:rPr>
        <w:t>公开招标采购公告</w:t>
      </w:r>
      <w:r>
        <w:rPr>
          <w:b/>
          <w:color w:val="auto"/>
          <w:sz w:val="32"/>
          <w:szCs w:val="32"/>
          <w:highlight w:val="none"/>
        </w:rPr>
        <w:tab/>
      </w:r>
      <w:r>
        <w:rPr>
          <w:rFonts w:hint="eastAsia"/>
          <w:b/>
          <w:color w:val="auto"/>
          <w:sz w:val="32"/>
          <w:szCs w:val="32"/>
          <w:highlight w:val="none"/>
        </w:rPr>
        <w:t>3</w:t>
      </w:r>
      <w:r>
        <w:rPr>
          <w:rFonts w:hint="eastAsia"/>
          <w:b/>
          <w:color w:val="auto"/>
          <w:sz w:val="32"/>
          <w:szCs w:val="32"/>
          <w:highlight w:val="none"/>
        </w:rPr>
        <w:fldChar w:fldCharType="end"/>
      </w:r>
    </w:p>
    <w:p>
      <w:pPr>
        <w:pStyle w:val="46"/>
        <w:tabs>
          <w:tab w:val="right" w:leader="dot" w:pos="8834"/>
        </w:tabs>
        <w:spacing w:line="480" w:lineRule="auto"/>
        <w:rPr>
          <w:b/>
          <w:color w:val="auto"/>
          <w:sz w:val="32"/>
          <w:szCs w:val="32"/>
          <w:highlight w:val="none"/>
        </w:rPr>
      </w:pPr>
      <w:r>
        <w:rPr>
          <w:color w:val="auto"/>
          <w:highlight w:val="none"/>
        </w:rPr>
        <w:fldChar w:fldCharType="begin"/>
      </w:r>
      <w:r>
        <w:rPr>
          <w:color w:val="auto"/>
          <w:highlight w:val="none"/>
        </w:rPr>
        <w:instrText xml:space="preserve"> HYPERLINK \l "_Toc406402982" </w:instrText>
      </w:r>
      <w:r>
        <w:rPr>
          <w:color w:val="auto"/>
          <w:highlight w:val="none"/>
        </w:rPr>
        <w:fldChar w:fldCharType="separate"/>
      </w:r>
      <w:r>
        <w:rPr>
          <w:rStyle w:val="79"/>
          <w:rFonts w:hint="eastAsia"/>
          <w:b/>
          <w:color w:val="auto"/>
          <w:sz w:val="32"/>
          <w:szCs w:val="32"/>
          <w:highlight w:val="none"/>
        </w:rPr>
        <w:t>第二章</w:t>
      </w:r>
      <w:r>
        <w:rPr>
          <w:rStyle w:val="79"/>
          <w:rFonts w:hint="eastAsia"/>
          <w:b/>
          <w:color w:val="auto"/>
          <w:sz w:val="32"/>
          <w:szCs w:val="32"/>
          <w:highlight w:val="none"/>
          <w:lang w:val="en-US"/>
        </w:rPr>
        <w:t xml:space="preserve"> </w:t>
      </w:r>
      <w:r>
        <w:rPr>
          <w:rStyle w:val="79"/>
          <w:rFonts w:hint="eastAsia"/>
          <w:b/>
          <w:color w:val="auto"/>
          <w:sz w:val="32"/>
          <w:szCs w:val="32"/>
          <w:highlight w:val="none"/>
        </w:rPr>
        <w:t>招标需求</w:t>
      </w:r>
      <w:r>
        <w:rPr>
          <w:b/>
          <w:color w:val="auto"/>
          <w:sz w:val="32"/>
          <w:szCs w:val="32"/>
          <w:highlight w:val="none"/>
        </w:rPr>
        <w:tab/>
      </w:r>
      <w:r>
        <w:rPr>
          <w:rFonts w:hint="eastAsia"/>
          <w:b/>
          <w:color w:val="auto"/>
          <w:sz w:val="32"/>
          <w:szCs w:val="32"/>
          <w:highlight w:val="none"/>
          <w:lang w:val="en-US" w:eastAsia="zh-CN"/>
        </w:rPr>
        <w:t>7</w:t>
      </w:r>
      <w:r>
        <w:rPr>
          <w:rFonts w:hint="eastAsia"/>
          <w:b/>
          <w:color w:val="auto"/>
          <w:sz w:val="32"/>
          <w:szCs w:val="32"/>
          <w:highlight w:val="none"/>
        </w:rPr>
        <w:fldChar w:fldCharType="end"/>
      </w:r>
    </w:p>
    <w:p>
      <w:pPr>
        <w:pStyle w:val="46"/>
        <w:tabs>
          <w:tab w:val="right" w:leader="dot" w:pos="8834"/>
        </w:tabs>
        <w:spacing w:line="480" w:lineRule="auto"/>
        <w:rPr>
          <w:rFonts w:hint="default" w:eastAsia="宋体"/>
          <w:b/>
          <w:color w:val="auto"/>
          <w:sz w:val="32"/>
          <w:szCs w:val="32"/>
          <w:highlight w:val="none"/>
          <w:lang w:val="en-US" w:eastAsia="zh-CN"/>
        </w:rPr>
      </w:pPr>
      <w:r>
        <w:rPr>
          <w:color w:val="auto"/>
          <w:highlight w:val="none"/>
        </w:rPr>
        <w:fldChar w:fldCharType="begin"/>
      </w:r>
      <w:r>
        <w:rPr>
          <w:color w:val="auto"/>
          <w:highlight w:val="none"/>
        </w:rPr>
        <w:instrText xml:space="preserve"> HYPERLINK \l "_Toc406402986" </w:instrText>
      </w:r>
      <w:r>
        <w:rPr>
          <w:color w:val="auto"/>
          <w:highlight w:val="none"/>
        </w:rPr>
        <w:fldChar w:fldCharType="separate"/>
      </w:r>
      <w:r>
        <w:rPr>
          <w:rStyle w:val="79"/>
          <w:rFonts w:hint="eastAsia"/>
          <w:b/>
          <w:color w:val="auto"/>
          <w:sz w:val="32"/>
          <w:szCs w:val="32"/>
          <w:highlight w:val="none"/>
        </w:rPr>
        <w:t>第三章</w:t>
      </w:r>
      <w:r>
        <w:rPr>
          <w:rStyle w:val="79"/>
          <w:rFonts w:hint="eastAsia"/>
          <w:b/>
          <w:color w:val="auto"/>
          <w:sz w:val="32"/>
          <w:szCs w:val="32"/>
          <w:highlight w:val="none"/>
          <w:lang w:val="en-US"/>
        </w:rPr>
        <w:t xml:space="preserve"> </w:t>
      </w:r>
      <w:r>
        <w:rPr>
          <w:rStyle w:val="79"/>
          <w:rFonts w:hint="eastAsia"/>
          <w:b/>
          <w:color w:val="auto"/>
          <w:sz w:val="32"/>
          <w:szCs w:val="32"/>
          <w:highlight w:val="none"/>
        </w:rPr>
        <w:t>投标人须知</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9</w:t>
      </w:r>
    </w:p>
    <w:p>
      <w:pPr>
        <w:pStyle w:val="46"/>
        <w:tabs>
          <w:tab w:val="right" w:leader="dot" w:pos="8834"/>
        </w:tabs>
        <w:spacing w:line="480" w:lineRule="auto"/>
        <w:rPr>
          <w:rFonts w:hint="eastAsia" w:eastAsia="宋体"/>
          <w:b/>
          <w:color w:val="auto"/>
          <w:sz w:val="32"/>
          <w:szCs w:val="32"/>
          <w:highlight w:val="none"/>
          <w:lang w:val="en-US" w:eastAsia="zh-CN"/>
        </w:rPr>
      </w:pPr>
      <w:r>
        <w:rPr>
          <w:color w:val="auto"/>
          <w:highlight w:val="none"/>
        </w:rPr>
        <w:fldChar w:fldCharType="begin"/>
      </w:r>
      <w:r>
        <w:rPr>
          <w:color w:val="auto"/>
          <w:highlight w:val="none"/>
        </w:rPr>
        <w:instrText xml:space="preserve"> HYPERLINK \l "_Toc406402996" </w:instrText>
      </w:r>
      <w:r>
        <w:rPr>
          <w:color w:val="auto"/>
          <w:highlight w:val="none"/>
        </w:rPr>
        <w:fldChar w:fldCharType="separate"/>
      </w:r>
      <w:r>
        <w:rPr>
          <w:rStyle w:val="79"/>
          <w:rFonts w:hint="eastAsia"/>
          <w:b/>
          <w:color w:val="auto"/>
          <w:sz w:val="32"/>
          <w:szCs w:val="32"/>
          <w:highlight w:val="none"/>
        </w:rPr>
        <w:t>第四章 评标办法及评分标准</w:t>
      </w:r>
      <w:r>
        <w:rPr>
          <w:b/>
          <w:color w:val="auto"/>
          <w:sz w:val="32"/>
          <w:szCs w:val="32"/>
          <w:highlight w:val="none"/>
        </w:rPr>
        <w:tab/>
      </w:r>
      <w:r>
        <w:rPr>
          <w:rFonts w:hint="eastAsia"/>
          <w:b/>
          <w:color w:val="auto"/>
          <w:sz w:val="32"/>
          <w:szCs w:val="32"/>
          <w:highlight w:val="none"/>
          <w:lang w:val="en-US" w:eastAsia="zh-CN"/>
        </w:rPr>
        <w:t>2</w:t>
      </w:r>
      <w:r>
        <w:rPr>
          <w:rFonts w:hint="eastAsia"/>
          <w:b/>
          <w:color w:val="auto"/>
          <w:sz w:val="32"/>
          <w:szCs w:val="32"/>
          <w:highlight w:val="none"/>
        </w:rPr>
        <w:fldChar w:fldCharType="end"/>
      </w:r>
      <w:r>
        <w:rPr>
          <w:rFonts w:hint="eastAsia"/>
          <w:b/>
          <w:color w:val="auto"/>
          <w:sz w:val="32"/>
          <w:szCs w:val="32"/>
          <w:highlight w:val="none"/>
          <w:lang w:val="en-US" w:eastAsia="zh-CN"/>
        </w:rPr>
        <w:t>6</w:t>
      </w:r>
    </w:p>
    <w:p>
      <w:pPr>
        <w:pStyle w:val="46"/>
        <w:tabs>
          <w:tab w:val="right" w:leader="dot" w:pos="8834"/>
        </w:tabs>
        <w:spacing w:line="480" w:lineRule="auto"/>
        <w:rPr>
          <w:rFonts w:hint="default" w:eastAsia="宋体"/>
          <w:b/>
          <w:color w:val="auto"/>
          <w:sz w:val="32"/>
          <w:szCs w:val="32"/>
          <w:highlight w:val="none"/>
          <w:lang w:val="en-US" w:eastAsia="zh-CN"/>
        </w:rPr>
      </w:pPr>
      <w:r>
        <w:rPr>
          <w:color w:val="auto"/>
          <w:highlight w:val="none"/>
        </w:rPr>
        <w:fldChar w:fldCharType="begin"/>
      </w:r>
      <w:r>
        <w:rPr>
          <w:color w:val="auto"/>
          <w:highlight w:val="none"/>
        </w:rPr>
        <w:instrText xml:space="preserve"> HYPERLINK \l "_Toc406402998" </w:instrText>
      </w:r>
      <w:r>
        <w:rPr>
          <w:color w:val="auto"/>
          <w:highlight w:val="none"/>
        </w:rPr>
        <w:fldChar w:fldCharType="separate"/>
      </w:r>
      <w:r>
        <w:rPr>
          <w:rStyle w:val="79"/>
          <w:rFonts w:hint="eastAsia"/>
          <w:b/>
          <w:color w:val="auto"/>
          <w:sz w:val="32"/>
          <w:szCs w:val="32"/>
          <w:highlight w:val="none"/>
        </w:rPr>
        <w:t>第五章</w:t>
      </w:r>
      <w:r>
        <w:rPr>
          <w:rStyle w:val="79"/>
          <w:rFonts w:hint="eastAsia"/>
          <w:b/>
          <w:color w:val="auto"/>
          <w:sz w:val="32"/>
          <w:szCs w:val="32"/>
          <w:highlight w:val="none"/>
          <w:lang w:val="en-US"/>
        </w:rPr>
        <w:t xml:space="preserve"> </w:t>
      </w:r>
      <w:r>
        <w:rPr>
          <w:rStyle w:val="79"/>
          <w:rFonts w:hint="eastAsia"/>
          <w:b/>
          <w:color w:val="auto"/>
          <w:sz w:val="32"/>
          <w:szCs w:val="32"/>
          <w:highlight w:val="none"/>
        </w:rPr>
        <w:t>嘉善县政府采购合同（</w:t>
      </w:r>
      <w:bookmarkStart w:id="3" w:name="_Hlt497308216"/>
      <w:r>
        <w:rPr>
          <w:rStyle w:val="79"/>
          <w:rFonts w:hint="eastAsia"/>
          <w:b/>
          <w:color w:val="auto"/>
          <w:sz w:val="32"/>
          <w:szCs w:val="32"/>
          <w:highlight w:val="none"/>
        </w:rPr>
        <w:t>指</w:t>
      </w:r>
      <w:bookmarkEnd w:id="3"/>
      <w:bookmarkStart w:id="4" w:name="_Hlt497308220"/>
      <w:r>
        <w:rPr>
          <w:rStyle w:val="79"/>
          <w:rFonts w:hint="eastAsia"/>
          <w:b/>
          <w:color w:val="auto"/>
          <w:sz w:val="32"/>
          <w:szCs w:val="32"/>
          <w:highlight w:val="none"/>
        </w:rPr>
        <w:t>引</w:t>
      </w:r>
      <w:bookmarkEnd w:id="4"/>
      <w:r>
        <w:rPr>
          <w:rStyle w:val="79"/>
          <w:rFonts w:hint="eastAsia"/>
          <w:b/>
          <w:color w:val="auto"/>
          <w:sz w:val="32"/>
          <w:szCs w:val="32"/>
          <w:highlight w:val="none"/>
        </w:rPr>
        <w:t>）</w:t>
      </w:r>
      <w:bookmarkStart w:id="5" w:name="_Hlt497308212"/>
      <w:bookmarkStart w:id="6" w:name="_Hlt497308213"/>
      <w:r>
        <w:rPr>
          <w:b/>
          <w:color w:val="auto"/>
          <w:sz w:val="32"/>
          <w:szCs w:val="32"/>
          <w:highlight w:val="none"/>
        </w:rPr>
        <w:tab/>
      </w:r>
      <w:bookmarkEnd w:id="5"/>
      <w:bookmarkEnd w:id="6"/>
      <w:r>
        <w:rPr>
          <w:rFonts w:hint="eastAsia"/>
          <w:b/>
          <w:color w:val="auto"/>
          <w:sz w:val="32"/>
          <w:szCs w:val="32"/>
          <w:highlight w:val="none"/>
        </w:rPr>
        <w:fldChar w:fldCharType="end"/>
      </w:r>
      <w:r>
        <w:rPr>
          <w:rFonts w:hint="eastAsia"/>
          <w:b/>
          <w:color w:val="auto"/>
          <w:sz w:val="32"/>
          <w:szCs w:val="32"/>
          <w:highlight w:val="none"/>
          <w:lang w:val="en-US" w:eastAsia="zh-CN"/>
        </w:rPr>
        <w:t>29</w:t>
      </w:r>
    </w:p>
    <w:p>
      <w:pPr>
        <w:pStyle w:val="46"/>
        <w:tabs>
          <w:tab w:val="right" w:leader="dot" w:pos="8834"/>
        </w:tabs>
        <w:spacing w:line="480" w:lineRule="auto"/>
        <w:rPr>
          <w:rFonts w:hint="default" w:eastAsia="宋体"/>
          <w:b/>
          <w:color w:val="auto"/>
          <w:sz w:val="32"/>
          <w:szCs w:val="32"/>
          <w:highlight w:val="none"/>
          <w:lang w:val="en-US" w:eastAsia="zh-CN"/>
        </w:rPr>
      </w:pPr>
      <w:r>
        <w:rPr>
          <w:color w:val="auto"/>
          <w:highlight w:val="none"/>
        </w:rPr>
        <w:fldChar w:fldCharType="begin"/>
      </w:r>
      <w:r>
        <w:rPr>
          <w:color w:val="auto"/>
          <w:highlight w:val="none"/>
        </w:rPr>
        <w:instrText xml:space="preserve"> HYPERLINK \l "_Toc406403000" </w:instrText>
      </w:r>
      <w:r>
        <w:rPr>
          <w:color w:val="auto"/>
          <w:highlight w:val="none"/>
        </w:rPr>
        <w:fldChar w:fldCharType="separate"/>
      </w:r>
      <w:r>
        <w:rPr>
          <w:rStyle w:val="79"/>
          <w:rFonts w:hint="eastAsia"/>
          <w:b/>
          <w:color w:val="auto"/>
          <w:sz w:val="32"/>
          <w:szCs w:val="32"/>
          <w:highlight w:val="none"/>
        </w:rPr>
        <w:t>第六章</w:t>
      </w:r>
      <w:r>
        <w:rPr>
          <w:rStyle w:val="79"/>
          <w:rFonts w:hint="eastAsia"/>
          <w:b/>
          <w:color w:val="auto"/>
          <w:sz w:val="32"/>
          <w:szCs w:val="32"/>
          <w:highlight w:val="none"/>
          <w:lang w:val="en-US"/>
        </w:rPr>
        <w:t xml:space="preserve"> </w:t>
      </w:r>
      <w:r>
        <w:rPr>
          <w:rStyle w:val="79"/>
          <w:rFonts w:hint="eastAsia"/>
          <w:b/>
          <w:color w:val="auto"/>
          <w:sz w:val="32"/>
          <w:szCs w:val="32"/>
          <w:highlight w:val="none"/>
        </w:rPr>
        <w:t>投标文件格式</w:t>
      </w:r>
      <w:r>
        <w:rPr>
          <w:b/>
          <w:color w:val="auto"/>
          <w:sz w:val="32"/>
          <w:szCs w:val="32"/>
          <w:highlight w:val="none"/>
        </w:rPr>
        <w:tab/>
      </w:r>
      <w:r>
        <w:rPr>
          <w:b/>
          <w:color w:val="auto"/>
          <w:sz w:val="32"/>
          <w:szCs w:val="32"/>
          <w:highlight w:val="none"/>
        </w:rPr>
        <w:fldChar w:fldCharType="end"/>
      </w:r>
      <w:r>
        <w:rPr>
          <w:rFonts w:hint="eastAsia"/>
          <w:b/>
          <w:color w:val="auto"/>
          <w:sz w:val="32"/>
          <w:szCs w:val="32"/>
          <w:highlight w:val="none"/>
          <w:lang w:val="en-US" w:eastAsia="zh-CN"/>
        </w:rPr>
        <w:t>34</w:t>
      </w:r>
    </w:p>
    <w:p>
      <w:pPr>
        <w:pStyle w:val="46"/>
        <w:tabs>
          <w:tab w:val="right" w:leader="dot" w:pos="8834"/>
        </w:tabs>
        <w:spacing w:line="480" w:lineRule="auto"/>
        <w:rPr>
          <w:b/>
          <w:color w:val="auto"/>
          <w:sz w:val="32"/>
          <w:szCs w:val="32"/>
          <w:highlight w:val="none"/>
        </w:rPr>
      </w:pPr>
    </w:p>
    <w:p>
      <w:pPr>
        <w:pStyle w:val="46"/>
        <w:tabs>
          <w:tab w:val="right" w:leader="dot" w:pos="8834"/>
        </w:tabs>
        <w:spacing w:line="480" w:lineRule="auto"/>
        <w:rPr>
          <w:b/>
          <w:color w:val="auto"/>
          <w:sz w:val="32"/>
          <w:szCs w:val="32"/>
          <w:highlight w:val="none"/>
        </w:rPr>
      </w:pPr>
    </w:p>
    <w:p>
      <w:pPr>
        <w:pStyle w:val="46"/>
        <w:tabs>
          <w:tab w:val="right" w:leader="dot" w:pos="8834"/>
        </w:tabs>
        <w:spacing w:line="480" w:lineRule="auto"/>
        <w:rPr>
          <w:b/>
          <w:color w:val="auto"/>
          <w:sz w:val="32"/>
          <w:szCs w:val="32"/>
          <w:highlight w:val="none"/>
        </w:rPr>
      </w:pPr>
    </w:p>
    <w:p>
      <w:pPr>
        <w:pStyle w:val="46"/>
        <w:tabs>
          <w:tab w:val="right" w:leader="dot" w:pos="8834"/>
        </w:tabs>
        <w:spacing w:line="480" w:lineRule="auto"/>
        <w:rPr>
          <w:b/>
          <w:color w:val="auto"/>
          <w:sz w:val="32"/>
          <w:szCs w:val="32"/>
          <w:highlight w:val="none"/>
        </w:rPr>
      </w:pPr>
    </w:p>
    <w:p>
      <w:pPr>
        <w:pStyle w:val="46"/>
        <w:tabs>
          <w:tab w:val="right" w:leader="dot" w:pos="8834"/>
        </w:tabs>
        <w:spacing w:line="480" w:lineRule="auto"/>
        <w:rPr>
          <w:b/>
          <w:color w:val="auto"/>
          <w:sz w:val="32"/>
          <w:szCs w:val="32"/>
          <w:highlight w:val="none"/>
        </w:rPr>
      </w:pPr>
    </w:p>
    <w:p>
      <w:pPr>
        <w:spacing w:line="360" w:lineRule="auto"/>
        <w:ind w:firstLine="480" w:firstLineChars="229"/>
        <w:rPr>
          <w:rFonts w:ascii="仿宋" w:hAnsi="仿宋" w:eastAsia="仿宋" w:cs="仿宋_GB2312"/>
          <w:color w:val="auto"/>
          <w:sz w:val="24"/>
          <w:highlight w:val="none"/>
        </w:rPr>
      </w:pPr>
      <w:r>
        <w:rPr>
          <w:color w:val="auto"/>
          <w:szCs w:val="32"/>
          <w:highlight w:val="none"/>
        </w:rPr>
        <w:fldChar w:fldCharType="end"/>
      </w: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sectPr>
          <w:footerReference r:id="rId7" w:type="first"/>
          <w:footerReference r:id="rId6" w:type="default"/>
          <w:pgSz w:w="11906" w:h="16838"/>
          <w:pgMar w:top="680" w:right="1418" w:bottom="468" w:left="1418" w:header="851" w:footer="992" w:gutter="0"/>
          <w:pgNumType w:fmt="decimal" w:start="2"/>
          <w:cols w:space="720" w:num="1"/>
          <w:titlePg/>
          <w:docGrid w:linePitch="312" w:charSpace="0"/>
        </w:sectPr>
      </w:pPr>
    </w:p>
    <w:bookmarkEnd w:id="2"/>
    <w:p>
      <w:pPr>
        <w:adjustRightInd/>
        <w:spacing w:line="360" w:lineRule="auto"/>
        <w:jc w:val="center"/>
        <w:outlineLvl w:val="0"/>
        <w:rPr>
          <w:rFonts w:ascii="仿宋_GB2312" w:hAnsi="仿宋" w:eastAsia="仿宋_GB2312" w:cs="仿宋_GB2312"/>
          <w:b/>
          <w:color w:val="auto"/>
          <w:sz w:val="36"/>
          <w:szCs w:val="20"/>
          <w:highlight w:val="none"/>
        </w:rPr>
      </w:pPr>
      <w:bookmarkStart w:id="7" w:name="_Hlt74707423"/>
      <w:bookmarkEnd w:id="7"/>
      <w:bookmarkStart w:id="8" w:name="_Hlt74728647"/>
      <w:bookmarkEnd w:id="8"/>
      <w:bookmarkStart w:id="9" w:name="_Hlt74649545"/>
      <w:bookmarkEnd w:id="9"/>
      <w:bookmarkStart w:id="10" w:name="_Hlt74729822"/>
      <w:bookmarkEnd w:id="10"/>
      <w:bookmarkStart w:id="11" w:name="第二部分"/>
      <w:bookmarkStart w:id="12" w:name="_Toc91899870"/>
      <w:bookmarkStart w:id="13" w:name="_Toc91899871"/>
      <w:r>
        <w:rPr>
          <w:rFonts w:hint="eastAsia" w:ascii="仿宋" w:hAnsi="仿宋" w:eastAsia="仿宋" w:cs="仿宋_GB2312"/>
          <w:b/>
          <w:color w:val="auto"/>
          <w:sz w:val="36"/>
          <w:szCs w:val="20"/>
          <w:highlight w:val="none"/>
        </w:rPr>
        <w:t>第一章公开招标采购公告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（嘉善县救助管理站救助服务外包项目）</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9"/>
          <w:rFonts w:ascii="仿宋_GB2312" w:hAnsi="仿宋" w:eastAsia="仿宋_GB2312"/>
          <w:color w:val="auto"/>
          <w:sz w:val="24"/>
          <w:highlight w:val="none"/>
        </w:rPr>
        <w:t>https://www.zcygov.cn/）获取（下载）招标文件，并于</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12月13日14</w:t>
      </w:r>
      <w:r>
        <w:rPr>
          <w:rFonts w:hint="eastAsia" w:ascii="仿宋_GB2312" w:hAnsi="仿宋" w:eastAsia="仿宋_GB2312"/>
          <w:color w:val="auto"/>
          <w:sz w:val="24"/>
          <w:highlight w:val="none"/>
          <w:u w:val="single"/>
        </w:rPr>
        <w:t>点30分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一、项目基本情况</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项目编号：</w:t>
      </w:r>
      <w:r>
        <w:rPr>
          <w:rFonts w:hint="eastAsia" w:ascii="仿宋_GB2312" w:hAnsi="仿宋" w:eastAsia="仿宋_GB2312"/>
          <w:b/>
          <w:color w:val="auto"/>
          <w:sz w:val="24"/>
          <w:highlight w:val="none"/>
          <w:lang w:eastAsia="zh-CN"/>
        </w:rPr>
        <w:t>JXYJ2022040</w:t>
      </w:r>
      <w:r>
        <w:rPr>
          <w:rFonts w:hint="eastAsia" w:ascii="仿宋_GB2312" w:hAnsi="仿宋" w:eastAsia="仿宋_GB2312"/>
          <w:b/>
          <w:color w:val="auto"/>
          <w:sz w:val="24"/>
          <w:highlight w:val="none"/>
        </w:rPr>
        <w:t>(G)</w:t>
      </w:r>
    </w:p>
    <w:p>
      <w:pPr>
        <w:spacing w:line="360" w:lineRule="auto"/>
        <w:ind w:firstLine="482" w:firstLineChars="200"/>
        <w:rPr>
          <w:rFonts w:hint="eastAsia" w:ascii="仿宋_GB2312" w:hAnsi="仿宋" w:eastAsia="仿宋_GB2312"/>
          <w:color w:val="auto"/>
          <w:sz w:val="24"/>
          <w:highlight w:val="none"/>
          <w:lang w:eastAsia="zh-CN"/>
        </w:rPr>
      </w:pPr>
      <w:r>
        <w:rPr>
          <w:rFonts w:ascii="仿宋_GB2312" w:hAnsi="仿宋" w:eastAsia="仿宋_GB2312"/>
          <w:b/>
          <w:color w:val="auto"/>
          <w:sz w:val="24"/>
          <w:highlight w:val="none"/>
        </w:rPr>
        <w:t>项目名称：</w:t>
      </w:r>
      <w:r>
        <w:rPr>
          <w:rFonts w:hint="eastAsia" w:ascii="仿宋_GB2312" w:hAnsi="仿宋" w:eastAsia="仿宋_GB2312"/>
          <w:b/>
          <w:color w:val="auto"/>
          <w:sz w:val="24"/>
          <w:highlight w:val="none"/>
        </w:rPr>
        <w:t>嘉善县救助管理站救助服务外包项目</w:t>
      </w:r>
    </w:p>
    <w:p>
      <w:pPr>
        <w:spacing w:line="360" w:lineRule="auto"/>
        <w:ind w:firstLine="482" w:firstLineChars="200"/>
        <w:rPr>
          <w:rFonts w:hint="eastAsia" w:ascii="仿宋_GB2312" w:hAnsi="仿宋" w:eastAsia="仿宋_GB2312"/>
          <w:b/>
          <w:color w:val="auto"/>
          <w:sz w:val="24"/>
          <w:highlight w:val="none"/>
          <w:lang w:eastAsia="zh-CN"/>
        </w:rPr>
      </w:pPr>
      <w:r>
        <w:rPr>
          <w:rFonts w:ascii="仿宋_GB2312" w:hAnsi="仿宋" w:eastAsia="仿宋_GB2312"/>
          <w:b/>
          <w:color w:val="auto"/>
          <w:sz w:val="24"/>
          <w:highlight w:val="none"/>
        </w:rPr>
        <w:t>预算金额（元）：</w:t>
      </w:r>
      <w:r>
        <w:rPr>
          <w:rFonts w:hint="eastAsia" w:ascii="仿宋_GB2312" w:hAnsi="仿宋" w:eastAsia="仿宋_GB2312"/>
          <w:b/>
          <w:color w:val="auto"/>
          <w:sz w:val="24"/>
          <w:highlight w:val="none"/>
          <w:lang w:eastAsia="zh-CN"/>
        </w:rPr>
        <w:t>5</w:t>
      </w:r>
      <w:r>
        <w:rPr>
          <w:rFonts w:hint="eastAsia" w:ascii="仿宋_GB2312" w:hAnsi="仿宋" w:eastAsia="仿宋_GB2312"/>
          <w:b/>
          <w:color w:val="auto"/>
          <w:sz w:val="24"/>
          <w:highlight w:val="none"/>
          <w:lang w:val="en-US" w:eastAsia="zh-CN"/>
        </w:rPr>
        <w:t>6</w:t>
      </w:r>
      <w:r>
        <w:rPr>
          <w:rFonts w:hint="eastAsia" w:ascii="仿宋_GB2312" w:hAnsi="仿宋" w:eastAsia="仿宋_GB2312"/>
          <w:b/>
          <w:color w:val="auto"/>
          <w:sz w:val="24"/>
          <w:highlight w:val="none"/>
          <w:lang w:eastAsia="zh-CN"/>
        </w:rPr>
        <w:t>0000</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_GB2312" w:hAnsi="仿宋" w:eastAsia="仿宋_GB2312"/>
          <w:b/>
          <w:color w:val="auto"/>
          <w:sz w:val="24"/>
          <w:highlight w:val="none"/>
          <w:lang w:eastAsia="zh-CN"/>
        </w:rPr>
        <w:t>5</w:t>
      </w:r>
      <w:r>
        <w:rPr>
          <w:rFonts w:hint="eastAsia" w:ascii="仿宋_GB2312" w:hAnsi="仿宋" w:eastAsia="仿宋_GB2312"/>
          <w:b/>
          <w:color w:val="auto"/>
          <w:sz w:val="24"/>
          <w:highlight w:val="none"/>
          <w:lang w:val="en-US" w:eastAsia="zh-CN"/>
        </w:rPr>
        <w:t>6</w:t>
      </w:r>
      <w:r>
        <w:rPr>
          <w:rFonts w:hint="eastAsia" w:ascii="仿宋_GB2312" w:hAnsi="仿宋" w:eastAsia="仿宋_GB2312"/>
          <w:b/>
          <w:color w:val="auto"/>
          <w:sz w:val="24"/>
          <w:highlight w:val="none"/>
          <w:lang w:eastAsia="zh-CN"/>
        </w:rPr>
        <w:t>0000</w:t>
      </w:r>
    </w:p>
    <w:p>
      <w:pPr>
        <w:pStyle w:val="6"/>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 w:val="0"/>
          <w:bCs/>
          <w:color w:val="auto"/>
          <w:sz w:val="24"/>
          <w:highlight w:val="none"/>
        </w:rPr>
        <w:t>详见招标文件第二章招标需求</w:t>
      </w:r>
    </w:p>
    <w:p>
      <w:pPr>
        <w:pStyle w:val="6"/>
        <w:spacing w:line="360" w:lineRule="auto"/>
        <w:ind w:firstLine="480"/>
        <w:rPr>
          <w:rFonts w:ascii="仿宋_GB2312" w:hAnsi="仿宋" w:eastAsia="仿宋_GB2312"/>
          <w:color w:val="auto"/>
          <w:highlight w:val="none"/>
        </w:rPr>
      </w:pPr>
      <w:r>
        <w:rPr>
          <w:rFonts w:hint="eastAsia" w:ascii="仿宋_GB2312" w:hAnsi="仿宋" w:eastAsia="仿宋_GB2312"/>
          <w:b/>
          <w:color w:val="auto"/>
          <w:sz w:val="24"/>
          <w:szCs w:val="18"/>
          <w:highlight w:val="none"/>
        </w:rPr>
        <w:t>合同履约期限</w:t>
      </w:r>
      <w:r>
        <w:rPr>
          <w:rFonts w:hint="eastAsia" w:ascii="仿宋_GB2312" w:hAnsi="仿宋" w:eastAsia="仿宋_GB2312"/>
          <w:b/>
          <w:color w:val="auto"/>
          <w:highlight w:val="none"/>
        </w:rPr>
        <w:t>：</w:t>
      </w:r>
      <w:r>
        <w:rPr>
          <w:rFonts w:hint="eastAsia" w:ascii="仿宋_GB2312" w:hAnsi="仿宋" w:eastAsia="仿宋_GB2312" w:cs="Times New Roman"/>
          <w:b w:val="0"/>
          <w:bCs/>
          <w:color w:val="auto"/>
          <w:sz w:val="24"/>
          <w:highlight w:val="none"/>
        </w:rPr>
        <w:t>自合同签订之日起一年。</w:t>
      </w:r>
    </w:p>
    <w:p>
      <w:pPr>
        <w:pStyle w:val="6"/>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2"/>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 xml:space="preserve">    2.</w:t>
      </w:r>
      <w:r>
        <w:rPr>
          <w:rFonts w:hint="eastAsia" w:ascii="仿宋" w:hAnsi="仿宋" w:eastAsia="仿宋" w:cs="仿宋_GB2312"/>
          <w:snapToGrid w:val="0"/>
          <w:color w:val="auto"/>
          <w:kern w:val="28"/>
          <w:sz w:val="24"/>
          <w:szCs w:val="20"/>
          <w:highlight w:val="none"/>
        </w:rPr>
        <w:t>落实政府采购政策需满足的资格要求：</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1928616923"/>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无；</w:t>
      </w:r>
    </w:p>
    <w:p>
      <w:pPr>
        <w:spacing w:line="360" w:lineRule="auto"/>
        <w:ind w:firstLine="480" w:firstLineChars="200"/>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4"/>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w:t>
          </w:r>
        </w:sdtContent>
      </w:sdt>
      <w:r>
        <w:rPr>
          <w:rFonts w:hint="eastAsia" w:ascii="仿宋_GB2312" w:hAnsi="仿宋" w:eastAsia="仿宋_GB2312" w:cs="Arial"/>
          <w:color w:val="auto"/>
          <w:kern w:val="0"/>
          <w:sz w:val="24"/>
          <w:highlight w:val="none"/>
        </w:rPr>
        <w:t>专</w:t>
      </w:r>
      <w:r>
        <w:rPr>
          <w:rFonts w:hint="eastAsia" w:ascii="仿宋_GB2312" w:hAnsi="仿宋" w:eastAsia="仿宋_GB2312"/>
          <w:color w:val="auto"/>
          <w:sz w:val="24"/>
          <w:highlight w:val="none"/>
        </w:rPr>
        <w:t>门面向中小企业</w:t>
      </w:r>
    </w:p>
    <w:p>
      <w:pPr>
        <w:spacing w:line="360" w:lineRule="auto"/>
        <w:ind w:firstLine="897" w:firstLineChars="374"/>
        <w:rPr>
          <w:rFonts w:ascii="仿宋_GB2312" w:hAnsi="仿宋" w:eastAsia="仿宋_GB2312"/>
          <w:color w:val="auto"/>
          <w:sz w:val="24"/>
          <w:highlight w:val="none"/>
          <w:u w:val="single"/>
        </w:rPr>
      </w:pPr>
      <w:sdt>
        <w:sdtPr>
          <w:rPr>
            <w:rFonts w:hint="eastAsia" w:ascii="仿宋_GB2312" w:hAnsi="仿宋" w:eastAsia="仿宋_GB2312" w:cs="Arial"/>
            <w:color w:val="auto"/>
            <w:kern w:val="0"/>
            <w:sz w:val="24"/>
            <w:highlight w:val="none"/>
          </w:rPr>
          <w:id w:val="5"/>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6"/>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货物全部由符合政策要求的小微企业制造，提供中小企业声明函；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7"/>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color w:val="auto"/>
          <w:highlight w:val="none"/>
        </w:rPr>
      </w:pPr>
      <w:sdt>
        <w:sdtPr>
          <w:rPr>
            <w:rFonts w:hint="eastAsia" w:ascii="仿宋_GB2312" w:hAnsi="仿宋" w:eastAsia="仿宋_GB2312" w:cs="Arial"/>
            <w:color w:val="auto"/>
            <w:kern w:val="0"/>
            <w:sz w:val="24"/>
            <w:highlight w:val="none"/>
          </w:rPr>
          <w:id w:val="8"/>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9"/>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要求以联合体形式参加，提供联合协议和中小企业声明函，联合协议中中小企业合同金额应当达到</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微企业合同金额应当达到</w:t>
      </w:r>
      <w:r>
        <w:rPr>
          <w:rFonts w:ascii="仿宋_GB2312" w:hAnsi="仿宋" w:eastAsia="仿宋_GB2312"/>
          <w:color w:val="auto"/>
          <w:sz w:val="24"/>
          <w:highlight w:val="none"/>
        </w:rPr>
        <w:t>%;</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sdt>
        <w:sdtPr>
          <w:rPr>
            <w:rFonts w:hint="eastAsia" w:ascii="仿宋_GB2312" w:hAnsi="仿宋" w:eastAsia="仿宋_GB2312" w:cs="Arial"/>
            <w:color w:val="auto"/>
            <w:kern w:val="0"/>
            <w:sz w:val="24"/>
            <w:highlight w:val="none"/>
          </w:rPr>
          <w:id w:val="34630645"/>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 w:hAnsi="仿宋" w:eastAsia="仿宋"/>
          <w:color w:val="auto"/>
          <w:sz w:val="24"/>
          <w:highlight w:val="none"/>
        </w:rPr>
        <w:t>要求合同分包，提供分包意向协议和中小企业声明函，分包意向协议中中小企业合同金额应当达到</w:t>
      </w:r>
      <w:r>
        <w:rPr>
          <w:rFonts w:hint="eastAsia" w:ascii="仿宋_GB2312" w:hAnsi="仿宋" w:eastAsia="仿宋_GB2312"/>
          <w:color w:val="auto"/>
          <w:sz w:val="24"/>
          <w:highlight w:val="none"/>
        </w:rPr>
        <w:t>达到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，小微企业合同金额应当达到</w:t>
      </w:r>
      <w:r>
        <w:rPr>
          <w:rFonts w:ascii="仿宋_GB2312" w:hAnsi="仿宋" w:eastAsia="仿宋_GB2312"/>
          <w:color w:val="auto"/>
          <w:sz w:val="24"/>
          <w:highlight w:val="none"/>
        </w:rPr>
        <w:t>% ;</w:t>
      </w:r>
      <w:r>
        <w:rPr>
          <w:rFonts w:hint="eastAsia" w:ascii="仿宋" w:hAnsi="仿宋" w:eastAsia="仿宋"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olor w:val="auto"/>
          <w:sz w:val="24"/>
          <w:highlight w:val="none"/>
        </w:rPr>
        <w:t>；</w:t>
      </w:r>
    </w:p>
    <w:p>
      <w:pPr>
        <w:snapToGrid w:val="0"/>
        <w:spacing w:line="360" w:lineRule="auto"/>
        <w:ind w:firstLine="512" w:firstLineChars="200"/>
        <w:rPr>
          <w:rFonts w:ascii="仿宋_GB2312" w:hAnsi="仿宋" w:eastAsia="仿宋" w:cs="仿宋_GB2312"/>
          <w:color w:val="auto"/>
          <w:sz w:val="24"/>
          <w:highlight w:val="none"/>
        </w:rPr>
      </w:pPr>
      <w:r>
        <w:rPr>
          <w:rFonts w:hint="eastAsia" w:ascii="仿宋" w:hAnsi="仿宋" w:eastAsia="仿宋" w:cs="宋体"/>
          <w:color w:val="auto"/>
          <w:spacing w:val="8"/>
          <w:kern w:val="0"/>
          <w:sz w:val="24"/>
          <w:highlight w:val="none"/>
        </w:rPr>
        <w:t>3.本项目的特定资格要求：无</w:t>
      </w:r>
    </w:p>
    <w:p>
      <w:pPr>
        <w:spacing w:line="360" w:lineRule="auto"/>
        <w:ind w:firstLine="512" w:firstLineChars="200"/>
        <w:rPr>
          <w:rFonts w:ascii="仿宋" w:hAnsi="仿宋" w:eastAsia="仿宋" w:cs="宋体"/>
          <w:color w:val="auto"/>
          <w:spacing w:val="8"/>
          <w:kern w:val="0"/>
          <w:sz w:val="24"/>
          <w:highlight w:val="none"/>
        </w:rPr>
      </w:pPr>
      <w:r>
        <w:rPr>
          <w:rFonts w:hint="eastAsia" w:ascii="仿宋" w:hAnsi="仿宋" w:eastAsia="仿宋" w:cs="宋体"/>
          <w:color w:val="auto"/>
          <w:spacing w:val="8"/>
          <w:kern w:val="0"/>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三、获取招标文件</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ascii="仿宋_GB2312" w:hAnsi="仿宋" w:eastAsia="仿宋_GB2312"/>
          <w:color w:val="auto"/>
          <w:sz w:val="24"/>
          <w:highlight w:val="none"/>
        </w:rPr>
        <w:t>/至</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12月13日</w:t>
      </w:r>
      <w:r>
        <w:rPr>
          <w:rFonts w:hint="eastAsia" w:ascii="仿宋_GB2312" w:hAnsi="仿宋" w:eastAsia="仿宋_GB2312"/>
          <w:color w:val="auto"/>
          <w:sz w:val="24"/>
          <w:highlight w:val="none"/>
        </w:rPr>
        <w:t>，每天上午</w:t>
      </w:r>
      <w:r>
        <w:rPr>
          <w:rFonts w:ascii="仿宋_GB2312" w:hAnsi="仿宋" w:eastAsia="仿宋_GB2312"/>
          <w:color w:val="auto"/>
          <w:sz w:val="24"/>
          <w:highlight w:val="none"/>
        </w:rPr>
        <w:t xml:space="preserve">00:00至12:00 </w:t>
      </w:r>
      <w:r>
        <w:rPr>
          <w:rFonts w:hint="eastAsia" w:ascii="仿宋_GB2312" w:hAnsi="仿宋" w:eastAsia="仿宋_GB2312"/>
          <w:color w:val="auto"/>
          <w:sz w:val="24"/>
          <w:highlight w:val="none"/>
        </w:rPr>
        <w:t>，下午</w:t>
      </w:r>
      <w:r>
        <w:rPr>
          <w:rFonts w:ascii="仿宋_GB2312" w:hAnsi="仿宋" w:eastAsia="仿宋_GB2312"/>
          <w:color w:val="auto"/>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供应商登录政采云平台</w:t>
      </w:r>
      <w:r>
        <w:rPr>
          <w:rFonts w:ascii="仿宋_GB2312" w:hAnsi="仿宋" w:eastAsia="仿宋_GB2312"/>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ascii="仿宋_GB2312" w:hAnsi="仿宋" w:eastAsia="仿宋_GB2312"/>
          <w:color w:val="auto"/>
          <w:sz w:val="24"/>
          <w:highlight w:val="none"/>
        </w:rPr>
        <w:t xml:space="preserve">0 </w:t>
      </w:r>
      <w:r>
        <w:rPr>
          <w:rFonts w:ascii="仿宋_GB2312" w:hAnsi="仿宋" w:eastAsia="仿宋_GB2312"/>
          <w:color w:val="auto"/>
          <w:sz w:val="24"/>
          <w:highlight w:val="none"/>
        </w:rPr>
        <w:tab/>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12月13日14</w:t>
      </w:r>
      <w:r>
        <w:rPr>
          <w:rFonts w:hint="eastAsia" w:ascii="仿宋_GB2312" w:hAnsi="仿宋" w:eastAsia="仿宋_GB2312"/>
          <w:color w:val="auto"/>
          <w:sz w:val="24"/>
          <w:highlight w:val="none"/>
          <w:u w:val="single"/>
        </w:rPr>
        <w:t>点30分</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政采云平台（</w:t>
      </w:r>
      <w:r>
        <w:rPr>
          <w:rFonts w:ascii="仿宋_GB2312" w:hAnsi="仿宋" w:eastAsia="仿宋_GB2312"/>
          <w:color w:val="auto"/>
          <w:sz w:val="24"/>
          <w:highlight w:val="none"/>
        </w:rPr>
        <w:t xml:space="preserve">https://www.zcygov.cn/） </w:t>
      </w:r>
    </w:p>
    <w:p>
      <w:pPr>
        <w:spacing w:line="360" w:lineRule="auto"/>
        <w:ind w:firstLine="482" w:firstLineChars="200"/>
        <w:rPr>
          <w:rFonts w:ascii="仿宋_GB2312" w:hAnsi="仿宋" w:eastAsia="仿宋_GB2312"/>
          <w:bCs/>
          <w:color w:val="auto"/>
          <w:sz w:val="24"/>
          <w:highlight w:val="none"/>
          <w:u w:val="singl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12月13日14</w:t>
      </w:r>
      <w:r>
        <w:rPr>
          <w:rFonts w:hint="eastAsia" w:ascii="仿宋_GB2312" w:hAnsi="仿宋" w:eastAsia="仿宋_GB2312"/>
          <w:color w:val="auto"/>
          <w:sz w:val="24"/>
          <w:highlight w:val="none"/>
          <w:u w:val="single"/>
        </w:rPr>
        <w:t>点30分</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开标地点（网址）：</w:t>
      </w:r>
      <w:r>
        <w:rPr>
          <w:rFonts w:ascii="仿宋_GB2312" w:hAnsi="仿宋" w:eastAsia="仿宋_GB2312"/>
          <w:color w:val="auto"/>
          <w:sz w:val="24"/>
          <w:highlight w:val="none"/>
        </w:rPr>
        <w:t>政</w:t>
      </w:r>
      <w:r>
        <w:rPr>
          <w:rFonts w:hint="eastAsia" w:ascii="仿宋_GB2312" w:hAnsi="仿宋" w:eastAsia="仿宋_GB2312"/>
          <w:color w:val="auto"/>
          <w:sz w:val="24"/>
          <w:highlight w:val="none"/>
        </w:rPr>
        <w:t>采云平台（</w:t>
      </w:r>
      <w:r>
        <w:rPr>
          <w:rFonts w:ascii="仿宋_GB2312" w:hAnsi="仿宋" w:eastAsia="仿宋_GB2312"/>
          <w:color w:val="auto"/>
          <w:sz w:val="24"/>
          <w:highlight w:val="none"/>
        </w:rPr>
        <w:t>https://www.zcygov.cn/）</w:t>
      </w:r>
    </w:p>
    <w:p>
      <w:pPr>
        <w:spacing w:line="360" w:lineRule="auto"/>
        <w:rPr>
          <w:rFonts w:ascii="仿宋_GB2312" w:hAnsi="仿宋" w:eastAsia="仿宋_GB2312"/>
          <w:color w:val="auto"/>
          <w:sz w:val="24"/>
          <w:highlight w:val="none"/>
        </w:rPr>
      </w:pPr>
      <w:r>
        <w:rPr>
          <w:rFonts w:hint="eastAsia" w:ascii="仿宋_GB2312" w:hAnsi="仿宋" w:eastAsia="仿宋_GB2312"/>
          <w:b/>
          <w:color w:val="auto"/>
          <w:sz w:val="24"/>
          <w:highlight w:val="none"/>
        </w:rPr>
        <w:t>五、公告期限</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w:t>
      </w:r>
      <w:r>
        <w:rPr>
          <w:rFonts w:ascii="仿宋_GB2312" w:hAnsi="仿宋" w:eastAsia="仿宋_GB2312"/>
          <w:color w:val="auto"/>
          <w:sz w:val="24"/>
          <w:highlight w:val="none"/>
        </w:rPr>
        <w:t>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highlight w:val="none"/>
        </w:rPr>
      </w:pPr>
      <w:r>
        <w:rPr>
          <w:rFonts w:hint="eastAsia" w:ascii="仿宋_GB2312" w:hAnsi="仿宋" w:eastAsia="仿宋_GB2312"/>
          <w:color w:val="auto"/>
          <w:sz w:val="24"/>
          <w:highlight w:val="none"/>
        </w:rPr>
        <w:t>4.其他事项：</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highlight w:val="none"/>
        </w:rPr>
        <w:t>采云电子交易客户端”</w:t>
      </w:r>
      <w:r>
        <w:rPr>
          <w:rFonts w:ascii="仿宋_GB2312" w:hAnsi="仿宋" w:eastAsia="仿宋_GB2312" w:cs="仿宋_GB2312"/>
          <w:color w:val="auto"/>
          <w:sz w:val="24"/>
          <w:highlight w:val="none"/>
        </w:rPr>
        <w:t>----前往“浙江政府采购网-下载专区-电子交易客户端”进行下载并安装</w:t>
      </w:r>
      <w:r>
        <w:rPr>
          <w:rFonts w:hint="eastAsia" w:ascii="仿宋_GB2312" w:hAnsi="仿宋" w:eastAsia="仿宋_GB2312" w:cs="仿宋_GB2312"/>
          <w:color w:val="auto"/>
          <w:sz w:val="24"/>
          <w:highlight w:val="none"/>
        </w:rPr>
        <w:t>；③</w:t>
      </w:r>
      <w:r>
        <w:rPr>
          <w:rFonts w:ascii="仿宋_GB2312" w:hAnsi="仿宋" w:eastAsia="仿宋_GB2312" w:cs="仿宋_GB2312"/>
          <w:color w:val="auto"/>
          <w:sz w:val="24"/>
          <w:highlight w:val="none"/>
        </w:rPr>
        <w:t>招标文件的获取：使用账号登录或者使用CA登录政</w:t>
      </w:r>
      <w:r>
        <w:rPr>
          <w:rFonts w:hint="eastAsia" w:ascii="仿宋_GB2312" w:hAnsi="仿宋" w:eastAsia="仿宋_GB2312" w:cs="仿宋_GB2312"/>
          <w:color w:val="auto"/>
          <w:sz w:val="24"/>
          <w:highlight w:val="none"/>
        </w:rPr>
        <w:t>采云平台；进入“项目采购”应用，在获取采购文件菜单中选择项目，获取招标文件；④</w:t>
      </w:r>
      <w:r>
        <w:rPr>
          <w:rFonts w:ascii="仿宋_GB2312" w:hAnsi="仿宋" w:eastAsia="仿宋_GB2312" w:cs="仿宋_GB2312"/>
          <w:color w:val="auto"/>
          <w:sz w:val="24"/>
          <w:highlight w:val="none"/>
        </w:rPr>
        <w:t>投标文件的制作：在“政</w:t>
      </w:r>
      <w:r>
        <w:rPr>
          <w:rFonts w:hint="eastAsia" w:ascii="仿宋_GB2312" w:hAnsi="仿宋" w:eastAsia="仿宋_GB2312" w:cs="仿宋_GB2312"/>
          <w:color w:val="auto"/>
          <w:sz w:val="24"/>
          <w:highlight w:val="none"/>
        </w:rPr>
        <w:t>采云电子交易客户端”中完成“填写基本信息”、“导入投标文件”、“标书关联”、“标书检查”、“电子签名”、“生成电子标书”等操作；</w:t>
      </w:r>
      <w:r>
        <w:rPr>
          <w:rFonts w:hint="eastAsia" w:ascii="仿宋_GB2312" w:hAnsi="仿宋" w:eastAsia="仿宋_GB2312"/>
          <w:color w:val="auto"/>
          <w:sz w:val="24"/>
          <w:highlight w:val="none"/>
        </w:rPr>
        <w:t>⑤</w:t>
      </w:r>
      <w:r>
        <w:rPr>
          <w:rFonts w:ascii="仿宋_GB2312" w:hAnsi="仿宋" w:eastAsia="仿宋_GB2312"/>
          <w:color w:val="auto"/>
          <w:sz w:val="24"/>
          <w:highlight w:val="none"/>
        </w:rPr>
        <w:t>采购人、采购机构将依托政</w:t>
      </w:r>
      <w:r>
        <w:rPr>
          <w:rFonts w:hint="eastAsia" w:ascii="仿宋_GB2312" w:hAnsi="仿宋" w:eastAsia="仿宋_GB2312"/>
          <w:color w:val="auto"/>
          <w:sz w:val="24"/>
          <w:highlight w:val="none"/>
        </w:rPr>
        <w:t>采云平台完成本项目的电子交易活动，平台不接受未按上述方式获取招标文件的供应商进行投标活动；⑥</w:t>
      </w:r>
      <w:r>
        <w:rPr>
          <w:rFonts w:ascii="仿宋_GB2312" w:hAnsi="仿宋" w:eastAsia="仿宋_GB2312"/>
          <w:color w:val="auto"/>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color w:val="auto"/>
          <w:sz w:val="24"/>
          <w:highlight w:val="none"/>
        </w:rPr>
        <w:t>【地址：</w:t>
      </w:r>
      <w:r>
        <w:rPr>
          <w:rFonts w:hint="eastAsia" w:ascii="仿宋_GB2312" w:hAnsi="仿宋" w:eastAsia="仿宋_GB2312"/>
          <w:color w:val="auto"/>
          <w:sz w:val="24"/>
          <w:highlight w:val="none"/>
        </w:rPr>
        <w:t>嘉善县阳光东路185号善商大厦1号（东）楼21层嘉兴市银建工程咨询评估有限公司招标代理部</w:t>
      </w:r>
      <w:r>
        <w:rPr>
          <w:rFonts w:hint="eastAsia" w:ascii="仿宋_GB2312" w:hAnsi="仿宋" w:eastAsia="仿宋_GB2312" w:cs="仿宋_GB2312"/>
          <w:color w:val="auto"/>
          <w:sz w:val="24"/>
          <w:highlight w:val="none"/>
        </w:rPr>
        <w:t>；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color w:val="auto"/>
          <w:sz w:val="24"/>
          <w:highlight w:val="none"/>
        </w:rPr>
        <w:t>备份投标文件的制作、存储、密封详见招标文件第</w:t>
      </w:r>
      <w:r>
        <w:rPr>
          <w:rFonts w:hint="eastAsia" w:ascii="仿宋_GB2312" w:hAnsi="仿宋" w:eastAsia="仿宋_GB2312" w:cs="仿宋_GB2312"/>
          <w:color w:val="auto"/>
          <w:sz w:val="24"/>
          <w:highlight w:val="none"/>
        </w:rPr>
        <w:t>三章</w:t>
      </w:r>
      <w:r>
        <w:rPr>
          <w:rFonts w:ascii="仿宋_GB2312" w:hAnsi="仿宋" w:eastAsia="仿宋_GB2312" w:cs="仿宋_GB2312"/>
          <w:color w:val="auto"/>
          <w:sz w:val="24"/>
          <w:highlight w:val="none"/>
        </w:rPr>
        <w:t>—“备份投标文件”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highlight w:val="none"/>
        </w:rPr>
        <w:t>具体操作指南：详见政</w:t>
      </w:r>
      <w:r>
        <w:rPr>
          <w:rFonts w:hint="eastAsia" w:ascii="仿宋_GB2312" w:hAnsi="仿宋" w:eastAsia="仿宋_GB2312" w:cs="仿宋_GB2312"/>
          <w:color w:val="auto"/>
          <w:sz w:val="24"/>
          <w:highlight w:val="none"/>
        </w:rPr>
        <w:t>采云平台“服务中心</w:t>
      </w:r>
      <w:r>
        <w:rPr>
          <w:rFonts w:ascii="仿宋_GB2312" w:hAnsi="仿宋" w:eastAsia="仿宋_GB2312" w:cs="仿宋_GB2312"/>
          <w:color w:val="auto"/>
          <w:sz w:val="24"/>
          <w:highlight w:val="none"/>
        </w:rPr>
        <w:t>-帮助文档-项目采购-操作流程-电子招投标-政府采购项目电子交易管理操作指南-供应商”。</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七、对本次招标提出询问，请按以下方式联系</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1.采购人信息</w:t>
      </w:r>
    </w:p>
    <w:p>
      <w:pPr>
        <w:spacing w:line="360" w:lineRule="auto"/>
        <w:rPr>
          <w:rFonts w:hint="eastAsia" w:ascii="仿宋_GB2312" w:hAnsi="仿宋" w:eastAsia="仿宋_GB2312"/>
          <w:color w:val="auto"/>
          <w:sz w:val="24"/>
          <w:highlight w:val="none"/>
          <w:lang w:eastAsia="zh-CN"/>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lang w:eastAsia="zh-CN"/>
        </w:rPr>
        <w:t>浙江省嘉善县民政局</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嘉善县</w:t>
      </w:r>
      <w:r>
        <w:rPr>
          <w:rFonts w:hint="eastAsia" w:ascii="仿宋_GB2312" w:hAnsi="仿宋" w:eastAsia="仿宋_GB2312"/>
          <w:color w:val="auto"/>
          <w:sz w:val="24"/>
          <w:highlight w:val="none"/>
          <w:lang w:eastAsia="zh-CN"/>
        </w:rPr>
        <w:t>罗星街道晋阳西路</w:t>
      </w:r>
      <w:r>
        <w:rPr>
          <w:rFonts w:hint="eastAsia" w:ascii="仿宋_GB2312" w:hAnsi="仿宋" w:eastAsia="仿宋_GB2312"/>
          <w:color w:val="auto"/>
          <w:sz w:val="24"/>
          <w:highlight w:val="none"/>
          <w:lang w:val="en-US" w:eastAsia="zh-CN"/>
        </w:rPr>
        <w:t>1008号</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传</w:t>
      </w:r>
      <w:r>
        <w:rPr>
          <w:rFonts w:ascii="仿宋_GB2312" w:hAnsi="仿宋" w:eastAsia="仿宋_GB2312"/>
          <w:color w:val="auto"/>
          <w:sz w:val="24"/>
          <w:highlight w:val="none"/>
        </w:rPr>
        <w:t xml:space="preserve">    真： </w:t>
      </w:r>
      <w:r>
        <w:rPr>
          <w:rFonts w:ascii="仿宋" w:hAnsi="仿宋" w:eastAsia="仿宋"/>
          <w:color w:val="auto"/>
          <w:sz w:val="24"/>
          <w:highlight w:val="none"/>
        </w:rPr>
        <w:t>/</w:t>
      </w:r>
    </w:p>
    <w:p>
      <w:pPr>
        <w:spacing w:line="360" w:lineRule="auto"/>
        <w:ind w:firstLine="480"/>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rPr>
        <w:t>项目联系人（询问）：</w:t>
      </w:r>
      <w:r>
        <w:rPr>
          <w:rFonts w:hint="eastAsia" w:ascii="仿宋_GB2312" w:hAnsi="仿宋" w:eastAsia="仿宋_GB2312"/>
          <w:color w:val="auto"/>
          <w:sz w:val="24"/>
          <w:highlight w:val="none"/>
          <w:lang w:eastAsia="zh-CN"/>
        </w:rPr>
        <w:t>郝偕丽</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0573-840</w:t>
      </w:r>
      <w:r>
        <w:rPr>
          <w:rFonts w:hint="eastAsia" w:ascii="仿宋_GB2312" w:hAnsi="仿宋" w:eastAsia="仿宋_GB2312"/>
          <w:color w:val="auto"/>
          <w:sz w:val="24"/>
          <w:highlight w:val="none"/>
          <w:lang w:val="en-US" w:eastAsia="zh-CN"/>
        </w:rPr>
        <w:t>22486</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何伊宁</w:t>
      </w:r>
    </w:p>
    <w:p>
      <w:pPr>
        <w:spacing w:line="360" w:lineRule="auto"/>
        <w:rPr>
          <w:rFonts w:hint="default" w:ascii="仿宋_GB2312" w:hAnsi="仿宋" w:eastAsia="仿宋_GB2312"/>
          <w:color w:val="auto"/>
          <w:sz w:val="24"/>
          <w:highlight w:val="none"/>
          <w:lang w:val="en-US" w:eastAsia="zh-CN"/>
        </w:rPr>
      </w:pPr>
      <w:r>
        <w:rPr>
          <w:rFonts w:ascii="仿宋_GB2312" w:hAnsi="仿宋" w:eastAsia="仿宋_GB2312"/>
          <w:color w:val="auto"/>
          <w:sz w:val="24"/>
          <w:highlight w:val="none"/>
        </w:rPr>
        <w:t xml:space="preserve">    质疑联系方式：</w:t>
      </w:r>
      <w:r>
        <w:rPr>
          <w:rFonts w:hint="eastAsia" w:ascii="仿宋_GB2312" w:hAnsi="仿宋" w:eastAsia="仿宋_GB2312" w:cs="Times New Roman"/>
          <w:color w:val="auto"/>
          <w:sz w:val="24"/>
          <w:highlight w:val="none"/>
          <w:lang w:val="en-US" w:eastAsia="zh-CN"/>
        </w:rPr>
        <w:t>0573-</w:t>
      </w:r>
      <w:r>
        <w:rPr>
          <w:rFonts w:hint="eastAsia" w:ascii="仿宋_GB2312" w:hAnsi="仿宋" w:eastAsia="仿宋_GB2312" w:cs="Times New Roman"/>
          <w:color w:val="auto"/>
          <w:sz w:val="24"/>
          <w:highlight w:val="none"/>
        </w:rPr>
        <w:t>84023147</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2.采购代理机构信息            </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名称：嘉兴市银建工程咨询评估有限公司</w:t>
      </w:r>
    </w:p>
    <w:p>
      <w:pPr>
        <w:spacing w:line="360" w:lineRule="auto"/>
        <w:ind w:firstLine="480"/>
        <w:rPr>
          <w:rFonts w:ascii="仿宋_GB2312" w:hAnsi="仿宋" w:eastAsia="仿宋"/>
          <w:color w:val="auto"/>
          <w:sz w:val="24"/>
          <w:highlight w:val="none"/>
        </w:rPr>
      </w:pPr>
      <w:r>
        <w:rPr>
          <w:rFonts w:hint="eastAsia" w:ascii="仿宋_GB2312" w:hAnsi="仿宋" w:eastAsia="仿宋_GB2312"/>
          <w:color w:val="auto"/>
          <w:sz w:val="24"/>
          <w:highlight w:val="none"/>
        </w:rPr>
        <w:t>地址：嘉善县阳光东路185号善商大厦1号（东）楼21层</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0573-84971199</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项目联系人（询问）：</w:t>
      </w:r>
      <w:r>
        <w:rPr>
          <w:rFonts w:hint="eastAsia" w:ascii="仿宋_GB2312" w:hAnsi="仿宋" w:eastAsia="仿宋_GB2312"/>
          <w:color w:val="auto"/>
          <w:sz w:val="24"/>
          <w:highlight w:val="none"/>
        </w:rPr>
        <w:t>王佳浩</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项目联系方式（询问）：</w:t>
      </w:r>
      <w:r>
        <w:rPr>
          <w:rFonts w:hint="eastAsia" w:ascii="仿宋_GB2312" w:hAnsi="仿宋" w:eastAsia="仿宋_GB2312"/>
          <w:color w:val="auto"/>
          <w:sz w:val="24"/>
          <w:highlight w:val="none"/>
        </w:rPr>
        <w:t xml:space="preserve">0573-84211066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质疑联系人：</w:t>
      </w:r>
      <w:r>
        <w:rPr>
          <w:rFonts w:hint="eastAsia" w:ascii="仿宋_GB2312" w:hAnsi="仿宋" w:eastAsia="仿宋_GB2312"/>
          <w:color w:val="auto"/>
          <w:sz w:val="24"/>
          <w:highlight w:val="none"/>
        </w:rPr>
        <w:t>俞鸿婷</w:t>
      </w:r>
    </w:p>
    <w:p>
      <w:pPr>
        <w:spacing w:line="360" w:lineRule="auto"/>
        <w:rPr>
          <w:rFonts w:ascii="仿宋" w:hAnsi="仿宋" w:eastAsia="仿宋"/>
          <w:color w:val="auto"/>
          <w:sz w:val="24"/>
          <w:highlight w:val="none"/>
        </w:rPr>
      </w:pPr>
      <w:r>
        <w:rPr>
          <w:rFonts w:ascii="仿宋_GB2312" w:hAnsi="仿宋" w:eastAsia="仿宋_GB2312"/>
          <w:color w:val="auto"/>
          <w:sz w:val="24"/>
          <w:highlight w:val="none"/>
        </w:rPr>
        <w:t xml:space="preserve">    质疑联系方式：</w:t>
      </w:r>
      <w:r>
        <w:rPr>
          <w:rFonts w:hint="eastAsia" w:ascii="仿宋_GB2312" w:hAnsi="仿宋" w:eastAsia="仿宋_GB2312"/>
          <w:color w:val="auto"/>
          <w:sz w:val="24"/>
          <w:highlight w:val="none"/>
        </w:rPr>
        <w:t>0573-84211099</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w:t>
      </w:r>
      <w:r>
        <w:rPr>
          <w:rFonts w:hint="eastAsia" w:ascii="仿宋_GB2312" w:hAnsi="仿宋" w:eastAsia="仿宋_GB2312"/>
          <w:color w:val="auto"/>
          <w:sz w:val="24"/>
          <w:highlight w:val="none"/>
        </w:rPr>
        <w:t>嘉善县财政局</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地    址：</w:t>
      </w:r>
      <w:r>
        <w:rPr>
          <w:rFonts w:hint="eastAsia" w:ascii="仿宋_GB2312" w:hAnsi="仿宋" w:eastAsia="仿宋_GB2312"/>
          <w:color w:val="auto"/>
          <w:sz w:val="24"/>
          <w:highlight w:val="none"/>
        </w:rPr>
        <w:t xml:space="preserve">嘉善县解放东路318号 </w:t>
      </w:r>
    </w:p>
    <w:p>
      <w:pPr>
        <w:spacing w:line="360" w:lineRule="auto"/>
        <w:ind w:firstLine="240" w:firstLineChars="100"/>
        <w:rPr>
          <w:rFonts w:ascii="仿宋_GB2312" w:hAnsi="仿宋" w:eastAsia="仿宋_GB2312"/>
          <w:color w:val="auto"/>
          <w:sz w:val="24"/>
          <w:highlight w:val="none"/>
        </w:rPr>
      </w:pPr>
      <w:r>
        <w:rPr>
          <w:rFonts w:ascii="仿宋_GB2312" w:hAnsi="仿宋" w:eastAsia="仿宋_GB2312"/>
          <w:color w:val="auto"/>
          <w:sz w:val="24"/>
          <w:highlight w:val="none"/>
        </w:rPr>
        <w:t xml:space="preserve">  传    真：</w:t>
      </w:r>
      <w:r>
        <w:rPr>
          <w:rFonts w:hint="eastAsia" w:ascii="仿宋_GB2312" w:hAnsi="仿宋" w:eastAsia="仿宋_GB2312"/>
          <w:color w:val="auto"/>
          <w:sz w:val="24"/>
          <w:highlight w:val="none"/>
        </w:rPr>
        <w:t xml:space="preserve">0573-84122528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联系人 ：</w:t>
      </w:r>
      <w:r>
        <w:rPr>
          <w:rFonts w:hint="eastAsia" w:ascii="仿宋_GB2312" w:hAnsi="仿宋" w:eastAsia="仿宋_GB2312"/>
          <w:color w:val="auto"/>
          <w:sz w:val="24"/>
          <w:highlight w:val="none"/>
        </w:rPr>
        <w:t xml:space="preserve">刘先生 </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监督投诉电话：</w:t>
      </w:r>
      <w:r>
        <w:rPr>
          <w:rFonts w:hint="eastAsia" w:ascii="仿宋_GB2312" w:hAnsi="仿宋" w:eastAsia="仿宋_GB2312"/>
          <w:color w:val="auto"/>
          <w:sz w:val="24"/>
          <w:highlight w:val="none"/>
        </w:rPr>
        <w:t xml:space="preserve">0573-84122310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若对项目采购电子交易系统操作有疑问，可登录政采云（</w:t>
      </w:r>
      <w:r>
        <w:rPr>
          <w:rFonts w:ascii="仿宋_GB2312" w:hAnsi="仿宋" w:eastAsia="仿宋_GB2312"/>
          <w:color w:val="auto"/>
          <w:sz w:val="24"/>
          <w:highlight w:val="none"/>
        </w:rPr>
        <w:t>https://www.zcygov.cn/），点击右侧咨询小采，获取采小蜜智能服务管家帮助，或拨打政</w:t>
      </w:r>
      <w:r>
        <w:rPr>
          <w:rFonts w:hint="eastAsia" w:ascii="仿宋_GB2312" w:hAnsi="仿宋" w:eastAsia="仿宋_GB2312"/>
          <w:color w:val="auto"/>
          <w:sz w:val="24"/>
          <w:highlight w:val="none"/>
        </w:rPr>
        <w:t>采云服务热线</w:t>
      </w:r>
      <w:r>
        <w:rPr>
          <w:rFonts w:ascii="仿宋_GB2312" w:hAnsi="仿宋" w:eastAsia="仿宋_GB2312"/>
          <w:color w:val="auto"/>
          <w:sz w:val="24"/>
          <w:highlight w:val="none"/>
        </w:rPr>
        <w:t>400-881-7190获取热线服务帮助。</w:t>
      </w:r>
    </w:p>
    <w:p>
      <w:pPr>
        <w:spacing w:line="360" w:lineRule="auto"/>
        <w:ind w:firstLine="480" w:firstLineChars="200"/>
        <w:rPr>
          <w:rFonts w:ascii="仿宋_GB2312" w:hAnsi="仿宋" w:eastAsia="仿宋_GB2312"/>
          <w:color w:val="auto"/>
          <w:sz w:val="24"/>
          <w:highlight w:val="none"/>
        </w:rPr>
        <w:sectPr>
          <w:footerReference r:id="rId9" w:type="first"/>
          <w:footerReference r:id="rId8" w:type="default"/>
          <w:pgSz w:w="11906" w:h="16838"/>
          <w:pgMar w:top="680" w:right="1418" w:bottom="468" w:left="1418" w:header="851" w:footer="992" w:gutter="0"/>
          <w:pgNumType w:fmt="decimal"/>
          <w:cols w:space="720" w:num="1"/>
          <w:titlePg/>
          <w:docGrid w:linePitch="312" w:charSpace="0"/>
        </w:sectPr>
      </w:pPr>
      <w:r>
        <w:rPr>
          <w:rFonts w:ascii="仿宋_GB2312" w:hAnsi="仿宋" w:eastAsia="仿宋_GB2312"/>
          <w:color w:val="auto"/>
          <w:sz w:val="24"/>
          <w:highlight w:val="none"/>
        </w:rPr>
        <w:t>CA问题联系电话（人工）：</w:t>
      </w:r>
      <w:r>
        <w:rPr>
          <w:rFonts w:hint="eastAsia" w:ascii="仿宋_GB2312" w:hAnsi="仿宋" w:eastAsia="仿宋_GB2312"/>
          <w:color w:val="auto"/>
          <w:sz w:val="24"/>
          <w:highlight w:val="none"/>
        </w:rPr>
        <w:t>汇信</w:t>
      </w:r>
      <w:r>
        <w:rPr>
          <w:rFonts w:ascii="仿宋_GB2312" w:hAnsi="仿宋" w:eastAsia="仿宋_GB2312"/>
          <w:color w:val="auto"/>
          <w:sz w:val="24"/>
          <w:highlight w:val="none"/>
        </w:rPr>
        <w:t>CA 400-888-4636；天谷CA 400-087-8198。</w:t>
      </w:r>
    </w:p>
    <w:p>
      <w:pPr>
        <w:numPr>
          <w:ilvl w:val="0"/>
          <w:numId w:val="1"/>
        </w:numPr>
        <w:adjustRightInd/>
        <w:spacing w:line="336"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招标需求</w:t>
      </w:r>
    </w:p>
    <w:p>
      <w:pPr>
        <w:spacing w:line="560" w:lineRule="exact"/>
        <w:rPr>
          <w:rFonts w:hint="eastAsia"/>
          <w:sz w:val="24"/>
          <w:szCs w:val="24"/>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4"/>
          <w:szCs w:val="24"/>
          <w:highlight w:val="none"/>
        </w:rPr>
        <w:t>一、采购内容</w:t>
      </w:r>
    </w:p>
    <w:p>
      <w:pPr>
        <w:spacing w:line="560" w:lineRule="exact"/>
        <w:ind w:firstLine="480" w:firstLineChars="200"/>
        <w:rPr>
          <w:rFonts w:hint="eastAsia"/>
          <w:sz w:val="24"/>
          <w:szCs w:val="24"/>
          <w:highlight w:val="none"/>
        </w:rPr>
      </w:pPr>
      <w:r>
        <w:rPr>
          <w:rFonts w:hint="eastAsia"/>
          <w:sz w:val="24"/>
          <w:szCs w:val="24"/>
          <w:highlight w:val="none"/>
        </w:rPr>
        <w:t>嘉善县救助管理站救助服务外包项目，通过招标产生能够承担采购单位委派的各项工作任务的单位一家。投标单位向嘉善县救助管理站提供</w:t>
      </w:r>
      <w:r>
        <w:rPr>
          <w:rFonts w:hint="eastAsia"/>
          <w:sz w:val="24"/>
          <w:szCs w:val="24"/>
          <w:highlight w:val="none"/>
          <w:lang w:eastAsia="zh-CN"/>
        </w:rPr>
        <w:t>救助服务</w:t>
      </w:r>
      <w:r>
        <w:rPr>
          <w:rFonts w:hint="eastAsia"/>
          <w:sz w:val="24"/>
          <w:szCs w:val="24"/>
          <w:highlight w:val="none"/>
        </w:rPr>
        <w:t>。</w:t>
      </w:r>
    </w:p>
    <w:p>
      <w:pPr>
        <w:spacing w:line="560" w:lineRule="exact"/>
        <w:rPr>
          <w:rFonts w:hint="eastAsia"/>
          <w:sz w:val="24"/>
          <w:szCs w:val="24"/>
          <w:highlight w:val="none"/>
        </w:rPr>
      </w:pPr>
      <w:r>
        <w:rPr>
          <w:rFonts w:hint="eastAsia"/>
          <w:sz w:val="24"/>
          <w:szCs w:val="24"/>
          <w:highlight w:val="none"/>
        </w:rPr>
        <w:t xml:space="preserve">    二、主要服务内容  </w:t>
      </w:r>
    </w:p>
    <w:p>
      <w:pPr>
        <w:spacing w:line="560" w:lineRule="exact"/>
        <w:ind w:firstLine="480" w:firstLineChars="200"/>
        <w:rPr>
          <w:rFonts w:hint="eastAsia"/>
          <w:sz w:val="24"/>
          <w:szCs w:val="24"/>
          <w:highlight w:val="none"/>
        </w:rPr>
      </w:pPr>
      <w:r>
        <w:rPr>
          <w:rFonts w:hint="eastAsia"/>
          <w:sz w:val="24"/>
          <w:szCs w:val="24"/>
          <w:highlight w:val="none"/>
        </w:rPr>
        <w:t>在县民政局指导下，承担嘉善县救助管理站的日常工作，主要有以下内容：</w:t>
      </w:r>
    </w:p>
    <w:p>
      <w:pPr>
        <w:snapToGrid w:val="0"/>
        <w:spacing w:line="560" w:lineRule="exact"/>
        <w:ind w:firstLine="480" w:firstLineChars="200"/>
        <w:jc w:val="left"/>
        <w:rPr>
          <w:rFonts w:hint="eastAsia"/>
          <w:sz w:val="24"/>
          <w:szCs w:val="24"/>
          <w:highlight w:val="none"/>
        </w:rPr>
      </w:pPr>
      <w:r>
        <w:rPr>
          <w:rFonts w:hint="eastAsia"/>
          <w:sz w:val="24"/>
          <w:szCs w:val="24"/>
          <w:highlight w:val="none"/>
        </w:rPr>
        <w:t>第一条  嘉善县救助管理站全体工作人员牢固树立积极践行“民政为民，民政爱民”理念，坚持以“自愿求助，无偿救助”的原则，落实“应收尽收、应助尽助”的指导思想，负责对在嘉善县生活无着的流浪乞讨人员实施临时性社会救助措施。</w:t>
      </w:r>
    </w:p>
    <w:p>
      <w:pPr>
        <w:snapToGrid w:val="0"/>
        <w:spacing w:line="560" w:lineRule="exact"/>
        <w:ind w:firstLine="480" w:firstLineChars="200"/>
        <w:jc w:val="left"/>
        <w:rPr>
          <w:rFonts w:hint="eastAsia"/>
          <w:sz w:val="24"/>
          <w:szCs w:val="24"/>
          <w:highlight w:val="none"/>
        </w:rPr>
      </w:pPr>
      <w:r>
        <w:rPr>
          <w:rFonts w:hint="eastAsia"/>
          <w:sz w:val="24"/>
          <w:szCs w:val="24"/>
          <w:highlight w:val="none"/>
        </w:rPr>
        <w:t>第二条  严格依照《城市生活无着的流浪乞讨人员救助管理办法》和《城市生活无着的流浪乞讨人员救助管理办法实施细则》、《生活无着的流浪乞讨人员救助管理机构工作规程》等有关规定，负责对在嘉善县生活无着的流浪、乞讨人员（离家在外、自身无力解决食宿、正在或即将处于流浪或乞讨状态的人员）以及在嘉善县陷入临时困境的各类困难人员实行全天候的24小时求助接待，开展救助、教育、寻亲、救治、返乡和延伸服务等工作。</w:t>
      </w:r>
    </w:p>
    <w:p>
      <w:pPr>
        <w:snapToGrid w:val="0"/>
        <w:spacing w:line="560" w:lineRule="exact"/>
        <w:ind w:firstLine="480" w:firstLineChars="200"/>
        <w:jc w:val="left"/>
        <w:rPr>
          <w:rFonts w:hint="eastAsia"/>
          <w:sz w:val="24"/>
          <w:szCs w:val="24"/>
          <w:highlight w:val="none"/>
        </w:rPr>
      </w:pPr>
      <w:r>
        <w:rPr>
          <w:rFonts w:hint="eastAsia"/>
          <w:sz w:val="24"/>
          <w:szCs w:val="24"/>
          <w:highlight w:val="none"/>
        </w:rPr>
        <w:t>第三条  认真贯彻执行《中华人民共和国未成年人保护法》，严格依照《流浪未成年人救助保护基本规范》等规定，坚持“先解救，后救助”原则，负责对在嘉善县无监护人的少年儿童实施救助保护工作。</w:t>
      </w:r>
    </w:p>
    <w:p>
      <w:pPr>
        <w:snapToGrid w:val="0"/>
        <w:spacing w:line="560" w:lineRule="exact"/>
        <w:ind w:firstLine="480" w:firstLineChars="200"/>
        <w:jc w:val="left"/>
        <w:rPr>
          <w:rFonts w:hint="eastAsia"/>
          <w:sz w:val="24"/>
          <w:szCs w:val="24"/>
          <w:highlight w:val="none"/>
        </w:rPr>
      </w:pPr>
      <w:r>
        <w:rPr>
          <w:rFonts w:hint="eastAsia"/>
          <w:sz w:val="24"/>
          <w:szCs w:val="24"/>
          <w:highlight w:val="none"/>
        </w:rPr>
        <w:t>第四条  认真贯彻执行《中华人民共和国反家庭暴力法》，负责为符合家暴庇护条件的家庭暴力受害人提供临时性、相对独立的庇护场所，并提供基本生活服务和管理工作。</w:t>
      </w:r>
    </w:p>
    <w:p>
      <w:pPr>
        <w:spacing w:line="560" w:lineRule="exact"/>
        <w:rPr>
          <w:rFonts w:hint="eastAsia"/>
          <w:sz w:val="24"/>
          <w:szCs w:val="24"/>
          <w:highlight w:val="none"/>
        </w:rPr>
      </w:pPr>
      <w:r>
        <w:rPr>
          <w:rFonts w:hint="eastAsia"/>
          <w:sz w:val="24"/>
          <w:szCs w:val="24"/>
          <w:highlight w:val="none"/>
        </w:rPr>
        <w:t xml:space="preserve">    三、服务期限</w:t>
      </w:r>
    </w:p>
    <w:p>
      <w:pPr>
        <w:pStyle w:val="35"/>
        <w:snapToGrid w:val="0"/>
        <w:spacing w:before="120" w:after="120" w:line="480" w:lineRule="exact"/>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合同运营有效期</w:t>
      </w:r>
      <w:r>
        <w:rPr>
          <w:rFonts w:hint="eastAsia" w:ascii="Times New Roman" w:hAnsi="Times New Roman"/>
          <w:sz w:val="24"/>
          <w:szCs w:val="24"/>
          <w:highlight w:val="none"/>
          <w:lang w:val="en-US" w:eastAsia="zh-CN"/>
        </w:rPr>
        <w:t>1</w:t>
      </w:r>
      <w:r>
        <w:rPr>
          <w:rFonts w:hint="eastAsia" w:ascii="Times New Roman" w:hAnsi="Times New Roman"/>
          <w:sz w:val="24"/>
          <w:szCs w:val="24"/>
          <w:highlight w:val="none"/>
        </w:rPr>
        <w:t>年，运营期满双方合作较满意的，经嘉善县财政局同意，可将合同有效期延长一年。</w:t>
      </w:r>
    </w:p>
    <w:p>
      <w:pPr>
        <w:pStyle w:val="35"/>
        <w:snapToGrid w:val="0"/>
        <w:spacing w:before="120" w:after="120" w:line="480" w:lineRule="exact"/>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四、合同有效期</w:t>
      </w:r>
    </w:p>
    <w:p>
      <w:pPr>
        <w:pStyle w:val="35"/>
        <w:snapToGrid w:val="0"/>
        <w:spacing w:before="120" w:after="120" w:line="480" w:lineRule="exact"/>
        <w:ind w:firstLine="480" w:firstLineChars="200"/>
        <w:rPr>
          <w:rFonts w:hint="eastAsia"/>
          <w:sz w:val="24"/>
          <w:szCs w:val="24"/>
          <w:highlight w:val="none"/>
        </w:rPr>
      </w:pPr>
      <w:r>
        <w:rPr>
          <w:rFonts w:hint="eastAsia" w:ascii="Times New Roman" w:hAnsi="Times New Roman"/>
          <w:sz w:val="24"/>
          <w:szCs w:val="24"/>
          <w:highlight w:val="none"/>
        </w:rPr>
        <w:t>因</w:t>
      </w:r>
      <w:r>
        <w:rPr>
          <w:rFonts w:hint="eastAsia"/>
          <w:sz w:val="24"/>
          <w:szCs w:val="24"/>
          <w:highlight w:val="none"/>
        </w:rPr>
        <w:t>嘉善县救助管理站</w:t>
      </w:r>
      <w:r>
        <w:rPr>
          <w:rFonts w:hint="eastAsia" w:ascii="Times New Roman" w:hAnsi="Times New Roman"/>
          <w:sz w:val="24"/>
          <w:szCs w:val="24"/>
          <w:highlight w:val="none"/>
          <w:lang w:eastAsia="zh-CN"/>
        </w:rPr>
        <w:t>工作需要</w:t>
      </w:r>
      <w:r>
        <w:rPr>
          <w:rFonts w:hint="eastAsia" w:ascii="Times New Roman" w:hAnsi="Times New Roman"/>
          <w:sz w:val="24"/>
          <w:szCs w:val="24"/>
          <w:highlight w:val="none"/>
        </w:rPr>
        <w:t>，</w:t>
      </w:r>
      <w:r>
        <w:rPr>
          <w:rFonts w:hint="eastAsia"/>
          <w:sz w:val="24"/>
          <w:szCs w:val="24"/>
          <w:highlight w:val="none"/>
        </w:rPr>
        <w:t>服务人员于202</w:t>
      </w:r>
      <w:r>
        <w:rPr>
          <w:rFonts w:hint="eastAsia"/>
          <w:sz w:val="24"/>
          <w:szCs w:val="24"/>
          <w:highlight w:val="none"/>
          <w:lang w:val="en-US" w:eastAsia="zh-CN"/>
        </w:rPr>
        <w:t>3</w:t>
      </w:r>
      <w:r>
        <w:rPr>
          <w:rFonts w:hint="eastAsia"/>
          <w:sz w:val="24"/>
          <w:szCs w:val="24"/>
          <w:highlight w:val="none"/>
        </w:rPr>
        <w:t>年1月1日起派驻，双方合同生效日期也为202</w:t>
      </w:r>
      <w:r>
        <w:rPr>
          <w:rFonts w:hint="eastAsia"/>
          <w:sz w:val="24"/>
          <w:szCs w:val="24"/>
          <w:highlight w:val="none"/>
          <w:lang w:val="en-US" w:eastAsia="zh-CN"/>
        </w:rPr>
        <w:t>3</w:t>
      </w:r>
      <w:r>
        <w:rPr>
          <w:rFonts w:hint="eastAsia"/>
          <w:sz w:val="24"/>
          <w:szCs w:val="24"/>
          <w:highlight w:val="none"/>
        </w:rPr>
        <w:t>年1月1日起。</w:t>
      </w:r>
    </w:p>
    <w:p>
      <w:pPr>
        <w:pStyle w:val="35"/>
        <w:snapToGrid w:val="0"/>
        <w:spacing w:before="120" w:after="120" w:line="480" w:lineRule="exact"/>
        <w:ind w:firstLine="480" w:firstLineChars="200"/>
        <w:rPr>
          <w:rFonts w:hint="eastAsia"/>
          <w:sz w:val="24"/>
          <w:szCs w:val="24"/>
          <w:highlight w:val="none"/>
        </w:rPr>
      </w:pPr>
      <w:r>
        <w:rPr>
          <w:rFonts w:hint="eastAsia"/>
          <w:sz w:val="24"/>
          <w:szCs w:val="24"/>
          <w:highlight w:val="none"/>
        </w:rPr>
        <w:t>五、付款方式</w:t>
      </w:r>
    </w:p>
    <w:p>
      <w:pPr>
        <w:pStyle w:val="35"/>
        <w:snapToGrid w:val="0"/>
        <w:spacing w:before="120" w:after="120" w:line="480" w:lineRule="exact"/>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合同生效以及具备实施条件后7个工作日内支付合同金额的</w:t>
      </w:r>
      <w:r>
        <w:rPr>
          <w:rFonts w:hint="eastAsia" w:ascii="Times New Roman" w:hAnsi="Times New Roman"/>
          <w:sz w:val="24"/>
          <w:szCs w:val="24"/>
          <w:highlight w:val="none"/>
          <w:lang w:val="en-US" w:eastAsia="zh-CN"/>
        </w:rPr>
        <w:t>40</w:t>
      </w:r>
      <w:r>
        <w:rPr>
          <w:rFonts w:hint="eastAsia" w:ascii="Times New Roman" w:hAnsi="Times New Roman"/>
          <w:sz w:val="24"/>
          <w:szCs w:val="24"/>
          <w:highlight w:val="none"/>
        </w:rPr>
        <w:t>%；20</w:t>
      </w:r>
      <w:r>
        <w:rPr>
          <w:rFonts w:hint="eastAsia" w:ascii="Times New Roman" w:hAnsi="Times New Roman"/>
          <w:sz w:val="24"/>
          <w:szCs w:val="24"/>
          <w:highlight w:val="none"/>
          <w:lang w:val="en-US" w:eastAsia="zh-CN"/>
        </w:rPr>
        <w:t>23</w:t>
      </w:r>
      <w:r>
        <w:rPr>
          <w:rFonts w:hint="eastAsia" w:ascii="Times New Roman" w:hAnsi="Times New Roman"/>
          <w:sz w:val="24"/>
          <w:szCs w:val="24"/>
          <w:highlight w:val="none"/>
        </w:rPr>
        <w:t>年</w:t>
      </w:r>
      <w:r>
        <w:rPr>
          <w:rFonts w:hint="eastAsia" w:ascii="Times New Roman" w:hAnsi="Times New Roman"/>
          <w:sz w:val="24"/>
          <w:szCs w:val="24"/>
          <w:highlight w:val="none"/>
          <w:lang w:val="en-US" w:eastAsia="zh-CN"/>
        </w:rPr>
        <w:t>6</w:t>
      </w:r>
      <w:r>
        <w:rPr>
          <w:rFonts w:hint="eastAsia" w:ascii="Times New Roman" w:hAnsi="Times New Roman"/>
          <w:sz w:val="24"/>
          <w:szCs w:val="24"/>
          <w:highlight w:val="none"/>
        </w:rPr>
        <w:t>月底前，支付中标价的</w:t>
      </w:r>
      <w:r>
        <w:rPr>
          <w:rFonts w:hint="eastAsia" w:ascii="Times New Roman" w:hAnsi="Times New Roman"/>
          <w:sz w:val="24"/>
          <w:szCs w:val="24"/>
          <w:highlight w:val="none"/>
          <w:lang w:val="en-US" w:eastAsia="zh-CN"/>
        </w:rPr>
        <w:t>20</w:t>
      </w:r>
      <w:r>
        <w:rPr>
          <w:rFonts w:hint="eastAsia" w:ascii="Times New Roman" w:hAnsi="Times New Roman"/>
          <w:sz w:val="24"/>
          <w:szCs w:val="24"/>
          <w:highlight w:val="none"/>
        </w:rPr>
        <w:t>%；202</w:t>
      </w:r>
      <w:r>
        <w:rPr>
          <w:rFonts w:hint="eastAsia" w:ascii="Times New Roman" w:hAnsi="Times New Roman"/>
          <w:sz w:val="24"/>
          <w:szCs w:val="24"/>
          <w:highlight w:val="none"/>
          <w:lang w:val="en-US" w:eastAsia="zh-CN"/>
        </w:rPr>
        <w:t>3</w:t>
      </w:r>
      <w:r>
        <w:rPr>
          <w:rFonts w:hint="eastAsia" w:ascii="Times New Roman" w:hAnsi="Times New Roman"/>
          <w:sz w:val="24"/>
          <w:szCs w:val="24"/>
          <w:highlight w:val="none"/>
        </w:rPr>
        <w:t>年</w:t>
      </w:r>
      <w:r>
        <w:rPr>
          <w:rFonts w:hint="eastAsia" w:ascii="Times New Roman" w:hAnsi="Times New Roman"/>
          <w:sz w:val="24"/>
          <w:szCs w:val="24"/>
          <w:highlight w:val="none"/>
          <w:lang w:val="en-US" w:eastAsia="zh-CN"/>
        </w:rPr>
        <w:t>9</w:t>
      </w:r>
      <w:r>
        <w:rPr>
          <w:rFonts w:hint="eastAsia" w:ascii="Times New Roman" w:hAnsi="Times New Roman"/>
          <w:sz w:val="24"/>
          <w:szCs w:val="24"/>
          <w:highlight w:val="none"/>
        </w:rPr>
        <w:t>月底前，支付中标价的</w:t>
      </w:r>
      <w:r>
        <w:rPr>
          <w:rFonts w:hint="eastAsia" w:ascii="Times New Roman" w:hAnsi="Times New Roman"/>
          <w:sz w:val="24"/>
          <w:szCs w:val="24"/>
          <w:highlight w:val="none"/>
          <w:lang w:val="en-US" w:eastAsia="zh-CN"/>
        </w:rPr>
        <w:t>20</w:t>
      </w:r>
      <w:r>
        <w:rPr>
          <w:rFonts w:hint="eastAsia" w:ascii="Times New Roman" w:hAnsi="Times New Roman"/>
          <w:sz w:val="24"/>
          <w:szCs w:val="24"/>
          <w:highlight w:val="none"/>
        </w:rPr>
        <w:t>%；202</w:t>
      </w:r>
      <w:r>
        <w:rPr>
          <w:rFonts w:hint="eastAsia" w:ascii="Times New Roman" w:hAnsi="Times New Roman"/>
          <w:sz w:val="24"/>
          <w:szCs w:val="24"/>
          <w:highlight w:val="none"/>
          <w:lang w:val="en-US" w:eastAsia="zh-CN"/>
        </w:rPr>
        <w:t>3</w:t>
      </w:r>
      <w:r>
        <w:rPr>
          <w:rFonts w:hint="eastAsia" w:ascii="Times New Roman" w:hAnsi="Times New Roman"/>
          <w:sz w:val="24"/>
          <w:szCs w:val="24"/>
          <w:highlight w:val="none"/>
        </w:rPr>
        <w:t>年</w:t>
      </w:r>
      <w:r>
        <w:rPr>
          <w:rFonts w:hint="eastAsia" w:ascii="Times New Roman" w:hAnsi="Times New Roman"/>
          <w:sz w:val="24"/>
          <w:szCs w:val="24"/>
          <w:highlight w:val="none"/>
          <w:lang w:val="en-US" w:eastAsia="zh-CN"/>
        </w:rPr>
        <w:t>12</w:t>
      </w:r>
      <w:r>
        <w:rPr>
          <w:rFonts w:hint="eastAsia" w:ascii="Times New Roman" w:hAnsi="Times New Roman"/>
          <w:sz w:val="24"/>
          <w:szCs w:val="24"/>
          <w:highlight w:val="none"/>
        </w:rPr>
        <w:t>月底前，支付中标价的</w:t>
      </w:r>
      <w:r>
        <w:rPr>
          <w:rFonts w:hint="eastAsia" w:ascii="Times New Roman" w:hAnsi="Times New Roman"/>
          <w:sz w:val="24"/>
          <w:szCs w:val="24"/>
          <w:highlight w:val="none"/>
          <w:lang w:val="en-US" w:eastAsia="zh-CN"/>
        </w:rPr>
        <w:t>20</w:t>
      </w:r>
      <w:r>
        <w:rPr>
          <w:rFonts w:hint="eastAsia" w:ascii="Times New Roman" w:hAnsi="Times New Roman"/>
          <w:sz w:val="24"/>
          <w:szCs w:val="24"/>
          <w:highlight w:val="none"/>
        </w:rPr>
        <w:t>%。如到期续签一年的，202</w:t>
      </w:r>
      <w:r>
        <w:rPr>
          <w:rFonts w:hint="eastAsia" w:ascii="Times New Roman" w:hAnsi="Times New Roman"/>
          <w:sz w:val="24"/>
          <w:szCs w:val="24"/>
          <w:highlight w:val="none"/>
          <w:lang w:val="en-US" w:eastAsia="zh-CN"/>
        </w:rPr>
        <w:t>4</w:t>
      </w:r>
      <w:r>
        <w:rPr>
          <w:rFonts w:hint="eastAsia" w:ascii="Times New Roman" w:hAnsi="Times New Roman"/>
          <w:sz w:val="24"/>
          <w:szCs w:val="24"/>
          <w:highlight w:val="none"/>
        </w:rPr>
        <w:t>年付款方式仍参照上述时间节点。</w:t>
      </w:r>
    </w:p>
    <w:p>
      <w:pPr>
        <w:spacing w:line="560" w:lineRule="exact"/>
        <w:rPr>
          <w:rFonts w:hint="eastAsia"/>
          <w:sz w:val="24"/>
          <w:szCs w:val="24"/>
          <w:highlight w:val="none"/>
        </w:rPr>
      </w:pPr>
      <w:r>
        <w:rPr>
          <w:rFonts w:hint="eastAsia"/>
          <w:sz w:val="24"/>
          <w:szCs w:val="24"/>
          <w:highlight w:val="none"/>
        </w:rPr>
        <w:t xml:space="preserve">    六、其它要求</w:t>
      </w:r>
    </w:p>
    <w:p>
      <w:pPr>
        <w:spacing w:line="560" w:lineRule="exact"/>
        <w:ind w:firstLine="480"/>
        <w:rPr>
          <w:rFonts w:hint="eastAsia" w:ascii="Times New Roman" w:hAnsi="Times New Roman" w:cs="Times New Roman"/>
          <w:sz w:val="24"/>
          <w:szCs w:val="24"/>
          <w:highlight w:val="none"/>
        </w:rPr>
      </w:pPr>
      <w:r>
        <w:rPr>
          <w:rFonts w:hint="eastAsia"/>
          <w:sz w:val="24"/>
          <w:szCs w:val="24"/>
          <w:highlight w:val="none"/>
        </w:rPr>
        <w:t>1、投标单位应根据嘉善县救助管理站服务岗位的要求提供服务人员</w:t>
      </w:r>
      <w:r>
        <w:rPr>
          <w:rFonts w:hint="eastAsia"/>
          <w:sz w:val="24"/>
          <w:szCs w:val="24"/>
          <w:highlight w:val="none"/>
          <w:lang w:eastAsia="zh-CN"/>
        </w:rPr>
        <w:t>不少于</w:t>
      </w:r>
      <w:r>
        <w:rPr>
          <w:rFonts w:hint="eastAsia"/>
          <w:sz w:val="24"/>
          <w:szCs w:val="24"/>
          <w:highlight w:val="none"/>
          <w:lang w:val="en-US" w:eastAsia="zh-CN"/>
        </w:rPr>
        <w:t>7</w:t>
      </w:r>
      <w:r>
        <w:rPr>
          <w:rFonts w:hint="eastAsia"/>
          <w:sz w:val="24"/>
          <w:szCs w:val="24"/>
          <w:highlight w:val="none"/>
        </w:rPr>
        <w:t>名，身体健康，能够熟练操作电脑并使用常用办公软件，具有较好的普通话水平及语言表达</w:t>
      </w:r>
      <w:r>
        <w:rPr>
          <w:rFonts w:hint="eastAsia" w:ascii="Times New Roman" w:hAnsi="Times New Roman" w:cs="Times New Roman"/>
          <w:sz w:val="24"/>
          <w:szCs w:val="24"/>
          <w:highlight w:val="none"/>
        </w:rPr>
        <w:t>能力、良好沟通能力、心理承受能力和学习能力。工作细致、有耐心，服务态度亲切，服务意识强，有责任心，善于沟通，服从管理，具有良好的团队合作精神。</w:t>
      </w:r>
    </w:p>
    <w:p>
      <w:pPr>
        <w:spacing w:line="560" w:lineRule="exact"/>
        <w:ind w:firstLine="480"/>
        <w:rPr>
          <w:rFonts w:hint="eastAsia" w:ascii="Times New Roman" w:hAnsi="Times New Roman" w:eastAsia="宋体" w:cs="Times New Roman"/>
          <w:sz w:val="24"/>
          <w:szCs w:val="24"/>
          <w:highlight w:val="none"/>
          <w:lang w:eastAsia="zh-CN"/>
        </w:rPr>
      </w:pPr>
      <w:r>
        <w:rPr>
          <w:rFonts w:hint="eastAsia" w:ascii="Times New Roman" w:hAnsi="Times New Roman" w:cs="Times New Roman"/>
          <w:sz w:val="24"/>
          <w:szCs w:val="24"/>
          <w:highlight w:val="none"/>
        </w:rPr>
        <w:t>2、服务人员考核事项，根据嘉善县救助管理站的工作职责，由中标单位制定具体考核办法，并组织实施。服务人员应遵守采购单位各项工作制度，对违法工作制度引起的后果承担责任。外包服务不到位，采购人有权要求更换，必须10天内重新安排人员培训完毕到岗，期间需保证人员不断岗。无正常理由，不经采购人同意，出现缺岗断岗的现象的</w:t>
      </w:r>
      <w:r>
        <w:rPr>
          <w:rFonts w:hint="eastAsia" w:cs="Times New Roman"/>
          <w:sz w:val="24"/>
          <w:szCs w:val="24"/>
          <w:highlight w:val="none"/>
          <w:lang w:eastAsia="zh-CN"/>
        </w:rPr>
        <w:t>。</w:t>
      </w:r>
      <w:r>
        <w:rPr>
          <w:rFonts w:hint="eastAsia" w:ascii="Times New Roman" w:hAnsi="Times New Roman" w:cs="Times New Roman"/>
          <w:sz w:val="24"/>
          <w:szCs w:val="24"/>
          <w:highlight w:val="none"/>
        </w:rPr>
        <w:t>如中标单位需要变动人员的，须提前一个月告知采购单位。中标单位</w:t>
      </w:r>
      <w:r>
        <w:rPr>
          <w:rFonts w:hint="eastAsia" w:cs="Times New Roman"/>
          <w:sz w:val="24"/>
          <w:szCs w:val="24"/>
          <w:highlight w:val="none"/>
          <w:lang w:eastAsia="zh-CN"/>
        </w:rPr>
        <w:t>需</w:t>
      </w:r>
      <w:r>
        <w:rPr>
          <w:rFonts w:hint="eastAsia" w:ascii="Times New Roman" w:hAnsi="Times New Roman" w:cs="Times New Roman"/>
          <w:sz w:val="24"/>
          <w:szCs w:val="24"/>
          <w:highlight w:val="none"/>
        </w:rPr>
        <w:t>保证80%及以上的人员稳定性，否则采购人有权中止合同</w:t>
      </w:r>
      <w:r>
        <w:rPr>
          <w:rFonts w:hint="eastAsia" w:cs="Times New Roman"/>
          <w:sz w:val="24"/>
          <w:szCs w:val="24"/>
          <w:highlight w:val="none"/>
          <w:lang w:eastAsia="zh-CN"/>
        </w:rPr>
        <w:t>。</w:t>
      </w:r>
    </w:p>
    <w:p>
      <w:pPr>
        <w:spacing w:line="560" w:lineRule="exact"/>
        <w:ind w:firstLine="480" w:firstLineChars="200"/>
        <w:rPr>
          <w:rFonts w:hint="eastAsia" w:cs="Times New Roman"/>
          <w:sz w:val="24"/>
          <w:szCs w:val="24"/>
          <w:highlight w:val="none"/>
          <w:lang w:eastAsia="zh-CN"/>
        </w:rPr>
      </w:pPr>
      <w:r>
        <w:rPr>
          <w:rFonts w:hint="eastAsia" w:ascii="Times New Roman" w:hAnsi="Times New Roman" w:cs="Times New Roman"/>
          <w:sz w:val="24"/>
          <w:szCs w:val="24"/>
          <w:highlight w:val="none"/>
        </w:rPr>
        <w:t>3、服务人员待遇，中标单位按《中华人民共和国劳动法》等相关规定给</w:t>
      </w:r>
      <w:r>
        <w:rPr>
          <w:rFonts w:hint="eastAsia" w:cs="Times New Roman"/>
          <w:sz w:val="24"/>
          <w:szCs w:val="24"/>
          <w:highlight w:val="none"/>
          <w:lang w:eastAsia="zh-CN"/>
        </w:rPr>
        <w:t>服务</w:t>
      </w:r>
      <w:r>
        <w:rPr>
          <w:rFonts w:hint="eastAsia" w:ascii="Times New Roman" w:hAnsi="Times New Roman" w:cs="Times New Roman"/>
          <w:sz w:val="24"/>
          <w:szCs w:val="24"/>
          <w:highlight w:val="none"/>
        </w:rPr>
        <w:t>人员交纳五险一金并按月发放工资，工资标准不低于全县最低工资标准，在此基础上根据具体工作岗位进行相应调整，由双方另行商定</w:t>
      </w:r>
      <w:r>
        <w:rPr>
          <w:rFonts w:hint="eastAsia" w:cs="Times New Roman"/>
          <w:sz w:val="24"/>
          <w:szCs w:val="24"/>
          <w:highlight w:val="none"/>
          <w:lang w:eastAsia="zh-CN"/>
        </w:rPr>
        <w:t>。</w:t>
      </w: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hint="eastAsia" w:ascii="仿宋" w:hAnsi="仿宋" w:eastAsia="仿宋" w:cs="仿宋_GB2312"/>
          <w:b/>
          <w:color w:val="auto"/>
          <w:sz w:val="36"/>
          <w:szCs w:val="20"/>
          <w:highlight w:val="none"/>
        </w:rPr>
      </w:pPr>
    </w:p>
    <w:p>
      <w:pPr>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w:t>
      </w:r>
      <w:bookmarkEnd w:id="11"/>
      <w:r>
        <w:rPr>
          <w:rFonts w:hint="eastAsia" w:ascii="仿宋" w:hAnsi="仿宋" w:eastAsia="仿宋" w:cs="仿宋_GB2312"/>
          <w:b/>
          <w:color w:val="auto"/>
          <w:sz w:val="36"/>
          <w:szCs w:val="20"/>
          <w:highlight w:val="none"/>
        </w:rPr>
        <w:t>三章</w:t>
      </w:r>
      <w:r>
        <w:rPr>
          <w:rFonts w:ascii="仿宋" w:hAnsi="仿宋" w:eastAsia="仿宋" w:cs="仿宋_GB2312"/>
          <w:b/>
          <w:color w:val="auto"/>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color w:val="auto"/>
          <w:sz w:val="28"/>
          <w:szCs w:val="28"/>
          <w:highlight w:val="none"/>
        </w:rPr>
      </w:pPr>
      <w:bookmarkStart w:id="14" w:name="_Toc91899903"/>
      <w:bookmarkStart w:id="15" w:name="第三部分"/>
      <w:bookmarkStart w:id="16" w:name="_Toc164416483"/>
      <w:r>
        <w:rPr>
          <w:rFonts w:hint="eastAsia" w:ascii="宋体" w:hAnsi="宋体" w:cs="宋体"/>
          <w:b/>
          <w:bCs/>
          <w:color w:val="auto"/>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color w:val="auto"/>
          <w:sz w:val="24"/>
          <w:highlight w:val="none"/>
        </w:rPr>
      </w:pPr>
      <w:r>
        <w:rPr>
          <w:rFonts w:hint="eastAsia" w:ascii="宋体" w:hAnsi="宋体" w:cs="宋体"/>
          <w:color w:val="auto"/>
          <w:sz w:val="24"/>
          <w:highlight w:val="none"/>
        </w:rPr>
        <w:t>　1.采购代理机构按照招标文件规定的时间通过电子交易平台组织开标、开启投标文件，所有供应商均应当准时在线参加，直至评审结束。</w:t>
      </w:r>
    </w:p>
    <w:p>
      <w:pPr>
        <w:pStyle w:val="61"/>
        <w:widowControl w:val="0"/>
        <w:wordWrap w:val="0"/>
        <w:overflowPunct w:val="0"/>
        <w:autoSpaceDE w:val="0"/>
        <w:autoSpaceDN w:val="0"/>
        <w:adjustRightInd/>
        <w:spacing w:before="0" w:beforeAutospacing="0" w:after="0" w:afterAutospacing="0" w:line="400" w:lineRule="exact"/>
        <w:ind w:firstLine="240" w:firstLineChars="100"/>
        <w:rPr>
          <w:rFonts w:cs="宋体"/>
          <w:color w:val="auto"/>
          <w:kern w:val="2"/>
          <w:highlight w:val="none"/>
        </w:rPr>
      </w:pPr>
      <w:r>
        <w:rPr>
          <w:rFonts w:hint="eastAsia" w:cs="宋体"/>
          <w:color w:val="auto"/>
          <w:kern w:val="2"/>
          <w:highlight w:val="none"/>
        </w:rPr>
        <w:t>　2.采购过程中出现以下情形，导致电子交易平台无法正常运行，或者无法保证电子交易的公平、公正和安全时，采购代理机构可中止电子交易活动：</w:t>
      </w:r>
    </w:p>
    <w:p>
      <w:pPr>
        <w:pStyle w:val="61"/>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（一）电子交易平台发生故障而无法登录访问的； </w:t>
      </w:r>
    </w:p>
    <w:p>
      <w:pPr>
        <w:pStyle w:val="61"/>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（二）电子交易平台应用或数据库出现错误，不能进行正常操作的；</w:t>
      </w:r>
    </w:p>
    <w:p>
      <w:pPr>
        <w:pStyle w:val="61"/>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（三）电子交易平台发现严重安全漏洞，有潜在泄密危险的；</w:t>
      </w:r>
    </w:p>
    <w:p>
      <w:pPr>
        <w:pStyle w:val="61"/>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（四）病毒发作导致不能进行正常操作的； </w:t>
      </w:r>
    </w:p>
    <w:p>
      <w:pPr>
        <w:pStyle w:val="61"/>
        <w:widowControl w:val="0"/>
        <w:wordWrap w:val="0"/>
        <w:overflowPunct w:val="0"/>
        <w:autoSpaceDE w:val="0"/>
        <w:autoSpaceDN w:val="0"/>
        <w:adjustRightInd/>
        <w:spacing w:before="0" w:beforeAutospacing="0" w:after="0" w:afterAutospacing="0" w:line="400" w:lineRule="exact"/>
        <w:ind w:firstLine="645"/>
        <w:rPr>
          <w:rFonts w:cs="宋体"/>
          <w:color w:val="auto"/>
          <w:kern w:val="2"/>
          <w:highlight w:val="none"/>
        </w:rPr>
      </w:pPr>
      <w:r>
        <w:rPr>
          <w:rFonts w:hint="eastAsia" w:cs="宋体"/>
          <w:color w:val="auto"/>
          <w:kern w:val="2"/>
          <w:highlight w:val="none"/>
        </w:rPr>
        <w:t>（五）其他无法保证电子交易的公平、公正和安全的情况。</w:t>
      </w:r>
    </w:p>
    <w:p>
      <w:pPr>
        <w:pStyle w:val="61"/>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61"/>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61"/>
        <w:widowControl w:val="0"/>
        <w:wordWrap w:val="0"/>
        <w:overflowPunct w:val="0"/>
        <w:autoSpaceDE w:val="0"/>
        <w:autoSpaceDN w:val="0"/>
        <w:adjustRightInd/>
        <w:spacing w:before="0" w:beforeAutospacing="0" w:after="0" w:afterAutospacing="0" w:line="400" w:lineRule="exact"/>
        <w:ind w:firstLine="645"/>
        <w:rPr>
          <w:rFonts w:hint="eastAsia" w:cs="宋体"/>
          <w:color w:val="auto"/>
          <w:kern w:val="2"/>
          <w:highlight w:val="none"/>
        </w:rPr>
      </w:pPr>
      <w:r>
        <w:rPr>
          <w:rFonts w:hint="eastAsia" w:cs="宋体"/>
          <w:color w:val="auto"/>
          <w:kern w:val="2"/>
          <w:highlight w:val="none"/>
          <w:lang w:val="en-US"/>
        </w:rPr>
        <w:t>4</w:t>
      </w:r>
      <w:r>
        <w:rPr>
          <w:rFonts w:hint="eastAsia" w:cs="宋体"/>
          <w:color w:val="auto"/>
          <w:kern w:val="2"/>
          <w:highlight w:val="none"/>
        </w:rPr>
        <w:t>.供应商须在采购代理机构宣布评审结束、产生中标候选人前时刻关注，配合专家组工作，如有询标（澄清、质疑），在约定时间内（具体时间以询标函上规定的时间为准备）通过</w:t>
      </w:r>
      <w:r>
        <w:rPr>
          <w:rFonts w:hint="eastAsia" w:cs="宋体"/>
          <w:color w:val="auto"/>
          <w:kern w:val="2"/>
          <w:highlight w:val="none"/>
          <w:lang w:val="en-US"/>
        </w:rPr>
        <w:t>CA</w:t>
      </w:r>
      <w:r>
        <w:rPr>
          <w:rFonts w:hint="eastAsia" w:cs="宋体"/>
          <w:color w:val="auto"/>
          <w:kern w:val="2"/>
          <w:highlight w:val="none"/>
        </w:rPr>
        <w:t>进行回复。未按要求回复的，视为放弃澄清。</w:t>
      </w:r>
    </w:p>
    <w:p>
      <w:pPr>
        <w:wordWrap w:val="0"/>
        <w:overflowPunct w:val="0"/>
        <w:autoSpaceDE w:val="0"/>
        <w:autoSpaceDN w:val="0"/>
        <w:snapToGrid w:val="0"/>
        <w:spacing w:line="360" w:lineRule="auto"/>
        <w:jc w:val="both"/>
        <w:rPr>
          <w:rFonts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hint="eastAsia" w:ascii="宋体" w:hAnsi="宋体" w:cs="宋体"/>
          <w:b/>
          <w:bCs/>
          <w:color w:val="auto"/>
          <w:sz w:val="28"/>
          <w:highlight w:val="none"/>
        </w:rPr>
      </w:pPr>
    </w:p>
    <w:p>
      <w:pPr>
        <w:wordWrap w:val="0"/>
        <w:overflowPunct w:val="0"/>
        <w:autoSpaceDE w:val="0"/>
        <w:autoSpaceDN w:val="0"/>
        <w:snapToGrid w:val="0"/>
        <w:spacing w:line="360" w:lineRule="auto"/>
        <w:jc w:val="center"/>
        <w:rPr>
          <w:rFonts w:ascii="宋体" w:hAnsi="宋体" w:cs="宋体"/>
          <w:b/>
          <w:bCs/>
          <w:color w:val="auto"/>
          <w:sz w:val="28"/>
          <w:highlight w:val="none"/>
        </w:rPr>
      </w:pPr>
      <w:r>
        <w:rPr>
          <w:rFonts w:hint="eastAsia" w:ascii="宋体" w:hAnsi="宋体" w:cs="宋体"/>
          <w:b/>
          <w:bCs/>
          <w:color w:val="auto"/>
          <w:sz w:val="28"/>
          <w:highlight w:val="none"/>
        </w:rPr>
        <w:t>前附表</w:t>
      </w:r>
    </w:p>
    <w:tbl>
      <w:tblPr>
        <w:tblStyle w:val="65"/>
        <w:tblW w:w="9143" w:type="dxa"/>
        <w:tblInd w:w="142" w:type="dxa"/>
        <w:tblLayout w:type="fixed"/>
        <w:tblCellMar>
          <w:top w:w="0" w:type="dxa"/>
          <w:left w:w="108" w:type="dxa"/>
          <w:bottom w:w="0" w:type="dxa"/>
          <w:right w:w="108" w:type="dxa"/>
        </w:tblCellMar>
      </w:tblPr>
      <w:tblGrid>
        <w:gridCol w:w="744"/>
        <w:gridCol w:w="8399"/>
      </w:tblGrid>
      <w:tr>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color w:val="auto"/>
                <w:sz w:val="24"/>
                <w:highlight w:val="none"/>
              </w:rPr>
            </w:pPr>
            <w:r>
              <w:rPr>
                <w:rFonts w:hint="eastAsia" w:ascii="宋体" w:hAnsi="宋体" w:cs="宋体"/>
                <w:b/>
                <w:color w:val="auto"/>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5"/>
              <w:wordWrap w:val="0"/>
              <w:overflowPunct w:val="0"/>
              <w:autoSpaceDE w:val="0"/>
              <w:autoSpaceDN w:val="0"/>
              <w:adjustRightInd/>
              <w:snapToGrid w:val="0"/>
              <w:spacing w:before="24" w:beforeLines="10" w:after="24" w:afterLines="10" w:line="400" w:lineRule="exact"/>
              <w:rPr>
                <w:rFonts w:hint="eastAsia" w:hAnsi="宋体" w:eastAsia="宋体" w:cs="宋体"/>
                <w:color w:val="auto"/>
                <w:sz w:val="24"/>
                <w:szCs w:val="24"/>
                <w:highlight w:val="none"/>
                <w:lang w:eastAsia="zh-CN"/>
              </w:rPr>
            </w:pPr>
            <w:r>
              <w:rPr>
                <w:rFonts w:hint="eastAsia" w:hAnsi="宋体" w:cs="宋体"/>
                <w:color w:val="auto"/>
                <w:sz w:val="24"/>
                <w:szCs w:val="24"/>
                <w:highlight w:val="none"/>
              </w:rPr>
              <w:t xml:space="preserve">    项目名称：</w:t>
            </w:r>
            <w:r>
              <w:rPr>
                <w:rFonts w:hint="eastAsia"/>
                <w:sz w:val="24"/>
                <w:szCs w:val="24"/>
                <w:highlight w:val="none"/>
              </w:rPr>
              <w:t>嘉善县救助管理站救助服务外包项目</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61"/>
              <w:widowControl w:val="0"/>
              <w:overflowPunct w:val="0"/>
              <w:topLinePunct/>
              <w:autoSpaceDE w:val="0"/>
              <w:autoSpaceDN w:val="0"/>
              <w:spacing w:before="24" w:beforeLines="10" w:beforeAutospacing="0" w:after="24" w:afterLines="10" w:afterAutospacing="0" w:line="400" w:lineRule="exact"/>
              <w:ind w:firstLine="480" w:firstLineChars="200"/>
              <w:rPr>
                <w:rFonts w:cs="宋体"/>
                <w:color w:val="auto"/>
                <w:highlight w:val="none"/>
              </w:rPr>
            </w:pPr>
            <w:r>
              <w:rPr>
                <w:rFonts w:hint="eastAsia" w:cs="宋体"/>
                <w:color w:val="auto"/>
                <w:highlight w:val="none"/>
              </w:rPr>
              <w:t>项目预算：</w:t>
            </w:r>
            <w:r>
              <w:rPr>
                <w:rFonts w:hint="eastAsia" w:cs="宋体"/>
                <w:color w:val="auto"/>
                <w:highlight w:val="none"/>
                <w:u w:val="single"/>
                <w:lang w:eastAsia="zh-CN"/>
              </w:rPr>
              <w:t>5</w:t>
            </w:r>
            <w:r>
              <w:rPr>
                <w:rFonts w:hint="eastAsia" w:cs="宋体"/>
                <w:color w:val="auto"/>
                <w:highlight w:val="none"/>
                <w:u w:val="single"/>
                <w:lang w:val="en-US" w:eastAsia="zh-CN"/>
              </w:rPr>
              <w:t>6</w:t>
            </w:r>
            <w:r>
              <w:rPr>
                <w:rFonts w:hint="eastAsia" w:cs="宋体"/>
                <w:color w:val="auto"/>
                <w:highlight w:val="none"/>
                <w:u w:val="single"/>
              </w:rPr>
              <w:t>.00万元</w:t>
            </w:r>
            <w:r>
              <w:rPr>
                <w:rFonts w:hint="eastAsia" w:cs="宋体"/>
                <w:color w:val="auto"/>
                <w:highlight w:val="none"/>
              </w:rPr>
              <w:t>。</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sz w:val="24"/>
                <w:highlight w:val="none"/>
              </w:rPr>
              <w:t>最高限价为预算价，超预算价的投标文件无效</w:t>
            </w:r>
            <w:r>
              <w:rPr>
                <w:rFonts w:hint="eastAsia" w:ascii="宋体" w:hAnsi="宋体" w:cs="宋体"/>
                <w:color w:val="auto"/>
                <w:sz w:val="24"/>
                <w:highlight w:val="none"/>
              </w:rPr>
              <w:t>。</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投标保证金：无。</w:t>
            </w:r>
          </w:p>
        </w:tc>
      </w:tr>
      <w:tr>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答疑与澄清：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color w:val="auto"/>
                <w:sz w:val="24"/>
                <w:highlight w:val="none"/>
              </w:rPr>
            </w:pPr>
            <w:r>
              <w:rPr>
                <w:rFonts w:hint="eastAsia" w:ascii="宋体" w:hAnsi="宋体" w:cs="宋体"/>
                <w:bCs/>
                <w:color w:val="auto"/>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bCs/>
                <w:color w:val="auto"/>
                <w:sz w:val="24"/>
                <w:highlight w:val="none"/>
              </w:rPr>
              <w:t xml:space="preserve">    获取采购文件网址：浙江政府采购网（https://zfcg.czt.zj.gov.cn/）</w:t>
            </w:r>
          </w:p>
        </w:tc>
      </w:tr>
      <w:tr>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投标文件均由资格文件、商务技术文件、报价文件组成。</w:t>
            </w:r>
          </w:p>
        </w:tc>
      </w:tr>
      <w:tr>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投标截止时间：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12月13日14</w:t>
            </w:r>
            <w:r>
              <w:rPr>
                <w:rFonts w:hint="eastAsia" w:ascii="仿宋_GB2312" w:hAnsi="仿宋" w:eastAsia="仿宋_GB2312"/>
                <w:color w:val="auto"/>
                <w:sz w:val="24"/>
                <w:highlight w:val="none"/>
                <w:u w:val="single"/>
              </w:rPr>
              <w:t>点30分</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投标地点：政采云平台（https://www.zcygov.cn/）</w:t>
            </w:r>
          </w:p>
        </w:tc>
      </w:tr>
      <w:tr>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开标时间：</w:t>
            </w:r>
            <w:r>
              <w:rPr>
                <w:rFonts w:hint="eastAsia" w:ascii="仿宋_GB2312" w:hAnsi="仿宋" w:eastAsia="仿宋_GB2312"/>
                <w:color w:val="auto"/>
                <w:sz w:val="24"/>
                <w:highlight w:val="none"/>
                <w:u w:val="single"/>
                <w:lang w:eastAsia="zh-CN"/>
              </w:rPr>
              <w:t>2022年</w:t>
            </w:r>
            <w:r>
              <w:rPr>
                <w:rFonts w:hint="eastAsia" w:ascii="仿宋_GB2312" w:hAnsi="仿宋" w:eastAsia="仿宋_GB2312"/>
                <w:color w:val="auto"/>
                <w:sz w:val="24"/>
                <w:highlight w:val="none"/>
                <w:u w:val="single"/>
                <w:lang w:val="en-US" w:eastAsia="zh-CN"/>
              </w:rPr>
              <w:t>12月13日14</w:t>
            </w:r>
            <w:r>
              <w:rPr>
                <w:rFonts w:hint="eastAsia" w:ascii="仿宋_GB2312" w:hAnsi="仿宋" w:eastAsia="仿宋_GB2312"/>
                <w:color w:val="auto"/>
                <w:sz w:val="24"/>
                <w:highlight w:val="none"/>
                <w:u w:val="single"/>
              </w:rPr>
              <w:t>点30分</w:t>
            </w:r>
          </w:p>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color w:val="auto"/>
                <w:sz w:val="24"/>
                <w:highlight w:val="none"/>
              </w:rPr>
            </w:pPr>
            <w:r>
              <w:rPr>
                <w:rFonts w:hint="eastAsia" w:ascii="宋体" w:hAnsi="宋体" w:cs="宋体"/>
                <w:b/>
                <w:bCs/>
                <w:color w:val="auto"/>
                <w:sz w:val="24"/>
                <w:highlight w:val="none"/>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color w:val="auto"/>
                <w:sz w:val="24"/>
                <w:highlight w:val="none"/>
              </w:rPr>
            </w:pPr>
            <w:r>
              <w:rPr>
                <w:rFonts w:hint="eastAsia" w:ascii="宋体" w:hAnsi="宋体" w:cs="宋体"/>
                <w:color w:val="auto"/>
                <w:sz w:val="24"/>
                <w:highlight w:val="none"/>
              </w:rPr>
              <w:t xml:space="preserve">    合同公告：本项目政府采购合同将于签订之日起2个工作日内发布于上述媒体，但政府采购合同中涉及国家秘密、商业秘密的内容除外。</w:t>
            </w:r>
          </w:p>
        </w:tc>
      </w:tr>
      <w:tr>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履约保证金:</w:t>
            </w:r>
            <w:r>
              <w:rPr>
                <w:rFonts w:hint="eastAsia" w:ascii="宋体" w:hAnsi="宋体" w:cs="宋体"/>
                <w:color w:val="auto"/>
                <w:sz w:val="24"/>
                <w:szCs w:val="24"/>
                <w:highlight w:val="none"/>
                <w:lang w:val="en-US" w:eastAsia="zh-CN"/>
              </w:rPr>
              <w:t>本项目不设置</w:t>
            </w:r>
            <w:r>
              <w:rPr>
                <w:rFonts w:hint="eastAsia" w:ascii="宋体" w:hAnsi="宋体" w:cs="宋体"/>
                <w:color w:val="auto"/>
                <w:sz w:val="24"/>
                <w:highlight w:val="none"/>
              </w:rPr>
              <w:t>。</w:t>
            </w:r>
          </w:p>
        </w:tc>
      </w:tr>
      <w:tr>
        <w:trPr>
          <w:trHeight w:val="1471"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付款方式：合同生效以及具备实施条件后7个工作日内支付合同金额的40%；2023年6月底前，支付中标价的20%；2023年9月底前，支付中标价的20%；2023年12月底前，支付中标价的20%。如到期续签一年的，2024年付款方式仍参照上述时间节点。</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投标文件有效期：</w:t>
            </w:r>
            <w:r>
              <w:rPr>
                <w:rFonts w:hint="eastAsia" w:ascii="宋体" w:hAnsi="宋体" w:cs="宋体"/>
                <w:color w:val="auto"/>
                <w:sz w:val="24"/>
                <w:highlight w:val="none"/>
                <w:u w:val="single"/>
              </w:rPr>
              <w:t xml:space="preserve"> 90 </w:t>
            </w:r>
            <w:r>
              <w:rPr>
                <w:rFonts w:hint="eastAsia" w:ascii="宋体" w:hAnsi="宋体" w:cs="宋体"/>
                <w:color w:val="auto"/>
                <w:sz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18</w:t>
            </w:r>
          </w:p>
        </w:tc>
        <w:tc>
          <w:tcPr>
            <w:tcW w:w="8399" w:type="dxa"/>
            <w:tcBorders>
              <w:top w:val="single" w:color="auto" w:sz="4" w:space="0"/>
              <w:left w:val="nil"/>
              <w:bottom w:val="single" w:color="auto" w:sz="4" w:space="0"/>
              <w:right w:val="single" w:color="auto" w:sz="4" w:space="0"/>
            </w:tcBorders>
            <w:vAlign w:val="center"/>
          </w:tcPr>
          <w:p>
            <w:pPr>
              <w:pStyle w:val="35"/>
              <w:wordWrap w:val="0"/>
              <w:overflowPunct w:val="0"/>
              <w:autoSpaceDE w:val="0"/>
              <w:autoSpaceDN w:val="0"/>
              <w:snapToGrid w:val="0"/>
              <w:spacing w:before="24" w:beforeLines="10" w:after="24" w:afterLines="10" w:line="400" w:lineRule="exact"/>
              <w:rPr>
                <w:rFonts w:hAnsi="宋体" w:cs="宋体"/>
                <w:color w:val="auto"/>
                <w:sz w:val="24"/>
                <w:szCs w:val="24"/>
                <w:highlight w:val="none"/>
              </w:rPr>
            </w:pPr>
            <w:r>
              <w:rPr>
                <w:rFonts w:hint="eastAsia" w:hAnsi="宋体" w:cs="宋体"/>
                <w:color w:val="auto"/>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color w:val="auto"/>
                <w:sz w:val="24"/>
                <w:highlight w:val="none"/>
              </w:rPr>
            </w:pPr>
            <w:r>
              <w:rPr>
                <w:rFonts w:hint="eastAsia" w:ascii="宋体" w:hAnsi="宋体" w:cs="宋体"/>
                <w:color w:val="auto"/>
                <w:sz w:val="24"/>
                <w:highlight w:val="none"/>
              </w:rPr>
              <w:t>19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color w:val="auto"/>
                <w:sz w:val="24"/>
                <w:highlight w:val="none"/>
              </w:rPr>
            </w:pPr>
            <w:r>
              <w:rPr>
                <w:rFonts w:hint="eastAsia" w:ascii="宋体" w:hAnsi="宋体" w:cs="宋体"/>
                <w:color w:val="auto"/>
                <w:sz w:val="24"/>
                <w:highlight w:val="none"/>
              </w:rPr>
              <w:t xml:space="preserve">    解释：本招标文件的解释权属于采购单位和嘉兴市银建工程咨询评估有限公司。</w:t>
            </w:r>
          </w:p>
        </w:tc>
      </w:tr>
    </w:tbl>
    <w:p>
      <w:pPr>
        <w:pStyle w:val="26"/>
        <w:ind w:left="0" w:leftChars="0" w:firstLine="0" w:firstLineChars="0"/>
        <w:rPr>
          <w:highlight w:val="none"/>
        </w:rPr>
      </w:pPr>
    </w:p>
    <w:p>
      <w:pPr>
        <w:pStyle w:val="27"/>
        <w:rPr>
          <w:highlight w:val="none"/>
        </w:rPr>
      </w:pPr>
    </w:p>
    <w:p>
      <w:pPr>
        <w:rPr>
          <w:highlight w:val="none"/>
        </w:rPr>
      </w:pPr>
    </w:p>
    <w:p>
      <w:pPr>
        <w:pStyle w:val="2"/>
        <w:rPr>
          <w:highlight w:val="none"/>
        </w:rPr>
      </w:pPr>
    </w:p>
    <w:p>
      <w:pPr>
        <w:pStyle w:val="2"/>
        <w:rPr>
          <w:highlight w:val="none"/>
        </w:rPr>
      </w:pPr>
    </w:p>
    <w:p>
      <w:pPr>
        <w:pStyle w:val="2"/>
        <w:rPr>
          <w:highlight w:val="none"/>
        </w:rPr>
      </w:pPr>
    </w:p>
    <w:p>
      <w:pPr>
        <w:pStyle w:val="35"/>
        <w:numPr>
          <w:ilvl w:val="0"/>
          <w:numId w:val="2"/>
        </w:numPr>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总  则</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本招标文件适用于本项目的招标、投标、评标、定标、验收、合同履约、付款等行为（法律、法规另有规定的，从其规定）。</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1.招标采购单位系指组织本次招标的代理机构（“招标人”）和采购单位。</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8.“★”系指核心产品。</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本次招标采用公开招标方式进行。</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（四）投标委托</w:t>
      </w:r>
    </w:p>
    <w:p>
      <w:pPr>
        <w:pStyle w:val="26"/>
        <w:wordWrap w:val="0"/>
        <w:overflowPunct w:val="0"/>
        <w:autoSpaceDE w:val="0"/>
        <w:autoSpaceDN w:val="0"/>
        <w:snapToGrid w:val="0"/>
        <w:spacing w:line="360" w:lineRule="auto"/>
        <w:jc w:val="left"/>
        <w:rPr>
          <w:rFonts w:cs="宋体"/>
          <w:color w:val="auto"/>
          <w:highlight w:val="none"/>
        </w:rPr>
      </w:pPr>
      <w:r>
        <w:rPr>
          <w:rFonts w:hint="eastAsia" w:cs="宋体"/>
          <w:color w:val="auto"/>
          <w:highlight w:val="none"/>
        </w:rPr>
        <w:t>供应商无需到开标现场，但须准时在线参加，直至评审结束。</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不论投标结果如何，投标人均应自行承担所有与投标有关的全部费用（招标文件有相反规定除外）。</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本项目不接受联合体投标。</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（七）转包与分包</w:t>
      </w:r>
    </w:p>
    <w:p>
      <w:pPr>
        <w:wordWrap w:val="0"/>
        <w:overflowPunct w:val="0"/>
        <w:autoSpaceDE w:val="0"/>
        <w:autoSpaceDN w:val="0"/>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2.本项目不可以分包。</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本项目不允许采购进口产品。</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 ▲（九）特别说明：</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8.在线或者邮寄政府采购投诉材料当日下班时间点后收到的视为下一个工作日收到。</w:t>
      </w:r>
    </w:p>
    <w:p>
      <w:pPr>
        <w:pStyle w:val="35"/>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二、招标文件</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7.本项目招标文件的澄清、答复、修改、补充的内容</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（二）投标人的风险</w:t>
      </w:r>
    </w:p>
    <w:p>
      <w:pPr>
        <w:pStyle w:val="56"/>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投标人没有按照招标文件要求提供全部资料，或者投标人没有对招标文件在各方面作出实质性响应是投标人的风险，并可能导致其投标为无效标。</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 xml:space="preserve">（三）招标文件的澄清与修改 </w:t>
      </w:r>
    </w:p>
    <w:p>
      <w:pPr>
        <w:pStyle w:val="56"/>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1.投标人应认真阅读本招标文件，发现其中有误或有不合理要求的，投标人必须在知道或者应当知道之日起七个工作日内以书面形式向招标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6"/>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2.采购代理机构以公告形式答复投标人要求澄清的问题，但不包含问题来源；除上述媒体发布的答复以外的其他澄清方式及澄清内容均无效。</w:t>
      </w:r>
    </w:p>
    <w:p>
      <w:pPr>
        <w:pStyle w:val="56"/>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3.招标文件澄清、答复、修改、补充的内容为招标文件的组成部分。当招标文件与招标文件的答复、澄清、修改、补充通知就同一内容的表述不一致时，以最后发出的文件为准。</w:t>
      </w:r>
    </w:p>
    <w:p>
      <w:pPr>
        <w:pStyle w:val="56"/>
        <w:wordWrap w:val="0"/>
        <w:overflowPunct w:val="0"/>
        <w:autoSpaceDE w:val="0"/>
        <w:autoSpaceDN w:val="0"/>
        <w:rPr>
          <w:rFonts w:ascii="宋体" w:hAnsi="宋体" w:cs="宋体"/>
          <w:color w:val="auto"/>
          <w:szCs w:val="24"/>
          <w:highlight w:val="none"/>
        </w:rPr>
      </w:pPr>
      <w:r>
        <w:rPr>
          <w:rFonts w:hint="eastAsia" w:ascii="宋体" w:hAnsi="宋体" w:cs="宋体"/>
          <w:color w:val="auto"/>
          <w:szCs w:val="24"/>
          <w:highlight w:val="none"/>
        </w:rPr>
        <w:t>4.招标文件的澄清、答复、修改或补充都应该通过本代理机构以法定形式发布，采购人非通过本机构，不得擅自澄清、答复、修改或补充招标文件。</w:t>
      </w:r>
    </w:p>
    <w:p>
      <w:pPr>
        <w:pStyle w:val="35"/>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三、投标文件的编制</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(一)总体要求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3.投标文件的形式：投标文件为电子加密投标文件，按“政府采购项目电子交易管理操作指南-供应商”及本招标文件要求制作、加密并递交。</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（二）投标文件的组成</w:t>
      </w:r>
    </w:p>
    <w:p>
      <w:pPr>
        <w:pStyle w:val="35"/>
        <w:wordWrap w:val="0"/>
        <w:overflowPunct w:val="0"/>
        <w:autoSpaceDE w:val="0"/>
        <w:autoSpaceDN w:val="0"/>
        <w:snapToGrid w:val="0"/>
        <w:spacing w:line="360" w:lineRule="auto"/>
        <w:ind w:firstLine="482" w:firstLineChars="200"/>
        <w:outlineLvl w:val="0"/>
        <w:rPr>
          <w:rFonts w:hAnsi="宋体" w:cs="宋体"/>
          <w:b/>
          <w:color w:val="auto"/>
          <w:sz w:val="24"/>
          <w:szCs w:val="24"/>
          <w:highlight w:val="none"/>
        </w:rPr>
      </w:pPr>
      <w:r>
        <w:rPr>
          <w:rFonts w:hint="eastAsia" w:hAnsi="宋体" w:cs="宋体"/>
          <w:b/>
          <w:color w:val="auto"/>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5"/>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投标文件由资格文件、商务技术文件、报价文件三部分组成。</w:t>
      </w:r>
    </w:p>
    <w:p>
      <w:pPr>
        <w:pStyle w:val="35"/>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1.资格文件（资格文件所需的证明材料均需加盖供应商公章）：</w:t>
      </w:r>
    </w:p>
    <w:p>
      <w:pPr>
        <w:pStyle w:val="61"/>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1.1营业执照</w:t>
      </w:r>
    </w:p>
    <w:p>
      <w:pPr>
        <w:pStyle w:val="61"/>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1.2符合参加政府采购活动应当具备的一般条件的承诺函（格式见第六章）</w:t>
      </w:r>
    </w:p>
    <w:p>
      <w:pPr>
        <w:pStyle w:val="61"/>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rPr>
        <w:t>1.3中小企业声明函或监狱和戒毒企业企业证明材料或残疾人福利性单位声明函（格式见第六章）</w:t>
      </w:r>
    </w:p>
    <w:p>
      <w:pPr>
        <w:pStyle w:val="61"/>
        <w:widowControl w:val="0"/>
        <w:overflowPunct w:val="0"/>
        <w:topLinePunct/>
        <w:autoSpaceDE w:val="0"/>
        <w:autoSpaceDN w:val="0"/>
        <w:adjustRightInd/>
        <w:spacing w:before="0" w:beforeAutospacing="0" w:after="0" w:afterAutospacing="0" w:line="360" w:lineRule="auto"/>
        <w:ind w:firstLine="481"/>
        <w:rPr>
          <w:rFonts w:cs="宋体"/>
          <w:b/>
          <w:bCs/>
          <w:color w:val="auto"/>
          <w:highlight w:val="none"/>
        </w:rPr>
      </w:pPr>
      <w:r>
        <w:rPr>
          <w:rFonts w:hint="eastAsia" w:cs="宋体"/>
          <w:b/>
          <w:bCs/>
          <w:color w:val="auto"/>
          <w:highlight w:val="none"/>
        </w:rPr>
        <w:t>2.商务技术文件</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2.1自评表（格式见第六章）</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2.2投标声明书（格式见第六章）</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2.3法定代表人授权委托书（格式见第六章）</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2.4诚信承诺书（格式见第六章）</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2.5投标人基本情况表（格式见第六章）</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w:t>
      </w:r>
      <w:r>
        <w:rPr>
          <w:rFonts w:hint="eastAsia" w:cs="宋体"/>
          <w:color w:val="auto"/>
          <w:highlight w:val="none"/>
          <w:lang w:val="en-US" w:eastAsia="zh-CN"/>
        </w:rPr>
        <w:t>6</w:t>
      </w:r>
      <w:r>
        <w:rPr>
          <w:rFonts w:hint="eastAsia" w:cs="宋体"/>
          <w:color w:val="auto"/>
          <w:highlight w:val="none"/>
        </w:rPr>
        <w:t>诚信分</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w:t>
      </w:r>
      <w:r>
        <w:rPr>
          <w:rFonts w:hint="eastAsia" w:cs="宋体"/>
          <w:color w:val="auto"/>
          <w:highlight w:val="none"/>
          <w:lang w:val="en-US" w:eastAsia="zh-CN"/>
        </w:rPr>
        <w:t>7</w:t>
      </w:r>
      <w:r>
        <w:rPr>
          <w:rFonts w:hint="eastAsia" w:cs="宋体"/>
          <w:color w:val="auto"/>
          <w:highlight w:val="none"/>
        </w:rPr>
        <w:t>同类业绩（格式见第六章同类业绩一览表）</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lang w:val="en-US" w:eastAsia="zh-CN"/>
        </w:rPr>
      </w:pPr>
      <w:r>
        <w:rPr>
          <w:rFonts w:hint="eastAsia" w:cs="宋体"/>
          <w:color w:val="auto"/>
          <w:highlight w:val="none"/>
        </w:rPr>
        <w:t>2.</w:t>
      </w:r>
      <w:r>
        <w:rPr>
          <w:rFonts w:hint="eastAsia" w:cs="宋体"/>
          <w:color w:val="auto"/>
          <w:highlight w:val="none"/>
          <w:lang w:val="en-US" w:eastAsia="zh-CN"/>
        </w:rPr>
        <w:t>8相关认证</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lang w:val="en-US" w:eastAsia="zh-CN"/>
        </w:rPr>
        <w:t>2.9</w:t>
      </w:r>
      <w:r>
        <w:rPr>
          <w:rFonts w:hint="eastAsia" w:cs="宋体"/>
          <w:color w:val="auto"/>
          <w:highlight w:val="none"/>
        </w:rPr>
        <w:t>优惠条件</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w:t>
      </w:r>
      <w:r>
        <w:rPr>
          <w:rFonts w:hint="eastAsia" w:cs="宋体"/>
          <w:color w:val="auto"/>
          <w:highlight w:val="none"/>
          <w:lang w:val="en-US" w:eastAsia="zh-CN"/>
        </w:rPr>
        <w:t>10总体服务方案</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1本项目重点、难点分析</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2服务外包实施方案</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3管理制度</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4投诉处理方案</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5培训方案</w:t>
      </w:r>
    </w:p>
    <w:p>
      <w:pPr>
        <w:pStyle w:val="61"/>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2.16交替衔接方案</w:t>
      </w:r>
    </w:p>
    <w:p>
      <w:pPr>
        <w:pStyle w:val="61"/>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2.17稳定员工队伍方案</w:t>
      </w:r>
    </w:p>
    <w:p>
      <w:pPr>
        <w:pStyle w:val="61"/>
        <w:widowControl w:val="0"/>
        <w:overflowPunct w:val="0"/>
        <w:topLinePunct/>
        <w:autoSpaceDE w:val="0"/>
        <w:autoSpaceDN w:val="0"/>
        <w:adjustRightInd/>
        <w:spacing w:before="0" w:beforeAutospacing="0" w:after="0" w:afterAutospacing="0" w:line="360" w:lineRule="auto"/>
        <w:ind w:firstLine="481"/>
        <w:rPr>
          <w:rFonts w:hint="default" w:eastAsia="宋体" w:cs="宋体"/>
          <w:color w:val="auto"/>
          <w:highlight w:val="none"/>
          <w:lang w:val="en-US" w:eastAsia="zh-CN"/>
        </w:rPr>
      </w:pPr>
      <w:r>
        <w:rPr>
          <w:rFonts w:hint="eastAsia" w:cs="宋体"/>
          <w:color w:val="auto"/>
          <w:highlight w:val="none"/>
          <w:lang w:val="en-US" w:eastAsia="zh-CN"/>
        </w:rPr>
        <w:t>2.18投入本项目人员</w:t>
      </w:r>
      <w:r>
        <w:rPr>
          <w:rFonts w:hint="eastAsia" w:cs="宋体"/>
          <w:color w:val="auto"/>
          <w:highlight w:val="none"/>
        </w:rPr>
        <w:t>（格式见第六章项目实施人员表）</w:t>
      </w:r>
    </w:p>
    <w:p>
      <w:pPr>
        <w:pStyle w:val="61"/>
        <w:widowControl w:val="0"/>
        <w:overflowPunct w:val="0"/>
        <w:topLinePunct/>
        <w:autoSpaceDE w:val="0"/>
        <w:autoSpaceDN w:val="0"/>
        <w:adjustRightInd/>
        <w:spacing w:before="0" w:beforeAutospacing="0" w:after="0" w:afterAutospacing="0" w:line="360" w:lineRule="auto"/>
        <w:ind w:firstLine="481"/>
        <w:rPr>
          <w:rFonts w:hint="eastAsia" w:cs="宋体"/>
          <w:color w:val="auto"/>
          <w:highlight w:val="none"/>
        </w:rPr>
      </w:pPr>
      <w:r>
        <w:rPr>
          <w:rFonts w:hint="eastAsia" w:cs="宋体"/>
          <w:color w:val="auto"/>
          <w:highlight w:val="none"/>
        </w:rPr>
        <w:t>2.1</w:t>
      </w:r>
      <w:r>
        <w:rPr>
          <w:rFonts w:hint="eastAsia" w:cs="宋体"/>
          <w:color w:val="auto"/>
          <w:highlight w:val="none"/>
          <w:lang w:val="en-US" w:eastAsia="zh-CN"/>
        </w:rPr>
        <w:t>9处理过劳资纠纷</w:t>
      </w:r>
    </w:p>
    <w:p>
      <w:pPr>
        <w:pStyle w:val="61"/>
        <w:widowControl w:val="0"/>
        <w:overflowPunct w:val="0"/>
        <w:topLinePunct/>
        <w:autoSpaceDE w:val="0"/>
        <w:autoSpaceDN w:val="0"/>
        <w:adjustRightInd/>
        <w:spacing w:before="0" w:beforeAutospacing="0" w:after="0" w:afterAutospacing="0" w:line="360" w:lineRule="auto"/>
        <w:ind w:firstLine="481"/>
        <w:rPr>
          <w:rFonts w:hint="default" w:cs="宋体"/>
          <w:color w:val="auto"/>
          <w:highlight w:val="none"/>
          <w:lang w:val="en-US" w:eastAsia="zh-CN"/>
        </w:rPr>
      </w:pPr>
      <w:r>
        <w:rPr>
          <w:rFonts w:hint="eastAsia" w:cs="宋体"/>
          <w:color w:val="auto"/>
          <w:highlight w:val="none"/>
          <w:lang w:val="en-US" w:eastAsia="zh-CN"/>
        </w:rPr>
        <w:t>2.20应急方案及措施</w:t>
      </w:r>
    </w:p>
    <w:p>
      <w:pPr>
        <w:pStyle w:val="61"/>
        <w:widowControl w:val="0"/>
        <w:overflowPunct w:val="0"/>
        <w:topLinePunct/>
        <w:autoSpaceDE w:val="0"/>
        <w:autoSpaceDN w:val="0"/>
        <w:adjustRightInd/>
        <w:spacing w:before="0" w:beforeAutospacing="0" w:after="0" w:afterAutospacing="0" w:line="360" w:lineRule="auto"/>
        <w:ind w:firstLine="481"/>
        <w:rPr>
          <w:rFonts w:cs="宋体"/>
          <w:color w:val="auto"/>
          <w:highlight w:val="none"/>
        </w:rPr>
      </w:pPr>
      <w:r>
        <w:rPr>
          <w:rFonts w:hint="eastAsia" w:cs="宋体"/>
          <w:color w:val="auto"/>
          <w:highlight w:val="none"/>
          <w:lang w:val="en-US" w:eastAsia="zh-CN"/>
        </w:rPr>
        <w:t>2.21投标人根据评标办法及采购需求需要提供的其他资料（如有</w:t>
      </w:r>
      <w:r>
        <w:rPr>
          <w:rFonts w:hint="eastAsia" w:cs="宋体"/>
          <w:color w:val="auto"/>
          <w:highlight w:val="none"/>
        </w:rPr>
        <w:t>）</w:t>
      </w:r>
    </w:p>
    <w:p>
      <w:pPr>
        <w:pStyle w:val="35"/>
        <w:wordWrap w:val="0"/>
        <w:overflowPunct w:val="0"/>
        <w:autoSpaceDE w:val="0"/>
        <w:autoSpaceDN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3.报价文件：</w:t>
      </w:r>
    </w:p>
    <w:p>
      <w:pPr>
        <w:pStyle w:val="35"/>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3.1投标函（格式见第六章）</w:t>
      </w:r>
    </w:p>
    <w:p>
      <w:pPr>
        <w:pStyle w:val="35"/>
        <w:wordWrap w:val="0"/>
        <w:overflowPunct w:val="0"/>
        <w:autoSpaceDE w:val="0"/>
        <w:autoSpaceDN w:val="0"/>
        <w:adjustRightInd/>
        <w:spacing w:line="360" w:lineRule="auto"/>
        <w:ind w:firstLine="480" w:firstLineChars="200"/>
        <w:rPr>
          <w:rFonts w:hAnsi="宋体" w:cs="宋体"/>
          <w:snapToGrid/>
          <w:color w:val="auto"/>
          <w:sz w:val="24"/>
          <w:szCs w:val="24"/>
          <w:highlight w:val="none"/>
        </w:rPr>
      </w:pPr>
      <w:r>
        <w:rPr>
          <w:rFonts w:hint="eastAsia" w:hAnsi="宋体" w:cs="宋体"/>
          <w:snapToGrid/>
          <w:color w:val="auto"/>
          <w:sz w:val="24"/>
          <w:szCs w:val="24"/>
          <w:highlight w:val="none"/>
        </w:rPr>
        <w:t>3.2开标一览表（格式见第六章）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3.3投标报价明细表（格式见第六章</w:t>
      </w:r>
      <w:r>
        <w:rPr>
          <w:rFonts w:hint="eastAsia" w:hAnsi="宋体" w:cs="宋体"/>
          <w:color w:val="auto"/>
          <w:sz w:val="24"/>
          <w:highlight w:val="none"/>
        </w:rPr>
        <w:t>）</w:t>
      </w:r>
    </w:p>
    <w:p>
      <w:pPr>
        <w:spacing w:line="360" w:lineRule="auto"/>
        <w:ind w:firstLine="480" w:firstLineChars="200"/>
        <w:rPr>
          <w:color w:val="auto"/>
          <w:highlight w:val="none"/>
        </w:rPr>
      </w:pPr>
      <w:r>
        <w:rPr>
          <w:rFonts w:hint="eastAsia" w:ascii="宋体" w:hAnsi="宋体" w:cs="宋体"/>
          <w:color w:val="auto"/>
          <w:sz w:val="24"/>
          <w:highlight w:val="none"/>
        </w:rPr>
        <w:t>3.4投标人针对报价需要说明的其他文件和说明（如有）</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4.投标文件内容填写说明 </w:t>
      </w:r>
    </w:p>
    <w:p>
      <w:pPr>
        <w:wordWrap w:val="0"/>
        <w:overflowPunct w:val="0"/>
        <w:autoSpaceDE w:val="0"/>
        <w:autoSpaceDN w:val="0"/>
        <w:snapToGrid w:val="0"/>
        <w:spacing w:line="360" w:lineRule="auto"/>
        <w:jc w:val="left"/>
        <w:rPr>
          <w:rFonts w:ascii="宋体" w:hAnsi="宋体" w:cs="宋体"/>
          <w:bCs/>
          <w:color w:val="auto"/>
          <w:sz w:val="24"/>
          <w:highlight w:val="none"/>
        </w:rPr>
      </w:pPr>
      <w:r>
        <w:rPr>
          <w:rFonts w:hint="eastAsia" w:ascii="宋体" w:hAnsi="宋体" w:cs="宋体"/>
          <w:color w:val="auto"/>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color w:val="auto"/>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（3）投标人必须保证投标文件所提供的全部资料真实可靠，并接受招标人对其中任何资料进一步审查的要求。</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color w:val="auto"/>
          <w:sz w:val="24"/>
          <w:highlight w:val="none"/>
        </w:rPr>
      </w:pPr>
      <w:r>
        <w:rPr>
          <w:rFonts w:hint="eastAsia" w:ascii="宋体" w:hAnsi="宋体" w:cs="宋体"/>
          <w:color w:val="auto"/>
          <w:sz w:val="24"/>
          <w:highlight w:val="none"/>
        </w:rPr>
        <w:t xml:space="preserve">    （8）由于字迹模糊或表达不清引起的后果由供应商负责。</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▲2.投标报价是履行合同的最终价格，应</w:t>
      </w:r>
      <w:r>
        <w:rPr>
          <w:rFonts w:hint="eastAsia" w:ascii="宋体" w:hAnsi="宋体" w:cs="宋体"/>
          <w:color w:val="auto"/>
          <w:kern w:val="0"/>
          <w:sz w:val="24"/>
          <w:highlight w:val="none"/>
        </w:rPr>
        <w:t>包括完成本项目所有工作内容所需的</w:t>
      </w:r>
      <w:r>
        <w:rPr>
          <w:rFonts w:hint="eastAsia" w:ascii="宋体" w:hAnsi="宋体" w:cs="宋体"/>
          <w:color w:val="auto"/>
          <w:kern w:val="0"/>
          <w:sz w:val="24"/>
          <w:highlight w:val="none"/>
          <w:lang w:eastAsia="zh-CN"/>
        </w:rPr>
        <w:t>一切人员工资、奖金、年终奖、各类加班费、餐费、各种社会保险（基本养老保险、基本医疗保险、工伤保险、失业保险等）、食宿与交通、高温补偿费、人员培训费用、设备器材、办公费用、消耗材料、服装、安全、管理费用、税费、利润、完成本项目所需的一切本身和不可或缺的所有工作开支、政策性文件规定及本项目包含的所有风险、责任等各项全部费用并承担一切风险责任</w:t>
      </w:r>
      <w:r>
        <w:rPr>
          <w:rFonts w:hint="eastAsia" w:ascii="宋体" w:hAnsi="宋体" w:cs="宋体"/>
          <w:color w:val="auto"/>
          <w:sz w:val="24"/>
          <w:highlight w:val="none"/>
        </w:rPr>
        <w:t>。</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▲3.投标文件只允许有一个报价，有选择的或有条件的报价将不予接受。</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（五）投标文件的有效期</w:t>
      </w:r>
    </w:p>
    <w:p>
      <w:pPr>
        <w:pStyle w:val="16"/>
        <w:widowControl w:val="0"/>
        <w:tabs>
          <w:tab w:val="left" w:pos="720"/>
          <w:tab w:val="clear" w:pos="390"/>
        </w:tabs>
        <w:wordWrap w:val="0"/>
        <w:overflowPunct w:val="0"/>
        <w:autoSpaceDE w:val="0"/>
        <w:autoSpaceDN w:val="0"/>
        <w:snapToGrid w:val="0"/>
        <w:spacing w:afterLines="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▲1.自投标截止日起</w:t>
      </w:r>
      <w:r>
        <w:rPr>
          <w:rFonts w:hint="eastAsia" w:ascii="宋体" w:hAnsi="宋体" w:cs="宋体"/>
          <w:color w:val="auto"/>
          <w:szCs w:val="24"/>
          <w:highlight w:val="none"/>
          <w:u w:val="single"/>
        </w:rPr>
        <w:t xml:space="preserve"> 90</w:t>
      </w:r>
      <w:r>
        <w:rPr>
          <w:rFonts w:hint="eastAsia" w:ascii="宋体" w:hAnsi="宋体" w:cs="宋体"/>
          <w:color w:val="auto"/>
          <w:szCs w:val="24"/>
          <w:highlight w:val="none"/>
        </w:rPr>
        <w:t>天投标文件应保持有效。有效期不足的投标文件将被拒绝。</w:t>
      </w:r>
    </w:p>
    <w:p>
      <w:pPr>
        <w:pStyle w:val="16"/>
        <w:widowControl w:val="0"/>
        <w:tabs>
          <w:tab w:val="left" w:pos="720"/>
          <w:tab w:val="clear" w:pos="390"/>
        </w:tabs>
        <w:wordWrap w:val="0"/>
        <w:overflowPunct w:val="0"/>
        <w:autoSpaceDE w:val="0"/>
        <w:autoSpaceDN w:val="0"/>
        <w:snapToGrid w:val="0"/>
        <w:spacing w:afterLines="0" w:line="360" w:lineRule="auto"/>
        <w:ind w:left="0" w:firstLine="480" w:firstLineChars="200"/>
        <w:rPr>
          <w:rFonts w:ascii="宋体" w:hAnsi="宋体" w:cs="宋体"/>
          <w:color w:val="auto"/>
          <w:szCs w:val="24"/>
          <w:highlight w:val="none"/>
        </w:rPr>
      </w:pPr>
      <w:r>
        <w:rPr>
          <w:rFonts w:hint="eastAsia" w:ascii="宋体" w:hAnsi="宋体" w:cs="宋体"/>
          <w:color w:val="auto"/>
          <w:szCs w:val="24"/>
          <w:highlight w:val="none"/>
        </w:rPr>
        <w:t>2.在特殊情况下，招标人可与投标人协商延长投标书的有效期，这种要求和答复均以书面形式进行。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color w:val="auto"/>
          <w:sz w:val="24"/>
          <w:highlight w:val="none"/>
        </w:rPr>
      </w:pPr>
      <w:r>
        <w:rPr>
          <w:rFonts w:hint="eastAsia" w:ascii="宋体" w:hAnsi="宋体" w:cs="宋体"/>
          <w:color w:val="auto"/>
          <w:sz w:val="24"/>
          <w:highlight w:val="none"/>
        </w:rPr>
        <w:t>3.中标人的投标文件自开标之日起至合同履行完毕止均应保持有效。</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（六）投标保证金：无</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bookmarkStart w:id="17" w:name="_Toc359856802"/>
      <w:r>
        <w:rPr>
          <w:rFonts w:hint="eastAsia" w:hAnsi="宋体" w:cs="宋体"/>
          <w:b/>
          <w:color w:val="auto"/>
          <w:sz w:val="24"/>
          <w:szCs w:val="24"/>
          <w:highlight w:val="none"/>
        </w:rPr>
        <w:t>（七）投标文件的签署及规定</w:t>
      </w:r>
      <w:bookmarkEnd w:id="17"/>
    </w:p>
    <w:p>
      <w:pPr>
        <w:wordWrap w:val="0"/>
        <w:overflowPunct w:val="0"/>
        <w:autoSpaceDE w:val="0"/>
        <w:autoSpaceDN w:val="0"/>
        <w:snapToGrid w:val="0"/>
        <w:spacing w:line="360" w:lineRule="auto"/>
        <w:ind w:firstLine="480" w:firstLineChars="200"/>
        <w:jc w:val="left"/>
        <w:outlineLvl w:val="1"/>
        <w:rPr>
          <w:rFonts w:ascii="宋体" w:hAnsi="宋体" w:cs="宋体"/>
          <w:bCs/>
          <w:color w:val="auto"/>
          <w:sz w:val="24"/>
          <w:highlight w:val="none"/>
        </w:rPr>
      </w:pPr>
      <w:r>
        <w:rPr>
          <w:rFonts w:hint="eastAsia" w:ascii="宋体" w:hAnsi="宋体" w:cs="宋体"/>
          <w:bCs/>
          <w:color w:val="auto"/>
          <w:sz w:val="24"/>
          <w:highlight w:val="none"/>
        </w:rPr>
        <w:t>电子投标文件按政采云平台供应商项目采购-电子招投标操作指南（网址：</w:t>
      </w:r>
      <w:r>
        <w:rPr>
          <w:color w:val="auto"/>
          <w:highlight w:val="none"/>
        </w:rPr>
        <w:fldChar w:fldCharType="begin"/>
      </w:r>
      <w:r>
        <w:rPr>
          <w:color w:val="auto"/>
          <w:highlight w:val="none"/>
        </w:rPr>
        <w:instrText xml:space="preserve"> HYPERLINK "https://help.zcy.gov.cn/web/site_2/2018/12-28/2573.html）及本招标文件规定的格式和顺序编制电子投标文件并进行关联定位。" </w:instrText>
      </w:r>
      <w:r>
        <w:rPr>
          <w:color w:val="auto"/>
          <w:highlight w:val="none"/>
        </w:rPr>
        <w:fldChar w:fldCharType="separate"/>
      </w:r>
      <w:r>
        <w:rPr>
          <w:rFonts w:hint="eastAsia" w:ascii="宋体" w:hAnsi="宋体" w:cs="宋体"/>
          <w:bCs/>
          <w:color w:val="auto"/>
          <w:sz w:val="24"/>
          <w:highlight w:val="none"/>
        </w:rPr>
        <w:t>https://service.zcygov.cn/#/knowledges/CW1EtGwBFdiHxlNd6I3m/6IMVAG0BFdiHxlNdQ8Na?keyword</w:t>
      </w:r>
      <w:r>
        <w:rPr>
          <w:rStyle w:val="79"/>
          <w:rFonts w:hint="eastAsia" w:ascii="宋体" w:hAnsi="宋体" w:cs="宋体"/>
          <w:bCs/>
          <w:color w:val="auto"/>
          <w:sz w:val="24"/>
          <w:highlight w:val="none"/>
        </w:rPr>
        <w:t>）及本招标文件规定的格式和顺序编制电子投标文件并进行关联定位。</w:t>
      </w:r>
      <w:r>
        <w:rPr>
          <w:rStyle w:val="79"/>
          <w:rFonts w:hint="eastAsia" w:ascii="宋体" w:hAnsi="宋体" w:cs="宋体"/>
          <w:bCs/>
          <w:color w:val="auto"/>
          <w:sz w:val="24"/>
          <w:highlight w:val="none"/>
        </w:rPr>
        <w:fldChar w:fldCharType="end"/>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bookmarkStart w:id="18" w:name="_Toc356371437"/>
      <w:bookmarkStart w:id="19" w:name="_Toc359856803"/>
      <w:r>
        <w:rPr>
          <w:rFonts w:hint="eastAsia" w:hAnsi="宋体" w:cs="宋体"/>
          <w:b/>
          <w:color w:val="auto"/>
          <w:sz w:val="24"/>
          <w:szCs w:val="24"/>
          <w:highlight w:val="none"/>
        </w:rPr>
        <w:t>（八）投标文件的递交</w:t>
      </w:r>
      <w:bookmarkEnd w:id="18"/>
      <w:bookmarkEnd w:id="19"/>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（1）</w:t>
      </w:r>
      <w:r>
        <w:rPr>
          <w:rFonts w:hint="eastAsia" w:ascii="宋体" w:hAnsi="宋体" w:cs="宋体"/>
          <w:color w:val="auto"/>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（2）</w:t>
      </w:r>
      <w:r>
        <w:rPr>
          <w:rFonts w:hint="eastAsia" w:ascii="宋体" w:hAnsi="宋体" w:cs="宋体"/>
          <w:color w:val="auto"/>
          <w:sz w:val="24"/>
          <w:highlight w:val="none"/>
        </w:rPr>
        <w:t>备份投标文件须在“政采云投标客户端”制作生成，并储存在</w:t>
      </w:r>
      <w:r>
        <w:rPr>
          <w:rFonts w:hint="eastAsia" w:ascii="宋体" w:hAnsi="宋体" w:cs="宋体"/>
          <w:b/>
          <w:bCs/>
          <w:color w:val="auto"/>
          <w:sz w:val="24"/>
          <w:highlight w:val="none"/>
        </w:rPr>
        <w:t>（U盘）</w:t>
      </w:r>
      <w:r>
        <w:rPr>
          <w:rFonts w:hint="eastAsia" w:ascii="宋体" w:hAnsi="宋体" w:cs="宋体"/>
          <w:color w:val="auto"/>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（3）</w:t>
      </w:r>
      <w:r>
        <w:rPr>
          <w:rFonts w:hint="eastAsia" w:ascii="宋体" w:hAnsi="宋体" w:cs="宋体"/>
          <w:color w:val="auto"/>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（4）</w:t>
      </w:r>
      <w:r>
        <w:rPr>
          <w:rFonts w:hint="eastAsia" w:ascii="宋体" w:hAnsi="宋体" w:cs="宋体"/>
          <w:color w:val="auto"/>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（5）</w:t>
      </w:r>
      <w:r>
        <w:rPr>
          <w:rFonts w:hint="eastAsia" w:ascii="宋体" w:hAnsi="宋体" w:cs="宋体"/>
          <w:color w:val="auto"/>
          <w:sz w:val="24"/>
          <w:highlight w:val="none"/>
        </w:rPr>
        <w:t>投标人仅提交备份投标文件，没有在电子交易平台传输递交投标文件的，投标无效。</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3"/>
        </w:numPr>
        <w:wordWrap w:val="0"/>
        <w:overflowPunct w:val="0"/>
        <w:autoSpaceDE w:val="0"/>
        <w:autoSpaceDN w:val="0"/>
        <w:snapToGrid w:val="0"/>
        <w:spacing w:line="360" w:lineRule="auto"/>
        <w:ind w:firstLine="466" w:firstLineChars="200"/>
        <w:jc w:val="left"/>
        <w:rPr>
          <w:rFonts w:ascii="宋体" w:hAnsi="宋体" w:cs="宋体"/>
          <w:b/>
          <w:bCs/>
          <w:color w:val="auto"/>
          <w:sz w:val="24"/>
          <w:highlight w:val="none"/>
        </w:rPr>
      </w:pPr>
      <w:r>
        <w:rPr>
          <w:rFonts w:hint="eastAsia" w:ascii="宋体" w:hAnsi="宋体" w:cs="宋体"/>
          <w:b/>
          <w:bCs/>
          <w:color w:val="auto"/>
          <w:spacing w:val="-4"/>
          <w:sz w:val="24"/>
          <w:highlight w:val="none"/>
        </w:rPr>
        <w:t>电</w:t>
      </w:r>
      <w:r>
        <w:rPr>
          <w:rFonts w:hint="eastAsia" w:ascii="宋体" w:hAnsi="宋体" w:cs="宋体"/>
          <w:b/>
          <w:bCs/>
          <w:color w:val="auto"/>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（4）投标文件无法定代表人签字（或盖章）,或未</w:t>
      </w:r>
      <w:r>
        <w:rPr>
          <w:rFonts w:hint="eastAsia" w:ascii="宋体" w:hAnsi="宋体" w:cs="宋体"/>
          <w:bCs/>
          <w:color w:val="auto"/>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（6）投标文件项目不齐全或者内容虚假的；</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7）</w:t>
      </w:r>
      <w:r>
        <w:rPr>
          <w:rFonts w:hint="eastAsia" w:cs="宋体"/>
          <w:color w:val="auto"/>
          <w:highlight w:val="none"/>
        </w:rPr>
        <w:t>投标文件的实质性内容未使用中文表述、意思表述不明确、前后矛盾或者使用计量单位不符合招标文件要求的（经评标委员会认定并允许其当场更正的笔误除外）；</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（8）</w:t>
      </w:r>
      <w:r>
        <w:rPr>
          <w:rFonts w:hint="eastAsia" w:cs="宋体"/>
          <w:snapToGrid w:val="0"/>
          <w:color w:val="auto"/>
          <w:highlight w:val="none"/>
        </w:rPr>
        <w:t>投标有效期、服务期等商务条款不能满足招标文件要求的；</w:t>
      </w:r>
    </w:p>
    <w:p>
      <w:pPr>
        <w:pStyle w:val="26"/>
        <w:wordWrap w:val="0"/>
        <w:overflowPunct w:val="0"/>
        <w:autoSpaceDE w:val="0"/>
        <w:autoSpaceDN w:val="0"/>
        <w:snapToGrid w:val="0"/>
        <w:spacing w:line="360" w:lineRule="auto"/>
        <w:rPr>
          <w:rFonts w:cs="宋体"/>
          <w:snapToGrid w:val="0"/>
          <w:color w:val="auto"/>
          <w:highlight w:val="none"/>
        </w:rPr>
      </w:pPr>
      <w:r>
        <w:rPr>
          <w:rFonts w:hint="eastAsia" w:cs="宋体"/>
          <w:color w:val="auto"/>
          <w:highlight w:val="none"/>
        </w:rPr>
        <w:t>（</w:t>
      </w:r>
      <w:r>
        <w:rPr>
          <w:rFonts w:hint="eastAsia" w:cs="宋体"/>
          <w:snapToGrid w:val="0"/>
          <w:color w:val="auto"/>
          <w:highlight w:val="none"/>
        </w:rPr>
        <w:t>9）</w:t>
      </w:r>
      <w:r>
        <w:rPr>
          <w:rFonts w:hint="eastAsia" w:cs="宋体"/>
          <w:color w:val="auto"/>
          <w:highlight w:val="none"/>
        </w:rPr>
        <w:t>未实质性响应招标文件要求或者投标文件有招标方不能接受的附加条件的</w:t>
      </w:r>
      <w:r>
        <w:rPr>
          <w:rFonts w:hint="eastAsia" w:cs="宋体"/>
          <w:snapToGrid w:val="0"/>
          <w:color w:val="auto"/>
          <w:highlight w:val="none"/>
        </w:rPr>
        <w:t>；</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（10）不符合本采购文件中的实质性要求条款</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4.在技术评审时，如发现下列情形之一的，投标文件将被视为无效：</w:t>
      </w:r>
    </w:p>
    <w:p>
      <w:pPr>
        <w:pStyle w:val="26"/>
        <w:snapToGrid w:val="0"/>
        <w:spacing w:line="360" w:lineRule="auto"/>
        <w:ind w:firstLine="470" w:firstLineChars="196"/>
        <w:rPr>
          <w:rFonts w:cs="宋体"/>
          <w:color w:val="auto"/>
          <w:highlight w:val="none"/>
        </w:rPr>
      </w:pPr>
      <w:r>
        <w:rPr>
          <w:rFonts w:hint="eastAsia" w:cs="宋体"/>
          <w:color w:val="auto"/>
          <w:highlight w:val="none"/>
        </w:rPr>
        <w:t>（1）投标文件标明的响应或偏离与事实不符或虚假投标的；</w:t>
      </w:r>
    </w:p>
    <w:p>
      <w:pPr>
        <w:pStyle w:val="26"/>
        <w:snapToGrid w:val="0"/>
        <w:spacing w:line="360" w:lineRule="auto"/>
        <w:ind w:firstLine="470" w:firstLineChars="196"/>
        <w:rPr>
          <w:rFonts w:cs="宋体"/>
          <w:color w:val="auto"/>
          <w:highlight w:val="none"/>
        </w:rPr>
      </w:pPr>
      <w:r>
        <w:rPr>
          <w:rFonts w:hint="eastAsia" w:cs="宋体"/>
          <w:color w:val="auto"/>
          <w:highlight w:val="none"/>
        </w:rPr>
        <w:t>（2）明显不符合采购文件要求的服务内容，或者与采购文件中标“▲”的服务需求、主要功能项目发生实质性偏离的；</w:t>
      </w:r>
    </w:p>
    <w:p>
      <w:pPr>
        <w:pStyle w:val="26"/>
        <w:snapToGrid w:val="0"/>
        <w:spacing w:line="360" w:lineRule="auto"/>
        <w:ind w:firstLine="470" w:firstLineChars="196"/>
        <w:rPr>
          <w:rFonts w:cs="宋体"/>
          <w:color w:val="auto"/>
          <w:highlight w:val="none"/>
        </w:rPr>
      </w:pPr>
      <w:r>
        <w:rPr>
          <w:rFonts w:hint="eastAsia" w:cs="宋体"/>
          <w:color w:val="auto"/>
          <w:highlight w:val="none"/>
        </w:rPr>
        <w:t>（3）投标技术方案不明确，存在一个或一个以上备选（替代）投标方案的；</w:t>
      </w:r>
    </w:p>
    <w:p>
      <w:pPr>
        <w:pStyle w:val="26"/>
        <w:snapToGrid w:val="0"/>
        <w:spacing w:line="360" w:lineRule="auto"/>
        <w:ind w:firstLine="470" w:firstLineChars="196"/>
        <w:rPr>
          <w:color w:val="auto"/>
          <w:highlight w:val="none"/>
        </w:rPr>
      </w:pPr>
      <w:r>
        <w:rPr>
          <w:rFonts w:hint="eastAsia" w:cs="宋体"/>
          <w:color w:val="auto"/>
          <w:highlight w:val="none"/>
        </w:rPr>
        <w:t>（4）与其他参加本次投标供应商的投标文件（技术文件）的文字表述内容相同连续20行以上或者差错相同2处以上的</w:t>
      </w:r>
      <w:r>
        <w:rPr>
          <w:rFonts w:hint="eastAsia"/>
          <w:color w:val="auto"/>
          <w:highlight w:val="none"/>
        </w:rPr>
        <w:t>。</w:t>
      </w:r>
    </w:p>
    <w:p>
      <w:pPr>
        <w:pStyle w:val="26"/>
        <w:wordWrap w:val="0"/>
        <w:overflowPunct w:val="0"/>
        <w:autoSpaceDE w:val="0"/>
        <w:autoSpaceDN w:val="0"/>
        <w:snapToGrid w:val="0"/>
        <w:spacing w:line="360" w:lineRule="auto"/>
        <w:rPr>
          <w:rFonts w:cs="宋体"/>
          <w:color w:val="auto"/>
          <w:highlight w:val="none"/>
        </w:rPr>
      </w:pPr>
      <w:r>
        <w:rPr>
          <w:rFonts w:hint="eastAsia"/>
          <w:color w:val="auto"/>
          <w:highlight w:val="none"/>
        </w:rPr>
        <w:t>（5）不符合本采购文件中的实质性要求条款</w:t>
      </w:r>
      <w:r>
        <w:rPr>
          <w:rFonts w:hint="eastAsia" w:cs="宋体"/>
          <w:color w:val="auto"/>
          <w:highlight w:val="none"/>
        </w:rPr>
        <w:t>；</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5.在报价评审时，如发现下列情形之一的，投标文件将被视为无效：</w:t>
      </w:r>
    </w:p>
    <w:p>
      <w:pPr>
        <w:pStyle w:val="26"/>
        <w:snapToGrid w:val="0"/>
        <w:spacing w:line="360" w:lineRule="auto"/>
        <w:rPr>
          <w:color w:val="auto"/>
          <w:highlight w:val="none"/>
        </w:rPr>
      </w:pPr>
      <w:r>
        <w:rPr>
          <w:rFonts w:hint="eastAsia"/>
          <w:color w:val="auto"/>
          <w:highlight w:val="none"/>
        </w:rPr>
        <w:t>（1）未采用人民币报价或者未按照采购文件标明的币种报价的；</w:t>
      </w:r>
    </w:p>
    <w:p>
      <w:pPr>
        <w:pStyle w:val="26"/>
        <w:snapToGrid w:val="0"/>
        <w:spacing w:line="360" w:lineRule="auto"/>
        <w:rPr>
          <w:color w:val="auto"/>
          <w:highlight w:val="none"/>
        </w:rPr>
      </w:pPr>
      <w:r>
        <w:rPr>
          <w:rFonts w:hint="eastAsia"/>
          <w:color w:val="auto"/>
          <w:highlight w:val="none"/>
        </w:rPr>
        <w:t>（2）投标报价具有选择性，或者开标价格与投标文件承诺的优惠（折扣）价格不一致的；</w:t>
      </w:r>
    </w:p>
    <w:p>
      <w:pPr>
        <w:pStyle w:val="26"/>
        <w:snapToGrid w:val="0"/>
        <w:spacing w:line="360" w:lineRule="auto"/>
        <w:rPr>
          <w:color w:val="auto"/>
          <w:highlight w:val="none"/>
        </w:rPr>
      </w:pPr>
      <w:r>
        <w:rPr>
          <w:rFonts w:hint="eastAsia"/>
          <w:color w:val="auto"/>
          <w:highlight w:val="none"/>
        </w:rPr>
        <w:t>（3）报价文件内容与商务、技术文件内容严重不一致，评标委员会无法评审的；</w:t>
      </w:r>
    </w:p>
    <w:p>
      <w:pPr>
        <w:pStyle w:val="26"/>
        <w:snapToGrid w:val="0"/>
        <w:spacing w:line="360" w:lineRule="auto"/>
        <w:rPr>
          <w:color w:val="auto"/>
          <w:highlight w:val="none"/>
        </w:rPr>
      </w:pPr>
      <w:r>
        <w:rPr>
          <w:rFonts w:hint="eastAsia"/>
          <w:color w:val="auto"/>
          <w:highlight w:val="none"/>
        </w:rPr>
        <w:t>（4）评标委员会认定属投标人自身原因有重大漏项的。</w:t>
      </w:r>
    </w:p>
    <w:p>
      <w:pPr>
        <w:pStyle w:val="26"/>
        <w:snapToGrid w:val="0"/>
        <w:spacing w:line="360" w:lineRule="auto"/>
        <w:rPr>
          <w:color w:val="auto"/>
          <w:highlight w:val="none"/>
        </w:rPr>
      </w:pPr>
      <w:r>
        <w:rPr>
          <w:rFonts w:hint="eastAsia"/>
          <w:color w:val="auto"/>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6"/>
        <w:snapToGrid w:val="0"/>
        <w:spacing w:line="360" w:lineRule="auto"/>
        <w:rPr>
          <w:color w:val="auto"/>
          <w:highlight w:val="none"/>
        </w:rPr>
      </w:pPr>
      <w:r>
        <w:rPr>
          <w:rFonts w:hint="eastAsia"/>
          <w:color w:val="auto"/>
          <w:highlight w:val="none"/>
        </w:rPr>
        <w:t>（6）报价超过采购文件中规定的预算金额或者最高限价的。</w:t>
      </w:r>
    </w:p>
    <w:p>
      <w:pPr>
        <w:pStyle w:val="26"/>
        <w:snapToGrid w:val="0"/>
        <w:spacing w:line="360" w:lineRule="auto"/>
        <w:rPr>
          <w:color w:val="auto"/>
          <w:highlight w:val="none"/>
        </w:rPr>
      </w:pPr>
      <w:r>
        <w:rPr>
          <w:rFonts w:hint="eastAsia"/>
          <w:color w:val="auto"/>
          <w:highlight w:val="none"/>
        </w:rPr>
        <w:t>（7）报价文件无法定代表人或授权代表签字（或盖章）的；</w:t>
      </w:r>
    </w:p>
    <w:p>
      <w:pPr>
        <w:pStyle w:val="26"/>
        <w:snapToGrid w:val="0"/>
        <w:spacing w:line="360" w:lineRule="auto"/>
        <w:rPr>
          <w:color w:val="auto"/>
          <w:highlight w:val="none"/>
        </w:rPr>
      </w:pPr>
      <w:r>
        <w:rPr>
          <w:rFonts w:hint="eastAsia"/>
          <w:color w:val="auto"/>
          <w:highlight w:val="none"/>
        </w:rPr>
        <w:t>（8）报价文件格式不规范、项目不齐全或者内容虚假的；</w:t>
      </w:r>
    </w:p>
    <w:p>
      <w:pPr>
        <w:pStyle w:val="26"/>
        <w:snapToGrid w:val="0"/>
        <w:spacing w:line="360" w:lineRule="auto"/>
        <w:rPr>
          <w:color w:val="auto"/>
          <w:highlight w:val="none"/>
        </w:rPr>
      </w:pPr>
      <w:r>
        <w:rPr>
          <w:rFonts w:hint="eastAsia"/>
          <w:color w:val="auto"/>
          <w:highlight w:val="none"/>
        </w:rPr>
        <w:t>（9）报价文件的实质性内容未使用中文表述、意思表述不明确、前后矛盾或者使用计量单位不符合招标文件要求的（经评标委员会认定并允许其当场更正的笔误除外）；</w:t>
      </w:r>
    </w:p>
    <w:p>
      <w:pPr>
        <w:pStyle w:val="26"/>
        <w:snapToGrid w:val="0"/>
        <w:spacing w:line="360" w:lineRule="auto"/>
        <w:rPr>
          <w:color w:val="auto"/>
          <w:highlight w:val="none"/>
        </w:rPr>
      </w:pPr>
      <w:r>
        <w:rPr>
          <w:rFonts w:hint="eastAsia"/>
          <w:color w:val="auto"/>
          <w:highlight w:val="none"/>
        </w:rPr>
        <w:t>（10）未实质性响应采购文件要求或者投标文件有采购方不能接受的附加条件的。</w:t>
      </w:r>
    </w:p>
    <w:p>
      <w:pPr>
        <w:pStyle w:val="26"/>
        <w:wordWrap w:val="0"/>
        <w:overflowPunct w:val="0"/>
        <w:autoSpaceDE w:val="0"/>
        <w:autoSpaceDN w:val="0"/>
        <w:snapToGrid w:val="0"/>
        <w:spacing w:line="360" w:lineRule="auto"/>
        <w:rPr>
          <w:rFonts w:cs="宋体"/>
          <w:color w:val="auto"/>
          <w:highlight w:val="none"/>
        </w:rPr>
      </w:pPr>
      <w:r>
        <w:rPr>
          <w:rFonts w:hint="eastAsia"/>
          <w:color w:val="auto"/>
          <w:highlight w:val="none"/>
        </w:rPr>
        <w:t>（11）不符合本采购文件中的实质性要求条款</w:t>
      </w:r>
      <w:r>
        <w:rPr>
          <w:rFonts w:hint="eastAsia" w:cs="宋体"/>
          <w:color w:val="auto"/>
          <w:highlight w:val="none"/>
        </w:rPr>
        <w:t>；</w:t>
      </w:r>
    </w:p>
    <w:p>
      <w:pPr>
        <w:pStyle w:val="26"/>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6.被拒绝的投标文件为无效；</w:t>
      </w:r>
    </w:p>
    <w:p>
      <w:pPr>
        <w:pStyle w:val="26"/>
        <w:wordWrap w:val="0"/>
        <w:overflowPunct w:val="0"/>
        <w:autoSpaceDE w:val="0"/>
        <w:autoSpaceDN w:val="0"/>
        <w:snapToGrid w:val="0"/>
        <w:spacing w:line="360" w:lineRule="auto"/>
        <w:ind w:firstLine="482"/>
        <w:rPr>
          <w:rFonts w:cs="宋体"/>
          <w:b/>
          <w:color w:val="auto"/>
          <w:highlight w:val="none"/>
        </w:rPr>
      </w:pPr>
      <w:r>
        <w:rPr>
          <w:rFonts w:hint="eastAsia" w:cs="宋体"/>
          <w:b/>
          <w:color w:val="auto"/>
          <w:highlight w:val="none"/>
        </w:rPr>
        <w:t>7.存在带“▲”条款的负偏离的；</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8.本招标文件其他部分已规定为无效标的情形；</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9.评标专家认定的其他必须按无效标处理的。</w:t>
      </w:r>
    </w:p>
    <w:p>
      <w:pPr>
        <w:pStyle w:val="26"/>
        <w:wordWrap w:val="0"/>
        <w:overflowPunct w:val="0"/>
        <w:autoSpaceDE w:val="0"/>
        <w:autoSpaceDN w:val="0"/>
        <w:snapToGrid w:val="0"/>
        <w:spacing w:line="360" w:lineRule="auto"/>
        <w:ind w:firstLine="482"/>
        <w:rPr>
          <w:rFonts w:cs="宋体"/>
          <w:b/>
          <w:bCs/>
          <w:color w:val="auto"/>
          <w:highlight w:val="none"/>
        </w:rPr>
      </w:pPr>
      <w:r>
        <w:rPr>
          <w:rFonts w:hint="eastAsia" w:cs="宋体"/>
          <w:b/>
          <w:bCs/>
          <w:color w:val="auto"/>
          <w:highlight w:val="none"/>
        </w:rPr>
        <w:t>（十）出现以下情形，导致电子交易平台无法正常运行，或者无法保证电子交易的公平、公正和安全时，中止电子交易活动：</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1.电子交易平台发生故障而无法登录访问的；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2.电子交易平台应用或数据库出现错误，不能进行正常操作的；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3.电子交易平台发现严重安全漏洞，有潜在泄密危险的；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4.病毒发作导致不能进行正常操作的；</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5.其他无法保证电子交易的公平、公正和安全的情况。</w:t>
      </w:r>
    </w:p>
    <w:p>
      <w:pPr>
        <w:pStyle w:val="26"/>
        <w:wordWrap w:val="0"/>
        <w:overflowPunct w:val="0"/>
        <w:autoSpaceDE w:val="0"/>
        <w:autoSpaceDN w:val="0"/>
        <w:snapToGrid w:val="0"/>
        <w:spacing w:line="360" w:lineRule="auto"/>
        <w:rPr>
          <w:rFonts w:cs="宋体"/>
          <w:color w:val="auto"/>
          <w:highlight w:val="none"/>
        </w:rPr>
      </w:pPr>
      <w:r>
        <w:rPr>
          <w:rFonts w:hint="eastAsia" w:cs="宋体"/>
          <w:color w:val="auto"/>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5"/>
        <w:wordWrap w:val="0"/>
        <w:overflowPunct w:val="0"/>
        <w:autoSpaceDE w:val="0"/>
        <w:autoSpaceDN w:val="0"/>
        <w:snapToGrid w:val="0"/>
        <w:spacing w:line="360" w:lineRule="auto"/>
        <w:outlineLvl w:val="0"/>
        <w:rPr>
          <w:rFonts w:hAnsi="宋体" w:cs="宋体"/>
          <w:b/>
          <w:color w:val="auto"/>
          <w:sz w:val="28"/>
          <w:szCs w:val="28"/>
          <w:highlight w:val="none"/>
        </w:rPr>
      </w:pPr>
      <w:r>
        <w:rPr>
          <w:rFonts w:hint="eastAsia" w:hAnsi="宋体" w:cs="宋体"/>
          <w:b/>
          <w:color w:val="auto"/>
          <w:sz w:val="28"/>
          <w:szCs w:val="28"/>
          <w:highlight w:val="none"/>
        </w:rPr>
        <w:t>四、开标</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color w:val="auto"/>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2.宣布评标纪律；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10.处理与评标有关的其他事项。</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（三）开标程序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4.电子投标文件开标:</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（4）在系统上公开报价开标情况；</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（5）评标委员会对报价情况进行评审；</w:t>
      </w:r>
    </w:p>
    <w:p>
      <w:pPr>
        <w:wordWrap w:val="0"/>
        <w:overflowPunct w:val="0"/>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特别说明：政采云公司如对电子化开标及评审程序有调整的，按调整后的程序操作。</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五、评标</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（一）</w:t>
      </w:r>
      <w:r>
        <w:rPr>
          <w:rFonts w:hint="eastAsia" w:hAnsi="宋体" w:cs="宋体"/>
          <w:b/>
          <w:bCs/>
          <w:color w:val="auto"/>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u w:val="single"/>
        </w:rPr>
        <w:t>除采购人代表、评标现场组织人员外，采购人的其他工作人员以及与评标工作无关的人员不得进入评标现场。</w:t>
      </w:r>
    </w:p>
    <w:p>
      <w:pPr>
        <w:pStyle w:val="35"/>
        <w:wordWrap w:val="0"/>
        <w:overflowPunct w:val="0"/>
        <w:autoSpaceDE w:val="0"/>
        <w:autoSpaceDN w:val="0"/>
        <w:snapToGrid w:val="0"/>
        <w:spacing w:line="360" w:lineRule="auto"/>
        <w:rPr>
          <w:rFonts w:hAnsi="宋体" w:cs="宋体"/>
          <w:b/>
          <w:bCs/>
          <w:color w:val="auto"/>
          <w:sz w:val="24"/>
          <w:szCs w:val="24"/>
          <w:highlight w:val="none"/>
        </w:rPr>
      </w:pPr>
      <w:r>
        <w:rPr>
          <w:rFonts w:hint="eastAsia" w:hAnsi="宋体" w:cs="宋体"/>
          <w:b/>
          <w:color w:val="auto"/>
          <w:sz w:val="24"/>
          <w:szCs w:val="24"/>
          <w:highlight w:val="none"/>
        </w:rPr>
        <w:t>（二）</w:t>
      </w:r>
      <w:r>
        <w:rPr>
          <w:rFonts w:hint="eastAsia" w:hAnsi="宋体" w:cs="宋体"/>
          <w:b/>
          <w:bCs/>
          <w:color w:val="auto"/>
          <w:sz w:val="24"/>
          <w:szCs w:val="24"/>
          <w:highlight w:val="none"/>
        </w:rPr>
        <w:t>评标的方式</w:t>
      </w:r>
    </w:p>
    <w:p>
      <w:pPr>
        <w:pStyle w:val="35"/>
        <w:wordWrap w:val="0"/>
        <w:overflowPunct w:val="0"/>
        <w:autoSpaceDE w:val="0"/>
        <w:autoSpaceDN w:val="0"/>
        <w:snapToGrid w:val="0"/>
        <w:spacing w:line="360" w:lineRule="auto"/>
        <w:rPr>
          <w:rFonts w:hAnsi="宋体" w:cs="宋体"/>
          <w:color w:val="auto"/>
          <w:sz w:val="24"/>
          <w:szCs w:val="24"/>
          <w:highlight w:val="none"/>
        </w:rPr>
      </w:pPr>
      <w:r>
        <w:rPr>
          <w:rFonts w:hint="eastAsia" w:hAnsi="宋体" w:cs="宋体"/>
          <w:color w:val="auto"/>
          <w:sz w:val="24"/>
          <w:szCs w:val="24"/>
          <w:highlight w:val="none"/>
        </w:rPr>
        <w:t xml:space="preserve">     本项目采用不公开方式评标，评标的依据为招标文件和投标文件。</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（5）评标委员会完成评标后,评委对各部分得分汇总,计算出本项目最终得分、性价比、评标价等。评标委员会按评标原则推荐中标候选人同时起草评标报告。</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2.如果供应商代表拒绝或未按评标委员会要求在“政采云”平台作出在线回复且无其他有效回复方式的，评标委员会可以对其作出无效标处理。</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（五）</w:t>
      </w:r>
      <w:r>
        <w:rPr>
          <w:rFonts w:hint="eastAsia" w:hAnsi="宋体" w:cs="宋体"/>
          <w:b/>
          <w:bCs/>
          <w:color w:val="auto"/>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5.电子投标流程中，客户端填写的报价与以pdf格式上传文件中的报价不一致的，应以Pdf格式上传文件中的报价为准。</w:t>
      </w:r>
    </w:p>
    <w:p>
      <w:pPr>
        <w:pStyle w:val="35"/>
        <w:wordWrap w:val="0"/>
        <w:overflowPunct w:val="0"/>
        <w:autoSpaceDE w:val="0"/>
        <w:autoSpaceDN w:val="0"/>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（六）</w:t>
      </w:r>
      <w:r>
        <w:rPr>
          <w:rFonts w:hint="eastAsia" w:hAnsi="宋体" w:cs="宋体"/>
          <w:b/>
          <w:bCs/>
          <w:color w:val="auto"/>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2.评标办法。本项目评标办法是</w:t>
      </w:r>
      <w:r>
        <w:rPr>
          <w:rFonts w:hint="eastAsia" w:ascii="宋体" w:hAnsi="宋体" w:cs="宋体"/>
          <w:color w:val="auto"/>
          <w:sz w:val="24"/>
          <w:highlight w:val="none"/>
          <w:u w:val="single"/>
        </w:rPr>
        <w:t xml:space="preserve"> 综合评分法 </w:t>
      </w:r>
      <w:r>
        <w:rPr>
          <w:rFonts w:hint="eastAsia" w:ascii="宋体" w:hAnsi="宋体" w:cs="宋体"/>
          <w:color w:val="auto"/>
          <w:sz w:val="24"/>
          <w:highlight w:val="none"/>
        </w:rPr>
        <w:t>，具体评标内容及评分标准等详见《第四章：评标办法及评分标准》。</w:t>
      </w:r>
    </w:p>
    <w:p>
      <w:pPr>
        <w:pStyle w:val="35"/>
        <w:wordWrap w:val="0"/>
        <w:overflowPunct w:val="0"/>
        <w:autoSpaceDE w:val="0"/>
        <w:autoSpaceDN w:val="0"/>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（七）</w:t>
      </w:r>
      <w:r>
        <w:rPr>
          <w:rFonts w:hint="eastAsia" w:hAnsi="宋体" w:cs="宋体"/>
          <w:b/>
          <w:bCs/>
          <w:color w:val="auto"/>
          <w:sz w:val="24"/>
          <w:szCs w:val="24"/>
          <w:highlight w:val="none"/>
        </w:rPr>
        <w:t>评标过程的监控</w:t>
      </w:r>
    </w:p>
    <w:p>
      <w:pPr>
        <w:pStyle w:val="35"/>
        <w:wordWrap w:val="0"/>
        <w:overflowPunct w:val="0"/>
        <w:autoSpaceDE w:val="0"/>
        <w:autoSpaceDN w:val="0"/>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3.采购人依法确定中标人后2个工作日内，采购代理机构以书面形式发出《中标通知书》,并同时在相关网站上发布中标公告。</w:t>
      </w:r>
    </w:p>
    <w:p>
      <w:pPr>
        <w:pStyle w:val="35"/>
        <w:wordWrap w:val="0"/>
        <w:overflowPunct w:val="0"/>
        <w:autoSpaceDE w:val="0"/>
        <w:autoSpaceDN w:val="0"/>
        <w:snapToGrid w:val="0"/>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七、合同授予</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2.中标人拖延、拒签合同的,将被列入不良行为记录或黑名单，由此产生的一切不利后果由中标人自行承担。</w:t>
      </w:r>
    </w:p>
    <w:p>
      <w:pPr>
        <w:pStyle w:val="35"/>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八、终止招标</w:t>
      </w:r>
    </w:p>
    <w:p>
      <w:pPr>
        <w:pStyle w:val="35"/>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终止招标的，采购人或者采购代理机构应当及时在原公告发布媒体上发布终止公告，并将项目实施情况和采购任务取消原因报告本级财政部门。</w:t>
      </w:r>
      <w:bookmarkStart w:id="20" w:name="_Toc2572"/>
    </w:p>
    <w:p>
      <w:pPr>
        <w:pStyle w:val="35"/>
        <w:snapToGrid w:val="0"/>
        <w:spacing w:line="360" w:lineRule="auto"/>
        <w:rPr>
          <w:rFonts w:hAnsi="宋体" w:cs="宋体"/>
          <w:b/>
          <w:sz w:val="24"/>
          <w:szCs w:val="24"/>
          <w:highlight w:val="none"/>
        </w:rPr>
      </w:pPr>
      <w:r>
        <w:rPr>
          <w:rFonts w:hint="eastAsia" w:hAnsi="宋体" w:cs="宋体"/>
          <w:b/>
          <w:sz w:val="24"/>
          <w:szCs w:val="24"/>
          <w:highlight w:val="none"/>
        </w:rPr>
        <w:t>九、招标代理费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2、中标人应在收取《中标通知书》时向采购代理机构交纳招标代理服务费，服务费的收费标准按国家计委(计价格[2011]534号)文规定计算:</w:t>
      </w:r>
    </w:p>
    <w:tbl>
      <w:tblPr>
        <w:tblStyle w:val="65"/>
        <w:tblW w:w="430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服务招标收费费率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1.50%</w:t>
            </w:r>
          </w:p>
        </w:tc>
      </w:tr>
    </w:tbl>
    <w:p>
      <w:pPr>
        <w:snapToGrid w:val="0"/>
        <w:spacing w:line="360" w:lineRule="auto"/>
        <w:ind w:firstLine="420"/>
        <w:jc w:val="left"/>
        <w:rPr>
          <w:rFonts w:ascii="宋体" w:hAnsi="宋体"/>
          <w:color w:val="auto"/>
          <w:sz w:val="24"/>
          <w:highlight w:val="none"/>
        </w:rPr>
      </w:pPr>
      <w:r>
        <w:rPr>
          <w:rFonts w:hint="eastAsia" w:ascii="宋体" w:hAnsi="宋体"/>
          <w:color w:val="auto"/>
          <w:sz w:val="24"/>
          <w:highlight w:val="none"/>
        </w:rPr>
        <w:t>例如：某项目服务类招标代理业务中标金额为</w:t>
      </w:r>
      <w:r>
        <w:rPr>
          <w:rFonts w:hint="eastAsia" w:ascii="宋体" w:hAnsi="宋体"/>
          <w:color w:val="auto"/>
          <w:sz w:val="24"/>
          <w:highlight w:val="none"/>
          <w:lang w:val="en-US" w:eastAsia="zh-CN"/>
        </w:rPr>
        <w:t>40</w:t>
      </w:r>
      <w:r>
        <w:rPr>
          <w:rFonts w:hint="eastAsia" w:ascii="宋体" w:hAnsi="宋体"/>
          <w:color w:val="auto"/>
          <w:sz w:val="24"/>
          <w:highlight w:val="none"/>
        </w:rPr>
        <w:t>万元，计算中标服务费收费额如下：</w:t>
      </w:r>
    </w:p>
    <w:p>
      <w:pPr>
        <w:snapToGrid w:val="0"/>
        <w:spacing w:line="360" w:lineRule="auto"/>
        <w:ind w:firstLine="960" w:firstLineChars="400"/>
        <w:jc w:val="left"/>
        <w:textAlignment w:val="baseline"/>
        <w:rPr>
          <w:rStyle w:val="971"/>
          <w:rFonts w:ascii="宋体" w:hAnsi="宋体"/>
          <w:color w:val="auto"/>
          <w:sz w:val="24"/>
          <w:highlight w:val="none"/>
        </w:rPr>
      </w:pPr>
      <w:r>
        <w:rPr>
          <w:rStyle w:val="970"/>
          <w:rFonts w:hint="eastAsia" w:ascii="宋体" w:hAnsi="宋体"/>
          <w:color w:val="auto"/>
          <w:sz w:val="24"/>
          <w:highlight w:val="none"/>
          <w:lang w:val="en-US"/>
        </w:rPr>
        <w:t>40</w:t>
      </w:r>
      <w:r>
        <w:rPr>
          <w:rStyle w:val="970"/>
          <w:rFonts w:ascii="宋体" w:hAnsi="宋体"/>
          <w:color w:val="auto"/>
          <w:sz w:val="24"/>
          <w:highlight w:val="none"/>
        </w:rPr>
        <w:t>万元×1.5%=</w:t>
      </w:r>
      <w:r>
        <w:rPr>
          <w:rStyle w:val="970"/>
          <w:rFonts w:hint="eastAsia" w:ascii="宋体" w:hAnsi="宋体"/>
          <w:color w:val="auto"/>
          <w:sz w:val="24"/>
          <w:highlight w:val="none"/>
          <w:lang w:val="en-US"/>
        </w:rPr>
        <w:t>6000</w:t>
      </w:r>
      <w:r>
        <w:rPr>
          <w:rStyle w:val="970"/>
          <w:rFonts w:ascii="宋体" w:hAnsi="宋体"/>
          <w:color w:val="auto"/>
          <w:sz w:val="24"/>
          <w:highlight w:val="none"/>
        </w:rPr>
        <w:t>元</w:t>
      </w:r>
    </w:p>
    <w:p>
      <w:pPr>
        <w:snapToGrid w:val="0"/>
        <w:spacing w:line="360" w:lineRule="auto"/>
        <w:ind w:firstLine="600" w:firstLineChars="250"/>
        <w:jc w:val="left"/>
        <w:rPr>
          <w:rFonts w:ascii="宋体" w:hAnsi="宋体"/>
          <w:bCs/>
          <w:color w:val="auto"/>
          <w:sz w:val="24"/>
          <w:highlight w:val="none"/>
          <w:lang w:val="zh-CN"/>
        </w:rPr>
      </w:pPr>
      <w:r>
        <w:rPr>
          <w:rFonts w:hint="eastAsia" w:ascii="宋体" w:hAnsi="宋体"/>
          <w:color w:val="auto"/>
          <w:sz w:val="24"/>
          <w:highlight w:val="none"/>
        </w:rPr>
        <w:t>3、本项目以服务招标收费标准的68%收取中标服务费</w:t>
      </w:r>
      <w:r>
        <w:rPr>
          <w:rFonts w:hint="eastAsia" w:ascii="宋体" w:hAnsi="宋体"/>
          <w:bCs/>
          <w:color w:val="auto"/>
          <w:sz w:val="24"/>
          <w:highlight w:val="none"/>
          <w:lang w:val="zh-CN"/>
        </w:rPr>
        <w:t>。</w:t>
      </w:r>
    </w:p>
    <w:p>
      <w:pPr>
        <w:tabs>
          <w:tab w:val="left" w:pos="1862"/>
        </w:tabs>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计收费 =</w:t>
      </w:r>
      <w:r>
        <w:rPr>
          <w:rFonts w:hint="eastAsia" w:ascii="宋体" w:hAnsi="宋体"/>
          <w:color w:val="auto"/>
          <w:sz w:val="24"/>
          <w:highlight w:val="none"/>
          <w:lang w:val="en-US" w:eastAsia="zh-CN"/>
        </w:rPr>
        <w:t>6000</w:t>
      </w:r>
      <w:r>
        <w:rPr>
          <w:rFonts w:hint="eastAsia" w:ascii="宋体" w:hAnsi="宋体"/>
          <w:color w:val="auto"/>
          <w:sz w:val="24"/>
          <w:highlight w:val="none"/>
        </w:rPr>
        <w:t>元×68%=</w:t>
      </w:r>
      <w:r>
        <w:rPr>
          <w:rFonts w:hint="eastAsia" w:ascii="宋体" w:hAnsi="宋体"/>
          <w:color w:val="auto"/>
          <w:sz w:val="24"/>
          <w:highlight w:val="none"/>
          <w:lang w:val="en-US" w:eastAsia="zh-CN"/>
        </w:rPr>
        <w:t>4080</w:t>
      </w:r>
      <w:r>
        <w:rPr>
          <w:rFonts w:hint="eastAsia" w:ascii="宋体" w:hAnsi="宋体"/>
          <w:color w:val="auto"/>
          <w:sz w:val="24"/>
          <w:highlight w:val="none"/>
        </w:rPr>
        <w:t>元</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4、服务费的货币为人民币。</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5、服务费支付方式：一次性以银行划账、电汇、汇票或支票的形式支付。</w:t>
      </w:r>
    </w:p>
    <w:p>
      <w:pPr>
        <w:snapToGrid w:val="0"/>
        <w:spacing w:line="360" w:lineRule="auto"/>
        <w:ind w:firstLine="600" w:firstLineChars="250"/>
        <w:jc w:val="left"/>
        <w:rPr>
          <w:rFonts w:ascii="宋体" w:hAnsi="宋体"/>
          <w:color w:val="auto"/>
          <w:sz w:val="24"/>
          <w:highlight w:val="none"/>
        </w:rPr>
      </w:pPr>
      <w:r>
        <w:rPr>
          <w:rFonts w:hint="eastAsia" w:ascii="宋体" w:hAnsi="宋体"/>
          <w:color w:val="auto"/>
          <w:sz w:val="24"/>
          <w:highlight w:val="none"/>
        </w:rPr>
        <w:t>6、服务费以银行划账方式按下列要求提交：</w:t>
      </w:r>
    </w:p>
    <w:p>
      <w:pPr>
        <w:widowControl/>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收款人：嘉兴市银建工程咨询评估有限公司嘉善魏塘分公司</w:t>
      </w:r>
    </w:p>
    <w:p>
      <w:pPr>
        <w:widowControl/>
        <w:snapToGrid w:val="0"/>
        <w:spacing w:line="360" w:lineRule="auto"/>
        <w:ind w:firstLine="1080" w:firstLineChars="450"/>
        <w:jc w:val="left"/>
        <w:rPr>
          <w:rFonts w:ascii="宋体" w:hAnsi="宋体"/>
          <w:color w:val="auto"/>
          <w:sz w:val="24"/>
          <w:highlight w:val="none"/>
        </w:rPr>
      </w:pPr>
      <w:r>
        <w:rPr>
          <w:rFonts w:hint="eastAsia" w:ascii="宋体" w:hAnsi="宋体"/>
          <w:color w:val="auto"/>
          <w:sz w:val="24"/>
          <w:highlight w:val="none"/>
        </w:rPr>
        <w:t>开户行：嘉兴银行股份有限公司长三角一体化示范区(浙江嘉善)支行</w:t>
      </w:r>
    </w:p>
    <w:p>
      <w:pPr>
        <w:tabs>
          <w:tab w:val="left" w:pos="0"/>
        </w:tabs>
        <w:spacing w:line="360" w:lineRule="auto"/>
        <w:ind w:firstLine="1024" w:firstLineChars="427"/>
        <w:rPr>
          <w:rFonts w:ascii="仿宋_GB2312" w:hAnsi="仿宋" w:eastAsia="仿宋_GB2312" w:cs="Helvetica"/>
          <w:color w:val="auto"/>
          <w:kern w:val="0"/>
          <w:sz w:val="24"/>
          <w:highlight w:val="none"/>
        </w:rPr>
        <w:sectPr>
          <w:footerReference r:id="rId10" w:type="default"/>
          <w:pgSz w:w="11906" w:h="16838"/>
          <w:pgMar w:top="680" w:right="1418" w:bottom="468" w:left="1418" w:header="851" w:footer="992" w:gutter="0"/>
          <w:pgNumType w:fmt="decimal"/>
          <w:cols w:space="720" w:num="1"/>
          <w:titlePg/>
          <w:docGrid w:linePitch="312" w:charSpace="0"/>
        </w:sectPr>
      </w:pPr>
      <w:r>
        <w:rPr>
          <w:rFonts w:hint="eastAsia" w:ascii="宋体" w:hAnsi="宋体"/>
          <w:color w:val="auto"/>
          <w:sz w:val="24"/>
          <w:highlight w:val="none"/>
        </w:rPr>
        <w:t>账号：905101201900074615</w:t>
      </w:r>
      <w:bookmarkEnd w:id="14"/>
      <w:bookmarkEnd w:id="20"/>
      <w:bookmarkStart w:id="21" w:name="_Hlt75236101"/>
      <w:bookmarkEnd w:id="21"/>
      <w:bookmarkStart w:id="22" w:name="_Hlt68072998"/>
      <w:bookmarkEnd w:id="22"/>
      <w:bookmarkStart w:id="23" w:name="_Hlt75236290"/>
      <w:bookmarkEnd w:id="23"/>
      <w:bookmarkStart w:id="24" w:name="_Hlt75236011"/>
      <w:bookmarkEnd w:id="24"/>
      <w:bookmarkStart w:id="25" w:name="_Hlt74707468"/>
      <w:bookmarkEnd w:id="25"/>
      <w:bookmarkStart w:id="26" w:name="_Hlt68072990"/>
      <w:bookmarkEnd w:id="26"/>
      <w:bookmarkStart w:id="27" w:name="_Hlt68403820"/>
      <w:bookmarkEnd w:id="27"/>
      <w:bookmarkStart w:id="28" w:name="_Hlt68057669"/>
      <w:bookmarkEnd w:id="28"/>
      <w:bookmarkStart w:id="29" w:name="_Hlt74714665"/>
      <w:bookmarkEnd w:id="29"/>
      <w:bookmarkStart w:id="30" w:name="_Hlt74730295"/>
      <w:bookmarkEnd w:id="30"/>
      <w:bookmarkStart w:id="31" w:name="_Hlt74729768"/>
      <w:bookmarkEnd w:id="31"/>
      <w:bookmarkStart w:id="32" w:name="_Hlt68073093"/>
      <w:bookmarkEnd w:id="32"/>
    </w:p>
    <w:bookmarkEnd w:id="15"/>
    <w:bookmarkEnd w:id="16"/>
    <w:p>
      <w:pPr>
        <w:snapToGrid w:val="0"/>
        <w:spacing w:line="360" w:lineRule="auto"/>
        <w:jc w:val="center"/>
        <w:rPr>
          <w:rFonts w:ascii="仿宋" w:hAnsi="仿宋" w:eastAsia="仿宋" w:cs="仿宋_GB2312"/>
          <w:b/>
          <w:color w:val="auto"/>
          <w:sz w:val="36"/>
          <w:szCs w:val="36"/>
          <w:highlight w:val="none"/>
        </w:rPr>
      </w:pPr>
      <w:bookmarkStart w:id="33" w:name="第四部分"/>
      <w:r>
        <w:rPr>
          <w:rFonts w:hint="eastAsia" w:ascii="仿宋" w:hAnsi="仿宋" w:eastAsia="仿宋" w:cs="仿宋_GB2312"/>
          <w:b/>
          <w:color w:val="auto"/>
          <w:sz w:val="36"/>
          <w:szCs w:val="36"/>
          <w:highlight w:val="none"/>
        </w:rPr>
        <w:t>第四章 评标办法及评分标准</w:t>
      </w:r>
    </w:p>
    <w:bookmarkEnd w:id="33"/>
    <w:p>
      <w:pPr>
        <w:spacing w:line="480" w:lineRule="exact"/>
        <w:ind w:firstLine="420"/>
        <w:rPr>
          <w:rFonts w:ascii="宋体" w:hAnsi="宋体" w:cs="宋体"/>
          <w:color w:val="auto"/>
          <w:sz w:val="24"/>
          <w:highlight w:val="none"/>
        </w:rPr>
      </w:pPr>
      <w:bookmarkStart w:id="34" w:name="_Toc406403000"/>
      <w:r>
        <w:rPr>
          <w:rFonts w:hint="eastAsia" w:ascii="宋体" w:hAnsi="宋体" w:cs="宋体"/>
          <w:color w:val="auto"/>
          <w:sz w:val="24"/>
          <w:highlight w:val="none"/>
        </w:rPr>
        <w:t>为公正、公平、科学地选择中标人，根据《中华人民共和国政府采购法》等有关法律法规的规定，并结合本项目的实际，制定本办法。</w:t>
      </w:r>
    </w:p>
    <w:p>
      <w:pPr>
        <w:pStyle w:val="57"/>
        <w:spacing w:line="480" w:lineRule="exact"/>
        <w:rPr>
          <w:rFonts w:ascii="宋体" w:hAnsi="宋体" w:cs="宋体"/>
          <w:color w:val="auto"/>
          <w:sz w:val="24"/>
          <w:highlight w:val="none"/>
        </w:rPr>
      </w:pPr>
      <w:r>
        <w:rPr>
          <w:rFonts w:hint="eastAsia" w:ascii="宋体" w:hAnsi="宋体" w:cs="宋体"/>
          <w:color w:val="auto"/>
          <w:sz w:val="24"/>
          <w:highlight w:val="none"/>
        </w:rPr>
        <w:t>本办法适用于嘉善县救助管理站救助服务外包项目的评标。</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一 、总则</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本次评标采用综合评分法，总分为100分，其中价格分</w:t>
      </w:r>
      <w:r>
        <w:rPr>
          <w:rFonts w:hint="eastAsia" w:ascii="宋体" w:hAnsi="宋体"/>
          <w:color w:val="auto"/>
          <w:sz w:val="24"/>
          <w:highlight w:val="none"/>
          <w:lang w:val="en-US" w:eastAsia="zh-CN"/>
        </w:rPr>
        <w:t>15</w:t>
      </w:r>
      <w:r>
        <w:rPr>
          <w:rFonts w:hint="eastAsia" w:ascii="宋体" w:hAnsi="宋体"/>
          <w:color w:val="auto"/>
          <w:sz w:val="24"/>
          <w:highlight w:val="none"/>
        </w:rPr>
        <w:t>分、商务技术</w:t>
      </w:r>
      <w:r>
        <w:rPr>
          <w:rFonts w:hint="eastAsia" w:ascii="宋体" w:hAnsi="宋体"/>
          <w:color w:val="auto"/>
          <w:sz w:val="24"/>
          <w:highlight w:val="none"/>
          <w:lang w:val="en-US" w:eastAsia="zh-CN"/>
        </w:rPr>
        <w:t>85</w:t>
      </w:r>
      <w:r>
        <w:rPr>
          <w:rFonts w:hint="eastAsia" w:ascii="宋体" w:hAnsi="宋体"/>
          <w:color w:val="auto"/>
          <w:sz w:val="24"/>
          <w:highlight w:val="none"/>
        </w:rPr>
        <w:t>分（其中：商务资信分</w:t>
      </w:r>
      <w:r>
        <w:rPr>
          <w:rFonts w:hint="eastAsia" w:ascii="宋体" w:hAnsi="宋体"/>
          <w:color w:val="auto"/>
          <w:sz w:val="24"/>
          <w:highlight w:val="none"/>
          <w:lang w:val="en-US" w:eastAsia="zh-CN"/>
        </w:rPr>
        <w:t>11</w:t>
      </w:r>
      <w:r>
        <w:rPr>
          <w:rFonts w:hint="eastAsia" w:ascii="宋体" w:hAnsi="宋体"/>
          <w:color w:val="auto"/>
          <w:sz w:val="24"/>
          <w:highlight w:val="none"/>
        </w:rPr>
        <w:t>分，技术分</w:t>
      </w:r>
      <w:r>
        <w:rPr>
          <w:rFonts w:hint="eastAsia" w:ascii="宋体" w:hAnsi="宋体"/>
          <w:color w:val="auto"/>
          <w:sz w:val="24"/>
          <w:highlight w:val="none"/>
          <w:lang w:val="en-US" w:eastAsia="zh-CN"/>
        </w:rPr>
        <w:t>74</w:t>
      </w:r>
      <w:r>
        <w:rPr>
          <w:rFonts w:hint="eastAsia" w:ascii="宋体" w:hAnsi="宋体"/>
          <w:color w:val="auto"/>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投标人评标综合得分=价格分+商务技术分</w:t>
      </w:r>
    </w:p>
    <w:p>
      <w:pPr>
        <w:spacing w:line="480" w:lineRule="exact"/>
        <w:rPr>
          <w:rFonts w:ascii="宋体" w:hAnsi="宋体"/>
          <w:b/>
          <w:color w:val="auto"/>
          <w:sz w:val="24"/>
          <w:highlight w:val="none"/>
        </w:rPr>
      </w:pPr>
      <w:r>
        <w:rPr>
          <w:rFonts w:hint="eastAsia" w:ascii="宋体" w:hAnsi="宋体"/>
          <w:b/>
          <w:color w:val="auto"/>
          <w:sz w:val="24"/>
          <w:highlight w:val="none"/>
        </w:rPr>
        <w:t>二、评标内容及标准</w:t>
      </w:r>
    </w:p>
    <w:p>
      <w:pPr>
        <w:pStyle w:val="26"/>
        <w:ind w:firstLine="482"/>
        <w:rPr>
          <w:b/>
          <w:bCs/>
          <w:color w:val="auto"/>
          <w:highlight w:val="none"/>
        </w:rPr>
      </w:pPr>
      <w:r>
        <w:rPr>
          <w:b/>
          <w:color w:val="auto"/>
          <w:highlight w:val="none"/>
        </w:rPr>
        <w:t>（一）</w:t>
      </w:r>
      <w:r>
        <w:rPr>
          <w:b/>
          <w:bCs/>
          <w:color w:val="auto"/>
          <w:highlight w:val="none"/>
        </w:rPr>
        <w:t>价格分（</w:t>
      </w:r>
      <w:r>
        <w:rPr>
          <w:rFonts w:hint="eastAsia"/>
          <w:b/>
          <w:bCs/>
          <w:color w:val="auto"/>
          <w:highlight w:val="none"/>
          <w:lang w:val="en-US" w:eastAsia="zh-CN"/>
        </w:rPr>
        <w:t>15</w:t>
      </w:r>
      <w:r>
        <w:rPr>
          <w:rFonts w:hint="eastAsia"/>
          <w:b/>
          <w:bCs/>
          <w:color w:val="auto"/>
          <w:highlight w:val="none"/>
        </w:rPr>
        <w:t>分）</w:t>
      </w:r>
    </w:p>
    <w:p>
      <w:pPr>
        <w:pStyle w:val="26"/>
        <w:rPr>
          <w:color w:val="auto"/>
          <w:highlight w:val="none"/>
        </w:rPr>
      </w:pPr>
      <w:r>
        <w:rPr>
          <w:rFonts w:hint="eastAsia"/>
          <w:color w:val="auto"/>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color w:val="auto"/>
          <w:sz w:val="24"/>
          <w:highlight w:val="none"/>
        </w:rPr>
      </w:pPr>
      <w:r>
        <w:rPr>
          <w:rFonts w:hint="eastAsia" w:ascii="宋体" w:hAnsi="宋体"/>
          <w:color w:val="auto"/>
          <w:sz w:val="24"/>
          <w:highlight w:val="none"/>
        </w:rPr>
        <w:t>价格分=（评标基准价/投标报价）×</w:t>
      </w:r>
      <w:r>
        <w:rPr>
          <w:rFonts w:hint="eastAsia" w:ascii="宋体" w:hAnsi="宋体"/>
          <w:color w:val="auto"/>
          <w:sz w:val="24"/>
          <w:highlight w:val="none"/>
          <w:lang w:val="en-US" w:eastAsia="zh-CN"/>
        </w:rPr>
        <w:t>15</w:t>
      </w:r>
      <w:r>
        <w:rPr>
          <w:rFonts w:hint="eastAsia" w:ascii="宋体" w:hAnsi="宋体"/>
          <w:color w:val="auto"/>
          <w:sz w:val="24"/>
          <w:highlight w:val="none"/>
        </w:rPr>
        <w:t>%×100</w:t>
      </w:r>
    </w:p>
    <w:p>
      <w:pPr>
        <w:spacing w:line="480" w:lineRule="exact"/>
        <w:ind w:firstLine="480" w:firstLineChars="200"/>
        <w:rPr>
          <w:rFonts w:hAnsi="宋体"/>
          <w:bCs/>
          <w:color w:val="auto"/>
          <w:sz w:val="24"/>
          <w:highlight w:val="none"/>
        </w:rPr>
      </w:pPr>
      <w:r>
        <w:rPr>
          <w:rFonts w:hint="eastAsia" w:hAnsi="宋体"/>
          <w:bCs/>
          <w:color w:val="auto"/>
          <w:sz w:val="24"/>
          <w:highlight w:val="none"/>
        </w:rPr>
        <w:t>2.投标人的投标报价超过采购人设定的最高限价及单价上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spacing w:before="120" w:beforeLines="50" w:after="120" w:afterLines="50" w:line="360" w:lineRule="auto"/>
        <w:ind w:firstLine="482"/>
        <w:rPr>
          <w:rFonts w:cs="宋体"/>
          <w:b/>
          <w:color w:val="auto"/>
          <w:highlight w:val="none"/>
        </w:rPr>
      </w:pPr>
      <w:r>
        <w:rPr>
          <w:rFonts w:hint="eastAsia" w:cs="宋体"/>
          <w:b/>
          <w:color w:val="auto"/>
          <w:highlight w:val="none"/>
        </w:rPr>
        <w:t>（二）商务资信分（</w:t>
      </w:r>
      <w:r>
        <w:rPr>
          <w:rFonts w:hint="eastAsia" w:cs="宋体"/>
          <w:b/>
          <w:color w:val="auto"/>
          <w:highlight w:val="none"/>
          <w:lang w:val="en-US" w:eastAsia="zh-CN"/>
        </w:rPr>
        <w:t>11</w:t>
      </w:r>
      <w:r>
        <w:rPr>
          <w:rFonts w:hint="eastAsia" w:cs="宋体"/>
          <w:b/>
          <w:color w:val="auto"/>
          <w:highlight w:val="none"/>
        </w:rPr>
        <w:t>分）</w:t>
      </w:r>
    </w:p>
    <w:tbl>
      <w:tblPr>
        <w:tblStyle w:val="6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25"/>
        <w:gridCol w:w="686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652" w:type="dxa"/>
            <w:vMerge w:val="restart"/>
            <w:vAlign w:val="center"/>
          </w:tcPr>
          <w:p>
            <w:pPr>
              <w:widowControl/>
              <w:snapToGrid w:val="0"/>
              <w:jc w:val="center"/>
              <w:rPr>
                <w:rFonts w:ascii="宋体" w:hAnsi="宋体" w:cs="宋体"/>
                <w:bCs/>
                <w:color w:val="auto"/>
                <w:sz w:val="22"/>
                <w:szCs w:val="22"/>
                <w:highlight w:val="none"/>
              </w:rPr>
            </w:pPr>
            <w:r>
              <w:rPr>
                <w:rFonts w:hint="eastAsia" w:ascii="宋体" w:hAnsi="宋体" w:cs="宋体"/>
                <w:bCs/>
                <w:color w:val="auto"/>
                <w:sz w:val="22"/>
                <w:szCs w:val="22"/>
                <w:highlight w:val="none"/>
              </w:rPr>
              <w:t>资信</w:t>
            </w:r>
            <w:r>
              <w:rPr>
                <w:rFonts w:hint="eastAsia" w:ascii="宋体" w:hAnsi="宋体" w:cs="宋体"/>
                <w:color w:val="auto"/>
                <w:sz w:val="22"/>
                <w:szCs w:val="22"/>
                <w:highlight w:val="none"/>
              </w:rPr>
              <w:t>商务</w:t>
            </w:r>
          </w:p>
          <w:p>
            <w:pPr>
              <w:widowControl/>
              <w:snapToGrid w:val="0"/>
              <w:jc w:val="center"/>
              <w:rPr>
                <w:rFonts w:ascii="宋体" w:hAnsi="宋体" w:cs="宋体"/>
                <w:color w:val="auto"/>
                <w:kern w:val="0"/>
                <w:sz w:val="22"/>
                <w:szCs w:val="22"/>
                <w:highlight w:val="none"/>
              </w:rPr>
            </w:pP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rPr>
              <w:t>分</w:t>
            </w:r>
          </w:p>
        </w:tc>
        <w:tc>
          <w:tcPr>
            <w:tcW w:w="925" w:type="dxa"/>
            <w:vAlign w:val="center"/>
          </w:tcPr>
          <w:p>
            <w:pPr>
              <w:snapToGrid w:val="0"/>
              <w:jc w:val="center"/>
              <w:rPr>
                <w:rFonts w:ascii="宋体" w:hAnsi="宋体" w:cs="宋体"/>
                <w:color w:val="auto"/>
                <w:sz w:val="22"/>
                <w:szCs w:val="22"/>
                <w:highlight w:val="none"/>
              </w:rPr>
            </w:pPr>
            <w:r>
              <w:rPr>
                <w:rFonts w:hint="eastAsia" w:ascii="宋体" w:hAnsi="宋体" w:cs="宋体"/>
                <w:color w:val="auto"/>
                <w:sz w:val="22"/>
                <w:szCs w:val="22"/>
                <w:highlight w:val="none"/>
              </w:rPr>
              <w:t>诚信分</w:t>
            </w:r>
          </w:p>
        </w:tc>
        <w:tc>
          <w:tcPr>
            <w:tcW w:w="6862" w:type="dxa"/>
            <w:vAlign w:val="center"/>
          </w:tcPr>
          <w:p>
            <w:pPr>
              <w:spacing w:line="28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凡在投标截止时间前三年受到行政处罚、行政处理（含通报）或记入不良行为的，此项得分为0，若无处罚、行政处理（含通报）或记入不良行为的得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分（供应商自行提供，如有不良记录又虚假隐瞒的，一经发现将取消投标资格）。</w:t>
            </w:r>
          </w:p>
        </w:tc>
        <w:tc>
          <w:tcPr>
            <w:tcW w:w="927" w:type="dxa"/>
            <w:vAlign w:val="center"/>
          </w:tcPr>
          <w:p>
            <w:pPr>
              <w:spacing w:line="32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52" w:type="dxa"/>
            <w:vMerge w:val="continue"/>
            <w:vAlign w:val="center"/>
          </w:tcPr>
          <w:p>
            <w:pPr>
              <w:widowControl/>
              <w:snapToGrid w:val="0"/>
              <w:jc w:val="center"/>
              <w:rPr>
                <w:rFonts w:ascii="宋体" w:hAnsi="宋体" w:cs="宋体"/>
                <w:bCs/>
                <w:color w:val="auto"/>
                <w:sz w:val="22"/>
                <w:szCs w:val="22"/>
                <w:highlight w:val="none"/>
              </w:rPr>
            </w:pPr>
          </w:p>
        </w:tc>
        <w:tc>
          <w:tcPr>
            <w:tcW w:w="925" w:type="dxa"/>
            <w:vAlign w:val="center"/>
          </w:tcPr>
          <w:p>
            <w:pPr>
              <w:snapToGrid w:val="0"/>
              <w:jc w:val="center"/>
              <w:rPr>
                <w:rFonts w:ascii="宋体" w:hAnsi="宋体" w:cs="宋体"/>
                <w:color w:val="auto"/>
                <w:sz w:val="22"/>
                <w:szCs w:val="22"/>
                <w:highlight w:val="none"/>
              </w:rPr>
            </w:pPr>
            <w:r>
              <w:rPr>
                <w:rFonts w:hint="eastAsia" w:ascii="宋体" w:hAnsi="宋体" w:cs="宋体"/>
                <w:color w:val="auto"/>
                <w:sz w:val="22"/>
                <w:szCs w:val="22"/>
                <w:highlight w:val="none"/>
              </w:rPr>
              <w:t>同类业绩</w:t>
            </w:r>
          </w:p>
        </w:tc>
        <w:tc>
          <w:tcPr>
            <w:tcW w:w="6862" w:type="dxa"/>
            <w:vAlign w:val="center"/>
          </w:tcPr>
          <w:p>
            <w:pPr>
              <w:snapToGrid w:val="0"/>
              <w:rPr>
                <w:rFonts w:ascii="宋体" w:hAnsi="宋体" w:cs="宋体"/>
                <w:color w:val="auto"/>
                <w:kern w:val="0"/>
                <w:sz w:val="22"/>
                <w:szCs w:val="22"/>
                <w:highlight w:val="none"/>
              </w:rPr>
            </w:pPr>
            <w:r>
              <w:rPr>
                <w:rFonts w:hint="eastAsia" w:ascii="宋体" w:hAnsi="宋体" w:cs="宋体"/>
                <w:color w:val="auto"/>
                <w:kern w:val="0"/>
                <w:sz w:val="22"/>
                <w:szCs w:val="22"/>
                <w:highlight w:val="none"/>
              </w:rPr>
              <w:t>近三年（自投标截止日起往前追溯3年，以合同签订时间为准）以来具有同类项目业绩的，每提供一份得</w:t>
            </w:r>
            <w:r>
              <w:rPr>
                <w:rFonts w:hint="eastAsia" w:ascii="宋体" w:hAnsi="宋体" w:cs="宋体"/>
                <w:color w:val="auto"/>
                <w:kern w:val="0"/>
                <w:sz w:val="22"/>
                <w:szCs w:val="22"/>
                <w:highlight w:val="none"/>
                <w:lang w:val="en-US" w:eastAsia="zh-CN"/>
              </w:rPr>
              <w:t>0.5</w:t>
            </w:r>
            <w:r>
              <w:rPr>
                <w:rFonts w:hint="eastAsia" w:ascii="宋体" w:hAnsi="宋体" w:cs="宋体"/>
                <w:color w:val="auto"/>
                <w:kern w:val="0"/>
                <w:sz w:val="22"/>
                <w:szCs w:val="22"/>
                <w:highlight w:val="none"/>
              </w:rPr>
              <w:t>分，最高得</w:t>
            </w:r>
            <w:r>
              <w:rPr>
                <w:rFonts w:hint="eastAsia" w:ascii="宋体" w:hAnsi="宋体" w:cs="宋体"/>
                <w:color w:val="auto"/>
                <w:kern w:val="0"/>
                <w:sz w:val="22"/>
                <w:szCs w:val="22"/>
                <w:highlight w:val="none"/>
                <w:lang w:val="en-US" w:eastAsia="zh-CN"/>
              </w:rPr>
              <w:t>1.5</w:t>
            </w:r>
            <w:r>
              <w:rPr>
                <w:rFonts w:hint="eastAsia" w:ascii="宋体" w:hAnsi="宋体" w:cs="宋体"/>
                <w:color w:val="auto"/>
                <w:kern w:val="0"/>
                <w:sz w:val="22"/>
                <w:szCs w:val="22"/>
                <w:highlight w:val="none"/>
              </w:rPr>
              <w:t>分；（合同、验收证明材料同时提供，缺一不可，否则不得分）</w:t>
            </w:r>
          </w:p>
        </w:tc>
        <w:tc>
          <w:tcPr>
            <w:tcW w:w="927"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652" w:type="dxa"/>
            <w:vMerge w:val="continue"/>
            <w:vAlign w:val="center"/>
          </w:tcPr>
          <w:p>
            <w:pPr>
              <w:widowControl/>
              <w:snapToGrid w:val="0"/>
              <w:jc w:val="center"/>
              <w:rPr>
                <w:rFonts w:ascii="宋体" w:hAnsi="宋体" w:cs="宋体"/>
                <w:bCs/>
                <w:color w:val="auto"/>
                <w:sz w:val="22"/>
                <w:szCs w:val="22"/>
                <w:highlight w:val="none"/>
              </w:rPr>
            </w:pPr>
          </w:p>
        </w:tc>
        <w:tc>
          <w:tcPr>
            <w:tcW w:w="925" w:type="dxa"/>
            <w:vAlign w:val="center"/>
          </w:tcPr>
          <w:p>
            <w:pPr>
              <w:snapToGrid w:val="0"/>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相关认证</w:t>
            </w:r>
          </w:p>
        </w:tc>
        <w:tc>
          <w:tcPr>
            <w:tcW w:w="6862" w:type="dxa"/>
            <w:vAlign w:val="center"/>
          </w:tcPr>
          <w:p>
            <w:pPr>
              <w:snapToGrid w:val="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供应商具备有效的质量管理体系认证、环境管理体系认证、职业健康安全管理体系认证，每个证书得1.5分，最高得4.5分。提供证书复印件，否则不得分</w:t>
            </w:r>
          </w:p>
        </w:tc>
        <w:tc>
          <w:tcPr>
            <w:tcW w:w="927"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52" w:type="dxa"/>
            <w:vMerge w:val="continue"/>
            <w:vAlign w:val="center"/>
          </w:tcPr>
          <w:p>
            <w:pPr>
              <w:widowControl/>
              <w:snapToGrid w:val="0"/>
              <w:jc w:val="center"/>
              <w:rPr>
                <w:rFonts w:ascii="宋体" w:hAnsi="宋体" w:cs="宋体"/>
                <w:bCs/>
                <w:color w:val="auto"/>
                <w:sz w:val="22"/>
                <w:szCs w:val="22"/>
                <w:highlight w:val="none"/>
              </w:rPr>
            </w:pPr>
          </w:p>
        </w:tc>
        <w:tc>
          <w:tcPr>
            <w:tcW w:w="925" w:type="dxa"/>
            <w:vAlign w:val="center"/>
          </w:tcPr>
          <w:p>
            <w:pPr>
              <w:snapToGrid w:val="0"/>
              <w:jc w:val="center"/>
              <w:rPr>
                <w:rFonts w:ascii="宋体" w:hAnsi="宋体" w:cs="宋体"/>
                <w:color w:val="auto"/>
                <w:sz w:val="22"/>
                <w:szCs w:val="22"/>
                <w:highlight w:val="none"/>
              </w:rPr>
            </w:pPr>
            <w:r>
              <w:rPr>
                <w:rFonts w:hint="eastAsia" w:ascii="宋体" w:hAnsi="宋体" w:cs="宋体"/>
                <w:color w:val="auto"/>
                <w:sz w:val="22"/>
                <w:szCs w:val="22"/>
                <w:highlight w:val="none"/>
              </w:rPr>
              <w:t>优惠条件</w:t>
            </w:r>
          </w:p>
        </w:tc>
        <w:tc>
          <w:tcPr>
            <w:tcW w:w="6862" w:type="dxa"/>
            <w:vAlign w:val="center"/>
          </w:tcPr>
          <w:p>
            <w:pPr>
              <w:snapToGrid w:val="0"/>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rPr>
              <w:t>本次投标单位对最终用户的实质性优惠条件（以投标书内文字明确为准），每有1条得</w:t>
            </w:r>
            <w:r>
              <w:rPr>
                <w:rFonts w:hint="eastAsia" w:ascii="宋体" w:hAnsi="宋体" w:cs="宋体"/>
                <w:color w:val="auto"/>
                <w:kern w:val="0"/>
                <w:sz w:val="22"/>
                <w:szCs w:val="22"/>
                <w:highlight w:val="none"/>
                <w:lang w:val="en-US" w:eastAsia="zh-CN"/>
              </w:rPr>
              <w:t>1</w:t>
            </w:r>
            <w:r>
              <w:rPr>
                <w:rFonts w:hint="eastAsia" w:ascii="宋体" w:hAnsi="宋体" w:cs="宋体"/>
                <w:color w:val="auto"/>
                <w:kern w:val="0"/>
                <w:sz w:val="22"/>
                <w:szCs w:val="22"/>
                <w:highlight w:val="none"/>
              </w:rPr>
              <w:t>分</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本项最多得2分。</w:t>
            </w:r>
          </w:p>
        </w:tc>
        <w:tc>
          <w:tcPr>
            <w:tcW w:w="927" w:type="dxa"/>
            <w:vAlign w:val="center"/>
          </w:tcPr>
          <w:p>
            <w:pPr>
              <w:snapToGrid w:val="0"/>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2分</w:t>
            </w:r>
          </w:p>
        </w:tc>
      </w:tr>
    </w:tbl>
    <w:p>
      <w:pPr>
        <w:pStyle w:val="64"/>
        <w:ind w:left="0" w:leftChars="0" w:firstLine="0" w:firstLineChars="0"/>
        <w:rPr>
          <w:highlight w:val="none"/>
        </w:rPr>
      </w:pPr>
    </w:p>
    <w:p>
      <w:pPr>
        <w:snapToGrid w:val="0"/>
        <w:spacing w:before="72" w:beforeLines="30" w:line="400" w:lineRule="exact"/>
        <w:jc w:val="left"/>
        <w:outlineLvl w:val="1"/>
        <w:rPr>
          <w:rFonts w:ascii="宋体" w:hAnsi="宋体" w:cs="宋体"/>
          <w:b/>
          <w:color w:val="auto"/>
          <w:sz w:val="24"/>
          <w:highlight w:val="none"/>
        </w:rPr>
      </w:pPr>
      <w:r>
        <w:rPr>
          <w:rFonts w:hint="eastAsia" w:ascii="宋体" w:hAnsi="宋体"/>
          <w:b/>
          <w:color w:val="auto"/>
          <w:sz w:val="24"/>
          <w:highlight w:val="none"/>
        </w:rPr>
        <w:t>（</w:t>
      </w:r>
      <w:r>
        <w:rPr>
          <w:rFonts w:ascii="宋体" w:hAnsi="宋体"/>
          <w:b/>
          <w:color w:val="auto"/>
          <w:sz w:val="24"/>
          <w:highlight w:val="none"/>
        </w:rPr>
        <w:t>三</w:t>
      </w:r>
      <w:r>
        <w:rPr>
          <w:rFonts w:hint="eastAsia" w:ascii="宋体" w:hAnsi="宋体"/>
          <w:b/>
          <w:color w:val="auto"/>
          <w:sz w:val="24"/>
          <w:highlight w:val="none"/>
        </w:rPr>
        <w:t>）技术分</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74</w:t>
      </w:r>
      <w:r>
        <w:rPr>
          <w:rFonts w:hint="eastAsia" w:ascii="宋体" w:hAnsi="宋体" w:cs="宋体"/>
          <w:b/>
          <w:color w:val="auto"/>
          <w:sz w:val="24"/>
          <w:highlight w:val="none"/>
        </w:rPr>
        <w:t>分）</w:t>
      </w:r>
    </w:p>
    <w:tbl>
      <w:tblPr>
        <w:tblStyle w:val="6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12"/>
        <w:gridCol w:w="688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652" w:type="dxa"/>
            <w:vMerge w:val="restart"/>
            <w:vAlign w:val="center"/>
          </w:tcPr>
          <w:p>
            <w:pPr>
              <w:snapToGrid w:val="0"/>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技术</w:t>
            </w:r>
            <w:r>
              <w:rPr>
                <w:rFonts w:hint="eastAsia" w:ascii="宋体" w:hAnsi="宋体" w:eastAsia="宋体" w:cs="宋体"/>
                <w:color w:val="auto"/>
                <w:kern w:val="0"/>
                <w:sz w:val="22"/>
                <w:szCs w:val="22"/>
                <w:highlight w:val="none"/>
                <w:lang w:val="en-US" w:eastAsia="zh-CN"/>
              </w:rPr>
              <w:t>7</w:t>
            </w:r>
            <w:r>
              <w:rPr>
                <w:rFonts w:hint="eastAsia" w:ascii="宋体" w:hAnsi="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分</w:t>
            </w:r>
          </w:p>
        </w:tc>
        <w:tc>
          <w:tcPr>
            <w:tcW w:w="912" w:type="dxa"/>
            <w:vAlign w:val="center"/>
          </w:tcPr>
          <w:p>
            <w:pPr>
              <w:widowControl/>
              <w:spacing w:line="320" w:lineRule="exact"/>
              <w:jc w:val="center"/>
              <w:textAlignment w:val="center"/>
              <w:rPr>
                <w:rFonts w:hint="default" w:ascii="宋体" w:hAnsi="宋体" w:eastAsia="宋体" w:cs="宋体"/>
                <w:color w:val="auto"/>
                <w:kern w:val="0"/>
                <w:sz w:val="22"/>
                <w:szCs w:val="22"/>
                <w:highlight w:val="none"/>
                <w:lang w:val="en-US" w:eastAsia="zh-CN"/>
              </w:rPr>
            </w:pPr>
            <w:r>
              <w:rPr>
                <w:rFonts w:hint="default" w:ascii="宋体" w:hAnsi="宋体" w:eastAsia="宋体" w:cs="宋体"/>
                <w:color w:val="auto"/>
                <w:kern w:val="0"/>
                <w:sz w:val="22"/>
                <w:szCs w:val="22"/>
                <w:highlight w:val="none"/>
                <w:lang w:val="en-US" w:eastAsia="zh-CN"/>
              </w:rPr>
              <w:t>总体服务方案</w:t>
            </w:r>
          </w:p>
        </w:tc>
        <w:tc>
          <w:tcPr>
            <w:tcW w:w="6888" w:type="dxa"/>
            <w:vAlign w:val="center"/>
          </w:tcPr>
          <w:p>
            <w:pPr>
              <w:jc w:val="left"/>
              <w:rPr>
                <w:rFonts w:hint="eastAsia" w:ascii="宋体" w:hAnsi="宋体" w:cs="宋体" w:eastAsiaTheme="minorEastAsia"/>
                <w:color w:val="auto"/>
                <w:kern w:val="0"/>
                <w:sz w:val="22"/>
                <w:szCs w:val="22"/>
                <w:highlight w:val="none"/>
                <w:lang w:val="en-US" w:eastAsia="zh-CN"/>
              </w:rPr>
            </w:pPr>
            <w:r>
              <w:rPr>
                <w:rFonts w:hint="default" w:ascii="宋体" w:hAnsi="宋体" w:cs="宋体" w:eastAsiaTheme="minorEastAsia"/>
                <w:color w:val="auto"/>
                <w:kern w:val="0"/>
                <w:sz w:val="22"/>
                <w:szCs w:val="22"/>
                <w:highlight w:val="none"/>
                <w:lang w:val="en-US" w:eastAsia="zh-CN"/>
              </w:rPr>
              <w:t>总体服务方案完整，无缺漏项，充分考虑用户需求，方案具备高度针对性及可行性得</w:t>
            </w:r>
            <w:r>
              <w:rPr>
                <w:rFonts w:hint="eastAsia" w:ascii="宋体" w:hAnsi="宋体" w:cs="宋体" w:eastAsiaTheme="minorEastAsia"/>
                <w:color w:val="auto"/>
                <w:kern w:val="0"/>
                <w:sz w:val="22"/>
                <w:szCs w:val="22"/>
                <w:highlight w:val="none"/>
                <w:lang w:val="en-US" w:eastAsia="zh-CN"/>
              </w:rPr>
              <w:t>9</w:t>
            </w:r>
            <w:r>
              <w:rPr>
                <w:rFonts w:hint="default" w:ascii="宋体" w:hAnsi="宋体" w:cs="宋体" w:eastAsiaTheme="minorEastAsia"/>
                <w:color w:val="auto"/>
                <w:kern w:val="0"/>
                <w:sz w:val="22"/>
                <w:szCs w:val="22"/>
                <w:highlight w:val="none"/>
                <w:lang w:val="en-US" w:eastAsia="zh-CN"/>
              </w:rPr>
              <w:t>分；总体服务方案较详细全面，充分考虑用户需求，方案具有一定的针对性及可行性较可行性，能够满足采购需求得</w:t>
            </w:r>
            <w:r>
              <w:rPr>
                <w:rFonts w:hint="eastAsia" w:ascii="宋体" w:hAnsi="宋体" w:cs="宋体" w:eastAsiaTheme="minorEastAsia"/>
                <w:color w:val="auto"/>
                <w:kern w:val="0"/>
                <w:sz w:val="22"/>
                <w:szCs w:val="22"/>
                <w:highlight w:val="none"/>
                <w:lang w:val="en-US" w:eastAsia="zh-CN"/>
              </w:rPr>
              <w:t>8</w:t>
            </w:r>
            <w:r>
              <w:rPr>
                <w:rFonts w:hint="default" w:ascii="宋体" w:hAnsi="宋体" w:cs="宋体" w:eastAsiaTheme="minorEastAsia"/>
                <w:color w:val="auto"/>
                <w:kern w:val="0"/>
                <w:sz w:val="22"/>
                <w:szCs w:val="22"/>
                <w:highlight w:val="none"/>
                <w:lang w:val="en-US" w:eastAsia="zh-CN"/>
              </w:rPr>
              <w:t>分；总体服务方案比较完整，方案具有一定的针对性及可行性，基本能满足采购需求得</w:t>
            </w:r>
            <w:r>
              <w:rPr>
                <w:rFonts w:hint="eastAsia" w:ascii="宋体" w:hAnsi="宋体" w:cs="宋体" w:eastAsiaTheme="minorEastAsia"/>
                <w:color w:val="auto"/>
                <w:kern w:val="0"/>
                <w:sz w:val="22"/>
                <w:szCs w:val="22"/>
                <w:highlight w:val="none"/>
                <w:lang w:val="en-US" w:eastAsia="zh-CN"/>
              </w:rPr>
              <w:t>7</w:t>
            </w:r>
            <w:r>
              <w:rPr>
                <w:rFonts w:hint="default" w:ascii="宋体" w:hAnsi="宋体" w:cs="宋体" w:eastAsiaTheme="minorEastAsia"/>
                <w:color w:val="auto"/>
                <w:kern w:val="0"/>
                <w:sz w:val="22"/>
                <w:szCs w:val="22"/>
                <w:highlight w:val="none"/>
                <w:lang w:val="en-US" w:eastAsia="zh-CN"/>
              </w:rPr>
              <w:t>分；总体服务方案不够完整，有缺漏项，针对性不强，不能完全满足采购需求得</w:t>
            </w:r>
            <w:r>
              <w:rPr>
                <w:rFonts w:hint="eastAsia" w:ascii="宋体" w:hAnsi="宋体" w:cs="宋体" w:eastAsiaTheme="minorEastAsia"/>
                <w:color w:val="auto"/>
                <w:kern w:val="0"/>
                <w:sz w:val="22"/>
                <w:szCs w:val="22"/>
                <w:highlight w:val="none"/>
                <w:lang w:val="en-US" w:eastAsia="zh-CN"/>
              </w:rPr>
              <w:t>6</w:t>
            </w:r>
            <w:r>
              <w:rPr>
                <w:rFonts w:hint="default" w:ascii="宋体" w:hAnsi="宋体" w:cs="宋体" w:eastAsiaTheme="minorEastAsia"/>
                <w:color w:val="auto"/>
                <w:kern w:val="0"/>
                <w:sz w:val="22"/>
                <w:szCs w:val="22"/>
                <w:highlight w:val="none"/>
                <w:lang w:val="en-US" w:eastAsia="zh-CN"/>
              </w:rPr>
              <w:t>分；总体服务方案有瑕疵，存在较多不满足采购需求得</w:t>
            </w:r>
            <w:r>
              <w:rPr>
                <w:rFonts w:hint="eastAsia" w:ascii="宋体" w:hAnsi="宋体" w:cs="宋体" w:eastAsiaTheme="minorEastAsia"/>
                <w:color w:val="auto"/>
                <w:kern w:val="0"/>
                <w:sz w:val="22"/>
                <w:szCs w:val="22"/>
                <w:highlight w:val="none"/>
                <w:lang w:val="en-US" w:eastAsia="zh-CN"/>
              </w:rPr>
              <w:t>5</w:t>
            </w:r>
            <w:r>
              <w:rPr>
                <w:rFonts w:hint="default" w:ascii="宋体" w:hAnsi="宋体" w:cs="宋体" w:eastAsiaTheme="minorEastAsia"/>
                <w:color w:val="auto"/>
                <w:kern w:val="0"/>
                <w:sz w:val="22"/>
                <w:szCs w:val="22"/>
                <w:highlight w:val="none"/>
                <w:lang w:val="en-US" w:eastAsia="zh-CN"/>
              </w:rPr>
              <w:t>分；未提供方案不得分</w:t>
            </w:r>
            <w:r>
              <w:rPr>
                <w:rFonts w:hint="eastAsia" w:ascii="宋体" w:hAnsi="宋体" w:cs="宋体" w:eastAsiaTheme="minorEastAsia"/>
                <w:color w:val="auto"/>
                <w:kern w:val="0"/>
                <w:sz w:val="22"/>
                <w:szCs w:val="22"/>
                <w:highlight w:val="none"/>
                <w:lang w:val="en-US"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本项目重点、难点分析</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投标人对项目现状、存在的问题和服务的难点、要点等问题进行调查剖析，评委根据投标人的提出克服难点和要点技术措施进行给分，技术重点、难点分析到位，应对措施合理可行的得</w:t>
            </w:r>
            <w:r>
              <w:rPr>
                <w:rFonts w:hint="eastAsia" w:ascii="宋体" w:hAnsi="宋体" w:cs="宋体"/>
                <w:bCs/>
                <w:color w:val="auto"/>
                <w:sz w:val="22"/>
                <w:szCs w:val="22"/>
                <w:highlight w:val="none"/>
                <w:lang w:val="en-US" w:eastAsia="zh-CN"/>
              </w:rPr>
              <w:t>8</w:t>
            </w:r>
            <w:r>
              <w:rPr>
                <w:rFonts w:hint="eastAsia" w:ascii="宋体" w:hAnsi="宋体" w:eastAsia="宋体" w:cs="宋体"/>
                <w:bCs/>
                <w:color w:val="auto"/>
                <w:sz w:val="22"/>
                <w:szCs w:val="22"/>
                <w:highlight w:val="none"/>
                <w:lang w:val="en-US" w:eastAsia="zh-CN"/>
              </w:rPr>
              <w:t>分；技术重点、难点分析较到位，应对措施较合理可行的得</w:t>
            </w:r>
            <w:r>
              <w:rPr>
                <w:rFonts w:hint="eastAsia" w:ascii="宋体" w:hAnsi="宋体" w:cs="宋体"/>
                <w:bCs/>
                <w:color w:val="auto"/>
                <w:sz w:val="22"/>
                <w:szCs w:val="22"/>
                <w:highlight w:val="none"/>
                <w:lang w:val="en-US" w:eastAsia="zh-CN"/>
              </w:rPr>
              <w:t>7</w:t>
            </w:r>
            <w:r>
              <w:rPr>
                <w:rFonts w:hint="eastAsia" w:ascii="宋体" w:hAnsi="宋体" w:eastAsia="宋体" w:cs="宋体"/>
                <w:bCs/>
                <w:color w:val="auto"/>
                <w:sz w:val="22"/>
                <w:szCs w:val="22"/>
                <w:highlight w:val="none"/>
                <w:lang w:val="en-US" w:eastAsia="zh-CN"/>
              </w:rPr>
              <w:t>分；技术重点、难点分析一般，应对措施较有欠缺的得</w:t>
            </w:r>
            <w:r>
              <w:rPr>
                <w:rFonts w:hint="eastAsia" w:ascii="宋体" w:hAnsi="宋体" w:cs="宋体"/>
                <w:bCs/>
                <w:color w:val="auto"/>
                <w:sz w:val="22"/>
                <w:szCs w:val="22"/>
                <w:highlight w:val="none"/>
                <w:lang w:val="en-US" w:eastAsia="zh-CN"/>
              </w:rPr>
              <w:t>6</w:t>
            </w:r>
            <w:r>
              <w:rPr>
                <w:rFonts w:hint="eastAsia" w:ascii="宋体" w:hAnsi="宋体" w:eastAsia="宋体" w:cs="宋体"/>
                <w:bCs/>
                <w:color w:val="auto"/>
                <w:sz w:val="22"/>
                <w:szCs w:val="22"/>
                <w:highlight w:val="none"/>
                <w:lang w:val="en-US" w:eastAsia="zh-CN"/>
              </w:rPr>
              <w:t>分；技术重点、难点分析一般，应对措施匹配性差的得</w:t>
            </w:r>
            <w:r>
              <w:rPr>
                <w:rFonts w:hint="eastAsia" w:ascii="宋体" w:hAnsi="宋体" w:cs="宋体"/>
                <w:bCs/>
                <w:color w:val="auto"/>
                <w:sz w:val="22"/>
                <w:szCs w:val="22"/>
                <w:highlight w:val="none"/>
                <w:lang w:val="en-US" w:eastAsia="zh-CN"/>
              </w:rPr>
              <w:t>5</w:t>
            </w:r>
            <w:r>
              <w:rPr>
                <w:rFonts w:hint="eastAsia" w:ascii="宋体" w:hAnsi="宋体" w:eastAsia="宋体" w:cs="宋体"/>
                <w:bCs/>
                <w:color w:val="auto"/>
                <w:sz w:val="22"/>
                <w:szCs w:val="22"/>
                <w:highlight w:val="none"/>
                <w:lang w:val="en-US" w:eastAsia="zh-CN"/>
              </w:rPr>
              <w:t>分；技术重点、难点分析针对性差，应对措施匹配性差的得</w:t>
            </w:r>
            <w:r>
              <w:rPr>
                <w:rFonts w:hint="eastAsia" w:ascii="宋体" w:hAnsi="宋体" w:cs="宋体"/>
                <w:bCs/>
                <w:color w:val="auto"/>
                <w:sz w:val="22"/>
                <w:szCs w:val="22"/>
                <w:highlight w:val="none"/>
                <w:lang w:val="en-US" w:eastAsia="zh-CN"/>
              </w:rPr>
              <w:t>4</w:t>
            </w:r>
            <w:r>
              <w:rPr>
                <w:rFonts w:hint="eastAsia" w:ascii="宋体" w:hAnsi="宋体" w:eastAsia="宋体" w:cs="宋体"/>
                <w:bCs/>
                <w:color w:val="auto"/>
                <w:sz w:val="22"/>
                <w:szCs w:val="22"/>
                <w:highlight w:val="none"/>
                <w:lang w:val="en-US" w:eastAsia="zh-CN"/>
              </w:rPr>
              <w:t>分；方案内容缺失严重或与项目不匹配的不得分</w:t>
            </w:r>
            <w:r>
              <w:rPr>
                <w:rFonts w:hint="eastAsia" w:ascii="宋体" w:hAnsi="宋体" w:cs="宋体"/>
                <w:bCs/>
                <w:color w:val="auto"/>
                <w:sz w:val="22"/>
                <w:szCs w:val="22"/>
                <w:highlight w:val="none"/>
                <w:lang w:val="en-US"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jc w:val="left"/>
              <w:rPr>
                <w:rFonts w:hint="eastAsia" w:ascii="宋体" w:hAnsi="宋体" w:eastAsia="宋体" w:cs="宋体"/>
                <w:bCs/>
                <w:color w:val="auto"/>
                <w:sz w:val="22"/>
                <w:szCs w:val="22"/>
                <w:highlight w:val="none"/>
                <w:lang w:val="zh-CN"/>
              </w:rPr>
            </w:pPr>
            <w:r>
              <w:rPr>
                <w:rFonts w:hint="eastAsia" w:ascii="宋体" w:hAnsi="宋体" w:eastAsia="宋体" w:cs="宋体"/>
                <w:bCs/>
                <w:color w:val="auto"/>
                <w:sz w:val="22"/>
                <w:szCs w:val="22"/>
                <w:highlight w:val="none"/>
                <w:lang w:val="zh-CN"/>
              </w:rPr>
              <w:t>服务外包实施方案</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服务外包实施</w:t>
            </w:r>
            <w:r>
              <w:rPr>
                <w:rFonts w:hint="eastAsia" w:ascii="宋体" w:hAnsi="宋体" w:eastAsia="宋体" w:cs="宋体"/>
                <w:bCs/>
                <w:color w:val="auto"/>
                <w:sz w:val="22"/>
                <w:szCs w:val="22"/>
                <w:highlight w:val="none"/>
                <w:lang w:val="en-US"/>
              </w:rPr>
              <w:t>方案（包括服务内容、工作流程、详细的服务标准及实施方案等）的内容的完整性、方案的可行性以及重点是否突出进行评审。方案考虑周全、内容全面可行、重点突出的得</w:t>
            </w:r>
            <w:r>
              <w:rPr>
                <w:rFonts w:hint="eastAsia" w:ascii="宋体" w:hAnsi="宋体" w:eastAsia="宋体" w:cs="宋体"/>
                <w:bCs/>
                <w:color w:val="auto"/>
                <w:sz w:val="22"/>
                <w:szCs w:val="22"/>
                <w:highlight w:val="none"/>
                <w:lang w:val="en-US" w:eastAsia="zh-CN"/>
              </w:rPr>
              <w:t>9</w:t>
            </w:r>
            <w:r>
              <w:rPr>
                <w:rFonts w:hint="eastAsia" w:ascii="宋体" w:hAnsi="宋体" w:eastAsia="宋体" w:cs="宋体"/>
                <w:bCs/>
                <w:color w:val="auto"/>
                <w:sz w:val="22"/>
                <w:szCs w:val="22"/>
                <w:highlight w:val="none"/>
                <w:lang w:val="en-US"/>
              </w:rPr>
              <w:t>分；方案合理、可行得</w:t>
            </w:r>
            <w:r>
              <w:rPr>
                <w:rFonts w:hint="eastAsia" w:ascii="宋体" w:hAnsi="宋体" w:eastAsia="宋体" w:cs="宋体"/>
                <w:bCs/>
                <w:color w:val="auto"/>
                <w:sz w:val="22"/>
                <w:szCs w:val="22"/>
                <w:highlight w:val="none"/>
                <w:lang w:val="en-US" w:eastAsia="zh-CN"/>
              </w:rPr>
              <w:t>8</w:t>
            </w:r>
            <w:r>
              <w:rPr>
                <w:rFonts w:hint="eastAsia" w:ascii="宋体" w:hAnsi="宋体" w:eastAsia="宋体" w:cs="宋体"/>
                <w:bCs/>
                <w:color w:val="auto"/>
                <w:sz w:val="22"/>
                <w:szCs w:val="22"/>
                <w:highlight w:val="none"/>
                <w:lang w:val="en-US"/>
              </w:rPr>
              <w:t>分；方案基本合理得</w:t>
            </w:r>
            <w:r>
              <w:rPr>
                <w:rFonts w:hint="eastAsia" w:ascii="宋体" w:hAnsi="宋体" w:eastAsia="宋体" w:cs="宋体"/>
                <w:bCs/>
                <w:color w:val="auto"/>
                <w:sz w:val="22"/>
                <w:szCs w:val="22"/>
                <w:highlight w:val="none"/>
                <w:lang w:val="en-US" w:eastAsia="zh-CN"/>
              </w:rPr>
              <w:t>7</w:t>
            </w:r>
            <w:r>
              <w:rPr>
                <w:rFonts w:hint="eastAsia" w:ascii="宋体" w:hAnsi="宋体" w:eastAsia="宋体" w:cs="宋体"/>
                <w:bCs/>
                <w:color w:val="auto"/>
                <w:sz w:val="22"/>
                <w:szCs w:val="22"/>
                <w:highlight w:val="none"/>
                <w:lang w:val="en-US"/>
              </w:rPr>
              <w:t>分；方案描述笼统不清晰得</w:t>
            </w:r>
            <w:r>
              <w:rPr>
                <w:rFonts w:hint="eastAsia" w:ascii="宋体" w:hAnsi="宋体" w:eastAsia="宋体" w:cs="宋体"/>
                <w:bCs/>
                <w:color w:val="auto"/>
                <w:sz w:val="22"/>
                <w:szCs w:val="22"/>
                <w:highlight w:val="none"/>
                <w:lang w:val="en-US" w:eastAsia="zh-CN"/>
              </w:rPr>
              <w:t>6</w:t>
            </w:r>
            <w:r>
              <w:rPr>
                <w:rFonts w:hint="eastAsia" w:ascii="宋体" w:hAnsi="宋体" w:eastAsia="宋体" w:cs="宋体"/>
                <w:bCs/>
                <w:color w:val="auto"/>
                <w:sz w:val="22"/>
                <w:szCs w:val="22"/>
                <w:highlight w:val="none"/>
                <w:lang w:val="en-US"/>
              </w:rPr>
              <w:t>分；方案内容不全得</w:t>
            </w:r>
            <w:r>
              <w:rPr>
                <w:rFonts w:hint="eastAsia" w:ascii="宋体" w:hAnsi="宋体" w:eastAsia="宋体" w:cs="宋体"/>
                <w:bCs/>
                <w:color w:val="auto"/>
                <w:sz w:val="22"/>
                <w:szCs w:val="22"/>
                <w:highlight w:val="none"/>
                <w:lang w:val="en-US" w:eastAsia="zh-CN"/>
              </w:rPr>
              <w:t>5</w:t>
            </w:r>
            <w:r>
              <w:rPr>
                <w:rFonts w:hint="eastAsia" w:ascii="宋体" w:hAnsi="宋体" w:eastAsia="宋体" w:cs="宋体"/>
                <w:bCs/>
                <w:color w:val="auto"/>
                <w:sz w:val="22"/>
                <w:szCs w:val="22"/>
                <w:highlight w:val="none"/>
                <w:lang w:val="en-US"/>
              </w:rPr>
              <w:t>分；未提供方案不得分</w:t>
            </w:r>
            <w:r>
              <w:rPr>
                <w:rFonts w:hint="eastAsia" w:ascii="宋体" w:hAnsi="宋体" w:cs="宋体"/>
                <w:bCs/>
                <w:color w:val="auto"/>
                <w:sz w:val="22"/>
                <w:szCs w:val="22"/>
                <w:highlight w:val="none"/>
                <w:lang w:val="en-US"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管理制度</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投标人具备完善的企业管理制度的得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分、工作人员管理制度的得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分、岗位职责分工明确的得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分、具备质量考核办法的得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分，投标文件未体现相关内容的不得分</w:t>
            </w:r>
            <w:r>
              <w:rPr>
                <w:rFonts w:hint="eastAsia" w:ascii="宋体" w:hAnsi="宋体" w:cs="宋体"/>
                <w:bCs/>
                <w:color w:val="auto"/>
                <w:sz w:val="22"/>
                <w:szCs w:val="22"/>
                <w:highlight w:val="none"/>
                <w:lang w:val="en-US"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投诉处理方案</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根据投诉处理方案内容的完整性、方案的可行性以及重点是否突出进行评审。方案考虑周全、内容全面可行、重点突出的得5分；方案合理、可行得4分</w:t>
            </w:r>
            <w:r>
              <w:rPr>
                <w:rFonts w:hint="eastAsia" w:ascii="宋体" w:hAnsi="宋体" w:cs="宋体"/>
                <w:bCs/>
                <w:color w:val="auto"/>
                <w:sz w:val="22"/>
                <w:szCs w:val="22"/>
                <w:highlight w:val="none"/>
                <w:lang w:val="en-US" w:eastAsia="zh-CN"/>
              </w:rPr>
              <w:t>；</w:t>
            </w:r>
            <w:r>
              <w:rPr>
                <w:rFonts w:hint="eastAsia" w:ascii="宋体" w:hAnsi="宋体" w:eastAsia="宋体" w:cs="宋体"/>
                <w:bCs/>
                <w:color w:val="auto"/>
                <w:sz w:val="22"/>
                <w:szCs w:val="22"/>
                <w:highlight w:val="none"/>
                <w:lang w:val="en-US" w:eastAsia="zh-CN"/>
              </w:rPr>
              <w:t>方案描述笼统不清晰得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分；方案内容不全得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分；未提供方案不得分</w:t>
            </w:r>
            <w:r>
              <w:rPr>
                <w:rFonts w:hint="eastAsia" w:ascii="宋体" w:hAnsi="宋体" w:cs="宋体"/>
                <w:bCs/>
                <w:color w:val="auto"/>
                <w:sz w:val="22"/>
                <w:szCs w:val="22"/>
                <w:highlight w:val="none"/>
                <w:lang w:val="en-US"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培训方案</w:t>
            </w:r>
          </w:p>
        </w:tc>
        <w:tc>
          <w:tcPr>
            <w:tcW w:w="6888" w:type="dxa"/>
            <w:vAlign w:val="center"/>
          </w:tcPr>
          <w:p>
            <w:pPr>
              <w:jc w:val="left"/>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根据投标人提供的培训方案（包括但不限于培训计划、培训对象、培训内容）内容的完整性、时间的合理性及人员安排的可行性进行评审。培训内容完整、培训时间合理、人员安排可行的，得</w:t>
            </w:r>
            <w:r>
              <w:rPr>
                <w:rFonts w:hint="eastAsia" w:ascii="宋体" w:hAnsi="宋体" w:cs="宋体"/>
                <w:bCs/>
                <w:color w:val="auto"/>
                <w:sz w:val="22"/>
                <w:szCs w:val="22"/>
                <w:highlight w:val="none"/>
                <w:lang w:val="en-US" w:eastAsia="zh-CN"/>
              </w:rPr>
              <w:t>4</w:t>
            </w:r>
            <w:r>
              <w:rPr>
                <w:rFonts w:hint="eastAsia" w:ascii="宋体" w:hAnsi="宋体" w:eastAsia="宋体" w:cs="宋体"/>
                <w:bCs/>
                <w:color w:val="auto"/>
                <w:sz w:val="22"/>
                <w:szCs w:val="22"/>
                <w:highlight w:val="none"/>
                <w:lang w:val="en-US" w:eastAsia="zh-CN"/>
              </w:rPr>
              <w:t>分；培训内容较完整、培训时间较合理、人员安排较可行得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分；培训方案安排笼统不清晰</w:t>
            </w:r>
            <w:r>
              <w:rPr>
                <w:rFonts w:hint="eastAsia" w:ascii="宋体" w:hAnsi="宋体" w:cs="宋体"/>
                <w:bCs/>
                <w:color w:val="auto"/>
                <w:sz w:val="22"/>
                <w:szCs w:val="22"/>
                <w:highlight w:val="none"/>
                <w:lang w:val="en-US" w:eastAsia="zh-CN"/>
              </w:rPr>
              <w:t>、</w:t>
            </w:r>
            <w:r>
              <w:rPr>
                <w:rFonts w:hint="eastAsia" w:ascii="宋体" w:hAnsi="宋体" w:eastAsia="宋体" w:cs="宋体"/>
                <w:bCs/>
                <w:color w:val="auto"/>
                <w:sz w:val="22"/>
                <w:szCs w:val="22"/>
                <w:highlight w:val="none"/>
                <w:lang w:val="en-US" w:eastAsia="zh-CN"/>
              </w:rPr>
              <w:t>内容不全得</w:t>
            </w:r>
            <w:r>
              <w:rPr>
                <w:rFonts w:hint="eastAsia" w:ascii="宋体" w:hAnsi="宋体" w:cs="宋体"/>
                <w:bCs/>
                <w:color w:val="auto"/>
                <w:sz w:val="22"/>
                <w:szCs w:val="22"/>
                <w:highlight w:val="none"/>
                <w:lang w:val="en-US" w:eastAsia="zh-CN"/>
              </w:rPr>
              <w:t>2</w:t>
            </w:r>
            <w:r>
              <w:rPr>
                <w:rFonts w:hint="eastAsia" w:ascii="宋体" w:hAnsi="宋体" w:eastAsia="宋体" w:cs="宋体"/>
                <w:bCs/>
                <w:color w:val="auto"/>
                <w:sz w:val="22"/>
                <w:szCs w:val="22"/>
                <w:highlight w:val="none"/>
                <w:lang w:val="en-US" w:eastAsia="zh-CN"/>
              </w:rPr>
              <w:t>分；未提供方案不得分</w:t>
            </w:r>
            <w:r>
              <w:rPr>
                <w:rFonts w:hint="eastAsia" w:ascii="宋体" w:hAnsi="宋体" w:cs="宋体"/>
                <w:bCs/>
                <w:color w:val="auto"/>
                <w:sz w:val="22"/>
                <w:szCs w:val="22"/>
                <w:highlight w:val="none"/>
                <w:lang w:val="en-US"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widowControl/>
              <w:spacing w:line="320" w:lineRule="exact"/>
              <w:jc w:val="center"/>
              <w:textAlignment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交替衔接方案</w:t>
            </w:r>
          </w:p>
        </w:tc>
        <w:tc>
          <w:tcPr>
            <w:tcW w:w="6888" w:type="dxa"/>
            <w:vAlign w:val="center"/>
          </w:tcPr>
          <w:p>
            <w:pPr>
              <w:jc w:val="left"/>
              <w:rPr>
                <w:rFonts w:hint="eastAsia" w:ascii="宋体" w:hAnsi="宋体" w:eastAsia="宋体" w:cs="宋体"/>
                <w:b/>
                <w:bCs w:val="0"/>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根据投标人与现有服务单位的交替衔接方案、人员及装备的进场方案进行评审。方案考虑周全、内容全面可行、重点突出的得</w:t>
            </w:r>
            <w:r>
              <w:rPr>
                <w:rFonts w:hint="eastAsia" w:ascii="宋体" w:hAnsi="宋体" w:cs="宋体"/>
                <w:bCs/>
                <w:color w:val="auto"/>
                <w:sz w:val="22"/>
                <w:szCs w:val="22"/>
                <w:highlight w:val="none"/>
                <w:lang w:val="en-US" w:eastAsia="zh-CN"/>
              </w:rPr>
              <w:t>5</w:t>
            </w:r>
            <w:r>
              <w:rPr>
                <w:rFonts w:hint="eastAsia" w:ascii="宋体" w:hAnsi="宋体" w:eastAsia="宋体" w:cs="宋体"/>
                <w:bCs/>
                <w:color w:val="auto"/>
                <w:sz w:val="22"/>
                <w:szCs w:val="22"/>
                <w:highlight w:val="none"/>
                <w:lang w:val="en-US" w:eastAsia="zh-CN"/>
              </w:rPr>
              <w:t>分；方案合理、可行得</w:t>
            </w:r>
            <w:r>
              <w:rPr>
                <w:rFonts w:hint="eastAsia" w:ascii="宋体" w:hAnsi="宋体" w:cs="宋体"/>
                <w:bCs/>
                <w:color w:val="auto"/>
                <w:sz w:val="22"/>
                <w:szCs w:val="22"/>
                <w:highlight w:val="none"/>
                <w:lang w:val="en-US" w:eastAsia="zh-CN"/>
              </w:rPr>
              <w:t>4</w:t>
            </w:r>
            <w:r>
              <w:rPr>
                <w:rFonts w:hint="eastAsia" w:ascii="宋体" w:hAnsi="宋体" w:eastAsia="宋体" w:cs="宋体"/>
                <w:bCs/>
                <w:color w:val="auto"/>
                <w:sz w:val="22"/>
                <w:szCs w:val="22"/>
                <w:highlight w:val="none"/>
                <w:lang w:val="en-US" w:eastAsia="zh-CN"/>
              </w:rPr>
              <w:t>分；方案基本合理得</w:t>
            </w:r>
            <w:r>
              <w:rPr>
                <w:rFonts w:hint="eastAsia" w:ascii="宋体" w:hAnsi="宋体" w:cs="宋体"/>
                <w:bCs/>
                <w:color w:val="auto"/>
                <w:sz w:val="22"/>
                <w:szCs w:val="22"/>
                <w:highlight w:val="none"/>
                <w:lang w:val="en-US" w:eastAsia="zh-CN"/>
              </w:rPr>
              <w:t>3</w:t>
            </w:r>
            <w:r>
              <w:rPr>
                <w:rFonts w:hint="eastAsia" w:ascii="宋体" w:hAnsi="宋体" w:eastAsia="宋体" w:cs="宋体"/>
                <w:bCs/>
                <w:color w:val="auto"/>
                <w:sz w:val="22"/>
                <w:szCs w:val="22"/>
                <w:highlight w:val="none"/>
                <w:lang w:val="en-US" w:eastAsia="zh-CN"/>
              </w:rPr>
              <w:t>分；方案描述笼统不清晰</w:t>
            </w:r>
            <w:r>
              <w:rPr>
                <w:rFonts w:hint="eastAsia" w:ascii="宋体" w:hAnsi="宋体" w:cs="宋体"/>
                <w:bCs/>
                <w:color w:val="auto"/>
                <w:sz w:val="22"/>
                <w:szCs w:val="22"/>
                <w:highlight w:val="none"/>
                <w:lang w:val="en-US" w:eastAsia="zh-CN"/>
              </w:rPr>
              <w:t>、</w:t>
            </w:r>
            <w:r>
              <w:rPr>
                <w:rFonts w:hint="eastAsia" w:ascii="宋体" w:hAnsi="宋体" w:eastAsia="宋体" w:cs="宋体"/>
                <w:bCs/>
                <w:color w:val="auto"/>
                <w:sz w:val="22"/>
                <w:szCs w:val="22"/>
                <w:highlight w:val="none"/>
                <w:lang w:val="en-US" w:eastAsia="zh-CN"/>
              </w:rPr>
              <w:t>内容不全得2分；未提供方案不得分</w:t>
            </w:r>
            <w:r>
              <w:rPr>
                <w:rFonts w:hint="eastAsia" w:ascii="宋体" w:hAnsi="宋体" w:cs="宋体"/>
                <w:bCs/>
                <w:color w:val="auto"/>
                <w:sz w:val="22"/>
                <w:szCs w:val="22"/>
                <w:highlight w:val="none"/>
                <w:lang w:val="en-US"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spacing w:line="320" w:lineRule="exact"/>
              <w:jc w:val="center"/>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稳定员工队伍</w:t>
            </w:r>
            <w:r>
              <w:rPr>
                <w:rFonts w:hint="eastAsia" w:ascii="宋体" w:hAnsi="宋体" w:cs="宋体"/>
                <w:color w:val="auto"/>
                <w:kern w:val="0"/>
                <w:sz w:val="22"/>
                <w:szCs w:val="22"/>
                <w:highlight w:val="none"/>
                <w:lang w:val="zh-CN"/>
              </w:rPr>
              <w:t>方案</w:t>
            </w:r>
          </w:p>
        </w:tc>
        <w:tc>
          <w:tcPr>
            <w:tcW w:w="6888" w:type="dxa"/>
            <w:vAlign w:val="center"/>
          </w:tcPr>
          <w:p>
            <w:pPr>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根据投标人稳定员工队伍解决方案（提升员工福利待遇方案和激励方案）进行评审。方案考虑周全、内容全面可行、重点突出的得</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rPr>
              <w:t>分；方案合理、可行得</w:t>
            </w:r>
            <w:r>
              <w:rPr>
                <w:rFonts w:hint="eastAsia" w:ascii="宋体" w:hAnsi="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分；方案基本合理得</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分；方案描述笼统不清晰</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内容不全得</w:t>
            </w: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分；未提供方案不得分。</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autoSpaceDE w:val="0"/>
              <w:autoSpaceDN w:val="0"/>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投入本项目人员</w:t>
            </w:r>
          </w:p>
        </w:tc>
        <w:tc>
          <w:tcPr>
            <w:tcW w:w="6888" w:type="dxa"/>
            <w:vAlign w:val="center"/>
          </w:tcPr>
          <w:p>
            <w:pP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投标人拟派本项目人员需具备同类工作经验，可解决不同类型以及高难度的问题（提供人员资历、类似任职经历的证明材料）。人员配备完全满足采购需求得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分；人员配备基本满足需求得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分；人员配备部分满足需求得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分；人员配备满足程度较差得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分；无人员配备得0分（以上人员提供在投标单位近三个月内任一时间的社保缴纳证明，否则该项不得分）</w:t>
            </w:r>
            <w:r>
              <w:rPr>
                <w:rFonts w:hint="eastAsia" w:ascii="宋体" w:hAnsi="宋体" w:cs="宋体"/>
                <w:color w:val="auto"/>
                <w:sz w:val="22"/>
                <w:szCs w:val="22"/>
                <w:highlight w:val="none"/>
                <w:lang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Align w:val="center"/>
          </w:tcPr>
          <w:p>
            <w:pPr>
              <w:autoSpaceDE w:val="0"/>
              <w:autoSpaceDN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处理过劳资纠纷</w:t>
            </w:r>
          </w:p>
        </w:tc>
        <w:tc>
          <w:tcPr>
            <w:tcW w:w="6888" w:type="dxa"/>
            <w:vAlign w:val="center"/>
          </w:tcPr>
          <w:p>
            <w:pP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根据投标人处理劳资纠纷防范措施进行评审。措施考虑周全、内容全面可行、重点突出的得</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分；措施合理、可行得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分；措施基本合理得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分；措施笼统不清晰</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内容不全得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分；未提供方案不得分</w:t>
            </w:r>
            <w:r>
              <w:rPr>
                <w:rFonts w:hint="eastAsia" w:ascii="宋体" w:hAnsi="宋体" w:cs="宋体"/>
                <w:color w:val="auto"/>
                <w:sz w:val="22"/>
                <w:szCs w:val="22"/>
                <w:highlight w:val="none"/>
                <w:lang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restart"/>
            <w:vAlign w:val="center"/>
          </w:tcPr>
          <w:p>
            <w:pPr>
              <w:autoSpaceDE w:val="0"/>
              <w:autoSpaceDN w:val="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应急方案及措施</w:t>
            </w:r>
          </w:p>
        </w:tc>
        <w:tc>
          <w:tcPr>
            <w:tcW w:w="6888" w:type="dxa"/>
            <w:vAlign w:val="center"/>
          </w:tcPr>
          <w:p>
            <w:pP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对突发事件（包括发生</w:t>
            </w:r>
            <w:r>
              <w:rPr>
                <w:rFonts w:hint="eastAsia" w:ascii="宋体" w:hAnsi="宋体" w:cs="宋体"/>
                <w:color w:val="auto"/>
                <w:sz w:val="22"/>
                <w:szCs w:val="22"/>
                <w:highlight w:val="none"/>
                <w:lang w:eastAsia="zh-CN"/>
              </w:rPr>
              <w:t>疫情、</w:t>
            </w:r>
            <w:r>
              <w:rPr>
                <w:rFonts w:hint="eastAsia" w:ascii="宋体" w:hAnsi="宋体" w:eastAsia="宋体" w:cs="宋体"/>
                <w:color w:val="auto"/>
                <w:sz w:val="22"/>
                <w:szCs w:val="22"/>
                <w:highlight w:val="none"/>
              </w:rPr>
              <w:t>台风、暴雨等灾害性天气及其他突发事件）的应急预案及相应的措施进行评分。内容完整、合理、规范且可行的得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分；内容较完整、较合理、较规范且较可行的得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分；内容普通存在瑕疵的得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分；内容存在较多瑕疵不明确、多处不足的得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r>
              <w:rPr>
                <w:rFonts w:hint="eastAsia" w:ascii="宋体" w:hAnsi="宋体" w:cs="宋体"/>
                <w:color w:val="auto"/>
                <w:sz w:val="22"/>
                <w:szCs w:val="22"/>
                <w:highlight w:val="none"/>
                <w:lang w:eastAsia="zh-CN"/>
              </w:rPr>
              <w:t>。</w:t>
            </w:r>
          </w:p>
        </w:tc>
        <w:tc>
          <w:tcPr>
            <w:tcW w:w="914" w:type="dxa"/>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continue"/>
            <w:vAlign w:val="center"/>
          </w:tcPr>
          <w:p>
            <w:pPr>
              <w:widowControl/>
              <w:jc w:val="center"/>
              <w:rPr>
                <w:rFonts w:hint="eastAsia" w:ascii="宋体" w:hAnsi="宋体" w:eastAsia="宋体" w:cs="宋体"/>
                <w:color w:val="auto"/>
                <w:sz w:val="22"/>
                <w:szCs w:val="22"/>
                <w:highlight w:val="none"/>
              </w:rPr>
            </w:pPr>
          </w:p>
        </w:tc>
        <w:tc>
          <w:tcPr>
            <w:tcW w:w="6888" w:type="dxa"/>
            <w:vAlign w:val="center"/>
          </w:tcPr>
          <w:p>
            <w:pPr>
              <w:widowControl/>
              <w:jc w:val="lef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对突发性公告卫生事件（如针对疫情防控）的应急预案进行评分。内容完整、合理、规范且可行的得4分；内容较完整、较合理、较规范且较可行的得3分；内容普通存在瑕疵的得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分；内容存在较多瑕疵不明确、多处不足的得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r>
              <w:rPr>
                <w:rFonts w:hint="eastAsia" w:ascii="宋体" w:hAnsi="宋体" w:cs="宋体"/>
                <w:color w:val="auto"/>
                <w:sz w:val="22"/>
                <w:szCs w:val="22"/>
                <w:highlight w:val="none"/>
                <w:lang w:eastAsia="zh-CN"/>
              </w:rPr>
              <w:t>。</w:t>
            </w:r>
          </w:p>
        </w:tc>
        <w:tc>
          <w:tcPr>
            <w:tcW w:w="914" w:type="dxa"/>
            <w:vAlign w:val="center"/>
          </w:tcPr>
          <w:p>
            <w:pPr>
              <w:widowControl/>
              <w:spacing w:line="380" w:lineRule="exact"/>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652" w:type="dxa"/>
            <w:vMerge w:val="continue"/>
            <w:vAlign w:val="center"/>
          </w:tcPr>
          <w:p>
            <w:pPr>
              <w:snapToGrid w:val="0"/>
              <w:jc w:val="center"/>
              <w:rPr>
                <w:rFonts w:hint="eastAsia" w:ascii="宋体" w:hAnsi="宋体" w:eastAsia="宋体" w:cs="宋体"/>
                <w:color w:val="auto"/>
                <w:kern w:val="0"/>
                <w:sz w:val="22"/>
                <w:szCs w:val="22"/>
                <w:highlight w:val="none"/>
              </w:rPr>
            </w:pPr>
          </w:p>
        </w:tc>
        <w:tc>
          <w:tcPr>
            <w:tcW w:w="912" w:type="dxa"/>
            <w:vMerge w:val="continue"/>
            <w:vAlign w:val="center"/>
          </w:tcPr>
          <w:p>
            <w:pPr>
              <w:widowControl/>
              <w:spacing w:line="320" w:lineRule="exact"/>
              <w:jc w:val="center"/>
              <w:textAlignment w:val="center"/>
              <w:rPr>
                <w:rFonts w:hint="default" w:ascii="宋体" w:hAnsi="宋体" w:eastAsia="宋体" w:cs="宋体"/>
                <w:color w:val="auto"/>
                <w:sz w:val="22"/>
                <w:szCs w:val="22"/>
                <w:highlight w:val="none"/>
                <w:lang w:val="en-US" w:eastAsia="zh-CN"/>
              </w:rPr>
            </w:pPr>
          </w:p>
        </w:tc>
        <w:tc>
          <w:tcPr>
            <w:tcW w:w="6888" w:type="dxa"/>
            <w:vAlign w:val="center"/>
          </w:tcPr>
          <w:p>
            <w:pPr>
              <w:widowControl/>
              <w:numPr>
                <w:ilvl w:val="0"/>
                <w:numId w:val="0"/>
              </w:numPr>
              <w:tabs>
                <w:tab w:val="left" w:pos="101"/>
                <w:tab w:val="left" w:pos="242"/>
                <w:tab w:val="left" w:pos="526"/>
              </w:tabs>
              <w:snapToGrid w:val="0"/>
              <w:spacing w:line="320" w:lineRule="exact"/>
              <w:ind w:leftChars="0"/>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春节员工缺岗解决方案的可行性、可操作性及针对性进行评分。内容完整、合理、规范且可行的得3分；内容较完整、较合理、较规范且较可行的得2分；内容存在瑕疵不明确、多处不足的得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分；未提供得0分</w:t>
            </w:r>
            <w:r>
              <w:rPr>
                <w:rFonts w:hint="eastAsia" w:ascii="宋体" w:hAnsi="宋体" w:cs="宋体"/>
                <w:color w:val="auto"/>
                <w:sz w:val="22"/>
                <w:szCs w:val="22"/>
                <w:highlight w:val="none"/>
                <w:lang w:eastAsia="zh-CN"/>
              </w:rPr>
              <w:t>。</w:t>
            </w:r>
          </w:p>
        </w:tc>
        <w:tc>
          <w:tcPr>
            <w:tcW w:w="914" w:type="dxa"/>
            <w:vAlign w:val="center"/>
          </w:tcPr>
          <w:p>
            <w:pPr>
              <w:snapToGrid w:val="0"/>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3分</w:t>
            </w:r>
          </w:p>
        </w:tc>
      </w:tr>
    </w:tbl>
    <w:p>
      <w:pPr>
        <w:rPr>
          <w:color w:val="auto"/>
          <w:sz w:val="24"/>
          <w:highlight w:val="none"/>
        </w:rPr>
      </w:pPr>
    </w:p>
    <w:p>
      <w:pPr>
        <w:rPr>
          <w:rFonts w:ascii="仿宋" w:hAnsi="仿宋" w:eastAsia="仿宋" w:cs="仿宋_GB2312"/>
          <w:b/>
          <w:bCs/>
          <w:color w:val="auto"/>
          <w:sz w:val="36"/>
          <w:szCs w:val="36"/>
          <w:highlight w:val="none"/>
        </w:rPr>
      </w:pPr>
      <w:r>
        <w:rPr>
          <w:rFonts w:hint="eastAsia"/>
          <w:b/>
          <w:bCs/>
          <w:color w:val="auto"/>
          <w:sz w:val="24"/>
          <w:highlight w:val="none"/>
        </w:rPr>
        <w:t>注：以上项目若缺项，则该项得0分</w:t>
      </w: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both"/>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rFonts w:hint="eastAsia" w:ascii="仿宋" w:hAnsi="仿宋" w:eastAsia="仿宋" w:cs="仿宋_GB2312"/>
          <w:b/>
          <w:color w:val="auto"/>
          <w:sz w:val="36"/>
          <w:szCs w:val="36"/>
          <w:highlight w:val="none"/>
        </w:rPr>
      </w:pPr>
    </w:p>
    <w:p>
      <w:pPr>
        <w:spacing w:before="120" w:beforeLines="50" w:line="360" w:lineRule="auto"/>
        <w:jc w:val="center"/>
        <w:rPr>
          <w:color w:val="auto"/>
          <w:highlight w:val="none"/>
        </w:rPr>
      </w:pPr>
      <w:r>
        <w:rPr>
          <w:rFonts w:hint="eastAsia" w:ascii="仿宋" w:hAnsi="仿宋" w:eastAsia="仿宋" w:cs="仿宋_GB2312"/>
          <w:b/>
          <w:color w:val="auto"/>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政府采购计划（预算）确认书编号：</w:t>
      </w:r>
      <w:r>
        <w:rPr>
          <w:rFonts w:hint="eastAsia" w:ascii="宋体" w:hAnsi="宋体" w:cs="Arial"/>
          <w:color w:val="auto"/>
          <w:kern w:val="0"/>
          <w:sz w:val="24"/>
          <w:highlight w:val="none"/>
        </w:rPr>
        <w:t>善财采确临[2022]</w:t>
      </w:r>
      <w:r>
        <w:rPr>
          <w:rFonts w:hint="eastAsia" w:ascii="宋体" w:hAnsi="宋体" w:cs="Arial"/>
          <w:color w:val="auto"/>
          <w:kern w:val="0"/>
          <w:sz w:val="24"/>
          <w:highlight w:val="none"/>
          <w:lang w:val="en-US" w:eastAsia="zh-CN"/>
        </w:rPr>
        <w:t>6419</w:t>
      </w:r>
      <w:r>
        <w:rPr>
          <w:rFonts w:hint="eastAsia" w:ascii="宋体" w:hAnsi="宋体" w:cs="Arial"/>
          <w:color w:val="auto"/>
          <w:kern w:val="0"/>
          <w:sz w:val="24"/>
          <w:highlight w:val="none"/>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预算金额：</w:t>
      </w:r>
      <w:r>
        <w:rPr>
          <w:rFonts w:hint="eastAsia" w:ascii="宋体" w:hAnsi="宋体" w:cs="Arial"/>
          <w:color w:val="auto"/>
          <w:kern w:val="0"/>
          <w:sz w:val="24"/>
          <w:highlight w:val="none"/>
          <w:lang w:eastAsia="zh-CN"/>
        </w:rPr>
        <w:t>56</w:t>
      </w:r>
      <w:r>
        <w:rPr>
          <w:rFonts w:hint="eastAsia" w:ascii="宋体" w:hAnsi="宋体" w:cs="Arial"/>
          <w:color w:val="auto"/>
          <w:kern w:val="0"/>
          <w:sz w:val="24"/>
          <w:highlight w:val="none"/>
        </w:rPr>
        <w:t>.00万元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采购人（以下称甲方）：</w:t>
      </w:r>
      <w:r>
        <w:rPr>
          <w:rFonts w:hint="eastAsia" w:ascii="宋体" w:hAnsi="宋体" w:cs="宋体"/>
          <w:color w:val="auto"/>
          <w:kern w:val="0"/>
          <w:sz w:val="24"/>
          <w:highlight w:val="none"/>
          <w:lang w:eastAsia="zh-CN"/>
        </w:rPr>
        <w:t>浙江省嘉善县民政局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采购方式：</w:t>
      </w:r>
      <w:r>
        <w:rPr>
          <w:rFonts w:hint="eastAsia" w:ascii="宋体" w:hAnsi="宋体" w:cs="Arial"/>
          <w:color w:val="auto"/>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采购文件编号：</w:t>
      </w:r>
      <w:r>
        <w:rPr>
          <w:rFonts w:hint="eastAsia" w:ascii="宋体" w:hAnsi="宋体" w:cs="宋体"/>
          <w:color w:val="auto"/>
          <w:kern w:val="0"/>
          <w:sz w:val="24"/>
          <w:highlight w:val="none"/>
          <w:lang w:eastAsia="zh-CN"/>
        </w:rPr>
        <w:t>JXYJ2022040</w:t>
      </w:r>
      <w:r>
        <w:rPr>
          <w:rFonts w:hint="eastAsia" w:ascii="宋体" w:hAnsi="宋体" w:cs="宋体"/>
          <w:color w:val="auto"/>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根据《中华人民共和国政府采购法》、《中华人民共和国民法典》等法律法规的规定，甲乙双方按照</w:t>
      </w:r>
      <w:r>
        <w:rPr>
          <w:rFonts w:hint="eastAsia" w:ascii="宋体" w:hAnsi="宋体" w:cs="宋体"/>
          <w:color w:val="auto"/>
          <w:kern w:val="0"/>
          <w:sz w:val="24"/>
          <w:highlight w:val="none"/>
          <w:u w:val="single"/>
        </w:rPr>
        <w:t xml:space="preserve">  嘉善县救助管理站救助服务外包项目 </w:t>
      </w:r>
      <w:r>
        <w:rPr>
          <w:rFonts w:hint="eastAsia" w:ascii="宋体" w:hAnsi="宋体" w:cs="宋体"/>
          <w:color w:val="auto"/>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1、本次采购的是嘉善县救助管理站救助服务外包项目。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1、本合同项下总价款为人民币（大写），分项价款见“投标报价明细表”（如有）”。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color w:val="auto"/>
          <w:kern w:val="0"/>
          <w:sz w:val="24"/>
          <w:highlight w:val="none"/>
        </w:rPr>
      </w:pPr>
      <w:r>
        <w:rPr>
          <w:rFonts w:hint="eastAsia" w:ascii="宋体" w:hAnsi="宋体" w:cs="宋体"/>
          <w:color w:val="auto"/>
          <w:kern w:val="0"/>
          <w:sz w:val="24"/>
          <w:highlight w:val="none"/>
        </w:rPr>
        <w:t>2、本合同总价款含所有税费(包括完成本项目所有工作内容所需的</w:t>
      </w:r>
      <w:r>
        <w:rPr>
          <w:rFonts w:hint="eastAsia" w:ascii="宋体" w:hAnsi="宋体" w:cs="宋体"/>
          <w:color w:val="auto"/>
          <w:kern w:val="0"/>
          <w:sz w:val="24"/>
          <w:highlight w:val="none"/>
          <w:lang w:eastAsia="zh-CN"/>
        </w:rPr>
        <w:t>一切人员工资、奖金、年终奖、各类加班费、餐费、各种社会保险（基本养老保险、基本医疗保险、工伤保险、失业保险等）、食宿与交通、高温补偿费、人员培训费用、设备器材、办公费用、消耗材料、服装、安全、管理费用、税费、利润、完成本项目所需的一切本身和不可或缺的所有工作开支、政策性文件规定及本项目包含的所有风险、责任等各项全部费用并承担一切风险责任</w:t>
      </w:r>
      <w:r>
        <w:rPr>
          <w:rFonts w:hint="eastAsia" w:ascii="宋体" w:hAnsi="宋体" w:cs="Arial"/>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3、本项目资金来源性质为以下第</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eastAsia="zh-CN"/>
        </w:rPr>
        <w:t>预算管理内资金</w:t>
      </w:r>
      <w:r>
        <w:rPr>
          <w:rFonts w:hint="eastAsia" w:ascii="宋体" w:hAnsi="宋体" w:cs="宋体"/>
          <w:color w:val="auto"/>
          <w:kern w:val="0"/>
          <w:sz w:val="24"/>
          <w:highlight w:val="none"/>
        </w:rPr>
        <w:t>；（2）政府基金；（3）专户核拨的预算外资金；（4）其他财政资金；（5）其他资金。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4、本合同付款方式为以下第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（1）本合同项下的采购资金系甲方自行支付，付款程序为；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（2）本合同项下的采购资金采用财政授权支付，付款程序为</w:t>
      </w:r>
      <w:r>
        <w:rPr>
          <w:rFonts w:hint="eastAsia" w:ascii="宋体" w:hAnsi="宋体" w:cs="Arial"/>
          <w:color w:val="auto"/>
          <w:kern w:val="0"/>
          <w:sz w:val="24"/>
          <w:highlight w:val="none"/>
          <w:u w:val="single"/>
        </w:rPr>
        <w:t>甲方根据年初预算申请生成用款计划，再在支付管理系统中发起授权支付申请，付款单位凭中标通知书、用款计划书、合同、验收单、发票、采购备案表进行审核支付</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5、本合同项下的采购资金付款进度按采购文件与投标文件（或采购响应文件）规定，未规定时按以下第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（1）一次性付款：乙方合同履行达到（条件）时，一次性付款；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（2）分期付款：</w:t>
      </w:r>
      <w:r>
        <w:rPr>
          <w:rFonts w:hint="eastAsia" w:ascii="宋体" w:hAnsi="宋体" w:cs="宋体"/>
          <w:color w:val="auto"/>
          <w:sz w:val="24"/>
          <w:highlight w:val="none"/>
          <w:lang w:eastAsia="zh-CN"/>
        </w:rPr>
        <w:t>合同生效以及具备实施条件后7个工作日内支付合同金额的40%；2023年6月底前，支付中标价的20%；2023年9月底前，支付中标价的20% ；2023年12月底前，支付中标价的20% 。如到期续签一年的，2024年付款方式仍参照上述时间节点。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color w:val="auto"/>
          <w:kern w:val="0"/>
          <w:sz w:val="24"/>
          <w:highlight w:val="none"/>
        </w:rPr>
      </w:pPr>
      <w:r>
        <w:rPr>
          <w:rFonts w:hint="eastAsia" w:ascii="宋体" w:hAnsi="宋体" w:cs="宋体"/>
          <w:color w:val="auto"/>
          <w:kern w:val="0"/>
          <w:sz w:val="24"/>
          <w:highlight w:val="none"/>
        </w:rPr>
        <w:t>按以下第</w:t>
      </w:r>
      <w:r>
        <w:rPr>
          <w:rFonts w:hint="eastAsia" w:ascii="宋体" w:hAnsi="宋体" w:cs="宋体"/>
          <w:color w:val="auto"/>
          <w:kern w:val="0"/>
          <w:sz w:val="24"/>
          <w:highlight w:val="none"/>
          <w:u w:val="single"/>
          <w:lang w:val="en-US" w:eastAsia="zh-CN"/>
        </w:rPr>
        <w:t xml:space="preserve">   2   </w:t>
      </w:r>
      <w:r>
        <w:rPr>
          <w:rFonts w:hint="eastAsia" w:ascii="宋体" w:hAnsi="宋体" w:cs="宋体"/>
          <w:color w:val="auto"/>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1、本项目设置履约保证金</w:t>
      </w:r>
      <w:r>
        <w:rPr>
          <w:rFonts w:hint="eastAsia" w:ascii="宋体" w:hAnsi="宋体" w:cs="宋体"/>
          <w:color w:val="auto"/>
          <w:kern w:val="0"/>
          <w:sz w:val="24"/>
          <w:highlight w:val="none"/>
          <w:lang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eastAsia="宋体" w:cs="宋体"/>
          <w:b/>
          <w:color w:val="auto"/>
          <w:kern w:val="0"/>
          <w:sz w:val="24"/>
          <w:highlight w:val="none"/>
          <w:lang w:eastAsia="zh-CN"/>
        </w:rPr>
      </w:pPr>
      <w:r>
        <w:rPr>
          <w:rFonts w:hint="eastAsia" w:ascii="宋体" w:hAnsi="宋体" w:cs="宋体"/>
          <w:color w:val="auto"/>
          <w:kern w:val="0"/>
          <w:sz w:val="24"/>
          <w:highlight w:val="none"/>
        </w:rPr>
        <w:t>2、本项目不设置履约保证金</w:t>
      </w:r>
      <w:r>
        <w:rPr>
          <w:rFonts w:hint="eastAsia" w:ascii="宋体" w:hAnsi="宋体" w:cs="宋体"/>
          <w:color w:val="auto"/>
          <w:kern w:val="0"/>
          <w:sz w:val="24"/>
          <w:highlight w:val="none"/>
          <w:lang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本项目不允许转包和分包</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因履行本合同引起的或与本合同有关的争议，甲、乙双方应首先通过友好协商解决，如果协商不能解决争议，则采取以下第</w:t>
      </w:r>
      <w:r>
        <w:rPr>
          <w:rFonts w:hint="eastAsia" w:ascii="宋体" w:hAnsi="宋体" w:cs="宋体"/>
          <w:color w:val="auto"/>
          <w:kern w:val="0"/>
          <w:sz w:val="24"/>
          <w:highlight w:val="none"/>
          <w:u w:val="single"/>
        </w:rPr>
        <w:t xml:space="preserve">   （2）    </w:t>
      </w:r>
      <w:r>
        <w:rPr>
          <w:rFonts w:hint="eastAsia" w:ascii="宋体" w:hAnsi="宋体" w:cs="宋体"/>
          <w:color w:val="auto"/>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（2）向</w:t>
      </w:r>
      <w:r>
        <w:rPr>
          <w:rFonts w:hint="eastAsia" w:ascii="宋体" w:hAnsi="宋体" w:cs="Arial"/>
          <w:color w:val="auto"/>
          <w:kern w:val="0"/>
          <w:sz w:val="24"/>
          <w:highlight w:val="none"/>
          <w:u w:val="single"/>
        </w:rPr>
        <w:t>嘉善县</w:t>
      </w:r>
      <w:r>
        <w:rPr>
          <w:rFonts w:hint="eastAsia" w:ascii="宋体" w:hAnsi="宋体" w:cs="宋体"/>
          <w:color w:val="auto"/>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r>
        <w:rPr>
          <w:rFonts w:hint="eastAsia" w:ascii="宋体" w:hAnsi="宋体" w:cs="Arial"/>
          <w:color w:val="auto"/>
          <w:kern w:val="0"/>
          <w:sz w:val="24"/>
          <w:highlight w:val="none"/>
        </w:rPr>
        <w:t>本合同一式五份，甲乙双方各2份，招标代理机构各持一份</w:t>
      </w:r>
      <w:r>
        <w:rPr>
          <w:rFonts w:hint="eastAsia" w:ascii="宋体" w:hAnsi="宋体" w:cs="宋体"/>
          <w:color w:val="auto"/>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color w:val="auto"/>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color w:val="auto"/>
          <w:highlight w:val="none"/>
        </w:rPr>
      </w:pPr>
    </w:p>
    <w:p>
      <w:pPr>
        <w:pStyle w:val="26"/>
        <w:rPr>
          <w:color w:val="auto"/>
          <w:highlight w:val="none"/>
        </w:rPr>
      </w:pPr>
    </w:p>
    <w:p>
      <w:pPr>
        <w:rPr>
          <w:highlight w:val="none"/>
        </w:rPr>
      </w:pPr>
    </w:p>
    <w:p>
      <w:pPr>
        <w:rPr>
          <w:color w:val="auto"/>
          <w:highlight w:val="none"/>
        </w:rPr>
      </w:pPr>
    </w:p>
    <w:p>
      <w:pPr>
        <w:spacing w:line="480" w:lineRule="exact"/>
        <w:rPr>
          <w:rFonts w:ascii="宋体" w:hAnsi="宋体" w:cs="宋体"/>
          <w:b/>
          <w:color w:val="auto"/>
          <w:sz w:val="24"/>
          <w:highlight w:val="none"/>
        </w:rPr>
      </w:pPr>
      <w:r>
        <w:rPr>
          <w:rFonts w:hint="eastAsia" w:ascii="宋体" w:hAnsi="宋体" w:cs="宋体"/>
          <w:b/>
          <w:color w:val="auto"/>
          <w:sz w:val="24"/>
          <w:highlight w:val="none"/>
        </w:rPr>
        <w:t>采购人（甲方公章）                    供应商（乙方公章）：</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法定代表人                            法定代表人</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或被授权人（签字）：                   或被授权人（签字）：     </w:t>
      </w:r>
    </w:p>
    <w:p>
      <w:pPr>
        <w:spacing w:line="480" w:lineRule="exact"/>
        <w:rPr>
          <w:rFonts w:ascii="宋体" w:hAnsi="宋体" w:cs="宋体"/>
          <w:b/>
          <w:color w:val="auto"/>
          <w:sz w:val="24"/>
          <w:highlight w:val="none"/>
        </w:rPr>
      </w:pPr>
      <w:r>
        <w:rPr>
          <w:rFonts w:hint="eastAsia" w:ascii="宋体" w:hAnsi="宋体" w:cs="宋体"/>
          <w:b/>
          <w:color w:val="auto"/>
          <w:sz w:val="24"/>
          <w:highlight w:val="none"/>
        </w:rPr>
        <w:t xml:space="preserve">电话：                                电话：  </w:t>
      </w:r>
    </w:p>
    <w:p>
      <w:pPr>
        <w:spacing w:line="480" w:lineRule="exact"/>
        <w:ind w:right="480" w:firstLine="2160" w:firstLineChars="900"/>
        <w:jc w:val="center"/>
        <w:rPr>
          <w:rFonts w:ascii="宋体" w:hAnsi="宋体" w:cs="宋体"/>
          <w:color w:val="auto"/>
          <w:sz w:val="24"/>
          <w:highlight w:val="none"/>
        </w:rPr>
      </w:pPr>
    </w:p>
    <w:p>
      <w:pPr>
        <w:spacing w:line="480" w:lineRule="exact"/>
        <w:ind w:right="480" w:firstLine="2160" w:firstLineChars="900"/>
        <w:jc w:val="center"/>
        <w:rPr>
          <w:rFonts w:ascii="宋体" w:hAnsi="宋体" w:cs="宋体"/>
          <w:color w:val="auto"/>
          <w:sz w:val="24"/>
          <w:highlight w:val="none"/>
        </w:rPr>
      </w:pPr>
      <w:r>
        <w:rPr>
          <w:rFonts w:hint="eastAsia" w:ascii="宋体" w:hAnsi="宋体" w:cs="宋体"/>
          <w:color w:val="auto"/>
          <w:sz w:val="24"/>
          <w:highlight w:val="none"/>
        </w:rPr>
        <w:t xml:space="preserve">       合同签订日期：     年    月   日</w:t>
      </w:r>
    </w:p>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签约地点：</w:t>
      </w:r>
    </w:p>
    <w:p>
      <w:pPr>
        <w:spacing w:line="460" w:lineRule="exact"/>
        <w:rPr>
          <w:rFonts w:hint="eastAsia" w:ascii="宋体" w:hAnsi="宋体" w:cs="Tahoma"/>
          <w:color w:val="auto"/>
          <w:kern w:val="0"/>
          <w:sz w:val="24"/>
          <w:highlight w:val="none"/>
        </w:rPr>
        <w:sectPr>
          <w:footerReference r:id="rId11" w:type="default"/>
          <w:pgSz w:w="11906" w:h="16838"/>
          <w:pgMar w:top="1134" w:right="1134" w:bottom="1417" w:left="1134" w:header="851" w:footer="851" w:gutter="0"/>
          <w:pgNumType w:fmt="decimal"/>
          <w:cols w:space="720" w:num="1"/>
          <w:docGrid w:linePitch="312" w:charSpace="0"/>
        </w:sectPr>
      </w:pPr>
    </w:p>
    <w:tbl>
      <w:tblPr>
        <w:tblStyle w:val="65"/>
        <w:tblW w:w="14436" w:type="dxa"/>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color w:val="auto"/>
                <w:kern w:val="0"/>
                <w:sz w:val="24"/>
                <w:highlight w:val="none"/>
              </w:rPr>
            </w:pPr>
            <w:r>
              <w:rPr>
                <w:rFonts w:hint="eastAsia" w:ascii="宋体" w:hAnsi="宋体" w:cs="宋体"/>
                <w:color w:val="auto"/>
                <w:kern w:val="0"/>
                <w:sz w:val="24"/>
                <w:highlight w:val="none"/>
              </w:rPr>
              <w:t>20    年    月    日</w:t>
            </w:r>
          </w:p>
        </w:tc>
      </w:tr>
      <w:tr>
        <w:tblPrEx>
          <w:tblCellMar>
            <w:top w:w="0" w:type="dxa"/>
            <w:left w:w="108" w:type="dxa"/>
            <w:bottom w:w="0" w:type="dxa"/>
            <w:right w:w="108" w:type="dxa"/>
          </w:tblCellMar>
        </w:tblPrEx>
        <w:trPr>
          <w:trHeight w:val="44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444" w:hRule="atLeast"/>
        </w:trPr>
        <w:tc>
          <w:tcPr>
            <w:tcW w:w="14436" w:type="dxa"/>
            <w:gridSpan w:val="6"/>
            <w:tcBorders>
              <w:top w:val="nil"/>
              <w:left w:val="nil"/>
              <w:bottom w:val="nil"/>
              <w:right w:val="nil"/>
            </w:tcBorders>
            <w:vAlign w:val="bottom"/>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2、本表一式五份，经供需双方签字盖章后由采购单位、供应商、财政支付（核算）中心、财政局、公共资源交易中心各自留存。</w:t>
            </w:r>
          </w:p>
        </w:tc>
      </w:tr>
    </w:tbl>
    <w:p>
      <w:pPr>
        <w:pStyle w:val="35"/>
        <w:spacing w:before="120" w:after="120" w:line="420" w:lineRule="exact"/>
        <w:rPr>
          <w:rFonts w:hAnsi="宋体"/>
          <w:bCs/>
          <w:color w:val="auto"/>
          <w:highlight w:val="none"/>
        </w:rPr>
        <w:sectPr>
          <w:pgSz w:w="16838" w:h="11906" w:orient="landscape"/>
          <w:pgMar w:top="1134" w:right="1134" w:bottom="1134" w:left="1417" w:header="851" w:footer="851" w:gutter="0"/>
          <w:pgNumType w:fmt="decimal"/>
          <w:cols w:space="720" w:num="1"/>
          <w:docGrid w:linePitch="312" w:charSpace="0"/>
        </w:sectPr>
      </w:pPr>
    </w:p>
    <w:p>
      <w:pPr>
        <w:jc w:val="center"/>
        <w:rPr>
          <w:rFonts w:hint="eastAsia" w:ascii="宋体" w:hAnsi="宋体" w:cs="宋体"/>
          <w:color w:val="auto"/>
          <w:sz w:val="28"/>
          <w:szCs w:val="28"/>
          <w:highlight w:val="none"/>
        </w:rPr>
      </w:pPr>
    </w:p>
    <w:p>
      <w:pPr>
        <w:jc w:val="center"/>
        <w:rPr>
          <w:rFonts w:hint="eastAsia" w:ascii="宋体" w:hAnsi="宋体" w:cs="宋体"/>
          <w:color w:val="auto"/>
          <w:sz w:val="28"/>
          <w:szCs w:val="28"/>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嘉善县救助管理站救助服务外包项目 验收报告</w:t>
      </w:r>
    </w:p>
    <w:p>
      <w:pPr>
        <w:jc w:val="center"/>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r>
        <w:rPr>
          <w:rFonts w:hint="eastAsia" w:ascii="宋体" w:hAnsi="宋体" w:cs="宋体"/>
          <w:color w:val="auto"/>
          <w:sz w:val="28"/>
          <w:szCs w:val="28"/>
          <w:highlight w:val="none"/>
        </w:rPr>
        <w:t>项目验收情况说明（由双方按验收情况填写）：</w:t>
      </w: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jc w:val="left"/>
        <w:rPr>
          <w:rFonts w:ascii="宋体" w:hAnsi="宋体" w:cs="宋体"/>
          <w:color w:val="auto"/>
          <w:sz w:val="28"/>
          <w:szCs w:val="28"/>
          <w:highlight w:val="none"/>
        </w:rPr>
      </w:pPr>
    </w:p>
    <w:p>
      <w:pPr>
        <w:rPr>
          <w:color w:val="auto"/>
          <w:highlight w:val="none"/>
        </w:rPr>
        <w:sectPr>
          <w:pgSz w:w="11906" w:h="16838"/>
          <w:pgMar w:top="1440" w:right="1797" w:bottom="1440" w:left="1797" w:header="851" w:footer="851" w:gutter="0"/>
          <w:pgNumType w:fmt="decimal"/>
          <w:cols w:space="720" w:num="1"/>
          <w:docGrid w:linePitch="312" w:charSpace="0"/>
        </w:sectPr>
      </w:pPr>
      <w:r>
        <w:rPr>
          <w:rFonts w:hint="eastAsia" w:ascii="宋体" w:hAnsi="宋体" w:cs="宋体"/>
          <w:color w:val="auto"/>
          <w:sz w:val="28"/>
          <w:szCs w:val="28"/>
          <w:highlight w:val="none"/>
        </w:rPr>
        <w:t>验收小组签字：（3人以上）</w:t>
      </w:r>
    </w:p>
    <w:p>
      <w:pPr>
        <w:pStyle w:val="3"/>
        <w:numPr>
          <w:ilvl w:val="0"/>
          <w:numId w:val="4"/>
        </w:numPr>
        <w:spacing w:before="0" w:after="0" w:line="240" w:lineRule="auto"/>
        <w:ind w:left="0" w:firstLine="0"/>
        <w:jc w:val="center"/>
        <w:rPr>
          <w:rFonts w:ascii="仿宋" w:hAnsi="仿宋" w:eastAsia="仿宋" w:cs="仿宋_GB2312"/>
          <w:bCs w:val="0"/>
          <w:color w:val="auto"/>
          <w:kern w:val="2"/>
          <w:sz w:val="36"/>
          <w:szCs w:val="36"/>
          <w:highlight w:val="none"/>
        </w:rPr>
      </w:pPr>
      <w:r>
        <w:rPr>
          <w:rFonts w:hint="eastAsia" w:ascii="仿宋" w:hAnsi="仿宋" w:eastAsia="仿宋" w:cs="仿宋_GB2312"/>
          <w:bCs w:val="0"/>
          <w:color w:val="auto"/>
          <w:kern w:val="2"/>
          <w:sz w:val="36"/>
          <w:szCs w:val="36"/>
          <w:highlight w:val="none"/>
        </w:rPr>
        <w:t>投标文件格式</w:t>
      </w:r>
      <w:bookmarkEnd w:id="34"/>
    </w:p>
    <w:p>
      <w:pPr>
        <w:spacing w:line="300" w:lineRule="auto"/>
        <w:ind w:firstLine="205" w:firstLineChars="98"/>
        <w:jc w:val="center"/>
        <w:rPr>
          <w:rFonts w:hAnsi="宋体" w:cs="宋体"/>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color w:val="auto"/>
          <w:kern w:val="0"/>
          <w:sz w:val="24"/>
          <w:highlight w:val="none"/>
          <w:lang w:val="zh-CN"/>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投标人名称（盖章）</w:t>
      </w:r>
      <w:r>
        <w:rPr>
          <w:rFonts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月日</w:t>
      </w: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b/>
          <w:bCs/>
          <w:color w:val="auto"/>
          <w:sz w:val="28"/>
          <w:szCs w:val="28"/>
          <w:highlight w:val="none"/>
        </w:rPr>
      </w:pPr>
    </w:p>
    <w:p>
      <w:pPr>
        <w:spacing w:line="360" w:lineRule="auto"/>
        <w:ind w:firstLine="275" w:firstLineChars="98"/>
        <w:jc w:val="center"/>
        <w:rPr>
          <w:rFonts w:ascii="宋体" w:hAnsi="宋体" w:cs="宋体"/>
          <w:color w:val="auto"/>
          <w:sz w:val="22"/>
          <w:szCs w:val="22"/>
          <w:highlight w:val="none"/>
        </w:rPr>
      </w:pPr>
      <w:r>
        <w:rPr>
          <w:rFonts w:hint="eastAsia" w:ascii="宋体" w:hAnsi="宋体" w:cs="宋体"/>
          <w:b/>
          <w:bCs/>
          <w:color w:val="auto"/>
          <w:sz w:val="28"/>
          <w:szCs w:val="28"/>
          <w:highlight w:val="none"/>
        </w:rPr>
        <w:t>中小企业声明函（服务）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本公司（联合体）郑重声明，根据《政府采购促进中小企业发展管理办法》（财库﹝2020﹞46号）的规定，本公司（联合体）参加</w:t>
      </w:r>
      <w:r>
        <w:rPr>
          <w:rFonts w:ascii="宋体" w:hAnsi="宋体" w:cs="宋体"/>
          <w:color w:val="auto"/>
          <w:sz w:val="24"/>
          <w:highlight w:val="none"/>
          <w:u w:val="single"/>
        </w:rPr>
        <w:t>（单位名称）</w:t>
      </w:r>
      <w:r>
        <w:rPr>
          <w:rFonts w:ascii="宋体" w:hAnsi="宋体" w:cs="宋体"/>
          <w:color w:val="auto"/>
          <w:sz w:val="24"/>
          <w:highlight w:val="none"/>
        </w:rPr>
        <w:t>的</w:t>
      </w:r>
      <w:r>
        <w:rPr>
          <w:rFonts w:hint="eastAsia" w:ascii="宋体" w:hAnsi="宋体" w:cs="宋体"/>
          <w:color w:val="auto"/>
          <w:sz w:val="24"/>
          <w:highlight w:val="none"/>
        </w:rPr>
        <w:t>嘉善县救助管理站救助服务外包项目</w:t>
      </w:r>
      <w:r>
        <w:rPr>
          <w:rFonts w:ascii="宋体" w:hAnsi="宋体" w:cs="宋体"/>
          <w:color w:val="auto"/>
          <w:sz w:val="24"/>
          <w:highlight w:val="none"/>
        </w:rPr>
        <w:t>采购活动，</w:t>
      </w:r>
      <w:r>
        <w:rPr>
          <w:rFonts w:hint="eastAsia" w:ascii="宋体" w:hAnsi="宋体" w:cs="宋体"/>
          <w:color w:val="auto"/>
          <w:sz w:val="24"/>
          <w:highlight w:val="none"/>
        </w:rPr>
        <w:t>服务全部由符合政策要求的中小企业承接</w:t>
      </w:r>
      <w:r>
        <w:rPr>
          <w:rFonts w:ascii="宋体" w:hAnsi="宋体" w:cs="宋体"/>
          <w:color w:val="auto"/>
          <w:sz w:val="24"/>
          <w:highlight w:val="none"/>
        </w:rPr>
        <w:t xml:space="preserve">。相关企业（含联合体中的中小企业、签订分包意向协议的中小企业）的具体情况如下： </w:t>
      </w:r>
    </w:p>
    <w:p>
      <w:pPr>
        <w:numPr>
          <w:ilvl w:val="0"/>
          <w:numId w:val="0"/>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嘉善县救助管理站救助服务外包项目，属于</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；承建（承接）企业为</w:t>
      </w:r>
      <w:r>
        <w:rPr>
          <w:rFonts w:hint="eastAsia" w:ascii="宋体" w:hAnsi="宋体" w:cs="宋体"/>
          <w:color w:val="auto"/>
          <w:sz w:val="24"/>
          <w:highlight w:val="none"/>
          <w:u w:val="single"/>
        </w:rPr>
        <w:t>（企业名称）</w:t>
      </w:r>
      <w:r>
        <w:rPr>
          <w:rFonts w:hint="eastAsia" w:ascii="宋体" w:hAnsi="宋体" w:cs="宋体"/>
          <w:color w:val="auto"/>
          <w:sz w:val="24"/>
          <w:highlight w:val="none"/>
        </w:rPr>
        <w:t>，从业人员人，营业收入为万元，资产总额为万元 ，属于</w:t>
      </w:r>
      <w:r>
        <w:rPr>
          <w:rFonts w:hint="eastAsia" w:ascii="宋体" w:hAnsi="宋体" w:cs="宋体"/>
          <w:color w:val="auto"/>
          <w:sz w:val="24"/>
          <w:highlight w:val="none"/>
          <w:u w:val="single"/>
        </w:rPr>
        <w:t>（中型企业、小型企业、微型企业）</w:t>
      </w:r>
      <w:r>
        <w:rPr>
          <w:rFonts w:hint="eastAsia" w:ascii="宋体" w:hAnsi="宋体" w:cs="宋体"/>
          <w:color w:val="auto"/>
          <w:sz w:val="24"/>
          <w:highlight w:val="none"/>
        </w:rPr>
        <w:t xml:space="preserve">； </w:t>
      </w:r>
    </w:p>
    <w:p>
      <w:pPr>
        <w:pStyle w:val="967"/>
        <w:snapToGrid w:val="0"/>
        <w:spacing w:line="360" w:lineRule="auto"/>
        <w:ind w:firstLine="494"/>
        <w:rPr>
          <w:rFonts w:ascii="宋体" w:eastAsia="宋体"/>
          <w:bCs/>
          <w:color w:val="auto"/>
          <w:sz w:val="24"/>
          <w:szCs w:val="24"/>
          <w:highlight w:val="none"/>
        </w:rPr>
      </w:pPr>
    </w:p>
    <w:p>
      <w:pPr>
        <w:pStyle w:val="967"/>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以上企业，不属于大企业的分支机构，不存在控股股东为大企业的情形，也不存在与大企业的负责人为同一人的情形。</w:t>
      </w:r>
    </w:p>
    <w:p>
      <w:pPr>
        <w:pStyle w:val="967"/>
        <w:snapToGrid w:val="0"/>
        <w:spacing w:line="360" w:lineRule="auto"/>
        <w:ind w:firstLine="494"/>
        <w:rPr>
          <w:rFonts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7"/>
        <w:snapToGrid w:val="0"/>
        <w:ind w:firstLine="4809" w:firstLineChars="2004"/>
        <w:rPr>
          <w:rFonts w:ascii="宋体" w:eastAsia="宋体"/>
          <w:bCs/>
          <w:color w:val="auto"/>
          <w:sz w:val="24"/>
          <w:szCs w:val="24"/>
          <w:highlight w:val="none"/>
        </w:rPr>
      </w:pP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rPr>
        <w:t>年月日</w:t>
      </w:r>
    </w:p>
    <w:p>
      <w:pPr>
        <w:pStyle w:val="967"/>
        <w:snapToGrid w:val="0"/>
        <w:spacing w:line="240" w:lineRule="auto"/>
        <w:ind w:firstLine="0" w:firstLineChars="0"/>
        <w:rPr>
          <w:rFonts w:ascii="宋体" w:eastAsia="宋体"/>
          <w:bCs/>
          <w:color w:val="auto"/>
          <w:sz w:val="24"/>
          <w:szCs w:val="24"/>
          <w:highlight w:val="none"/>
        </w:rPr>
      </w:pPr>
    </w:p>
    <w:p>
      <w:pPr>
        <w:pStyle w:val="967"/>
        <w:snapToGrid w:val="0"/>
        <w:spacing w:line="240" w:lineRule="auto"/>
        <w:ind w:firstLine="0" w:firstLineChars="0"/>
        <w:rPr>
          <w:rFonts w:ascii="宋体" w:eastAsia="宋体"/>
          <w:bCs/>
          <w:color w:val="auto"/>
          <w:sz w:val="24"/>
          <w:szCs w:val="24"/>
          <w:highlight w:val="none"/>
        </w:rPr>
      </w:pP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注：</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1.从业人员、营业收入、资产总额填报上一年度数据，无上一年度数据的新成立企业可不填报；</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2.本项目中小企业政策所属行业为</w:t>
      </w:r>
      <w:r>
        <w:rPr>
          <w:rFonts w:hint="eastAsia" w:ascii="宋体" w:eastAsia="宋体"/>
          <w:b/>
          <w:bCs w:val="0"/>
          <w:color w:val="auto"/>
          <w:sz w:val="24"/>
          <w:szCs w:val="24"/>
          <w:highlight w:val="none"/>
        </w:rPr>
        <w:t>租赁和商务服务业</w:t>
      </w:r>
      <w:r>
        <w:rPr>
          <w:rFonts w:hint="eastAsia" w:ascii="宋体" w:eastAsia="宋体"/>
          <w:bCs/>
          <w:color w:val="auto"/>
          <w:sz w:val="24"/>
          <w:szCs w:val="24"/>
          <w:highlight w:val="none"/>
        </w:rPr>
        <w:t>；</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3.符合《关于促进残疾人就业政府采购政策的通知》（财库〔2017〕141号）规定的条件并提供《残疾人福利性单位声明函》的残疾人福利性单位视同小型、微型企业；</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监狱和戒毒企业证明材料</w:t>
      </w:r>
    </w:p>
    <w:p>
      <w:pPr>
        <w:pStyle w:val="968"/>
        <w:snapToGrid w:val="0"/>
        <w:jc w:val="center"/>
        <w:rPr>
          <w:rFonts w:ascii="宋体" w:hAnsi="宋体"/>
          <w:b/>
          <w:color w:val="auto"/>
          <w:sz w:val="24"/>
          <w:highlight w:val="none"/>
          <w:lang w:val="en-GB"/>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p>
    <w:p>
      <w:pPr>
        <w:snapToGrid w:val="0"/>
        <w:jc w:val="center"/>
        <w:rPr>
          <w:rFonts w:ascii="宋体" w:hAnsi="宋体"/>
          <w:b/>
          <w:color w:val="auto"/>
          <w:spacing w:val="6"/>
          <w:sz w:val="24"/>
          <w:highlight w:val="none"/>
        </w:rPr>
      </w:pPr>
    </w:p>
    <w:p>
      <w:pPr>
        <w:snapToGrid w:val="0"/>
        <w:jc w:val="center"/>
        <w:rPr>
          <w:rFonts w:ascii="宋体" w:hAnsi="宋体"/>
          <w:b/>
          <w:bCs/>
          <w:color w:val="auto"/>
          <w:sz w:val="24"/>
          <w:highlight w:val="none"/>
        </w:rPr>
      </w:pPr>
      <w:r>
        <w:rPr>
          <w:rFonts w:hint="eastAsia" w:ascii="宋体" w:hAnsi="宋体"/>
          <w:b/>
          <w:bCs/>
          <w:color w:val="auto"/>
          <w:sz w:val="24"/>
          <w:highlight w:val="none"/>
        </w:rPr>
        <w:t>残疾人福利性单位声明函</w:t>
      </w:r>
    </w:p>
    <w:p>
      <w:pPr>
        <w:snapToGrid w:val="0"/>
        <w:rPr>
          <w:rFonts w:ascii="宋体" w:hAnsi="宋体"/>
          <w:b/>
          <w:color w:val="auto"/>
          <w:spacing w:val="6"/>
          <w:sz w:val="24"/>
          <w:highlight w:val="none"/>
        </w:rPr>
      </w:pP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napToGrid w:val="0"/>
        <w:spacing w:line="480" w:lineRule="exact"/>
        <w:rPr>
          <w:rFonts w:ascii="宋体" w:hAnsi="宋体"/>
          <w:color w:val="auto"/>
          <w:sz w:val="24"/>
          <w:highlight w:val="none"/>
        </w:rPr>
      </w:pPr>
    </w:p>
    <w:p>
      <w:pPr>
        <w:snapToGrid w:val="0"/>
        <w:rPr>
          <w:rFonts w:ascii="宋体" w:hAnsi="宋体"/>
          <w:color w:val="auto"/>
          <w:sz w:val="24"/>
          <w:highlight w:val="none"/>
        </w:rPr>
      </w:pPr>
    </w:p>
    <w:p>
      <w:pPr>
        <w:snapToGrid w:val="0"/>
        <w:ind w:firstLine="5520" w:firstLineChars="2300"/>
        <w:rPr>
          <w:rFonts w:ascii="宋体" w:hAnsi="宋体"/>
          <w:color w:val="auto"/>
          <w:sz w:val="24"/>
          <w:highlight w:val="none"/>
        </w:rPr>
      </w:pPr>
      <w:r>
        <w:rPr>
          <w:rFonts w:hint="eastAsia" w:ascii="宋体" w:hAnsi="宋体"/>
          <w:color w:val="auto"/>
          <w:sz w:val="24"/>
          <w:highlight w:val="none"/>
        </w:rPr>
        <w:t>投标人（盖章）：</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ind w:firstLine="5520" w:firstLineChars="2300"/>
        <w:outlineLvl w:val="0"/>
        <w:rPr>
          <w:rFonts w:ascii="宋体" w:hAnsi="宋体"/>
          <w:color w:val="auto"/>
          <w:sz w:val="24"/>
          <w:highlight w:val="none"/>
        </w:rPr>
      </w:pPr>
      <w:r>
        <w:rPr>
          <w:rFonts w:hint="eastAsia" w:ascii="宋体" w:hAnsi="宋体"/>
          <w:color w:val="auto"/>
          <w:sz w:val="24"/>
          <w:highlight w:val="none"/>
        </w:rPr>
        <w:t>日期：年月日</w:t>
      </w:r>
    </w:p>
    <w:p>
      <w:pPr>
        <w:pStyle w:val="35"/>
        <w:snapToGrid w:val="0"/>
        <w:spacing w:before="24" w:beforeLines="10" w:after="24" w:afterLines="10"/>
        <w:rPr>
          <w:rFonts w:ascii="仿宋" w:hAnsi="仿宋" w:eastAsia="仿宋" w:cs="仿宋"/>
          <w:b/>
          <w:bCs/>
          <w:color w:val="auto"/>
          <w:sz w:val="44"/>
          <w:szCs w:val="44"/>
          <w:highlight w:val="none"/>
        </w:rPr>
      </w:pPr>
    </w:p>
    <w:p>
      <w:pPr>
        <w:pStyle w:val="35"/>
        <w:snapToGrid w:val="0"/>
        <w:spacing w:before="24" w:beforeLines="10" w:after="24" w:afterLines="10"/>
        <w:rPr>
          <w:rFonts w:ascii="仿宋" w:hAnsi="仿宋" w:eastAsia="仿宋" w:cs="仿宋"/>
          <w:b/>
          <w:bCs/>
          <w:color w:val="auto"/>
          <w:sz w:val="44"/>
          <w:szCs w:val="44"/>
          <w:highlight w:val="none"/>
        </w:rPr>
      </w:pPr>
    </w:p>
    <w:p>
      <w:pPr>
        <w:rPr>
          <w:rFonts w:ascii="仿宋" w:hAnsi="仿宋" w:eastAsia="仿宋" w:cs="仿宋"/>
          <w:b/>
          <w:bCs/>
          <w:color w:val="auto"/>
          <w:sz w:val="44"/>
          <w:szCs w:val="4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color w:val="auto"/>
          <w:sz w:val="24"/>
          <w:highlight w:val="none"/>
        </w:rPr>
      </w:pPr>
    </w:p>
    <w:p>
      <w:pPr>
        <w:snapToGrid w:val="0"/>
        <w:spacing w:before="120" w:beforeLines="50" w:after="50"/>
        <w:rPr>
          <w:b/>
          <w:bCs/>
          <w:color w:val="auto"/>
          <w:sz w:val="32"/>
          <w:szCs w:val="20"/>
          <w:highlight w:val="none"/>
        </w:rPr>
      </w:pPr>
      <w:r>
        <w:rPr>
          <w:rFonts w:hint="eastAsia"/>
          <w:b/>
          <w:color w:val="auto"/>
          <w:sz w:val="24"/>
          <w:highlight w:val="none"/>
        </w:rPr>
        <w:t>商务技术响应文件封面格式：</w:t>
      </w: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p>
    <w:p>
      <w:pPr>
        <w:snapToGrid w:val="0"/>
        <w:spacing w:before="120" w:beforeLines="50" w:after="50"/>
        <w:jc w:val="center"/>
        <w:rPr>
          <w:b/>
          <w:bCs/>
          <w:color w:val="auto"/>
          <w:sz w:val="32"/>
          <w:szCs w:val="32"/>
          <w:highlight w:val="none"/>
        </w:rPr>
      </w:pPr>
      <w:r>
        <w:rPr>
          <w:rFonts w:hint="eastAsia"/>
          <w:b/>
          <w:bCs/>
          <w:color w:val="auto"/>
          <w:sz w:val="32"/>
          <w:szCs w:val="32"/>
          <w:highlight w:val="none"/>
        </w:rPr>
        <w:t>商务技术文件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color w:val="auto"/>
          <w:sz w:val="24"/>
          <w:szCs w:val="20"/>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napToGrid w:val="0"/>
        <w:spacing w:before="120" w:beforeLines="50" w:after="50"/>
        <w:jc w:val="center"/>
        <w:rPr>
          <w:rFonts w:ascii="宋体" w:hAnsi="宋体" w:cs="宋体"/>
          <w:b/>
          <w:color w:val="auto"/>
          <w:sz w:val="32"/>
          <w:szCs w:val="32"/>
          <w:highlight w:val="none"/>
        </w:rPr>
      </w:pPr>
    </w:p>
    <w:p>
      <w:pPr>
        <w:pStyle w:val="3"/>
        <w:rPr>
          <w:rFonts w:ascii="宋体" w:hAnsi="宋体" w:cs="宋体"/>
          <w:b w:val="0"/>
          <w:color w:val="auto"/>
          <w:szCs w:val="32"/>
          <w:highlight w:val="none"/>
        </w:rPr>
      </w:pPr>
    </w:p>
    <w:p>
      <w:pPr>
        <w:rPr>
          <w:color w:val="auto"/>
          <w:highlight w:val="none"/>
        </w:rPr>
      </w:pPr>
    </w:p>
    <w:p>
      <w:pPr>
        <w:rPr>
          <w:color w:val="auto"/>
          <w:highlight w:val="none"/>
        </w:rPr>
      </w:pPr>
    </w:p>
    <w:p>
      <w:pPr>
        <w:snapToGrid w:val="0"/>
        <w:spacing w:before="120" w:beforeLines="50" w:after="50"/>
        <w:rPr>
          <w:color w:val="auto"/>
          <w:sz w:val="24"/>
          <w:szCs w:val="20"/>
          <w:highlight w:val="none"/>
        </w:rPr>
      </w:pPr>
      <w:r>
        <w:rPr>
          <w:rFonts w:hint="eastAsia"/>
          <w:b/>
          <w:color w:val="auto"/>
          <w:sz w:val="24"/>
          <w:highlight w:val="none"/>
        </w:rPr>
        <w:t>报价文件响应封面格式：</w:t>
      </w:r>
      <w:r>
        <w:rPr>
          <w:b/>
          <w:color w:val="auto"/>
          <w:sz w:val="24"/>
          <w:highlight w:val="none"/>
        </w:rPr>
        <w:t xml:space="preserve"> </w:t>
      </w:r>
    </w:p>
    <w:p>
      <w:pPr>
        <w:snapToGrid w:val="0"/>
        <w:spacing w:before="120" w:beforeLines="50" w:after="50"/>
        <w:rPr>
          <w:b/>
          <w:bCs/>
          <w:color w:val="auto"/>
          <w:sz w:val="32"/>
          <w:szCs w:val="20"/>
          <w:highlight w:val="none"/>
        </w:rPr>
      </w:pPr>
      <w:r>
        <w:rPr>
          <w:color w:val="auto"/>
          <w:sz w:val="24"/>
          <w:highlight w:val="none"/>
        </w:rPr>
        <w:t xml:space="preserve">                                                    </w:t>
      </w:r>
    </w:p>
    <w:p>
      <w:pPr>
        <w:snapToGrid w:val="0"/>
        <w:spacing w:before="120" w:beforeLines="50" w:after="50"/>
        <w:jc w:val="center"/>
        <w:rPr>
          <w:b/>
          <w:bCs/>
          <w:color w:val="auto"/>
          <w:sz w:val="32"/>
          <w:szCs w:val="32"/>
          <w:highlight w:val="none"/>
        </w:rPr>
      </w:pPr>
      <w:r>
        <w:rPr>
          <w:rFonts w:hint="eastAsia"/>
          <w:b/>
          <w:bCs/>
          <w:color w:val="auto"/>
          <w:sz w:val="32"/>
          <w:szCs w:val="32"/>
          <w:highlight w:val="none"/>
        </w:rPr>
        <w:t>报  价</w:t>
      </w:r>
      <w:r>
        <w:rPr>
          <w:b/>
          <w:bCs/>
          <w:color w:val="auto"/>
          <w:sz w:val="32"/>
          <w:szCs w:val="32"/>
          <w:highlight w:val="none"/>
        </w:rPr>
        <w:t xml:space="preserve"> </w:t>
      </w:r>
      <w:r>
        <w:rPr>
          <w:rFonts w:hint="eastAsia"/>
          <w:b/>
          <w:bCs/>
          <w:color w:val="auto"/>
          <w:sz w:val="32"/>
          <w:szCs w:val="32"/>
          <w:highlight w:val="none"/>
        </w:rPr>
        <w:t>文</w:t>
      </w:r>
      <w:r>
        <w:rPr>
          <w:b/>
          <w:bCs/>
          <w:color w:val="auto"/>
          <w:sz w:val="32"/>
          <w:szCs w:val="32"/>
          <w:highlight w:val="none"/>
        </w:rPr>
        <w:t xml:space="preserve"> </w:t>
      </w:r>
      <w:r>
        <w:rPr>
          <w:rFonts w:hint="eastAsia"/>
          <w:b/>
          <w:bCs/>
          <w:color w:val="auto"/>
          <w:sz w:val="32"/>
          <w:szCs w:val="32"/>
          <w:highlight w:val="none"/>
        </w:rPr>
        <w:t>件</w:t>
      </w:r>
    </w:p>
    <w:p>
      <w:pPr>
        <w:snapToGrid w:val="0"/>
        <w:spacing w:before="120" w:beforeLines="50" w:after="50" w:line="320" w:lineRule="exact"/>
        <w:ind w:firstLine="1068" w:firstLineChars="445"/>
        <w:rPr>
          <w:bCs/>
          <w:color w:val="auto"/>
          <w:sz w:val="24"/>
          <w:szCs w:val="20"/>
          <w:highlight w:val="none"/>
        </w:rPr>
      </w:pPr>
      <w:r>
        <w:rPr>
          <w:rFonts w:hint="eastAsia"/>
          <w:bCs/>
          <w:color w:val="auto"/>
          <w:sz w:val="24"/>
          <w:highlight w:val="none"/>
        </w:rPr>
        <w:t>项目名称：</w:t>
      </w:r>
    </w:p>
    <w:p>
      <w:pPr>
        <w:snapToGrid w:val="0"/>
        <w:spacing w:before="120" w:beforeLines="50" w:after="50" w:line="320" w:lineRule="exact"/>
        <w:ind w:firstLine="1068" w:firstLineChars="445"/>
        <w:rPr>
          <w:bCs/>
          <w:color w:val="auto"/>
          <w:sz w:val="24"/>
          <w:highlight w:val="none"/>
        </w:rPr>
      </w:pPr>
      <w:r>
        <w:rPr>
          <w:rFonts w:hint="eastAsia"/>
          <w:bCs/>
          <w:color w:val="auto"/>
          <w:sz w:val="24"/>
          <w:highlight w:val="none"/>
        </w:rPr>
        <w:t>项目编号：</w:t>
      </w:r>
      <w:r>
        <w:rPr>
          <w:bCs/>
          <w:color w:val="auto"/>
          <w:sz w:val="24"/>
          <w:highlight w:val="none"/>
        </w:rPr>
        <w:t xml:space="preserve"> </w:t>
      </w:r>
    </w:p>
    <w:p>
      <w:pPr>
        <w:pStyle w:val="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color w:val="auto"/>
          <w:highlight w:val="none"/>
        </w:rPr>
      </w:pPr>
      <w:r>
        <w:rPr>
          <w:color w:val="auto"/>
          <w:sz w:val="24"/>
          <w:highlight w:val="none"/>
        </w:rPr>
        <w:t xml:space="preserve">                        </w:t>
      </w:r>
      <w:r>
        <w:rPr>
          <w:rFonts w:hint="eastAsia"/>
          <w:color w:val="auto"/>
          <w:sz w:val="24"/>
          <w:highlight w:val="none"/>
        </w:rPr>
        <w:t xml:space="preserve">                       年</w:t>
      </w:r>
      <w:r>
        <w:rPr>
          <w:color w:val="auto"/>
          <w:sz w:val="24"/>
          <w:highlight w:val="none"/>
        </w:rPr>
        <w:t xml:space="preserve">  </w:t>
      </w:r>
      <w:r>
        <w:rPr>
          <w:rFonts w:hint="eastAsia"/>
          <w:color w:val="auto"/>
          <w:sz w:val="24"/>
          <w:highlight w:val="none"/>
        </w:rPr>
        <w:t>月</w:t>
      </w:r>
      <w:r>
        <w:rPr>
          <w:color w:val="auto"/>
          <w:sz w:val="24"/>
          <w:highlight w:val="none"/>
        </w:rPr>
        <w:t xml:space="preserve">  </w:t>
      </w:r>
      <w:r>
        <w:rPr>
          <w:rFonts w:hint="eastAsia"/>
          <w:color w:val="auto"/>
          <w:sz w:val="24"/>
          <w:highlight w:val="none"/>
        </w:rPr>
        <w:t>日</w:t>
      </w:r>
    </w:p>
    <w:p>
      <w:pPr>
        <w:spacing w:line="360" w:lineRule="auto"/>
        <w:ind w:right="420"/>
        <w:rPr>
          <w:color w:val="auto"/>
          <w:highlight w:val="none"/>
        </w:rPr>
      </w:pPr>
    </w:p>
    <w:p>
      <w:pPr>
        <w:spacing w:line="360" w:lineRule="auto"/>
        <w:rPr>
          <w:rFonts w:ascii="仿宋" w:hAnsi="仿宋" w:eastAsia="仿宋"/>
          <w:bCs/>
          <w:color w:val="auto"/>
          <w:sz w:val="24"/>
          <w:highlight w:val="none"/>
        </w:rPr>
      </w:pPr>
    </w:p>
    <w:p>
      <w:pPr>
        <w:spacing w:line="360" w:lineRule="auto"/>
        <w:jc w:val="center"/>
        <w:rPr>
          <w:rFonts w:ascii="宋体" w:hAnsi="宋体" w:cs="宋体"/>
          <w:b/>
          <w:color w:val="auto"/>
          <w:sz w:val="24"/>
          <w:highlight w:val="none"/>
        </w:rPr>
      </w:pPr>
      <w:bookmarkStart w:id="35" w:name="_Toc219619166"/>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bCs/>
          <w:color w:val="auto"/>
          <w:sz w:val="24"/>
          <w:highlight w:val="none"/>
        </w:rPr>
      </w:pPr>
      <w:r>
        <w:rPr>
          <w:rFonts w:hint="eastAsia" w:ascii="宋体" w:hAnsi="宋体" w:cs="宋体"/>
          <w:b/>
          <w:color w:val="auto"/>
          <w:sz w:val="24"/>
          <w:highlight w:val="none"/>
        </w:rPr>
        <w:t>自评表</w:t>
      </w:r>
    </w:p>
    <w:tbl>
      <w:tblPr>
        <w:tblStyle w:val="65"/>
        <w:tblW w:w="87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评标内容及分值</w:t>
            </w:r>
          </w:p>
        </w:tc>
        <w:tc>
          <w:tcPr>
            <w:tcW w:w="4254" w:type="dxa"/>
            <w:gridSpan w:val="2"/>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vAlign w:val="center"/>
          </w:tcPr>
          <w:p>
            <w:pPr>
              <w:spacing w:line="360" w:lineRule="auto"/>
              <w:jc w:val="center"/>
              <w:rPr>
                <w:rFonts w:ascii="宋体" w:hAnsi="宋体" w:cs="宋体"/>
                <w:b/>
                <w:bCs/>
                <w:color w:val="auto"/>
                <w:sz w:val="24"/>
                <w:highlight w:val="none"/>
              </w:rPr>
            </w:pPr>
          </w:p>
        </w:tc>
        <w:tc>
          <w:tcPr>
            <w:tcW w:w="2145"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自评分</w:t>
            </w:r>
          </w:p>
        </w:tc>
        <w:tc>
          <w:tcPr>
            <w:tcW w:w="2109" w:type="dxa"/>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color w:val="auto"/>
                <w:sz w:val="24"/>
                <w:highlight w:val="none"/>
              </w:rPr>
            </w:pPr>
            <w:r>
              <w:rPr>
                <w:rFonts w:hint="eastAsia" w:ascii="宋体" w:hAnsi="宋体" w:cs="宋体"/>
                <w:b/>
                <w:bCs/>
                <w:color w:val="auto"/>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color w:val="auto"/>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color w:val="auto"/>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color w:val="auto"/>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color w:val="auto"/>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技术分（X分）</w:t>
            </w: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color w:val="auto"/>
                <w:szCs w:val="21"/>
                <w:highlight w:val="none"/>
              </w:rPr>
            </w:pPr>
          </w:p>
        </w:tc>
        <w:tc>
          <w:tcPr>
            <w:tcW w:w="3300" w:type="dxa"/>
            <w:vAlign w:val="center"/>
          </w:tcPr>
          <w:p>
            <w:pPr>
              <w:widowControl/>
              <w:spacing w:line="360" w:lineRule="auto"/>
              <w:jc w:val="center"/>
              <w:rPr>
                <w:rFonts w:ascii="宋体" w:hAnsi="宋体" w:cs="宋体"/>
                <w:color w:val="auto"/>
                <w:kern w:val="0"/>
                <w:szCs w:val="21"/>
                <w:highlight w:val="none"/>
              </w:rPr>
            </w:pPr>
          </w:p>
        </w:tc>
        <w:tc>
          <w:tcPr>
            <w:tcW w:w="2145" w:type="dxa"/>
            <w:vAlign w:val="center"/>
          </w:tcPr>
          <w:p>
            <w:pPr>
              <w:spacing w:line="360" w:lineRule="auto"/>
              <w:jc w:val="left"/>
              <w:rPr>
                <w:rFonts w:ascii="宋体" w:hAnsi="宋体" w:cs="宋体"/>
                <w:color w:val="auto"/>
                <w:szCs w:val="21"/>
                <w:highlight w:val="none"/>
              </w:rPr>
            </w:pPr>
          </w:p>
        </w:tc>
        <w:tc>
          <w:tcPr>
            <w:tcW w:w="2109" w:type="dxa"/>
            <w:vAlign w:val="center"/>
          </w:tcPr>
          <w:p>
            <w:pPr>
              <w:spacing w:line="360" w:lineRule="auto"/>
              <w:jc w:val="center"/>
              <w:rPr>
                <w:rFonts w:ascii="宋体" w:hAnsi="宋体" w:cs="宋体"/>
                <w:b/>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color w:val="auto"/>
                <w:sz w:val="24"/>
                <w:highlight w:val="none"/>
              </w:rPr>
            </w:pPr>
            <w:r>
              <w:rPr>
                <w:rFonts w:hint="eastAsia" w:ascii="宋体" w:hAnsi="宋体" w:cs="宋体"/>
                <w:bCs/>
                <w:color w:val="auto"/>
                <w:sz w:val="24"/>
                <w:highlight w:val="none"/>
              </w:rPr>
              <w:t>合计（满分X分）</w:t>
            </w:r>
          </w:p>
        </w:tc>
        <w:tc>
          <w:tcPr>
            <w:tcW w:w="4254" w:type="dxa"/>
            <w:gridSpan w:val="2"/>
            <w:vAlign w:val="center"/>
          </w:tcPr>
          <w:p>
            <w:pPr>
              <w:spacing w:line="360" w:lineRule="auto"/>
              <w:jc w:val="center"/>
              <w:rPr>
                <w:rFonts w:ascii="宋体" w:hAnsi="宋体" w:cs="宋体"/>
                <w:b/>
                <w:bCs/>
                <w:color w:val="auto"/>
                <w:sz w:val="24"/>
                <w:highlight w:val="none"/>
              </w:rPr>
            </w:pPr>
          </w:p>
        </w:tc>
      </w:tr>
    </w:tbl>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p>
    <w:p>
      <w:pPr>
        <w:snapToGrid w:val="0"/>
        <w:spacing w:before="120" w:beforeLines="50" w:after="50"/>
        <w:rPr>
          <w:rFonts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hint="eastAsia" w:ascii="宋体" w:hAnsi="宋体" w:cs="宋体"/>
          <w:b/>
          <w:color w:val="auto"/>
          <w:sz w:val="32"/>
          <w:szCs w:val="32"/>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投标声明书</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致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after="50" w:line="360" w:lineRule="auto"/>
        <w:ind w:firstLine="645"/>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（投标人名称）的法定代表人，我方愿意参加贵方组织的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3、我方此次向贵方提供的服务名称为：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before="120" w:beforeLines="50"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pStyle w:val="26"/>
        <w:snapToGrid w:val="0"/>
        <w:spacing w:line="360" w:lineRule="auto"/>
        <w:rPr>
          <w:rFonts w:cs="宋体"/>
          <w:color w:val="auto"/>
          <w:highlight w:val="none"/>
        </w:rPr>
      </w:pPr>
      <w:r>
        <w:rPr>
          <w:rFonts w:hint="eastAsia" w:cs="宋体"/>
          <w:color w:val="auto"/>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color w:val="auto"/>
          <w:sz w:val="24"/>
          <w:szCs w:val="20"/>
          <w:highlight w:val="none"/>
          <w:u w:val="single"/>
        </w:rPr>
      </w:pPr>
      <w:r>
        <w:rPr>
          <w:rFonts w:hint="eastAsia" w:ascii="宋体" w:hAnsi="宋体" w:cs="宋体"/>
          <w:color w:val="auto"/>
          <w:sz w:val="24"/>
          <w:highlight w:val="none"/>
          <w:u w:val="single"/>
        </w:rPr>
        <w:t>　　　　　　　　　　　　　　　　　　　　　　　　　　　</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6.以上事项如有虚假或隐瞒，我方愿意承担一切后果，并不再寻求任何旨在减轻或免除法律责任的辩解。</w:t>
      </w:r>
    </w:p>
    <w:p>
      <w:pPr>
        <w:pStyle w:val="29"/>
        <w:tabs>
          <w:tab w:val="left" w:pos="939"/>
        </w:tabs>
        <w:snapToGrid w:val="0"/>
        <w:spacing w:line="400" w:lineRule="exact"/>
        <w:ind w:left="773" w:leftChars="150" w:hanging="458" w:hangingChars="191"/>
        <w:rPr>
          <w:rFonts w:ascii="宋体" w:hAnsi="宋体" w:cs="宋体"/>
          <w:color w:val="auto"/>
          <w:sz w:val="24"/>
          <w:highlight w:val="none"/>
        </w:rPr>
      </w:pPr>
    </w:p>
    <w:p>
      <w:pPr>
        <w:snapToGrid w:val="0"/>
        <w:spacing w:before="120" w:beforeLines="50" w:line="400" w:lineRule="exact"/>
        <w:ind w:firstLine="200"/>
        <w:rPr>
          <w:rFonts w:ascii="宋体" w:hAnsi="宋体" w:cs="宋体"/>
          <w:color w:val="auto"/>
          <w:sz w:val="24"/>
          <w:szCs w:val="20"/>
          <w:highlight w:val="none"/>
          <w:u w:val="single"/>
        </w:rPr>
      </w:pPr>
      <w:r>
        <w:rPr>
          <w:rFonts w:hint="eastAsia" w:ascii="宋体" w:hAnsi="宋体"/>
          <w:color w:val="auto"/>
          <w:sz w:val="24"/>
          <w:highlight w:val="none"/>
        </w:rPr>
        <w:t>法定代表人签字（或盖章）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snapToGrid w:val="0"/>
        <w:spacing w:before="120" w:beforeLines="50" w:after="50"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120" w:beforeLines="50" w:after="50" w:line="400" w:lineRule="exact"/>
        <w:ind w:firstLine="240" w:firstLineChars="100"/>
        <w:rPr>
          <w:rFonts w:ascii="宋体" w:hAnsi="宋体" w:cs="宋体"/>
          <w:b/>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ascii="宋体" w:hAnsi="宋体" w:cs="宋体"/>
          <w:b/>
          <w:color w:val="auto"/>
          <w:sz w:val="24"/>
          <w:highlight w:val="none"/>
        </w:rPr>
        <w:br w:type="page"/>
      </w:r>
    </w:p>
    <w:p>
      <w:pPr>
        <w:snapToGrid w:val="0"/>
        <w:spacing w:before="120" w:beforeLines="50" w:after="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snapToGrid w:val="0"/>
        <w:spacing w:before="120" w:beforeLines="50" w:after="50" w:line="360" w:lineRule="auto"/>
        <w:rPr>
          <w:rFonts w:ascii="宋体" w:hAnsi="宋体" w:cs="宋体"/>
          <w:b/>
          <w:bCs/>
          <w:color w:val="auto"/>
          <w:sz w:val="24"/>
          <w:szCs w:val="20"/>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（采购人）：</w:t>
      </w:r>
    </w:p>
    <w:p>
      <w:pPr>
        <w:snapToGrid w:val="0"/>
        <w:spacing w:before="120" w:beforeLines="50" w:after="50" w:line="360" w:lineRule="auto"/>
        <w:ind w:firstLine="720" w:firstLineChars="300"/>
        <w:rPr>
          <w:rFonts w:ascii="宋体" w:hAnsi="宋体" w:cs="宋体"/>
          <w:color w:val="auto"/>
          <w:sz w:val="24"/>
          <w:szCs w:val="20"/>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（投标人名称）的法定代表人，现授权委托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（姓名）以我方的名义参加</w:t>
      </w:r>
      <w:r>
        <w:rPr>
          <w:rFonts w:hint="eastAsia" w:ascii="宋体" w:hAnsi="宋体" w:cs="宋体"/>
          <w:color w:val="auto"/>
          <w:sz w:val="24"/>
          <w:highlight w:val="none"/>
          <w:u w:val="single"/>
        </w:rPr>
        <w:t xml:space="preserve">              政府采购项目</w:t>
      </w:r>
      <w:r>
        <w:rPr>
          <w:rFonts w:hint="eastAsia" w:ascii="宋体" w:hAnsi="宋体" w:cs="宋体"/>
          <w:color w:val="auto"/>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color w:val="auto"/>
          <w:sz w:val="24"/>
          <w:szCs w:val="20"/>
          <w:highlight w:val="none"/>
        </w:rPr>
      </w:pPr>
      <w:r>
        <w:rPr>
          <w:rFonts w:hint="eastAsia" w:ascii="宋体" w:hAnsi="宋体" w:cs="宋体"/>
          <w:color w:val="auto"/>
          <w:sz w:val="24"/>
          <w:highlight w:val="none"/>
        </w:rPr>
        <w:t xml:space="preserve">    我方对被授权人的签字事项负全部责任。</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color w:val="auto"/>
          <w:sz w:val="24"/>
          <w:szCs w:val="20"/>
          <w:highlight w:val="none"/>
        </w:rPr>
      </w:pPr>
      <w:r>
        <w:rPr>
          <w:rFonts w:hint="eastAsia" w:ascii="宋体" w:hAnsi="宋体" w:cs="宋体"/>
          <w:color w:val="auto"/>
          <w:sz w:val="24"/>
          <w:highlight w:val="none"/>
        </w:rPr>
        <w:t>被授权人无转委托权，特此委托。</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u w:val="single"/>
        </w:rPr>
      </w:pPr>
      <w:r>
        <w:rPr>
          <w:rFonts w:hint="eastAsia" w:ascii="宋体" w:hAnsi="宋体" w:cs="宋体"/>
          <w:color w:val="auto"/>
          <w:sz w:val="24"/>
          <w:highlight w:val="none"/>
        </w:rPr>
        <w:t>法定代表人签字（或盖章）：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被授权人签字（或盖章）：</w:t>
      </w:r>
      <w:r>
        <w:rPr>
          <w:rFonts w:hint="eastAsia" w:ascii="宋体" w:hAnsi="宋体" w:cs="宋体"/>
          <w:color w:val="auto"/>
          <w:sz w:val="24"/>
          <w:highlight w:val="none"/>
          <w:u w:val="single"/>
        </w:rPr>
        <w:t xml:space="preserve">          </w:t>
      </w:r>
    </w:p>
    <w:p>
      <w:pPr>
        <w:snapToGrid w:val="0"/>
        <w:spacing w:before="120" w:beforeLines="50" w:after="5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rPr>
        <w:t xml:space="preserve">           </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法定代表人身份证粘贴处（正反面）       被授权人身份证粘贴处（正反面）</w:t>
      </w: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color w:val="auto"/>
          <w:sz w:val="24"/>
          <w:highlight w:val="none"/>
        </w:rPr>
        <w:t>投标人公章：</w:t>
      </w: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line="360" w:lineRule="auto"/>
        <w:rPr>
          <w:rFonts w:ascii="宋体" w:hAnsi="宋体" w:cs="宋体"/>
          <w:color w:val="auto"/>
          <w:sz w:val="24"/>
          <w:szCs w:val="20"/>
          <w:highlight w:val="none"/>
        </w:rPr>
      </w:pPr>
    </w:p>
    <w:p>
      <w:pPr>
        <w:snapToGrid w:val="0"/>
        <w:spacing w:before="120" w:beforeLines="50" w:after="50"/>
        <w:jc w:val="right"/>
        <w:rPr>
          <w:rFonts w:ascii="宋体" w:hAnsi="宋体" w:cs="宋体"/>
          <w:color w:val="auto"/>
          <w:sz w:val="24"/>
          <w:highlight w:val="none"/>
        </w:rPr>
      </w:pPr>
      <w:r>
        <w:rPr>
          <w:rFonts w:hint="eastAsia" w:ascii="宋体" w:hAnsi="宋体" w:cs="宋体"/>
          <w:color w:val="auto"/>
          <w:sz w:val="24"/>
          <w:highlight w:val="none"/>
        </w:rPr>
        <w:t xml:space="preserve">                                        年    月    日</w:t>
      </w:r>
    </w:p>
    <w:p>
      <w:pPr>
        <w:pStyle w:val="966"/>
        <w:spacing w:line="360" w:lineRule="auto"/>
        <w:rPr>
          <w:rFonts w:hAnsi="宋体" w:eastAsia="宋体" w:cs="宋体"/>
          <w:color w:val="auto"/>
          <w:sz w:val="24"/>
          <w:highlight w:val="none"/>
        </w:rPr>
      </w:pPr>
    </w:p>
    <w:p>
      <w:pPr>
        <w:snapToGrid w:val="0"/>
        <w:spacing w:before="120" w:beforeLines="50" w:after="50" w:line="360" w:lineRule="auto"/>
        <w:rPr>
          <w:rFonts w:ascii="宋体" w:hAnsi="宋体" w:cs="宋体"/>
          <w:color w:val="auto"/>
          <w:sz w:val="24"/>
          <w:highlight w:val="none"/>
        </w:rPr>
      </w:pPr>
      <w:r>
        <w:rPr>
          <w:rFonts w:hint="eastAsia" w:ascii="宋体" w:hAnsi="宋体" w:cs="宋体"/>
          <w:b/>
          <w:color w:val="auto"/>
          <w:sz w:val="28"/>
          <w:szCs w:val="28"/>
          <w:highlight w:val="none"/>
        </w:rPr>
        <w:t>注：此表请放一页，如要放2页及以上请在每页上都加盖公章。</w:t>
      </w:r>
    </w:p>
    <w:p>
      <w:pPr>
        <w:spacing w:line="360" w:lineRule="auto"/>
        <w:jc w:val="left"/>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诚信承诺书</w:t>
      </w: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 xml:space="preserve">（采购人或招标组织机构）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我方在参加贵单位的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政府采购项目的招投标活动中，郑重承诺如下：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1、我方申报的所有资料都是真实、准确、完整的；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2、我方无资质挂靠情形，保证不参与串标、围标及抬标；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3、我方未处于被各级行政主管部门做出停止市场行为处罚的期限内；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4、我方参加本项目政府采购活动前3年内在经营活动中没有重大违法记录；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5、若我方中标，将严格按照规定及时与采购人签订合同；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pStyle w:val="966"/>
        <w:spacing w:line="360" w:lineRule="auto"/>
        <w:rPr>
          <w:rFonts w:hAnsi="宋体" w:eastAsia="宋体" w:cs="宋体"/>
          <w:color w:val="auto"/>
          <w:sz w:val="24"/>
          <w:highlight w:val="none"/>
        </w:rPr>
      </w:pPr>
    </w:p>
    <w:p>
      <w:pPr>
        <w:wordWrap w:val="0"/>
        <w:spacing w:before="120" w:beforeLines="50" w:line="360" w:lineRule="auto"/>
        <w:rPr>
          <w:rFonts w:ascii="宋体" w:hAnsi="宋体" w:cs="宋体"/>
          <w:b/>
          <w:color w:val="auto"/>
          <w:sz w:val="28"/>
          <w:szCs w:val="30"/>
          <w:highlight w:val="none"/>
        </w:rPr>
      </w:pPr>
    </w:p>
    <w:p>
      <w:pPr>
        <w:wordWrap w:val="0"/>
        <w:spacing w:before="120" w:beforeLines="50" w:line="360" w:lineRule="auto"/>
        <w:ind w:firstLine="562"/>
        <w:jc w:val="center"/>
        <w:rPr>
          <w:rFonts w:ascii="宋体" w:hAnsi="宋体" w:cs="宋体"/>
          <w:b/>
          <w:color w:val="auto"/>
          <w:sz w:val="28"/>
          <w:szCs w:val="30"/>
          <w:highlight w:val="none"/>
        </w:rPr>
      </w:pPr>
      <w:r>
        <w:rPr>
          <w:rFonts w:hint="eastAsia" w:ascii="宋体" w:hAnsi="宋体" w:cs="宋体"/>
          <w:b/>
          <w:color w:val="auto"/>
          <w:sz w:val="28"/>
          <w:szCs w:val="30"/>
          <w:highlight w:val="none"/>
        </w:rPr>
        <w:t>投标人基本情况表</w:t>
      </w:r>
    </w:p>
    <w:tbl>
      <w:tblPr>
        <w:tblStyle w:val="65"/>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投标人名称</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地址</w:t>
            </w:r>
          </w:p>
        </w:tc>
        <w:tc>
          <w:tcPr>
            <w:tcW w:w="6339" w:type="dxa"/>
            <w:gridSpan w:val="3"/>
            <w:vAlign w:val="center"/>
          </w:tcPr>
          <w:p>
            <w:pPr>
              <w:ind w:firstLine="480"/>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业务（经营）范围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机构类型</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成立时间</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法定代表人</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联系电话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注册资本</w:t>
            </w:r>
          </w:p>
        </w:tc>
        <w:tc>
          <w:tcPr>
            <w:tcW w:w="2118" w:type="dxa"/>
            <w:vAlign w:val="center"/>
          </w:tcPr>
          <w:p>
            <w:pPr>
              <w:rPr>
                <w:rFonts w:ascii="宋体" w:hAnsi="宋体" w:cs="宋体"/>
                <w:color w:val="auto"/>
                <w:sz w:val="22"/>
                <w:szCs w:val="28"/>
                <w:highlight w:val="none"/>
              </w:rPr>
            </w:pPr>
          </w:p>
        </w:tc>
        <w:tc>
          <w:tcPr>
            <w:tcW w:w="1980"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技术人员数</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是否依法纳税</w:t>
            </w:r>
          </w:p>
        </w:tc>
        <w:tc>
          <w:tcPr>
            <w:tcW w:w="2118" w:type="dxa"/>
            <w:vAlign w:val="center"/>
          </w:tcPr>
          <w:p>
            <w:pPr>
              <w:rPr>
                <w:rFonts w:ascii="宋体" w:hAnsi="宋体" w:cs="宋体"/>
                <w:color w:val="auto"/>
                <w:sz w:val="22"/>
                <w:szCs w:val="28"/>
                <w:highlight w:val="none"/>
              </w:rPr>
            </w:pPr>
          </w:p>
        </w:tc>
        <w:tc>
          <w:tcPr>
            <w:tcW w:w="1980" w:type="dxa"/>
            <w:vAlign w:val="center"/>
          </w:tcPr>
          <w:p>
            <w:pPr>
              <w:jc w:val="center"/>
              <w:rPr>
                <w:rFonts w:ascii="宋体" w:hAnsi="宋体" w:cs="宋体"/>
                <w:color w:val="auto"/>
                <w:sz w:val="22"/>
                <w:szCs w:val="28"/>
                <w:highlight w:val="none"/>
              </w:rPr>
            </w:pPr>
            <w:r>
              <w:rPr>
                <w:rFonts w:hint="eastAsia" w:ascii="宋体" w:hAnsi="宋体" w:cs="宋体"/>
                <w:color w:val="auto"/>
                <w:sz w:val="22"/>
                <w:szCs w:val="28"/>
                <w:highlight w:val="none"/>
              </w:rPr>
              <w:t>是否参加社保</w:t>
            </w:r>
          </w:p>
        </w:tc>
        <w:tc>
          <w:tcPr>
            <w:tcW w:w="2241" w:type="dxa"/>
            <w:vAlign w:val="center"/>
          </w:tcPr>
          <w:p>
            <w:pPr>
              <w:rPr>
                <w:rFonts w:ascii="宋体" w:hAnsi="宋体" w:cs="宋体"/>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auto"/>
                <w:sz w:val="22"/>
                <w:szCs w:val="28"/>
                <w:highlight w:val="none"/>
              </w:rPr>
            </w:pPr>
            <w:r>
              <w:rPr>
                <w:rFonts w:hint="eastAsia" w:ascii="宋体" w:hAnsi="宋体" w:cs="宋体"/>
                <w:color w:val="auto"/>
                <w:sz w:val="22"/>
                <w:szCs w:val="28"/>
                <w:highlight w:val="none"/>
              </w:rPr>
              <w:t>服务机构情况</w:t>
            </w:r>
          </w:p>
        </w:tc>
        <w:tc>
          <w:tcPr>
            <w:tcW w:w="6339" w:type="dxa"/>
            <w:gridSpan w:val="3"/>
            <w:vAlign w:val="center"/>
          </w:tcPr>
          <w:p>
            <w:pPr>
              <w:jc w:val="left"/>
              <w:rPr>
                <w:rFonts w:ascii="宋体" w:hAnsi="宋体" w:cs="宋体"/>
                <w:color w:val="auto"/>
                <w:sz w:val="22"/>
                <w:szCs w:val="28"/>
                <w:highlight w:val="none"/>
              </w:rPr>
            </w:pPr>
            <w:r>
              <w:rPr>
                <w:rFonts w:hint="eastAsia" w:ascii="宋体" w:hAnsi="宋体" w:cs="宋体"/>
                <w:color w:val="auto"/>
                <w:sz w:val="22"/>
                <w:szCs w:val="28"/>
                <w:highlight w:val="none"/>
              </w:rPr>
              <w:t>服务机构名称：</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地址：</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人员状况：</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联系方式：</w:t>
            </w:r>
          </w:p>
          <w:p>
            <w:pPr>
              <w:jc w:val="left"/>
              <w:rPr>
                <w:rFonts w:ascii="宋体" w:hAnsi="宋体" w:cs="宋体"/>
                <w:color w:val="auto"/>
                <w:sz w:val="22"/>
                <w:szCs w:val="28"/>
                <w:highlight w:val="none"/>
              </w:rPr>
            </w:pPr>
            <w:r>
              <w:rPr>
                <w:rFonts w:hint="eastAsia" w:ascii="宋体" w:hAnsi="宋体" w:cs="宋体"/>
                <w:color w:val="auto"/>
                <w:sz w:val="22"/>
                <w:szCs w:val="28"/>
                <w:highlight w:val="none"/>
              </w:rPr>
              <w:t>（可另附纸说明）</w:t>
            </w:r>
          </w:p>
        </w:tc>
      </w:tr>
    </w:tbl>
    <w:p>
      <w:pPr>
        <w:wordWrap w:val="0"/>
        <w:spacing w:before="120" w:beforeLines="50"/>
        <w:rPr>
          <w:rFonts w:ascii="宋体" w:hAnsi="宋体" w:cs="宋体"/>
          <w:b/>
          <w:bCs/>
          <w:color w:val="auto"/>
          <w:sz w:val="24"/>
          <w:highlight w:val="none"/>
        </w:rPr>
      </w:pPr>
    </w:p>
    <w:p>
      <w:pPr>
        <w:wordWrap w:val="0"/>
        <w:spacing w:line="360" w:lineRule="auto"/>
        <w:ind w:firstLine="480"/>
        <w:jc w:val="right"/>
        <w:rPr>
          <w:rFonts w:ascii="宋体" w:hAnsi="宋体" w:cs="宋体"/>
          <w:color w:val="auto"/>
          <w:sz w:val="24"/>
          <w:highlight w:val="none"/>
        </w:rPr>
      </w:pPr>
    </w:p>
    <w:p>
      <w:pPr>
        <w:spacing w:line="360" w:lineRule="auto"/>
        <w:jc w:val="left"/>
        <w:rPr>
          <w:rFonts w:ascii="宋体" w:hAnsi="宋体" w:cs="宋体"/>
          <w:color w:val="auto"/>
          <w:sz w:val="24"/>
          <w:highlight w:val="none"/>
          <w:u w:val="single"/>
          <w:lang w:bidi="ar"/>
        </w:rPr>
      </w:pPr>
      <w:r>
        <w:rPr>
          <w:rFonts w:hint="eastAsia" w:ascii="宋体" w:hAnsi="宋体" w:cs="宋体"/>
          <w:color w:val="auto"/>
          <w:sz w:val="24"/>
          <w:highlight w:val="none"/>
          <w:lang w:bidi="ar"/>
        </w:rPr>
        <w:t>投标人名称（加盖公章）：</w:t>
      </w:r>
      <w:r>
        <w:rPr>
          <w:rFonts w:hint="eastAsia" w:ascii="宋体" w:hAnsi="宋体" w:cs="宋体"/>
          <w:color w:val="auto"/>
          <w:sz w:val="24"/>
          <w:highlight w:val="none"/>
          <w:u w:val="single"/>
          <w:lang w:bidi="ar"/>
        </w:rPr>
        <w:t xml:space="preserve">                  </w:t>
      </w:r>
    </w:p>
    <w:p>
      <w:pPr>
        <w:spacing w:line="360" w:lineRule="auto"/>
        <w:jc w:val="left"/>
        <w:rPr>
          <w:rFonts w:ascii="宋体" w:hAnsi="宋体" w:cs="宋体"/>
          <w:color w:val="auto"/>
          <w:sz w:val="24"/>
          <w:highlight w:val="none"/>
          <w:u w:val="single"/>
          <w:lang w:bidi="ar"/>
        </w:rPr>
      </w:pPr>
      <w:r>
        <w:rPr>
          <w:rFonts w:hint="eastAsia" w:ascii="宋体" w:hAnsi="宋体"/>
          <w:color w:val="auto"/>
          <w:sz w:val="24"/>
          <w:highlight w:val="none"/>
        </w:rPr>
        <w:t>法定代表人或被授权人（签字或盖章）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p>
      <w:pPr>
        <w:pStyle w:val="966"/>
        <w:spacing w:line="360" w:lineRule="auto"/>
        <w:jc w:val="left"/>
        <w:rPr>
          <w:rFonts w:hAnsi="宋体" w:eastAsia="宋体" w:cs="宋体"/>
          <w:color w:val="auto"/>
          <w:sz w:val="24"/>
          <w:szCs w:val="24"/>
          <w:highlight w:val="none"/>
        </w:rPr>
      </w:pPr>
      <w:r>
        <w:rPr>
          <w:rFonts w:hint="eastAsia" w:hAnsi="宋体" w:eastAsia="宋体" w:cs="宋体"/>
          <w:color w:val="auto"/>
          <w:sz w:val="24"/>
          <w:szCs w:val="24"/>
          <w:highlight w:val="none"/>
          <w:lang w:bidi="ar"/>
        </w:rPr>
        <w:t>日期：_____年____月____日</w:t>
      </w: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p>
    <w:p>
      <w:pPr>
        <w:pStyle w:val="966"/>
        <w:spacing w:line="360" w:lineRule="auto"/>
        <w:rPr>
          <w:rFonts w:hAnsi="宋体" w:eastAsia="宋体" w:cs="宋体"/>
          <w:b/>
          <w:color w:val="auto"/>
          <w:sz w:val="24"/>
          <w:szCs w:val="24"/>
          <w:highlight w:val="none"/>
        </w:rPr>
      </w:pPr>
    </w:p>
    <w:p>
      <w:pPr>
        <w:pStyle w:val="966"/>
        <w:spacing w:line="360" w:lineRule="auto"/>
        <w:jc w:val="center"/>
        <w:rPr>
          <w:rFonts w:hAnsi="宋体" w:eastAsia="宋体" w:cs="宋体"/>
          <w:b/>
          <w:color w:val="auto"/>
          <w:sz w:val="24"/>
          <w:szCs w:val="24"/>
          <w:highlight w:val="none"/>
        </w:rPr>
      </w:pPr>
      <w:r>
        <w:rPr>
          <w:rFonts w:hint="eastAsia" w:hAnsi="宋体" w:eastAsia="宋体" w:cs="宋体"/>
          <w:b/>
          <w:color w:val="auto"/>
          <w:sz w:val="24"/>
          <w:szCs w:val="24"/>
          <w:highlight w:val="none"/>
        </w:rPr>
        <w:t>同类业绩一览表</w:t>
      </w:r>
    </w:p>
    <w:tbl>
      <w:tblPr>
        <w:tblStyle w:val="65"/>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2943" w:type="dxa"/>
            <w:vAlign w:val="center"/>
          </w:tcPr>
          <w:p>
            <w:pPr>
              <w:jc w:val="center"/>
              <w:rPr>
                <w:rFonts w:ascii="宋体" w:hAnsi="宋体"/>
                <w:bCs/>
                <w:color w:val="auto"/>
                <w:szCs w:val="21"/>
                <w:highlight w:val="none"/>
              </w:rPr>
            </w:pPr>
            <w:r>
              <w:rPr>
                <w:rFonts w:hint="eastAsia" w:ascii="宋体" w:hAnsi="宋体"/>
                <w:bCs/>
                <w:color w:val="auto"/>
                <w:szCs w:val="21"/>
                <w:highlight w:val="none"/>
              </w:rPr>
              <w:t>采购人名称</w:t>
            </w:r>
          </w:p>
        </w:tc>
        <w:tc>
          <w:tcPr>
            <w:tcW w:w="2565"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项目名称</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服务内容</w:t>
            </w:r>
          </w:p>
        </w:tc>
        <w:tc>
          <w:tcPr>
            <w:tcW w:w="1311" w:type="dxa"/>
            <w:vAlign w:val="center"/>
          </w:tcPr>
          <w:p>
            <w:pPr>
              <w:tabs>
                <w:tab w:val="left" w:pos="6252"/>
              </w:tabs>
              <w:jc w:val="center"/>
              <w:rPr>
                <w:rFonts w:ascii="宋体" w:hAnsi="宋体"/>
                <w:bCs/>
                <w:color w:val="auto"/>
                <w:szCs w:val="21"/>
                <w:highlight w:val="none"/>
              </w:rPr>
            </w:pPr>
            <w:r>
              <w:rPr>
                <w:rFonts w:hint="eastAsia" w:ascii="宋体" w:hAnsi="宋体"/>
                <w:bCs/>
                <w:color w:val="auto"/>
                <w:szCs w:val="21"/>
                <w:highlight w:val="none"/>
              </w:rPr>
              <w:t>服务期限</w:t>
            </w:r>
          </w:p>
        </w:tc>
        <w:tc>
          <w:tcPr>
            <w:tcW w:w="1298" w:type="dxa"/>
            <w:vAlign w:val="center"/>
          </w:tcPr>
          <w:p>
            <w:pPr>
              <w:tabs>
                <w:tab w:val="left" w:pos="6252"/>
              </w:tabs>
              <w:jc w:val="center"/>
              <w:rPr>
                <w:rFonts w:ascii="宋体" w:hAnsi="宋体"/>
                <w:bCs/>
                <w:color w:val="auto"/>
                <w:szCs w:val="21"/>
                <w:highlight w:val="none"/>
              </w:rPr>
            </w:pPr>
            <w:r>
              <w:rPr>
                <w:rFonts w:hint="eastAsia"/>
                <w:bCs/>
                <w:color w:val="auto"/>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1</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2</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3</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4</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color w:val="auto"/>
                <w:szCs w:val="21"/>
                <w:highlight w:val="none"/>
              </w:rPr>
            </w:pPr>
            <w:r>
              <w:rPr>
                <w:rFonts w:hint="eastAsia" w:ascii="宋体" w:hAnsi="宋体"/>
                <w:bCs/>
                <w:color w:val="auto"/>
                <w:szCs w:val="21"/>
                <w:highlight w:val="none"/>
              </w:rPr>
              <w:t>5</w:t>
            </w:r>
          </w:p>
        </w:tc>
        <w:tc>
          <w:tcPr>
            <w:tcW w:w="2943" w:type="dxa"/>
            <w:vAlign w:val="center"/>
          </w:tcPr>
          <w:p>
            <w:pPr>
              <w:jc w:val="center"/>
              <w:rPr>
                <w:rFonts w:ascii="宋体" w:hAnsi="宋体"/>
                <w:bCs/>
                <w:color w:val="auto"/>
                <w:szCs w:val="21"/>
                <w:highlight w:val="none"/>
              </w:rPr>
            </w:pPr>
          </w:p>
        </w:tc>
        <w:tc>
          <w:tcPr>
            <w:tcW w:w="2565" w:type="dxa"/>
          </w:tcPr>
          <w:p>
            <w:pPr>
              <w:jc w:val="center"/>
              <w:rPr>
                <w:rFonts w:ascii="宋体" w:hAnsi="宋体"/>
                <w:bCs/>
                <w:color w:val="auto"/>
                <w:szCs w:val="21"/>
                <w:highlight w:val="none"/>
              </w:rPr>
            </w:pPr>
          </w:p>
        </w:tc>
        <w:tc>
          <w:tcPr>
            <w:tcW w:w="1311" w:type="dxa"/>
          </w:tcPr>
          <w:p>
            <w:pPr>
              <w:jc w:val="center"/>
              <w:rPr>
                <w:rFonts w:ascii="宋体" w:hAnsi="宋体"/>
                <w:bCs/>
                <w:color w:val="auto"/>
                <w:szCs w:val="21"/>
                <w:highlight w:val="none"/>
              </w:rPr>
            </w:pPr>
          </w:p>
        </w:tc>
        <w:tc>
          <w:tcPr>
            <w:tcW w:w="1311" w:type="dxa"/>
            <w:vAlign w:val="center"/>
          </w:tcPr>
          <w:p>
            <w:pPr>
              <w:jc w:val="center"/>
              <w:rPr>
                <w:rFonts w:ascii="宋体" w:hAnsi="宋体"/>
                <w:bCs/>
                <w:color w:val="auto"/>
                <w:szCs w:val="21"/>
                <w:highlight w:val="none"/>
              </w:rPr>
            </w:pPr>
          </w:p>
        </w:tc>
        <w:tc>
          <w:tcPr>
            <w:tcW w:w="1298" w:type="dxa"/>
            <w:vAlign w:val="center"/>
          </w:tcPr>
          <w:p>
            <w:pPr>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311" w:type="dxa"/>
            <w:vAlign w:val="center"/>
          </w:tcPr>
          <w:p>
            <w:pPr>
              <w:jc w:val="center"/>
              <w:rPr>
                <w:rFonts w:ascii="宋体" w:hAnsi="宋体"/>
                <w:color w:val="auto"/>
                <w:szCs w:val="21"/>
                <w:highlight w:val="none"/>
              </w:rPr>
            </w:pPr>
          </w:p>
        </w:tc>
        <w:tc>
          <w:tcPr>
            <w:tcW w:w="1298"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2943" w:type="dxa"/>
            <w:vAlign w:val="center"/>
          </w:tcPr>
          <w:p>
            <w:pPr>
              <w:jc w:val="center"/>
              <w:rPr>
                <w:rFonts w:ascii="宋体" w:hAnsi="宋体"/>
                <w:color w:val="auto"/>
                <w:szCs w:val="21"/>
                <w:highlight w:val="none"/>
              </w:rPr>
            </w:pPr>
          </w:p>
        </w:tc>
        <w:tc>
          <w:tcPr>
            <w:tcW w:w="2565" w:type="dxa"/>
          </w:tcPr>
          <w:p>
            <w:pPr>
              <w:jc w:val="center"/>
              <w:rPr>
                <w:rFonts w:ascii="宋体" w:hAnsi="宋体"/>
                <w:color w:val="auto"/>
                <w:szCs w:val="21"/>
                <w:highlight w:val="none"/>
              </w:rPr>
            </w:pPr>
          </w:p>
        </w:tc>
        <w:tc>
          <w:tcPr>
            <w:tcW w:w="1311" w:type="dxa"/>
          </w:tcPr>
          <w:p>
            <w:pPr>
              <w:jc w:val="center"/>
              <w:rPr>
                <w:rFonts w:ascii="宋体" w:hAnsi="宋体"/>
                <w:color w:val="auto"/>
                <w:szCs w:val="21"/>
                <w:highlight w:val="none"/>
              </w:rPr>
            </w:pPr>
          </w:p>
        </w:tc>
        <w:tc>
          <w:tcPr>
            <w:tcW w:w="1311" w:type="dxa"/>
            <w:vAlign w:val="center"/>
          </w:tcPr>
          <w:p>
            <w:pPr>
              <w:jc w:val="center"/>
              <w:rPr>
                <w:rFonts w:ascii="宋体" w:hAnsi="宋体"/>
                <w:color w:val="auto"/>
                <w:szCs w:val="21"/>
                <w:highlight w:val="none"/>
              </w:rPr>
            </w:pPr>
          </w:p>
        </w:tc>
        <w:tc>
          <w:tcPr>
            <w:tcW w:w="1298" w:type="dxa"/>
            <w:vAlign w:val="center"/>
          </w:tcPr>
          <w:p>
            <w:pPr>
              <w:jc w:val="center"/>
              <w:rPr>
                <w:rFonts w:ascii="宋体" w:hAnsi="宋体"/>
                <w:color w:val="auto"/>
                <w:szCs w:val="21"/>
                <w:highlight w:val="none"/>
              </w:rPr>
            </w:pPr>
          </w:p>
        </w:tc>
      </w:tr>
    </w:tbl>
    <w:p>
      <w:pPr>
        <w:pStyle w:val="966"/>
        <w:spacing w:line="360" w:lineRule="auto"/>
        <w:rPr>
          <w:rFonts w:hAnsi="宋体" w:eastAsia="宋体"/>
          <w:b/>
          <w:color w:val="auto"/>
          <w:sz w:val="21"/>
          <w:szCs w:val="21"/>
          <w:highlight w:val="none"/>
        </w:rPr>
      </w:pPr>
      <w:r>
        <w:rPr>
          <w:rFonts w:hint="eastAsia" w:hAnsi="宋体" w:eastAsia="宋体"/>
          <w:b/>
          <w:color w:val="auto"/>
          <w:sz w:val="21"/>
          <w:szCs w:val="21"/>
          <w:highlight w:val="none"/>
        </w:rPr>
        <w:t>注：投标人同类项目</w:t>
      </w:r>
      <w:r>
        <w:rPr>
          <w:rFonts w:hint="eastAsia" w:hAnsi="宋体" w:eastAsia="宋体"/>
          <w:b/>
          <w:color w:val="auto"/>
          <w:sz w:val="21"/>
          <w:szCs w:val="21"/>
          <w:highlight w:val="none"/>
          <w:lang w:val="en-US" w:eastAsia="zh-CN"/>
        </w:rPr>
        <w:t>业绩</w:t>
      </w:r>
      <w:r>
        <w:rPr>
          <w:rFonts w:hint="eastAsia" w:hAnsi="宋体" w:eastAsia="宋体"/>
          <w:b/>
          <w:color w:val="auto"/>
          <w:sz w:val="21"/>
          <w:szCs w:val="21"/>
          <w:highlight w:val="none"/>
        </w:rPr>
        <w:t>得分以本表为准，后附相关证明材料，所需的证明材料要求详见评标办法。</w:t>
      </w:r>
    </w:p>
    <w:p>
      <w:pPr>
        <w:pStyle w:val="966"/>
        <w:spacing w:line="360" w:lineRule="auto"/>
        <w:rPr>
          <w:rFonts w:hAnsi="宋体" w:eastAsia="宋体"/>
          <w:b/>
          <w:color w:val="auto"/>
          <w:sz w:val="24"/>
          <w:szCs w:val="24"/>
          <w:highlight w:val="none"/>
        </w:rPr>
      </w:pPr>
    </w:p>
    <w:p>
      <w:pPr>
        <w:pStyle w:val="966"/>
        <w:spacing w:line="360" w:lineRule="auto"/>
        <w:rPr>
          <w:rFonts w:hAnsi="宋体" w:eastAsia="宋体"/>
          <w:b/>
          <w:color w:val="auto"/>
          <w:sz w:val="24"/>
          <w:szCs w:val="24"/>
          <w:highlight w:val="none"/>
        </w:rPr>
      </w:pPr>
    </w:p>
    <w:p>
      <w:pPr>
        <w:snapToGrid w:val="0"/>
        <w:spacing w:before="120" w:beforeLines="50" w:line="400" w:lineRule="exact"/>
        <w:rPr>
          <w:rFonts w:ascii="宋体" w:hAnsi="宋体" w:cs="宋体"/>
          <w:color w:val="auto"/>
          <w:sz w:val="24"/>
          <w:szCs w:val="20"/>
          <w:highlight w:val="none"/>
          <w:u w:val="single"/>
        </w:rPr>
      </w:pPr>
      <w:r>
        <w:rPr>
          <w:rFonts w:hint="eastAsia" w:ascii="宋体" w:hAnsi="宋体" w:cs="宋体"/>
          <w:color w:val="auto"/>
          <w:sz w:val="24"/>
          <w:highlight w:val="none"/>
        </w:rPr>
        <w:t>法定代表人或被授权人签字（或盖章）：</w:t>
      </w:r>
      <w:r>
        <w:rPr>
          <w:rFonts w:hint="eastAsia" w:ascii="宋体" w:hAnsi="宋体" w:cs="宋体"/>
          <w:color w:val="auto"/>
          <w:sz w:val="24"/>
          <w:highlight w:val="none"/>
          <w:u w:val="single"/>
        </w:rPr>
        <w:t xml:space="preserve">             </w:t>
      </w:r>
    </w:p>
    <w:p>
      <w:pPr>
        <w:snapToGrid w:val="0"/>
        <w:spacing w:before="120" w:beforeLines="50" w:after="50" w:line="400" w:lineRule="exact"/>
        <w:rPr>
          <w:rFonts w:ascii="宋体" w:hAnsi="宋体" w:cs="宋体"/>
          <w:color w:val="auto"/>
          <w:sz w:val="24"/>
          <w:highlight w:val="none"/>
        </w:rPr>
      </w:pPr>
      <w:r>
        <w:rPr>
          <w:rFonts w:hint="eastAsia" w:ascii="宋体" w:hAnsi="宋体" w:cs="宋体"/>
          <w:color w:val="auto"/>
          <w:sz w:val="24"/>
          <w:highlight w:val="none"/>
        </w:rPr>
        <w:t>投标人名称（加盖公章）：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80" w:lineRule="exact"/>
        <w:rPr>
          <w:rFonts w:ascii="宋体" w:hAnsi="宋体"/>
          <w:b/>
          <w:color w:val="auto"/>
          <w:sz w:val="22"/>
          <w:szCs w:val="2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rPr>
          <w:rFonts w:ascii="宋体" w:hAnsi="宋体" w:cs="宋体"/>
          <w:color w:val="auto"/>
          <w:sz w:val="24"/>
          <w:highlight w:val="none"/>
        </w:rPr>
      </w:pPr>
    </w:p>
    <w:p>
      <w:pPr>
        <w:pStyle w:val="4"/>
        <w:rPr>
          <w:rFonts w:ascii="宋体" w:hAnsi="宋体" w:cs="宋体"/>
          <w:color w:val="auto"/>
          <w:sz w:val="24"/>
          <w:highlight w:val="none"/>
        </w:rPr>
      </w:pPr>
    </w:p>
    <w:p>
      <w:pPr>
        <w:rPr>
          <w:color w:val="auto"/>
          <w:highlight w:val="none"/>
        </w:rPr>
      </w:pPr>
    </w:p>
    <w:p>
      <w:pPr>
        <w:pStyle w:val="84"/>
        <w:ind w:left="420" w:firstLine="480"/>
        <w:rPr>
          <w:color w:val="auto"/>
          <w:highlight w:val="none"/>
        </w:rPr>
      </w:pPr>
    </w:p>
    <w:p>
      <w:pPr>
        <w:pStyle w:val="966"/>
        <w:spacing w:line="360" w:lineRule="auto"/>
        <w:jc w:val="center"/>
        <w:rPr>
          <w:rFonts w:hAnsi="宋体" w:eastAsia="宋体"/>
          <w:b/>
          <w:color w:val="auto"/>
          <w:sz w:val="28"/>
          <w:szCs w:val="28"/>
          <w:highlight w:val="none"/>
        </w:rPr>
      </w:pPr>
    </w:p>
    <w:p>
      <w:pPr>
        <w:pStyle w:val="35"/>
        <w:spacing w:before="120" w:after="120" w:line="360" w:lineRule="auto"/>
        <w:jc w:val="center"/>
        <w:textAlignment w:val="baseline"/>
        <w:rPr>
          <w:rFonts w:hAnsi="宋体"/>
          <w:b/>
          <w:color w:val="auto"/>
          <w:sz w:val="28"/>
          <w:szCs w:val="28"/>
          <w:highlight w:val="none"/>
        </w:rPr>
      </w:pPr>
    </w:p>
    <w:p>
      <w:pPr>
        <w:pStyle w:val="35"/>
        <w:spacing w:before="120" w:after="120" w:line="360" w:lineRule="auto"/>
        <w:jc w:val="center"/>
        <w:textAlignment w:val="baseline"/>
        <w:rPr>
          <w:rFonts w:hAnsi="宋体"/>
          <w:color w:val="auto"/>
          <w:sz w:val="28"/>
          <w:szCs w:val="28"/>
          <w:highlight w:val="none"/>
        </w:rPr>
      </w:pPr>
      <w:r>
        <w:rPr>
          <w:rFonts w:hint="eastAsia" w:hAnsi="宋体"/>
          <w:b/>
          <w:color w:val="auto"/>
          <w:sz w:val="28"/>
          <w:szCs w:val="28"/>
          <w:highlight w:val="none"/>
        </w:rPr>
        <w:t>项目实施人员表</w:t>
      </w:r>
    </w:p>
    <w:tbl>
      <w:tblPr>
        <w:tblStyle w:val="65"/>
        <w:tblW w:w="91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912"/>
        <w:gridCol w:w="970"/>
        <w:gridCol w:w="709"/>
        <w:gridCol w:w="1254"/>
        <w:gridCol w:w="1557"/>
        <w:gridCol w:w="1350"/>
        <w:gridCol w:w="16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91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highlight w:val="none"/>
              </w:rPr>
              <w:t>姓名</w:t>
            </w:r>
          </w:p>
        </w:tc>
        <w:tc>
          <w:tcPr>
            <w:tcW w:w="97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highlight w:val="none"/>
              </w:rPr>
              <w:t>拟从事本项目岗位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highlight w:val="none"/>
              </w:rPr>
              <w:t>年龄</w:t>
            </w: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highlight w:val="none"/>
              </w:rPr>
              <w:t>性别</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highlight w:val="none"/>
              </w:rPr>
              <w:t>职称/职务</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b w:val="0"/>
                <w:bCs w:val="0"/>
                <w:highlight w:val="none"/>
              </w:rPr>
            </w:pPr>
            <w:r>
              <w:rPr>
                <w:rFonts w:hint="eastAsia"/>
                <w:b w:val="0"/>
                <w:bCs w:val="0"/>
                <w:highlight w:val="none"/>
              </w:rPr>
              <w:t>专业/</w:t>
            </w:r>
          </w:p>
          <w:p>
            <w:pPr>
              <w:spacing w:line="400" w:lineRule="atLeast"/>
              <w:jc w:val="center"/>
              <w:rPr>
                <w:rFonts w:ascii="宋体" w:hAnsi="宋体"/>
                <w:b w:val="0"/>
                <w:bCs w:val="0"/>
                <w:color w:val="auto"/>
                <w:sz w:val="21"/>
                <w:szCs w:val="21"/>
                <w:highlight w:val="none"/>
              </w:rPr>
            </w:pPr>
            <w:r>
              <w:rPr>
                <w:rFonts w:hint="eastAsia"/>
                <w:b w:val="0"/>
                <w:bCs w:val="0"/>
                <w:highlight w:val="none"/>
              </w:rPr>
              <w:t>年限</w:t>
            </w:r>
          </w:p>
        </w:tc>
        <w:tc>
          <w:tcPr>
            <w:tcW w:w="163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b w:val="0"/>
                <w:bCs w:val="0"/>
                <w:color w:val="auto"/>
                <w:sz w:val="21"/>
                <w:szCs w:val="21"/>
                <w:highlight w:val="none"/>
              </w:rPr>
            </w:pPr>
            <w:r>
              <w:rPr>
                <w:rFonts w:hint="eastAsia"/>
                <w:b w:val="0"/>
                <w:bCs w:val="0"/>
                <w:highlight w:val="none"/>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1</w:t>
            </w:r>
          </w:p>
        </w:tc>
        <w:tc>
          <w:tcPr>
            <w:tcW w:w="912"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2</w:t>
            </w:r>
          </w:p>
        </w:tc>
        <w:tc>
          <w:tcPr>
            <w:tcW w:w="912"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3</w:t>
            </w:r>
          </w:p>
        </w:tc>
        <w:tc>
          <w:tcPr>
            <w:tcW w:w="912"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4</w:t>
            </w:r>
          </w:p>
        </w:tc>
        <w:tc>
          <w:tcPr>
            <w:tcW w:w="912"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r>
              <w:rPr>
                <w:rFonts w:hint="eastAsia" w:ascii="宋体" w:hAnsi="宋体"/>
                <w:color w:val="auto"/>
                <w:sz w:val="21"/>
                <w:szCs w:val="21"/>
                <w:highlight w:val="none"/>
              </w:rPr>
              <w:t>5</w:t>
            </w:r>
          </w:p>
        </w:tc>
        <w:tc>
          <w:tcPr>
            <w:tcW w:w="912"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color w:val="auto"/>
                <w:sz w:val="21"/>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97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25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55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63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3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一旦我单位中标，我方保证并配备上述项目服务人员。上述填报内容真实，若不真实，愿按有关规定接受处理。</w:t>
            </w:r>
          </w:p>
        </w:tc>
      </w:tr>
    </w:tbl>
    <w:p>
      <w:pPr>
        <w:spacing w:line="360" w:lineRule="auto"/>
        <w:ind w:firstLine="422" w:firstLineChars="200"/>
        <w:rPr>
          <w:rFonts w:ascii="宋体" w:hAnsi="宋体"/>
          <w:b/>
          <w:color w:val="auto"/>
          <w:szCs w:val="21"/>
          <w:highlight w:val="none"/>
        </w:rPr>
      </w:pP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注：1、相关证明材料附后，所需的证明材料要求详见评标办法。</w:t>
      </w:r>
    </w:p>
    <w:p>
      <w:pPr>
        <w:spacing w:line="360" w:lineRule="auto"/>
        <w:ind w:firstLine="422" w:firstLineChars="200"/>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2、列入本表人员如要更换，需经招标人同意；擅自更换或不到位属违约行为</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lang w:val="en-US" w:eastAsia="zh-CN"/>
        </w:rPr>
        <w:t>3</w:t>
      </w:r>
      <w:r>
        <w:rPr>
          <w:rFonts w:hint="eastAsia" w:ascii="宋体" w:hAnsi="宋体"/>
          <w:b/>
          <w:color w:val="auto"/>
          <w:szCs w:val="21"/>
          <w:highlight w:val="none"/>
        </w:rPr>
        <w:t>、表格不够填写可添加。</w:t>
      </w: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84"/>
        <w:ind w:left="0" w:leftChars="0" w:firstLine="0" w:firstLineChars="0"/>
        <w:rPr>
          <w:rFonts w:hAnsi="宋体"/>
          <w:color w:val="auto"/>
          <w:highlight w:val="none"/>
        </w:rPr>
      </w:pPr>
      <w:r>
        <w:rPr>
          <w:rFonts w:hint="eastAsia" w:ascii="宋体" w:hAnsi="宋体" w:cs="宋体"/>
          <w:color w:val="auto"/>
          <w:highlight w:val="none"/>
        </w:rPr>
        <w:t>投标人名称（加盖公章）</w:t>
      </w:r>
      <w:r>
        <w:rPr>
          <w:rFonts w:hint="eastAsia" w:hAnsi="宋体"/>
          <w:color w:val="auto"/>
          <w:highlight w:val="none"/>
          <w:u w:val="single"/>
        </w:rPr>
        <w:t>：</w:t>
      </w:r>
      <w:r>
        <w:rPr>
          <w:rFonts w:hAnsi="宋体"/>
          <w:color w:val="auto"/>
          <w:highlight w:val="none"/>
          <w:u w:val="single"/>
        </w:rPr>
        <w:t xml:space="preserve">                  </w:t>
      </w:r>
      <w:r>
        <w:rPr>
          <w:rFonts w:hAnsi="宋体"/>
          <w:color w:val="auto"/>
          <w:highlight w:val="none"/>
        </w:rPr>
        <w:t xml:space="preserve">        </w:t>
      </w:r>
      <w:r>
        <w:rPr>
          <w:rFonts w:hint="eastAsia" w:hAnsi="宋体"/>
          <w:color w:val="auto"/>
          <w:highlight w:val="none"/>
        </w:rPr>
        <w:t xml:space="preserve">    </w:t>
      </w:r>
    </w:p>
    <w:p>
      <w:pPr>
        <w:pStyle w:val="84"/>
        <w:ind w:left="0" w:leftChars="0" w:firstLine="0" w:firstLineChars="0"/>
        <w:rPr>
          <w:rFonts w:ascii="宋体" w:hAnsi="宋体"/>
          <w:b/>
          <w:color w:val="auto"/>
          <w:sz w:val="28"/>
          <w:szCs w:val="28"/>
          <w:highlight w:val="none"/>
        </w:rPr>
      </w:pPr>
      <w:r>
        <w:rPr>
          <w:rFonts w:hint="eastAsia" w:hAnsi="宋体" w:cs="宋体"/>
          <w:color w:val="auto"/>
          <w:highlight w:val="none"/>
        </w:rPr>
        <w:t>日期：_____年____月____日</w:t>
      </w:r>
    </w:p>
    <w:p>
      <w:pPr>
        <w:pStyle w:val="84"/>
        <w:ind w:left="420" w:firstLine="0" w:firstLineChars="0"/>
        <w:rPr>
          <w:rFonts w:ascii="宋体" w:hAnsi="宋体"/>
          <w:b/>
          <w:color w:val="auto"/>
          <w:sz w:val="28"/>
          <w:szCs w:val="28"/>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widowControl/>
        <w:jc w:val="center"/>
        <w:rPr>
          <w:rFonts w:ascii="宋体" w:hAnsi="宋体" w:cs="宋体"/>
          <w:b/>
          <w:color w:val="auto"/>
          <w:kern w:val="0"/>
          <w:sz w:val="24"/>
          <w:highlight w:val="none"/>
        </w:rPr>
      </w:pPr>
    </w:p>
    <w:p>
      <w:pPr>
        <w:pStyle w:val="26"/>
        <w:ind w:left="0" w:leftChars="0" w:firstLine="0" w:firstLineChars="0"/>
        <w:rPr>
          <w:highlight w:val="none"/>
        </w:rPr>
      </w:pPr>
    </w:p>
    <w:p>
      <w:pPr>
        <w:snapToGrid w:val="0"/>
        <w:spacing w:before="120" w:beforeLines="50" w:after="50"/>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投标函</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（采购人）：  </w:t>
      </w:r>
    </w:p>
    <w:p>
      <w:pPr>
        <w:snapToGrid w:val="0"/>
        <w:spacing w:before="120" w:beforeLines="50" w:after="50" w:line="360" w:lineRule="auto"/>
        <w:ind w:firstLine="480" w:firstLineChars="200"/>
        <w:rPr>
          <w:rFonts w:ascii="宋体" w:hAnsi="宋体" w:cs="宋体"/>
          <w:bCs/>
          <w:color w:val="auto"/>
          <w:sz w:val="24"/>
          <w:szCs w:val="20"/>
          <w:highlight w:val="none"/>
        </w:rPr>
      </w:pPr>
      <w:r>
        <w:rPr>
          <w:rFonts w:hint="eastAsia" w:ascii="宋体" w:hAnsi="宋体" w:cs="宋体"/>
          <w:color w:val="auto"/>
          <w:sz w:val="24"/>
          <w:highlight w:val="none"/>
        </w:rPr>
        <w:t>根据贵方为</w:t>
      </w:r>
      <w:r>
        <w:rPr>
          <w:rFonts w:hint="eastAsia" w:ascii="宋体" w:hAnsi="宋体" w:cs="宋体"/>
          <w:bCs/>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的招标公告（项目编号：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（全名）经正式授权并代表投标人_</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据此函，签字代表宣布同意如下：</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3.本投标有效期自开标日起 ______个日。</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5.投标人同意按照贵方要求提供与投标有关的一切数据或资料。</w:t>
      </w:r>
    </w:p>
    <w:p>
      <w:pPr>
        <w:snapToGrid w:val="0"/>
        <w:spacing w:line="360" w:lineRule="auto"/>
        <w:ind w:firstLine="480" w:firstLineChars="200"/>
        <w:rPr>
          <w:rFonts w:ascii="宋体" w:hAnsi="宋体" w:cs="宋体"/>
          <w:color w:val="auto"/>
          <w:sz w:val="24"/>
          <w:szCs w:val="20"/>
          <w:highlight w:val="none"/>
        </w:rPr>
      </w:pPr>
      <w:r>
        <w:rPr>
          <w:rFonts w:hint="eastAsia" w:ascii="宋体" w:hAnsi="宋体" w:cs="宋体"/>
          <w:color w:val="auto"/>
          <w:sz w:val="24"/>
          <w:highlight w:val="none"/>
        </w:rPr>
        <w:t>6.与本投标有关的一切正式往来信函请寄：</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邮编：__________  电话：_____________</w:t>
      </w: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rPr>
        <w:t>传真：______________投标人代表姓名：__________  职务：</w:t>
      </w:r>
      <w:r>
        <w:rPr>
          <w:rFonts w:hint="eastAsia" w:ascii="宋体" w:hAnsi="宋体" w:cs="宋体"/>
          <w:color w:val="auto"/>
          <w:sz w:val="24"/>
          <w:highlight w:val="none"/>
          <w:u w:val="single"/>
        </w:rPr>
        <w:t xml:space="preserve">               </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投标人名称(公章):___________________</w:t>
      </w:r>
    </w:p>
    <w:p>
      <w:pPr>
        <w:snapToGrid w:val="0"/>
        <w:spacing w:line="360" w:lineRule="auto"/>
        <w:rPr>
          <w:rFonts w:ascii="宋体" w:hAnsi="宋体" w:cs="宋体"/>
          <w:color w:val="auto"/>
          <w:sz w:val="24"/>
          <w:szCs w:val="20"/>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银行帐号：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法定代表人或授权委托人（签名）：            投标人名称（加盖公章）：          </w:t>
      </w:r>
    </w:p>
    <w:p>
      <w:pPr>
        <w:snapToGrid w:val="0"/>
        <w:spacing w:line="360" w:lineRule="auto"/>
        <w:ind w:firstLine="5040" w:firstLineChars="2100"/>
        <w:rPr>
          <w:rFonts w:ascii="宋体" w:hAnsi="宋体" w:cs="宋体"/>
          <w:color w:val="auto"/>
          <w:sz w:val="24"/>
          <w:highlight w:val="none"/>
        </w:rPr>
      </w:pPr>
    </w:p>
    <w:p>
      <w:pPr>
        <w:snapToGrid w:val="0"/>
        <w:spacing w:line="360" w:lineRule="auto"/>
        <w:ind w:firstLine="5040" w:firstLineChars="2100"/>
        <w:rPr>
          <w:rFonts w:ascii="宋体" w:hAnsi="宋体" w:cs="宋体"/>
          <w:color w:val="auto"/>
          <w:sz w:val="24"/>
          <w:highlight w:val="none"/>
        </w:rPr>
      </w:pPr>
      <w:r>
        <w:rPr>
          <w:rFonts w:hint="eastAsia" w:ascii="宋体" w:hAnsi="宋体" w:cs="宋体"/>
          <w:color w:val="auto"/>
          <w:sz w:val="24"/>
          <w:highlight w:val="none"/>
        </w:rPr>
        <w:t>日期:_____年___月___日</w:t>
      </w: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snapToGrid w:val="0"/>
        <w:spacing w:before="50" w:after="50"/>
        <w:rPr>
          <w:rFonts w:ascii="宋体" w:hAnsi="宋体" w:cs="宋体"/>
          <w:color w:val="auto"/>
          <w:highlight w:val="none"/>
        </w:rPr>
      </w:pPr>
    </w:p>
    <w:p>
      <w:pPr>
        <w:pStyle w:val="24"/>
        <w:rPr>
          <w:rFonts w:hAnsi="宋体" w:cs="宋体"/>
          <w:color w:val="auto"/>
          <w:highlight w:val="none"/>
        </w:rPr>
      </w:pPr>
    </w:p>
    <w:p>
      <w:pPr>
        <w:pStyle w:val="24"/>
        <w:rPr>
          <w:rFonts w:hAnsi="宋体" w:cs="宋体"/>
          <w:color w:val="auto"/>
          <w:highlight w:val="none"/>
        </w:rPr>
      </w:pPr>
    </w:p>
    <w:bookmarkEnd w:id="35"/>
    <w:p>
      <w:pPr>
        <w:snapToGrid w:val="0"/>
        <w:spacing w:before="50" w:after="50"/>
        <w:rPr>
          <w:rFonts w:ascii="宋体" w:hAnsi="宋体" w:cs="宋体"/>
          <w:b/>
          <w:color w:val="auto"/>
          <w:sz w:val="24"/>
          <w:highlight w:val="none"/>
        </w:rPr>
      </w:pPr>
    </w:p>
    <w:p>
      <w:pPr>
        <w:snapToGrid w:val="0"/>
        <w:spacing w:before="50" w:after="50"/>
        <w:jc w:val="center"/>
        <w:rPr>
          <w:rFonts w:ascii="宋体" w:hAnsi="宋体" w:cs="宋体"/>
          <w:b/>
          <w:color w:val="auto"/>
          <w:sz w:val="24"/>
          <w:highlight w:val="none"/>
        </w:rPr>
      </w:pPr>
      <w:r>
        <w:rPr>
          <w:rFonts w:hint="eastAsia" w:ascii="宋体" w:hAnsi="宋体" w:cs="宋体"/>
          <w:b/>
          <w:color w:val="auto"/>
          <w:sz w:val="24"/>
          <w:highlight w:val="none"/>
        </w:rPr>
        <w:t>开标一览表</w:t>
      </w:r>
    </w:p>
    <w:p>
      <w:pPr>
        <w:snapToGrid w:val="0"/>
        <w:spacing w:before="50" w:after="50"/>
        <w:jc w:val="center"/>
        <w:rPr>
          <w:rFonts w:ascii="宋体" w:hAnsi="宋体" w:cs="宋体"/>
          <w:b/>
          <w:color w:val="auto"/>
          <w:sz w:val="24"/>
          <w:szCs w:val="20"/>
          <w:highlight w:val="none"/>
        </w:rPr>
      </w:pPr>
    </w:p>
    <w:p>
      <w:pPr>
        <w:snapToGrid w:val="0"/>
        <w:spacing w:before="50" w:after="50"/>
        <w:ind w:right="480"/>
        <w:rPr>
          <w:rFonts w:ascii="宋体" w:hAnsi="宋体" w:cs="宋体"/>
          <w:color w:val="auto"/>
          <w:sz w:val="24"/>
          <w:highlight w:val="none"/>
          <w:u w:val="single"/>
        </w:rPr>
      </w:pPr>
      <w:r>
        <w:rPr>
          <w:rFonts w:hint="eastAsia" w:ascii="宋体" w:hAnsi="宋体" w:cs="宋体"/>
          <w:color w:val="auto"/>
          <w:sz w:val="24"/>
          <w:highlight w:val="none"/>
        </w:rPr>
        <w:t>项目编号：                                            单位：</w:t>
      </w:r>
      <w:r>
        <w:rPr>
          <w:rFonts w:hint="eastAsia" w:ascii="宋体" w:hAnsi="宋体"/>
          <w:color w:val="auto"/>
          <w:sz w:val="24"/>
          <w:highlight w:val="none"/>
        </w:rPr>
        <w:t>人民币</w:t>
      </w:r>
      <w:r>
        <w:rPr>
          <w:rFonts w:hint="eastAsia" w:ascii="宋体" w:hAnsi="宋体" w:cs="宋体"/>
          <w:color w:val="auto"/>
          <w:sz w:val="24"/>
          <w:highlight w:val="none"/>
        </w:rPr>
        <w:t>元</w:t>
      </w:r>
    </w:p>
    <w:p>
      <w:pPr>
        <w:snapToGrid w:val="0"/>
        <w:spacing w:before="50" w:after="50"/>
        <w:ind w:right="480"/>
        <w:jc w:val="right"/>
        <w:rPr>
          <w:rFonts w:ascii="宋体" w:hAnsi="宋体" w:cs="宋体"/>
          <w:color w:val="auto"/>
          <w:sz w:val="24"/>
          <w:highlight w:val="none"/>
        </w:rPr>
      </w:pPr>
    </w:p>
    <w:tbl>
      <w:tblPr>
        <w:tblStyle w:val="65"/>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color w:val="auto"/>
                <w:szCs w:val="21"/>
                <w:highlight w:val="none"/>
              </w:rPr>
            </w:pPr>
            <w:r>
              <w:rPr>
                <w:rFonts w:hint="eastAsia"/>
                <w:b/>
                <w:color w:val="auto"/>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color w:val="auto"/>
                <w:szCs w:val="21"/>
                <w:highlight w:val="none"/>
              </w:rPr>
            </w:pPr>
            <w:r>
              <w:rPr>
                <w:rFonts w:hint="eastAsia" w:eastAsia="仿宋_GB2312"/>
                <w:b/>
                <w:color w:val="auto"/>
                <w:szCs w:val="21"/>
                <w:highlight w:val="none"/>
              </w:rPr>
              <w:t>嘉善县救助管理站救助服务外包项目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r>
              <w:rPr>
                <w:rFonts w:hint="eastAsia"/>
                <w:b/>
                <w:color w:val="auto"/>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color w:val="auto"/>
                <w:szCs w:val="21"/>
                <w:highlight w:val="none"/>
              </w:rPr>
            </w:pPr>
            <w:r>
              <w:rPr>
                <w:rFonts w:hint="eastAsia" w:eastAsia="仿宋_GB2312"/>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color w:val="auto"/>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color w:val="auto"/>
                <w:szCs w:val="21"/>
                <w:highlight w:val="none"/>
              </w:rPr>
            </w:pPr>
            <w:r>
              <w:rPr>
                <w:rFonts w:hint="eastAsia" w:eastAsia="仿宋_GB2312"/>
                <w:color w:val="auto"/>
                <w:szCs w:val="21"/>
                <w:highlight w:val="none"/>
              </w:rPr>
              <w:t>小写</w:t>
            </w:r>
          </w:p>
        </w:tc>
      </w:tr>
    </w:tbl>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注: 1、报价一经涂改，应在涂改处加盖单位公章或者由法定代表人或被授权人签字或盖章，</w:t>
      </w:r>
    </w:p>
    <w:p>
      <w:pPr>
        <w:snapToGrid w:val="0"/>
        <w:spacing w:line="48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否则其投标将作投标无效处理。</w:t>
      </w:r>
    </w:p>
    <w:p>
      <w:pPr>
        <w:snapToGrid w:val="0"/>
        <w:spacing w:line="48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2、本页后附投标报价明细表。</w:t>
      </w:r>
    </w:p>
    <w:p>
      <w:pPr>
        <w:snapToGrid w:val="0"/>
        <w:spacing w:line="48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3、以上报价应与“投标报价明细表”中的“投标总价”数相一致。</w:t>
      </w:r>
    </w:p>
    <w:p>
      <w:pPr>
        <w:snapToGrid w:val="0"/>
        <w:spacing w:line="480" w:lineRule="exact"/>
        <w:ind w:firstLine="440" w:firstLineChars="200"/>
        <w:jc w:val="left"/>
        <w:rPr>
          <w:rFonts w:ascii="宋体" w:hAnsi="宋体" w:cs="宋体"/>
          <w:color w:val="auto"/>
          <w:sz w:val="22"/>
          <w:szCs w:val="22"/>
          <w:highlight w:val="none"/>
        </w:rPr>
      </w:pPr>
    </w:p>
    <w:p>
      <w:pPr>
        <w:snapToGrid w:val="0"/>
        <w:spacing w:line="480" w:lineRule="exact"/>
        <w:ind w:left="-3" w:leftChars="-72" w:right="-817" w:rightChars="-389" w:hanging="148" w:hangingChars="62"/>
        <w:rPr>
          <w:rFonts w:ascii="宋体" w:hAnsi="宋体" w:cs="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6"/>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rPr>
          <w:rFonts w:hAnsi="宋体" w:cs="宋体"/>
          <w:color w:val="auto"/>
          <w:sz w:val="24"/>
          <w:highlight w:val="none"/>
        </w:rPr>
      </w:pPr>
      <w:r>
        <w:rPr>
          <w:rFonts w:hint="eastAsia" w:hAnsi="宋体" w:cs="宋体"/>
          <w:color w:val="auto"/>
          <w:sz w:val="24"/>
          <w:highlight w:val="none"/>
        </w:rPr>
        <w:t>日期：_____年____月____日</w:t>
      </w:r>
    </w:p>
    <w:p>
      <w:pPr>
        <w:pStyle w:val="3"/>
        <w:rPr>
          <w:rFonts w:hAnsi="宋体" w:cs="宋体"/>
          <w:color w:val="auto"/>
          <w:sz w:val="24"/>
          <w:szCs w:val="24"/>
          <w:highlight w:val="none"/>
        </w:rPr>
      </w:pPr>
    </w:p>
    <w:p>
      <w:pPr>
        <w:widowControl/>
        <w:spacing w:line="360" w:lineRule="auto"/>
        <w:rPr>
          <w:rFonts w:ascii="宋体" w:hAnsi="宋体"/>
          <w:b/>
          <w:color w:val="auto"/>
          <w:sz w:val="28"/>
          <w:szCs w:val="28"/>
          <w:highlight w:val="none"/>
        </w:rPr>
      </w:pPr>
    </w:p>
    <w:p>
      <w:pPr>
        <w:widowControl/>
        <w:spacing w:line="360" w:lineRule="auto"/>
        <w:jc w:val="center"/>
        <w:rPr>
          <w:rFonts w:ascii="宋体" w:hAnsi="宋体"/>
          <w:b/>
          <w:color w:val="auto"/>
          <w:sz w:val="28"/>
          <w:szCs w:val="28"/>
          <w:highlight w:val="none"/>
        </w:rPr>
      </w:pPr>
    </w:p>
    <w:p>
      <w:pPr>
        <w:widowControl/>
        <w:spacing w:line="360" w:lineRule="auto"/>
        <w:jc w:val="center"/>
        <w:rPr>
          <w:rFonts w:hint="eastAsia" w:ascii="宋体" w:hAnsi="宋体"/>
          <w:b/>
          <w:color w:val="auto"/>
          <w:sz w:val="28"/>
          <w:szCs w:val="28"/>
          <w:highlight w:val="none"/>
        </w:rPr>
      </w:pPr>
    </w:p>
    <w:p>
      <w:pPr>
        <w:widowControl/>
        <w:spacing w:line="360" w:lineRule="auto"/>
        <w:jc w:val="center"/>
        <w:rPr>
          <w:rFonts w:hint="eastAsia" w:ascii="宋体" w:hAnsi="宋体"/>
          <w:b/>
          <w:color w:val="auto"/>
          <w:sz w:val="28"/>
          <w:szCs w:val="28"/>
          <w:highlight w:val="none"/>
        </w:rPr>
      </w:pPr>
    </w:p>
    <w:p>
      <w:pPr>
        <w:widowControl/>
        <w:spacing w:line="360" w:lineRule="auto"/>
        <w:jc w:val="center"/>
        <w:rPr>
          <w:rFonts w:hint="eastAsia" w:ascii="宋体" w:hAnsi="宋体"/>
          <w:b/>
          <w:color w:val="auto"/>
          <w:sz w:val="28"/>
          <w:szCs w:val="28"/>
          <w:highlight w:val="none"/>
        </w:rPr>
      </w:pPr>
    </w:p>
    <w:p>
      <w:pPr>
        <w:widowControl/>
        <w:spacing w:line="360" w:lineRule="auto"/>
        <w:jc w:val="center"/>
        <w:rPr>
          <w:rFonts w:hint="eastAsia" w:ascii="宋体" w:hAnsi="宋体"/>
          <w:b/>
          <w:color w:val="auto"/>
          <w:sz w:val="28"/>
          <w:szCs w:val="28"/>
          <w:highlight w:val="none"/>
        </w:rPr>
      </w:pPr>
    </w:p>
    <w:p>
      <w:pPr>
        <w:widowControl/>
        <w:spacing w:line="360" w:lineRule="auto"/>
        <w:jc w:val="center"/>
        <w:rPr>
          <w:rFonts w:hint="eastAsia" w:ascii="宋体" w:hAnsi="宋体"/>
          <w:b/>
          <w:sz w:val="24"/>
          <w:highlight w:val="none"/>
        </w:rPr>
      </w:pPr>
      <w:r>
        <w:rPr>
          <w:rFonts w:hint="eastAsia" w:ascii="宋体" w:hAnsi="宋体"/>
          <w:b/>
          <w:sz w:val="24"/>
          <w:highlight w:val="none"/>
        </w:rPr>
        <w:t>投标报价明细表</w:t>
      </w:r>
    </w:p>
    <w:tbl>
      <w:tblPr>
        <w:tblStyle w:val="65"/>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01"/>
        <w:gridCol w:w="690"/>
        <w:gridCol w:w="803"/>
        <w:gridCol w:w="803"/>
        <w:gridCol w:w="803"/>
        <w:gridCol w:w="803"/>
        <w:gridCol w:w="901"/>
        <w:gridCol w:w="709"/>
        <w:gridCol w:w="8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spacing w:line="360" w:lineRule="auto"/>
              <w:rPr>
                <w:rFonts w:hint="eastAsia" w:ascii="宋体" w:hAnsi="宋体" w:eastAsia="宋体" w:cs="宋体"/>
                <w:sz w:val="22"/>
                <w:szCs w:val="28"/>
                <w:highlight w:val="none"/>
              </w:rPr>
            </w:pPr>
            <w:r>
              <w:rPr>
                <w:rFonts w:hint="eastAsia" w:ascii="宋体" w:hAnsi="宋体" w:eastAsia="宋体" w:cs="宋体"/>
                <w:sz w:val="22"/>
                <w:szCs w:val="28"/>
                <w:highlight w:val="none"/>
              </w:rPr>
              <w:t>序号</w:t>
            </w:r>
          </w:p>
        </w:tc>
        <w:tc>
          <w:tcPr>
            <w:tcW w:w="1701" w:type="dxa"/>
            <w:noWrap w:val="0"/>
            <w:vAlign w:val="center"/>
          </w:tcPr>
          <w:p>
            <w:pPr>
              <w:spacing w:line="360" w:lineRule="auto"/>
              <w:rPr>
                <w:rFonts w:hint="eastAsia" w:ascii="宋体" w:hAnsi="宋体" w:eastAsia="宋体" w:cs="宋体"/>
                <w:sz w:val="22"/>
                <w:szCs w:val="28"/>
                <w:highlight w:val="none"/>
              </w:rPr>
            </w:pPr>
            <w:r>
              <w:rPr>
                <w:rFonts w:hint="eastAsia" w:ascii="宋体" w:hAnsi="宋体" w:eastAsia="宋体" w:cs="宋体"/>
                <w:sz w:val="22"/>
                <w:szCs w:val="28"/>
                <w:highlight w:val="none"/>
              </w:rPr>
              <w:t>应发工资</w:t>
            </w:r>
          </w:p>
        </w:tc>
        <w:tc>
          <w:tcPr>
            <w:tcW w:w="690" w:type="dxa"/>
            <w:noWrap w:val="0"/>
            <w:vAlign w:val="center"/>
          </w:tcPr>
          <w:p>
            <w:pPr>
              <w:spacing w:line="360" w:lineRule="auto"/>
              <w:jc w:val="center"/>
              <w:rPr>
                <w:rFonts w:hint="eastAsia" w:ascii="宋体" w:hAnsi="宋体" w:eastAsia="宋体" w:cs="宋体"/>
                <w:sz w:val="22"/>
                <w:szCs w:val="28"/>
                <w:highlight w:val="none"/>
              </w:rPr>
            </w:pPr>
            <w:r>
              <w:rPr>
                <w:rFonts w:hint="eastAsia" w:ascii="宋体" w:hAnsi="宋体" w:eastAsia="宋体" w:cs="宋体"/>
                <w:sz w:val="22"/>
                <w:szCs w:val="28"/>
                <w:highlight w:val="none"/>
              </w:rPr>
              <w:t>岗位津贴</w:t>
            </w:r>
          </w:p>
        </w:tc>
        <w:tc>
          <w:tcPr>
            <w:tcW w:w="803" w:type="dxa"/>
            <w:noWrap w:val="0"/>
            <w:vAlign w:val="center"/>
          </w:tcPr>
          <w:p>
            <w:pPr>
              <w:spacing w:line="360" w:lineRule="auto"/>
              <w:jc w:val="center"/>
              <w:rPr>
                <w:rFonts w:hint="eastAsia" w:ascii="宋体" w:hAnsi="宋体" w:eastAsia="宋体" w:cs="宋体"/>
                <w:sz w:val="22"/>
                <w:szCs w:val="28"/>
                <w:highlight w:val="none"/>
              </w:rPr>
            </w:pPr>
            <w:r>
              <w:rPr>
                <w:rFonts w:hint="eastAsia" w:ascii="宋体" w:hAnsi="宋体" w:eastAsia="宋体" w:cs="宋体"/>
                <w:sz w:val="22"/>
                <w:szCs w:val="28"/>
                <w:highlight w:val="none"/>
              </w:rPr>
              <w:t>社会保险</w:t>
            </w:r>
          </w:p>
        </w:tc>
        <w:tc>
          <w:tcPr>
            <w:tcW w:w="803" w:type="dxa"/>
            <w:noWrap w:val="0"/>
            <w:vAlign w:val="center"/>
          </w:tcPr>
          <w:p>
            <w:pPr>
              <w:spacing w:line="360" w:lineRule="auto"/>
              <w:jc w:val="center"/>
              <w:rPr>
                <w:rFonts w:hint="eastAsia" w:ascii="宋体" w:hAnsi="宋体" w:eastAsia="宋体" w:cs="宋体"/>
                <w:sz w:val="22"/>
                <w:szCs w:val="28"/>
                <w:highlight w:val="none"/>
              </w:rPr>
            </w:pPr>
            <w:r>
              <w:rPr>
                <w:rFonts w:hint="eastAsia" w:ascii="宋体" w:hAnsi="宋体" w:eastAsia="宋体" w:cs="宋体"/>
                <w:sz w:val="22"/>
                <w:szCs w:val="28"/>
                <w:highlight w:val="none"/>
              </w:rPr>
              <w:t>利润</w:t>
            </w:r>
          </w:p>
        </w:tc>
        <w:tc>
          <w:tcPr>
            <w:tcW w:w="803" w:type="dxa"/>
            <w:noWrap w:val="0"/>
            <w:vAlign w:val="center"/>
          </w:tcPr>
          <w:p>
            <w:pPr>
              <w:spacing w:line="360" w:lineRule="auto"/>
              <w:jc w:val="center"/>
              <w:rPr>
                <w:rFonts w:hint="eastAsia" w:ascii="宋体" w:hAnsi="宋体" w:eastAsia="宋体" w:cs="宋体"/>
                <w:sz w:val="22"/>
                <w:szCs w:val="28"/>
                <w:highlight w:val="none"/>
              </w:rPr>
            </w:pPr>
            <w:r>
              <w:rPr>
                <w:rFonts w:hint="eastAsia" w:ascii="宋体" w:hAnsi="宋体" w:eastAsia="宋体" w:cs="宋体"/>
                <w:sz w:val="22"/>
                <w:szCs w:val="28"/>
                <w:highlight w:val="none"/>
              </w:rPr>
              <w:t>税金</w:t>
            </w:r>
          </w:p>
        </w:tc>
        <w:tc>
          <w:tcPr>
            <w:tcW w:w="803" w:type="dxa"/>
            <w:noWrap w:val="0"/>
            <w:vAlign w:val="center"/>
          </w:tcPr>
          <w:p>
            <w:pPr>
              <w:spacing w:line="360" w:lineRule="auto"/>
              <w:jc w:val="center"/>
              <w:rPr>
                <w:rFonts w:hint="eastAsia" w:ascii="宋体" w:hAnsi="宋体" w:eastAsia="宋体" w:cs="宋体"/>
                <w:sz w:val="22"/>
                <w:szCs w:val="28"/>
                <w:highlight w:val="none"/>
              </w:rPr>
            </w:pPr>
            <w:r>
              <w:rPr>
                <w:rFonts w:hint="eastAsia" w:ascii="宋体" w:hAnsi="宋体" w:eastAsia="宋体" w:cs="宋体"/>
                <w:sz w:val="22"/>
                <w:szCs w:val="28"/>
                <w:highlight w:val="none"/>
              </w:rPr>
              <w:t>管理费</w:t>
            </w:r>
          </w:p>
        </w:tc>
        <w:tc>
          <w:tcPr>
            <w:tcW w:w="901" w:type="dxa"/>
            <w:noWrap w:val="0"/>
            <w:vAlign w:val="center"/>
          </w:tcPr>
          <w:p>
            <w:pPr>
              <w:spacing w:line="360" w:lineRule="auto"/>
              <w:jc w:val="center"/>
              <w:rPr>
                <w:rFonts w:hint="eastAsia" w:ascii="宋体" w:hAnsi="宋体" w:eastAsia="宋体" w:cs="宋体"/>
                <w:sz w:val="22"/>
                <w:szCs w:val="28"/>
                <w:highlight w:val="none"/>
              </w:rPr>
            </w:pPr>
            <w:r>
              <w:rPr>
                <w:rFonts w:hint="eastAsia" w:ascii="宋体" w:hAnsi="宋体" w:eastAsia="宋体" w:cs="宋体"/>
                <w:sz w:val="22"/>
                <w:szCs w:val="28"/>
                <w:highlight w:val="none"/>
              </w:rPr>
              <w:t>其他费用</w:t>
            </w:r>
          </w:p>
        </w:tc>
        <w:tc>
          <w:tcPr>
            <w:tcW w:w="709" w:type="dxa"/>
            <w:noWrap w:val="0"/>
            <w:vAlign w:val="center"/>
          </w:tcPr>
          <w:p>
            <w:pPr>
              <w:spacing w:line="360" w:lineRule="auto"/>
              <w:jc w:val="center"/>
              <w:rPr>
                <w:rFonts w:hint="eastAsia" w:ascii="宋体" w:hAnsi="宋体" w:eastAsia="宋体" w:cs="宋体"/>
                <w:sz w:val="22"/>
                <w:szCs w:val="28"/>
                <w:highlight w:val="none"/>
              </w:rPr>
            </w:pPr>
            <w:r>
              <w:rPr>
                <w:rFonts w:hint="eastAsia" w:ascii="宋体" w:hAnsi="宋体" w:eastAsia="宋体" w:cs="宋体"/>
                <w:sz w:val="22"/>
                <w:szCs w:val="28"/>
                <w:highlight w:val="none"/>
              </w:rPr>
              <w:t>数量</w:t>
            </w:r>
          </w:p>
        </w:tc>
        <w:tc>
          <w:tcPr>
            <w:tcW w:w="883" w:type="dxa"/>
            <w:noWrap w:val="0"/>
            <w:vAlign w:val="center"/>
          </w:tcPr>
          <w:p>
            <w:pPr>
              <w:spacing w:line="360" w:lineRule="auto"/>
              <w:jc w:val="center"/>
              <w:rPr>
                <w:rFonts w:hint="eastAsia" w:ascii="宋体" w:hAnsi="宋体" w:eastAsia="宋体" w:cs="宋体"/>
                <w:sz w:val="22"/>
                <w:szCs w:val="28"/>
                <w:highlight w:val="none"/>
              </w:rPr>
            </w:pPr>
            <w:r>
              <w:rPr>
                <w:rFonts w:hint="eastAsia" w:ascii="宋体" w:hAnsi="宋体" w:eastAsia="宋体" w:cs="宋体"/>
                <w:sz w:val="22"/>
                <w:szCs w:val="28"/>
                <w:highlight w:val="none"/>
              </w:rPr>
              <w:t>合计费用（12个月）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spacing w:line="360" w:lineRule="auto"/>
              <w:rPr>
                <w:rFonts w:hint="eastAsia" w:ascii="宋体" w:hAnsi="宋体" w:eastAsia="宋体" w:cs="宋体"/>
                <w:sz w:val="22"/>
                <w:szCs w:val="28"/>
                <w:highlight w:val="none"/>
              </w:rPr>
            </w:pPr>
            <w:r>
              <w:rPr>
                <w:rFonts w:hint="eastAsia" w:ascii="宋体" w:hAnsi="宋体" w:eastAsia="宋体" w:cs="宋体"/>
                <w:sz w:val="22"/>
                <w:szCs w:val="28"/>
                <w:highlight w:val="none"/>
              </w:rPr>
              <w:t>1</w:t>
            </w:r>
          </w:p>
        </w:tc>
        <w:tc>
          <w:tcPr>
            <w:tcW w:w="1701" w:type="dxa"/>
            <w:noWrap w:val="0"/>
            <w:vAlign w:val="center"/>
          </w:tcPr>
          <w:p>
            <w:pPr>
              <w:spacing w:line="360" w:lineRule="auto"/>
              <w:rPr>
                <w:rFonts w:hint="eastAsia" w:ascii="宋体" w:hAnsi="宋体" w:eastAsia="宋体" w:cs="宋体"/>
                <w:sz w:val="22"/>
                <w:szCs w:val="28"/>
                <w:highlight w:val="none"/>
              </w:rPr>
            </w:pPr>
          </w:p>
        </w:tc>
        <w:tc>
          <w:tcPr>
            <w:tcW w:w="690"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901" w:type="dxa"/>
            <w:noWrap w:val="0"/>
            <w:vAlign w:val="center"/>
          </w:tcPr>
          <w:p>
            <w:pPr>
              <w:spacing w:line="360" w:lineRule="auto"/>
              <w:rPr>
                <w:rFonts w:hint="eastAsia" w:ascii="宋体" w:hAnsi="宋体" w:eastAsia="宋体" w:cs="宋体"/>
                <w:sz w:val="22"/>
                <w:szCs w:val="28"/>
                <w:highlight w:val="none"/>
              </w:rPr>
            </w:pPr>
          </w:p>
        </w:tc>
        <w:tc>
          <w:tcPr>
            <w:tcW w:w="709" w:type="dxa"/>
            <w:noWrap w:val="0"/>
            <w:vAlign w:val="center"/>
          </w:tcPr>
          <w:p>
            <w:pPr>
              <w:spacing w:line="360" w:lineRule="auto"/>
              <w:rPr>
                <w:rFonts w:hint="eastAsia" w:ascii="宋体" w:hAnsi="宋体" w:eastAsia="宋体" w:cs="宋体"/>
                <w:sz w:val="22"/>
                <w:szCs w:val="28"/>
                <w:highlight w:val="none"/>
              </w:rPr>
            </w:pPr>
          </w:p>
        </w:tc>
        <w:tc>
          <w:tcPr>
            <w:tcW w:w="883" w:type="dxa"/>
            <w:noWrap w:val="0"/>
            <w:vAlign w:val="center"/>
          </w:tcPr>
          <w:p>
            <w:pPr>
              <w:spacing w:line="360" w:lineRule="auto"/>
              <w:rPr>
                <w:rFonts w:hint="eastAsia" w:ascii="宋体" w:hAnsi="宋体" w:eastAsia="宋体" w:cs="宋体"/>
                <w:sz w:val="22"/>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spacing w:line="360" w:lineRule="auto"/>
              <w:rPr>
                <w:rFonts w:hint="eastAsia" w:ascii="宋体" w:hAnsi="宋体" w:eastAsia="宋体" w:cs="宋体"/>
                <w:sz w:val="22"/>
                <w:szCs w:val="28"/>
                <w:highlight w:val="none"/>
              </w:rPr>
            </w:pPr>
          </w:p>
        </w:tc>
        <w:tc>
          <w:tcPr>
            <w:tcW w:w="1701" w:type="dxa"/>
            <w:noWrap w:val="0"/>
            <w:vAlign w:val="center"/>
          </w:tcPr>
          <w:p>
            <w:pPr>
              <w:spacing w:line="360" w:lineRule="auto"/>
              <w:rPr>
                <w:rFonts w:hint="eastAsia" w:ascii="宋体" w:hAnsi="宋体" w:eastAsia="宋体" w:cs="宋体"/>
                <w:sz w:val="22"/>
                <w:szCs w:val="28"/>
                <w:highlight w:val="none"/>
              </w:rPr>
            </w:pPr>
          </w:p>
        </w:tc>
        <w:tc>
          <w:tcPr>
            <w:tcW w:w="690"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901" w:type="dxa"/>
            <w:noWrap w:val="0"/>
            <w:vAlign w:val="center"/>
          </w:tcPr>
          <w:p>
            <w:pPr>
              <w:spacing w:line="360" w:lineRule="auto"/>
              <w:rPr>
                <w:rFonts w:hint="eastAsia" w:ascii="宋体" w:hAnsi="宋体" w:eastAsia="宋体" w:cs="宋体"/>
                <w:sz w:val="22"/>
                <w:szCs w:val="28"/>
                <w:highlight w:val="none"/>
              </w:rPr>
            </w:pPr>
          </w:p>
        </w:tc>
        <w:tc>
          <w:tcPr>
            <w:tcW w:w="709" w:type="dxa"/>
            <w:noWrap w:val="0"/>
            <w:vAlign w:val="center"/>
          </w:tcPr>
          <w:p>
            <w:pPr>
              <w:spacing w:line="360" w:lineRule="auto"/>
              <w:rPr>
                <w:rFonts w:hint="eastAsia" w:ascii="宋体" w:hAnsi="宋体" w:eastAsia="宋体" w:cs="宋体"/>
                <w:sz w:val="22"/>
                <w:szCs w:val="28"/>
                <w:highlight w:val="none"/>
              </w:rPr>
            </w:pPr>
          </w:p>
        </w:tc>
        <w:tc>
          <w:tcPr>
            <w:tcW w:w="883" w:type="dxa"/>
            <w:noWrap w:val="0"/>
            <w:vAlign w:val="center"/>
          </w:tcPr>
          <w:p>
            <w:pPr>
              <w:spacing w:line="360" w:lineRule="auto"/>
              <w:rPr>
                <w:rFonts w:hint="eastAsia" w:ascii="宋体" w:hAnsi="宋体" w:eastAsia="宋体" w:cs="宋体"/>
                <w:sz w:val="22"/>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750" w:type="dxa"/>
            <w:noWrap w:val="0"/>
            <w:vAlign w:val="center"/>
          </w:tcPr>
          <w:p>
            <w:pPr>
              <w:spacing w:line="360" w:lineRule="auto"/>
              <w:rPr>
                <w:rFonts w:hint="eastAsia" w:ascii="宋体" w:hAnsi="宋体" w:eastAsia="宋体" w:cs="宋体"/>
                <w:sz w:val="22"/>
                <w:szCs w:val="28"/>
                <w:highlight w:val="none"/>
              </w:rPr>
            </w:pPr>
          </w:p>
        </w:tc>
        <w:tc>
          <w:tcPr>
            <w:tcW w:w="1701" w:type="dxa"/>
            <w:noWrap w:val="0"/>
            <w:vAlign w:val="center"/>
          </w:tcPr>
          <w:p>
            <w:pPr>
              <w:spacing w:line="360" w:lineRule="auto"/>
              <w:rPr>
                <w:rFonts w:hint="eastAsia" w:ascii="宋体" w:hAnsi="宋体" w:eastAsia="宋体" w:cs="宋体"/>
                <w:sz w:val="22"/>
                <w:szCs w:val="28"/>
                <w:highlight w:val="none"/>
              </w:rPr>
            </w:pPr>
          </w:p>
        </w:tc>
        <w:tc>
          <w:tcPr>
            <w:tcW w:w="690"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901" w:type="dxa"/>
            <w:noWrap w:val="0"/>
            <w:vAlign w:val="center"/>
          </w:tcPr>
          <w:p>
            <w:pPr>
              <w:spacing w:line="360" w:lineRule="auto"/>
              <w:rPr>
                <w:rFonts w:hint="eastAsia" w:ascii="宋体" w:hAnsi="宋体" w:eastAsia="宋体" w:cs="宋体"/>
                <w:sz w:val="22"/>
                <w:szCs w:val="28"/>
                <w:highlight w:val="none"/>
              </w:rPr>
            </w:pPr>
          </w:p>
        </w:tc>
        <w:tc>
          <w:tcPr>
            <w:tcW w:w="709" w:type="dxa"/>
            <w:noWrap w:val="0"/>
            <w:vAlign w:val="center"/>
          </w:tcPr>
          <w:p>
            <w:pPr>
              <w:spacing w:line="360" w:lineRule="auto"/>
              <w:rPr>
                <w:rFonts w:hint="eastAsia" w:ascii="宋体" w:hAnsi="宋体" w:eastAsia="宋体" w:cs="宋体"/>
                <w:sz w:val="22"/>
                <w:szCs w:val="28"/>
                <w:highlight w:val="none"/>
              </w:rPr>
            </w:pPr>
          </w:p>
        </w:tc>
        <w:tc>
          <w:tcPr>
            <w:tcW w:w="883" w:type="dxa"/>
            <w:noWrap w:val="0"/>
            <w:vAlign w:val="center"/>
          </w:tcPr>
          <w:p>
            <w:pPr>
              <w:spacing w:line="360" w:lineRule="auto"/>
              <w:rPr>
                <w:rFonts w:hint="eastAsia" w:ascii="宋体" w:hAnsi="宋体" w:eastAsia="宋体" w:cs="宋体"/>
                <w:sz w:val="22"/>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spacing w:line="360" w:lineRule="auto"/>
              <w:rPr>
                <w:rFonts w:hint="eastAsia" w:ascii="宋体" w:hAnsi="宋体" w:eastAsia="宋体" w:cs="宋体"/>
                <w:sz w:val="22"/>
                <w:szCs w:val="28"/>
                <w:highlight w:val="none"/>
              </w:rPr>
            </w:pPr>
          </w:p>
        </w:tc>
        <w:tc>
          <w:tcPr>
            <w:tcW w:w="1701" w:type="dxa"/>
            <w:noWrap w:val="0"/>
            <w:vAlign w:val="center"/>
          </w:tcPr>
          <w:p>
            <w:pPr>
              <w:spacing w:line="360" w:lineRule="auto"/>
              <w:rPr>
                <w:rFonts w:hint="eastAsia" w:ascii="宋体" w:hAnsi="宋体" w:eastAsia="宋体" w:cs="宋体"/>
                <w:sz w:val="22"/>
                <w:szCs w:val="28"/>
                <w:highlight w:val="none"/>
              </w:rPr>
            </w:pPr>
          </w:p>
        </w:tc>
        <w:tc>
          <w:tcPr>
            <w:tcW w:w="690"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901" w:type="dxa"/>
            <w:noWrap w:val="0"/>
            <w:vAlign w:val="center"/>
          </w:tcPr>
          <w:p>
            <w:pPr>
              <w:spacing w:line="360" w:lineRule="auto"/>
              <w:rPr>
                <w:rFonts w:hint="eastAsia" w:ascii="宋体" w:hAnsi="宋体" w:eastAsia="宋体" w:cs="宋体"/>
                <w:sz w:val="22"/>
                <w:szCs w:val="28"/>
                <w:highlight w:val="none"/>
              </w:rPr>
            </w:pPr>
          </w:p>
        </w:tc>
        <w:tc>
          <w:tcPr>
            <w:tcW w:w="709" w:type="dxa"/>
            <w:noWrap w:val="0"/>
            <w:vAlign w:val="center"/>
          </w:tcPr>
          <w:p>
            <w:pPr>
              <w:spacing w:line="360" w:lineRule="auto"/>
              <w:rPr>
                <w:rFonts w:hint="eastAsia" w:ascii="宋体" w:hAnsi="宋体" w:eastAsia="宋体" w:cs="宋体"/>
                <w:sz w:val="22"/>
                <w:szCs w:val="28"/>
                <w:highlight w:val="none"/>
              </w:rPr>
            </w:pPr>
          </w:p>
        </w:tc>
        <w:tc>
          <w:tcPr>
            <w:tcW w:w="883" w:type="dxa"/>
            <w:noWrap w:val="0"/>
            <w:vAlign w:val="center"/>
          </w:tcPr>
          <w:p>
            <w:pPr>
              <w:spacing w:line="360" w:lineRule="auto"/>
              <w:rPr>
                <w:rFonts w:hint="eastAsia" w:ascii="宋体" w:hAnsi="宋体" w:eastAsia="宋体" w:cs="宋体"/>
                <w:sz w:val="22"/>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spacing w:line="360" w:lineRule="auto"/>
              <w:rPr>
                <w:rFonts w:hint="eastAsia" w:ascii="宋体" w:hAnsi="宋体" w:eastAsia="宋体" w:cs="宋体"/>
                <w:sz w:val="22"/>
                <w:szCs w:val="28"/>
                <w:highlight w:val="none"/>
              </w:rPr>
            </w:pPr>
          </w:p>
        </w:tc>
        <w:tc>
          <w:tcPr>
            <w:tcW w:w="1701" w:type="dxa"/>
            <w:noWrap w:val="0"/>
            <w:vAlign w:val="center"/>
          </w:tcPr>
          <w:p>
            <w:pPr>
              <w:spacing w:line="360" w:lineRule="auto"/>
              <w:rPr>
                <w:rFonts w:hint="eastAsia" w:ascii="宋体" w:hAnsi="宋体" w:eastAsia="宋体" w:cs="宋体"/>
                <w:sz w:val="22"/>
                <w:szCs w:val="28"/>
                <w:highlight w:val="none"/>
              </w:rPr>
            </w:pPr>
          </w:p>
        </w:tc>
        <w:tc>
          <w:tcPr>
            <w:tcW w:w="690"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803" w:type="dxa"/>
            <w:noWrap w:val="0"/>
            <w:vAlign w:val="center"/>
          </w:tcPr>
          <w:p>
            <w:pPr>
              <w:spacing w:line="360" w:lineRule="auto"/>
              <w:rPr>
                <w:rFonts w:hint="eastAsia" w:ascii="宋体" w:hAnsi="宋体" w:eastAsia="宋体" w:cs="宋体"/>
                <w:sz w:val="22"/>
                <w:szCs w:val="28"/>
                <w:highlight w:val="none"/>
              </w:rPr>
            </w:pPr>
          </w:p>
        </w:tc>
        <w:tc>
          <w:tcPr>
            <w:tcW w:w="901" w:type="dxa"/>
            <w:noWrap w:val="0"/>
            <w:vAlign w:val="center"/>
          </w:tcPr>
          <w:p>
            <w:pPr>
              <w:spacing w:line="360" w:lineRule="auto"/>
              <w:rPr>
                <w:rFonts w:hint="eastAsia" w:ascii="宋体" w:hAnsi="宋体" w:eastAsia="宋体" w:cs="宋体"/>
                <w:sz w:val="22"/>
                <w:szCs w:val="28"/>
                <w:highlight w:val="none"/>
              </w:rPr>
            </w:pPr>
          </w:p>
        </w:tc>
        <w:tc>
          <w:tcPr>
            <w:tcW w:w="709" w:type="dxa"/>
            <w:noWrap w:val="0"/>
            <w:vAlign w:val="center"/>
          </w:tcPr>
          <w:p>
            <w:pPr>
              <w:spacing w:line="360" w:lineRule="auto"/>
              <w:rPr>
                <w:rFonts w:hint="eastAsia" w:ascii="宋体" w:hAnsi="宋体" w:eastAsia="宋体" w:cs="宋体"/>
                <w:sz w:val="22"/>
                <w:szCs w:val="28"/>
                <w:highlight w:val="none"/>
              </w:rPr>
            </w:pPr>
          </w:p>
        </w:tc>
        <w:tc>
          <w:tcPr>
            <w:tcW w:w="883" w:type="dxa"/>
            <w:noWrap w:val="0"/>
            <w:vAlign w:val="center"/>
          </w:tcPr>
          <w:p>
            <w:pPr>
              <w:spacing w:line="360" w:lineRule="auto"/>
              <w:rPr>
                <w:rFonts w:hint="eastAsia" w:ascii="宋体" w:hAnsi="宋体" w:eastAsia="宋体" w:cs="宋体"/>
                <w:sz w:val="22"/>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846" w:type="dxa"/>
            <w:gridSpan w:val="10"/>
            <w:noWrap w:val="0"/>
            <w:vAlign w:val="center"/>
          </w:tcPr>
          <w:p>
            <w:pPr>
              <w:tabs>
                <w:tab w:val="left" w:pos="3054"/>
              </w:tabs>
              <w:spacing w:line="360" w:lineRule="auto"/>
              <w:jc w:val="left"/>
              <w:rPr>
                <w:rFonts w:hint="eastAsia" w:ascii="宋体" w:hAnsi="宋体" w:eastAsia="宋体" w:cs="宋体"/>
                <w:sz w:val="22"/>
                <w:szCs w:val="28"/>
                <w:highlight w:val="none"/>
                <w:lang w:val="en-US" w:eastAsia="zh-CN"/>
              </w:rPr>
            </w:pPr>
            <w:r>
              <w:rPr>
                <w:rFonts w:hint="eastAsia" w:ascii="宋体" w:hAnsi="宋体" w:eastAsia="宋体" w:cs="宋体"/>
                <w:sz w:val="22"/>
                <w:szCs w:val="28"/>
                <w:highlight w:val="none"/>
                <w:lang w:eastAsia="zh-CN"/>
              </w:rPr>
              <w:t>投标总价：</w:t>
            </w:r>
            <w:r>
              <w:rPr>
                <w:rFonts w:hint="eastAsia" w:ascii="宋体" w:hAnsi="宋体" w:eastAsia="宋体" w:cs="宋体"/>
                <w:sz w:val="22"/>
                <w:szCs w:val="28"/>
                <w:highlight w:val="none"/>
                <w:lang w:val="en-US" w:eastAsia="zh-CN"/>
              </w:rPr>
              <w:t xml:space="preserve"> （大写）                                    （小写）</w:t>
            </w:r>
          </w:p>
        </w:tc>
      </w:tr>
    </w:tbl>
    <w:p>
      <w:pPr>
        <w:snapToGrid w:val="0"/>
        <w:spacing w:before="50" w:after="50" w:line="360" w:lineRule="auto"/>
        <w:rPr>
          <w:rFonts w:ascii="宋体" w:hAnsi="宋体"/>
          <w:color w:val="auto"/>
          <w:sz w:val="24"/>
          <w:highlight w:val="none"/>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6"/>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rPr>
          <w:color w:val="auto"/>
          <w:highlight w:val="none"/>
        </w:rPr>
      </w:pPr>
      <w:r>
        <w:rPr>
          <w:rFonts w:hint="eastAsia" w:hAnsi="宋体" w:cs="宋体"/>
          <w:color w:val="auto"/>
          <w:sz w:val="24"/>
          <w:highlight w:val="none"/>
        </w:rPr>
        <w:t>日期：_____年____月____日</w:t>
      </w:r>
    </w:p>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5"/>
      </w:rPr>
    </w:pPr>
    <w:r>
      <w:fldChar w:fldCharType="begin"/>
    </w:r>
    <w:r>
      <w:rPr>
        <w:rStyle w:val="75"/>
      </w:rPr>
      <w:instrText xml:space="preserve">PAGE  </w:instrText>
    </w:r>
    <w:r>
      <w:fldChar w:fldCharType="end"/>
    </w:r>
  </w:p>
  <w:p>
    <w:pPr>
      <w:pStyle w:val="4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ageBreakBefore/>
      <w:rPr>
        <w:rFonts w:ascii="仿宋_GB2312" w:eastAsia="仿宋_GB2312"/>
      </w:rPr>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ageBreakBefore/>
      <w:rPr>
        <w:rFonts w:ascii="仿宋_GB2312" w:eastAsia="仿宋_GB2312"/>
      </w:rPr>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right="360"/>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p>
    <w:pPr>
      <w:pStyle w:val="4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w:rPr>
        <w:sz w:val="18"/>
      </w:rPr>
      <w:pict>
        <v:shape id="_x0000_s4104" o:spid="_x0000_s410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w:pict>
        <v:shape id="_x0000_s4103" o:spid="_x0000_s410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tabs>
        <w:tab w:val="clear" w:pos="4153"/>
        <w:tab w:val="clear" w:pos="8306"/>
      </w:tabs>
      <w:jc w:val="both"/>
      <w:rPr>
        <w:rFonts w:ascii="仿宋_GB2312" w:eastAsia="仿宋_GB2312"/>
        <w:b/>
        <w:i/>
        <w:iCs/>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5D804704"/>
    <w:multiLevelType w:val="singleLevel"/>
    <w:tmpl w:val="5D804704"/>
    <w:lvl w:ilvl="0" w:tentative="0">
      <w:start w:val="1"/>
      <w:numFmt w:val="chineseCounting"/>
      <w:suff w:val="nothing"/>
      <w:lvlText w:val="%1、"/>
      <w:lvlJc w:val="left"/>
    </w:lvl>
  </w:abstractNum>
  <w:abstractNum w:abstractNumId="3">
    <w:nsid w:val="5D804826"/>
    <w:multiLevelType w:val="singleLevel"/>
    <w:tmpl w:val="5D804826"/>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E5NmExZmU3OGViM2YxOWQzMWVmYmMyMjQ0MDBhM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312"/>
    <w:rsid w:val="00075B15"/>
    <w:rsid w:val="00075D0E"/>
    <w:rsid w:val="00075F6A"/>
    <w:rsid w:val="00076159"/>
    <w:rsid w:val="0007616C"/>
    <w:rsid w:val="000763B5"/>
    <w:rsid w:val="000763F3"/>
    <w:rsid w:val="000766D2"/>
    <w:rsid w:val="00076801"/>
    <w:rsid w:val="00077577"/>
    <w:rsid w:val="00077607"/>
    <w:rsid w:val="00077756"/>
    <w:rsid w:val="00077B7F"/>
    <w:rsid w:val="000800CB"/>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8AB"/>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0ED"/>
    <w:rsid w:val="00173631"/>
    <w:rsid w:val="0017372D"/>
    <w:rsid w:val="00173826"/>
    <w:rsid w:val="00173C58"/>
    <w:rsid w:val="00173E59"/>
    <w:rsid w:val="001741DC"/>
    <w:rsid w:val="00174C4F"/>
    <w:rsid w:val="00174F57"/>
    <w:rsid w:val="00175078"/>
    <w:rsid w:val="001755DC"/>
    <w:rsid w:val="0017601E"/>
    <w:rsid w:val="00176AA6"/>
    <w:rsid w:val="00177063"/>
    <w:rsid w:val="001777DE"/>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2C4"/>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169"/>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F68"/>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800"/>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39C"/>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3BDF"/>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C24"/>
    <w:rsid w:val="00266DE1"/>
    <w:rsid w:val="00267A92"/>
    <w:rsid w:val="00267E43"/>
    <w:rsid w:val="00270282"/>
    <w:rsid w:val="00270780"/>
    <w:rsid w:val="00270CF6"/>
    <w:rsid w:val="00271097"/>
    <w:rsid w:val="00271C53"/>
    <w:rsid w:val="0027244F"/>
    <w:rsid w:val="00273052"/>
    <w:rsid w:val="00273574"/>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1FAF"/>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9B9"/>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108"/>
    <w:rsid w:val="002F647C"/>
    <w:rsid w:val="002F6C6B"/>
    <w:rsid w:val="002F6CB0"/>
    <w:rsid w:val="002F6EFF"/>
    <w:rsid w:val="002F7DF0"/>
    <w:rsid w:val="002F7FAF"/>
    <w:rsid w:val="00300573"/>
    <w:rsid w:val="003025FE"/>
    <w:rsid w:val="00302A27"/>
    <w:rsid w:val="00303AB6"/>
    <w:rsid w:val="00304640"/>
    <w:rsid w:val="00304AC1"/>
    <w:rsid w:val="00305090"/>
    <w:rsid w:val="00305445"/>
    <w:rsid w:val="00305454"/>
    <w:rsid w:val="00305B9F"/>
    <w:rsid w:val="00305E21"/>
    <w:rsid w:val="003066C6"/>
    <w:rsid w:val="003066FA"/>
    <w:rsid w:val="0030691D"/>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164"/>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5BF"/>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408"/>
    <w:rsid w:val="003F42FF"/>
    <w:rsid w:val="003F4B48"/>
    <w:rsid w:val="003F4DDC"/>
    <w:rsid w:val="003F56B8"/>
    <w:rsid w:val="003F5F1A"/>
    <w:rsid w:val="003F6327"/>
    <w:rsid w:val="003F7425"/>
    <w:rsid w:val="003F765B"/>
    <w:rsid w:val="003F7CB8"/>
    <w:rsid w:val="00400CB4"/>
    <w:rsid w:val="00401386"/>
    <w:rsid w:val="004013E6"/>
    <w:rsid w:val="00401E31"/>
    <w:rsid w:val="0040254B"/>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1D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BBF"/>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357"/>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6E48"/>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6A2"/>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951"/>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2EC8"/>
    <w:rsid w:val="0064330A"/>
    <w:rsid w:val="00643F89"/>
    <w:rsid w:val="00644334"/>
    <w:rsid w:val="0064487C"/>
    <w:rsid w:val="00644BED"/>
    <w:rsid w:val="00644E2E"/>
    <w:rsid w:val="00645A3A"/>
    <w:rsid w:val="00645B87"/>
    <w:rsid w:val="00645CB4"/>
    <w:rsid w:val="00646084"/>
    <w:rsid w:val="006468ED"/>
    <w:rsid w:val="00646C4C"/>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AAF"/>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313"/>
    <w:rsid w:val="006C6A51"/>
    <w:rsid w:val="006C6EBD"/>
    <w:rsid w:val="006C7341"/>
    <w:rsid w:val="006C7E04"/>
    <w:rsid w:val="006C7F79"/>
    <w:rsid w:val="006D0004"/>
    <w:rsid w:val="006D015F"/>
    <w:rsid w:val="006D060E"/>
    <w:rsid w:val="006D0681"/>
    <w:rsid w:val="006D0A80"/>
    <w:rsid w:val="006D0AE8"/>
    <w:rsid w:val="006D135C"/>
    <w:rsid w:val="006D1B78"/>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143"/>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0E8"/>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6B73"/>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9FF"/>
    <w:rsid w:val="00797D73"/>
    <w:rsid w:val="007A006C"/>
    <w:rsid w:val="007A0789"/>
    <w:rsid w:val="007A130E"/>
    <w:rsid w:val="007A18B1"/>
    <w:rsid w:val="007A1BBD"/>
    <w:rsid w:val="007A1F08"/>
    <w:rsid w:val="007A2555"/>
    <w:rsid w:val="007A25FA"/>
    <w:rsid w:val="007A2C3E"/>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8AC"/>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4FA5"/>
    <w:rsid w:val="007E53D5"/>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A41"/>
    <w:rsid w:val="008320D2"/>
    <w:rsid w:val="008321CE"/>
    <w:rsid w:val="0083257C"/>
    <w:rsid w:val="0083261B"/>
    <w:rsid w:val="00832B44"/>
    <w:rsid w:val="00832EC9"/>
    <w:rsid w:val="00833307"/>
    <w:rsid w:val="00833583"/>
    <w:rsid w:val="00833B5B"/>
    <w:rsid w:val="00833E9A"/>
    <w:rsid w:val="00834FEF"/>
    <w:rsid w:val="00836323"/>
    <w:rsid w:val="008379B6"/>
    <w:rsid w:val="00837D3D"/>
    <w:rsid w:val="00837E9B"/>
    <w:rsid w:val="008404AA"/>
    <w:rsid w:val="008406D7"/>
    <w:rsid w:val="0084074F"/>
    <w:rsid w:val="008407BA"/>
    <w:rsid w:val="00840AA3"/>
    <w:rsid w:val="00840AAC"/>
    <w:rsid w:val="0084101C"/>
    <w:rsid w:val="0084159B"/>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0DC"/>
    <w:rsid w:val="00853F7D"/>
    <w:rsid w:val="0085517F"/>
    <w:rsid w:val="0085562D"/>
    <w:rsid w:val="00855A78"/>
    <w:rsid w:val="008560E1"/>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C19"/>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6EA"/>
    <w:rsid w:val="00931AB8"/>
    <w:rsid w:val="00931C19"/>
    <w:rsid w:val="00931C63"/>
    <w:rsid w:val="00931D10"/>
    <w:rsid w:val="0093218A"/>
    <w:rsid w:val="009334CE"/>
    <w:rsid w:val="0093386D"/>
    <w:rsid w:val="00934C8E"/>
    <w:rsid w:val="00934DD7"/>
    <w:rsid w:val="00935194"/>
    <w:rsid w:val="00936935"/>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2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46F"/>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2DA"/>
    <w:rsid w:val="00A526CE"/>
    <w:rsid w:val="00A53CE6"/>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D91"/>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AB9"/>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E37"/>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1A"/>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AF"/>
    <w:rsid w:val="00B56ECA"/>
    <w:rsid w:val="00B57093"/>
    <w:rsid w:val="00B57B5D"/>
    <w:rsid w:val="00B60613"/>
    <w:rsid w:val="00B61AEC"/>
    <w:rsid w:val="00B622A8"/>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6FDB"/>
    <w:rsid w:val="00B9789D"/>
    <w:rsid w:val="00B97A4C"/>
    <w:rsid w:val="00BA050E"/>
    <w:rsid w:val="00BA1289"/>
    <w:rsid w:val="00BA14B2"/>
    <w:rsid w:val="00BA15DC"/>
    <w:rsid w:val="00BA1E2F"/>
    <w:rsid w:val="00BA1EB8"/>
    <w:rsid w:val="00BA2C82"/>
    <w:rsid w:val="00BA30F1"/>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5E6"/>
    <w:rsid w:val="00BB47A3"/>
    <w:rsid w:val="00BB481E"/>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353"/>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33"/>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0FF9"/>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32"/>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1EC9"/>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787"/>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B7C"/>
    <w:rsid w:val="00DA0175"/>
    <w:rsid w:val="00DA099C"/>
    <w:rsid w:val="00DA0F18"/>
    <w:rsid w:val="00DA2125"/>
    <w:rsid w:val="00DA21EC"/>
    <w:rsid w:val="00DA24DE"/>
    <w:rsid w:val="00DA270C"/>
    <w:rsid w:val="00DA281F"/>
    <w:rsid w:val="00DA3C5B"/>
    <w:rsid w:val="00DA3D23"/>
    <w:rsid w:val="00DA4A61"/>
    <w:rsid w:val="00DA53CC"/>
    <w:rsid w:val="00DA5AFE"/>
    <w:rsid w:val="00DA61AB"/>
    <w:rsid w:val="00DA61CD"/>
    <w:rsid w:val="00DA6EE2"/>
    <w:rsid w:val="00DA718A"/>
    <w:rsid w:val="00DA78CF"/>
    <w:rsid w:val="00DA78D5"/>
    <w:rsid w:val="00DA7A89"/>
    <w:rsid w:val="00DA7BF4"/>
    <w:rsid w:val="00DB052F"/>
    <w:rsid w:val="00DB14D3"/>
    <w:rsid w:val="00DB154B"/>
    <w:rsid w:val="00DB1969"/>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1EC"/>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239"/>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8CF"/>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2D5"/>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2E91"/>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4F85"/>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C4C9F"/>
    <w:rsid w:val="013D1A7E"/>
    <w:rsid w:val="0155173E"/>
    <w:rsid w:val="019F7441"/>
    <w:rsid w:val="01A319FB"/>
    <w:rsid w:val="01B37585"/>
    <w:rsid w:val="01D55165"/>
    <w:rsid w:val="01DF6BF8"/>
    <w:rsid w:val="01EC2C57"/>
    <w:rsid w:val="02151639"/>
    <w:rsid w:val="026B2E25"/>
    <w:rsid w:val="02824D4D"/>
    <w:rsid w:val="02C46BBB"/>
    <w:rsid w:val="02CE3442"/>
    <w:rsid w:val="02D23086"/>
    <w:rsid w:val="02DC4B10"/>
    <w:rsid w:val="02DD76CE"/>
    <w:rsid w:val="02F36323"/>
    <w:rsid w:val="02F5619C"/>
    <w:rsid w:val="0326446A"/>
    <w:rsid w:val="032D5555"/>
    <w:rsid w:val="036634D2"/>
    <w:rsid w:val="037B371D"/>
    <w:rsid w:val="037B41DE"/>
    <w:rsid w:val="03B77F2C"/>
    <w:rsid w:val="03DD35E4"/>
    <w:rsid w:val="04076900"/>
    <w:rsid w:val="041A5A3B"/>
    <w:rsid w:val="042311BA"/>
    <w:rsid w:val="042B157A"/>
    <w:rsid w:val="043164D2"/>
    <w:rsid w:val="0449709D"/>
    <w:rsid w:val="048F763B"/>
    <w:rsid w:val="049F330E"/>
    <w:rsid w:val="04AA775C"/>
    <w:rsid w:val="04AF1889"/>
    <w:rsid w:val="04CA06D2"/>
    <w:rsid w:val="04F66F48"/>
    <w:rsid w:val="05251E14"/>
    <w:rsid w:val="0533087A"/>
    <w:rsid w:val="054B2EBB"/>
    <w:rsid w:val="05541A7D"/>
    <w:rsid w:val="055D43D2"/>
    <w:rsid w:val="05A16594"/>
    <w:rsid w:val="05A7762D"/>
    <w:rsid w:val="06011897"/>
    <w:rsid w:val="060E5941"/>
    <w:rsid w:val="06110FAF"/>
    <w:rsid w:val="06493CA7"/>
    <w:rsid w:val="065A6178"/>
    <w:rsid w:val="066F1CF3"/>
    <w:rsid w:val="06930BB8"/>
    <w:rsid w:val="06DC1F3F"/>
    <w:rsid w:val="07022415"/>
    <w:rsid w:val="07245D42"/>
    <w:rsid w:val="07264C62"/>
    <w:rsid w:val="075D5951"/>
    <w:rsid w:val="077855B9"/>
    <w:rsid w:val="0779354C"/>
    <w:rsid w:val="079F6195"/>
    <w:rsid w:val="07D15156"/>
    <w:rsid w:val="08061376"/>
    <w:rsid w:val="080D354F"/>
    <w:rsid w:val="082A6473"/>
    <w:rsid w:val="08452D77"/>
    <w:rsid w:val="086401F8"/>
    <w:rsid w:val="08751CAA"/>
    <w:rsid w:val="087E4C40"/>
    <w:rsid w:val="088274F0"/>
    <w:rsid w:val="08AA4CC9"/>
    <w:rsid w:val="08D66AD6"/>
    <w:rsid w:val="08DA33A3"/>
    <w:rsid w:val="08E80F13"/>
    <w:rsid w:val="092B34F0"/>
    <w:rsid w:val="09335624"/>
    <w:rsid w:val="0944690F"/>
    <w:rsid w:val="09505E60"/>
    <w:rsid w:val="09535675"/>
    <w:rsid w:val="095D7CBE"/>
    <w:rsid w:val="095F057D"/>
    <w:rsid w:val="09642282"/>
    <w:rsid w:val="09733572"/>
    <w:rsid w:val="09772C16"/>
    <w:rsid w:val="098353B5"/>
    <w:rsid w:val="09A92330"/>
    <w:rsid w:val="09B06B87"/>
    <w:rsid w:val="09C13146"/>
    <w:rsid w:val="09E04166"/>
    <w:rsid w:val="0A022E04"/>
    <w:rsid w:val="0A1C0718"/>
    <w:rsid w:val="0A2E2D1E"/>
    <w:rsid w:val="0A3E7710"/>
    <w:rsid w:val="0A5B7E63"/>
    <w:rsid w:val="0A5C3149"/>
    <w:rsid w:val="0A8A7C8B"/>
    <w:rsid w:val="0AA374A5"/>
    <w:rsid w:val="0AA51080"/>
    <w:rsid w:val="0AAB7649"/>
    <w:rsid w:val="0ABC5606"/>
    <w:rsid w:val="0AE012BD"/>
    <w:rsid w:val="0B012ED1"/>
    <w:rsid w:val="0B2E376B"/>
    <w:rsid w:val="0B30404E"/>
    <w:rsid w:val="0B4C6C14"/>
    <w:rsid w:val="0B631A88"/>
    <w:rsid w:val="0B683D45"/>
    <w:rsid w:val="0B7F3F11"/>
    <w:rsid w:val="0B7F3FC7"/>
    <w:rsid w:val="0B884417"/>
    <w:rsid w:val="0B973B9D"/>
    <w:rsid w:val="0BDE0321"/>
    <w:rsid w:val="0BF6188C"/>
    <w:rsid w:val="0BF64210"/>
    <w:rsid w:val="0BF73C91"/>
    <w:rsid w:val="0C0E5D5C"/>
    <w:rsid w:val="0C170175"/>
    <w:rsid w:val="0C5433A9"/>
    <w:rsid w:val="0C571A41"/>
    <w:rsid w:val="0C5C1171"/>
    <w:rsid w:val="0C5E1CBC"/>
    <w:rsid w:val="0C615B50"/>
    <w:rsid w:val="0C8445DA"/>
    <w:rsid w:val="0C87121B"/>
    <w:rsid w:val="0CBA4FBD"/>
    <w:rsid w:val="0CBC43C2"/>
    <w:rsid w:val="0CC007F7"/>
    <w:rsid w:val="0CD60B29"/>
    <w:rsid w:val="0CDA49FC"/>
    <w:rsid w:val="0CFE707A"/>
    <w:rsid w:val="0D063BDA"/>
    <w:rsid w:val="0D08375F"/>
    <w:rsid w:val="0D184CFB"/>
    <w:rsid w:val="0D1E7791"/>
    <w:rsid w:val="0D4A7419"/>
    <w:rsid w:val="0D827401"/>
    <w:rsid w:val="0D84094E"/>
    <w:rsid w:val="0D8A00E9"/>
    <w:rsid w:val="0D8D589E"/>
    <w:rsid w:val="0DA01C73"/>
    <w:rsid w:val="0DD63300"/>
    <w:rsid w:val="0DF50604"/>
    <w:rsid w:val="0DF702FE"/>
    <w:rsid w:val="0E060E51"/>
    <w:rsid w:val="0E550E35"/>
    <w:rsid w:val="0E5604B2"/>
    <w:rsid w:val="0E5E6115"/>
    <w:rsid w:val="0E6D5D79"/>
    <w:rsid w:val="0E841B78"/>
    <w:rsid w:val="0E9D0089"/>
    <w:rsid w:val="0EB803EE"/>
    <w:rsid w:val="0EF94D4B"/>
    <w:rsid w:val="0F1152ED"/>
    <w:rsid w:val="0F285729"/>
    <w:rsid w:val="0F4958DC"/>
    <w:rsid w:val="0F4B0B32"/>
    <w:rsid w:val="0F515DF7"/>
    <w:rsid w:val="0F596BA8"/>
    <w:rsid w:val="0F622BA6"/>
    <w:rsid w:val="0F6248D2"/>
    <w:rsid w:val="0F693536"/>
    <w:rsid w:val="0F7554C5"/>
    <w:rsid w:val="0F7B0511"/>
    <w:rsid w:val="0F7B76D9"/>
    <w:rsid w:val="0F816ACD"/>
    <w:rsid w:val="0F9832DB"/>
    <w:rsid w:val="0FBF3FD2"/>
    <w:rsid w:val="0FBF7FF3"/>
    <w:rsid w:val="0FE73920"/>
    <w:rsid w:val="0FE73EE9"/>
    <w:rsid w:val="10043AE6"/>
    <w:rsid w:val="103F4D41"/>
    <w:rsid w:val="10646583"/>
    <w:rsid w:val="107D4B15"/>
    <w:rsid w:val="107D65A4"/>
    <w:rsid w:val="108A3C80"/>
    <w:rsid w:val="10AA73F0"/>
    <w:rsid w:val="10C26171"/>
    <w:rsid w:val="10F33360"/>
    <w:rsid w:val="10FC16EA"/>
    <w:rsid w:val="110F1D40"/>
    <w:rsid w:val="11266F33"/>
    <w:rsid w:val="1134112C"/>
    <w:rsid w:val="11507B96"/>
    <w:rsid w:val="11525A28"/>
    <w:rsid w:val="115343AE"/>
    <w:rsid w:val="118963A1"/>
    <w:rsid w:val="11C6522A"/>
    <w:rsid w:val="11DC71F8"/>
    <w:rsid w:val="11E104CC"/>
    <w:rsid w:val="11E20309"/>
    <w:rsid w:val="12255233"/>
    <w:rsid w:val="122816D4"/>
    <w:rsid w:val="12530213"/>
    <w:rsid w:val="127723A9"/>
    <w:rsid w:val="12862074"/>
    <w:rsid w:val="12883966"/>
    <w:rsid w:val="128C2C5C"/>
    <w:rsid w:val="129E45B4"/>
    <w:rsid w:val="12AA761C"/>
    <w:rsid w:val="12D81596"/>
    <w:rsid w:val="13072A44"/>
    <w:rsid w:val="130F424C"/>
    <w:rsid w:val="135F4BE2"/>
    <w:rsid w:val="139B1A0A"/>
    <w:rsid w:val="139D25C7"/>
    <w:rsid w:val="13BF3CE4"/>
    <w:rsid w:val="13E23345"/>
    <w:rsid w:val="13E34051"/>
    <w:rsid w:val="14043309"/>
    <w:rsid w:val="141008D8"/>
    <w:rsid w:val="14125FE6"/>
    <w:rsid w:val="14165B51"/>
    <w:rsid w:val="146D271E"/>
    <w:rsid w:val="148E5707"/>
    <w:rsid w:val="14982588"/>
    <w:rsid w:val="14991C55"/>
    <w:rsid w:val="149A5AD9"/>
    <w:rsid w:val="14A7619D"/>
    <w:rsid w:val="14BE3364"/>
    <w:rsid w:val="14EA71B5"/>
    <w:rsid w:val="14F06FC3"/>
    <w:rsid w:val="150536C3"/>
    <w:rsid w:val="150C1963"/>
    <w:rsid w:val="151447A0"/>
    <w:rsid w:val="154A6454"/>
    <w:rsid w:val="15762120"/>
    <w:rsid w:val="163E55E1"/>
    <w:rsid w:val="166A18FC"/>
    <w:rsid w:val="169F2681"/>
    <w:rsid w:val="16A8729C"/>
    <w:rsid w:val="16B33777"/>
    <w:rsid w:val="16BC70A7"/>
    <w:rsid w:val="16C6339E"/>
    <w:rsid w:val="16EF3B2B"/>
    <w:rsid w:val="172F2D79"/>
    <w:rsid w:val="17557BEF"/>
    <w:rsid w:val="17984446"/>
    <w:rsid w:val="17D349C1"/>
    <w:rsid w:val="1830729E"/>
    <w:rsid w:val="186E4F56"/>
    <w:rsid w:val="186E53E9"/>
    <w:rsid w:val="1870062C"/>
    <w:rsid w:val="187F5606"/>
    <w:rsid w:val="18817102"/>
    <w:rsid w:val="18830A15"/>
    <w:rsid w:val="18852B28"/>
    <w:rsid w:val="188B5321"/>
    <w:rsid w:val="18A94431"/>
    <w:rsid w:val="18AD308A"/>
    <w:rsid w:val="18C33745"/>
    <w:rsid w:val="18DF7E53"/>
    <w:rsid w:val="19137AFC"/>
    <w:rsid w:val="1963776C"/>
    <w:rsid w:val="19932372"/>
    <w:rsid w:val="199B1288"/>
    <w:rsid w:val="19A20DD5"/>
    <w:rsid w:val="19AE03F1"/>
    <w:rsid w:val="19BE1321"/>
    <w:rsid w:val="19C914F1"/>
    <w:rsid w:val="1A071A03"/>
    <w:rsid w:val="1A1F16AE"/>
    <w:rsid w:val="1A3B5C77"/>
    <w:rsid w:val="1A4062D0"/>
    <w:rsid w:val="1A984BAD"/>
    <w:rsid w:val="1AAC1FB7"/>
    <w:rsid w:val="1AB8220E"/>
    <w:rsid w:val="1AE4166C"/>
    <w:rsid w:val="1AF06CFB"/>
    <w:rsid w:val="1AF11B8D"/>
    <w:rsid w:val="1B11359C"/>
    <w:rsid w:val="1B2A271F"/>
    <w:rsid w:val="1B530544"/>
    <w:rsid w:val="1B591FEF"/>
    <w:rsid w:val="1B713184"/>
    <w:rsid w:val="1B7D5CFD"/>
    <w:rsid w:val="1BA209CF"/>
    <w:rsid w:val="1BB20793"/>
    <w:rsid w:val="1BB4777D"/>
    <w:rsid w:val="1BD75AB8"/>
    <w:rsid w:val="1C0459C2"/>
    <w:rsid w:val="1C1B3B4A"/>
    <w:rsid w:val="1C88086E"/>
    <w:rsid w:val="1D266CE1"/>
    <w:rsid w:val="1D3963AF"/>
    <w:rsid w:val="1D396C3A"/>
    <w:rsid w:val="1D6A673C"/>
    <w:rsid w:val="1D9247AE"/>
    <w:rsid w:val="1DA33CD3"/>
    <w:rsid w:val="1DB567EC"/>
    <w:rsid w:val="1DC57B03"/>
    <w:rsid w:val="1DCA47FF"/>
    <w:rsid w:val="1DF51A98"/>
    <w:rsid w:val="1DFE0D7B"/>
    <w:rsid w:val="1E3D060F"/>
    <w:rsid w:val="1E3F7D2E"/>
    <w:rsid w:val="1E4134E4"/>
    <w:rsid w:val="1E5062B3"/>
    <w:rsid w:val="1E523514"/>
    <w:rsid w:val="1E686B46"/>
    <w:rsid w:val="1E714A66"/>
    <w:rsid w:val="1E802593"/>
    <w:rsid w:val="1EA703CC"/>
    <w:rsid w:val="1EB7330C"/>
    <w:rsid w:val="1EF93289"/>
    <w:rsid w:val="1F0A0FF3"/>
    <w:rsid w:val="1F2E17AC"/>
    <w:rsid w:val="1F5771FF"/>
    <w:rsid w:val="1F745498"/>
    <w:rsid w:val="1FD75D28"/>
    <w:rsid w:val="1FE868A9"/>
    <w:rsid w:val="20034907"/>
    <w:rsid w:val="20173E4B"/>
    <w:rsid w:val="20181590"/>
    <w:rsid w:val="20380D25"/>
    <w:rsid w:val="204E48BC"/>
    <w:rsid w:val="20631369"/>
    <w:rsid w:val="207E2E19"/>
    <w:rsid w:val="208921B3"/>
    <w:rsid w:val="20973DEB"/>
    <w:rsid w:val="20B26522"/>
    <w:rsid w:val="20B44310"/>
    <w:rsid w:val="20E86114"/>
    <w:rsid w:val="211116EB"/>
    <w:rsid w:val="21431023"/>
    <w:rsid w:val="216133FC"/>
    <w:rsid w:val="2161415A"/>
    <w:rsid w:val="21BC2207"/>
    <w:rsid w:val="21D56769"/>
    <w:rsid w:val="21E52EF3"/>
    <w:rsid w:val="21FB5D7B"/>
    <w:rsid w:val="220B1C3D"/>
    <w:rsid w:val="221D1D20"/>
    <w:rsid w:val="22334A87"/>
    <w:rsid w:val="22357EE6"/>
    <w:rsid w:val="22430860"/>
    <w:rsid w:val="224654C1"/>
    <w:rsid w:val="22BE6801"/>
    <w:rsid w:val="22C26C62"/>
    <w:rsid w:val="22DF450F"/>
    <w:rsid w:val="22EC428E"/>
    <w:rsid w:val="233500BF"/>
    <w:rsid w:val="23377FF7"/>
    <w:rsid w:val="236B425F"/>
    <w:rsid w:val="23836192"/>
    <w:rsid w:val="23901F29"/>
    <w:rsid w:val="239C0061"/>
    <w:rsid w:val="23A91BB2"/>
    <w:rsid w:val="23B908A4"/>
    <w:rsid w:val="23E95BEF"/>
    <w:rsid w:val="23FD0064"/>
    <w:rsid w:val="245375B0"/>
    <w:rsid w:val="24642C0A"/>
    <w:rsid w:val="246D0A09"/>
    <w:rsid w:val="24B22173"/>
    <w:rsid w:val="24B95AD9"/>
    <w:rsid w:val="24BE24DA"/>
    <w:rsid w:val="24CF5825"/>
    <w:rsid w:val="24D34D10"/>
    <w:rsid w:val="24D663E6"/>
    <w:rsid w:val="24D77F2B"/>
    <w:rsid w:val="24DE5462"/>
    <w:rsid w:val="24E16027"/>
    <w:rsid w:val="25205589"/>
    <w:rsid w:val="25530F16"/>
    <w:rsid w:val="258B00E2"/>
    <w:rsid w:val="25A917A6"/>
    <w:rsid w:val="25BE27CC"/>
    <w:rsid w:val="25F74A5C"/>
    <w:rsid w:val="261C6242"/>
    <w:rsid w:val="2628662C"/>
    <w:rsid w:val="262D45DE"/>
    <w:rsid w:val="264A0EBF"/>
    <w:rsid w:val="264A61BF"/>
    <w:rsid w:val="2662090A"/>
    <w:rsid w:val="26A53EF9"/>
    <w:rsid w:val="26A94201"/>
    <w:rsid w:val="26AC274F"/>
    <w:rsid w:val="27044A29"/>
    <w:rsid w:val="27056071"/>
    <w:rsid w:val="2708260B"/>
    <w:rsid w:val="271D34C8"/>
    <w:rsid w:val="275029D6"/>
    <w:rsid w:val="276142BF"/>
    <w:rsid w:val="27783712"/>
    <w:rsid w:val="27907362"/>
    <w:rsid w:val="27B41A90"/>
    <w:rsid w:val="27E965F8"/>
    <w:rsid w:val="27EE00B2"/>
    <w:rsid w:val="28333E1D"/>
    <w:rsid w:val="283C6C0F"/>
    <w:rsid w:val="28454BD6"/>
    <w:rsid w:val="28455253"/>
    <w:rsid w:val="28527841"/>
    <w:rsid w:val="28551971"/>
    <w:rsid w:val="285B1C53"/>
    <w:rsid w:val="287750D2"/>
    <w:rsid w:val="2895356C"/>
    <w:rsid w:val="289F7086"/>
    <w:rsid w:val="28C32028"/>
    <w:rsid w:val="28CC490F"/>
    <w:rsid w:val="28DE40AA"/>
    <w:rsid w:val="291D5E98"/>
    <w:rsid w:val="29345E77"/>
    <w:rsid w:val="294B0DAC"/>
    <w:rsid w:val="294C65AD"/>
    <w:rsid w:val="29806583"/>
    <w:rsid w:val="298B3C4C"/>
    <w:rsid w:val="29A61752"/>
    <w:rsid w:val="29BC17BF"/>
    <w:rsid w:val="29ED5BA4"/>
    <w:rsid w:val="29F26D24"/>
    <w:rsid w:val="2A15033F"/>
    <w:rsid w:val="2A1662C1"/>
    <w:rsid w:val="2A18617C"/>
    <w:rsid w:val="2A1C7367"/>
    <w:rsid w:val="2A2815FA"/>
    <w:rsid w:val="2A6D6092"/>
    <w:rsid w:val="2A7204D1"/>
    <w:rsid w:val="2A7711EF"/>
    <w:rsid w:val="2A7D76B4"/>
    <w:rsid w:val="2B437463"/>
    <w:rsid w:val="2B751F10"/>
    <w:rsid w:val="2B7807EE"/>
    <w:rsid w:val="2B945009"/>
    <w:rsid w:val="2BBF00EC"/>
    <w:rsid w:val="2BC37CFD"/>
    <w:rsid w:val="2BC902B3"/>
    <w:rsid w:val="2BD12DED"/>
    <w:rsid w:val="2BD5237F"/>
    <w:rsid w:val="2BE536CE"/>
    <w:rsid w:val="2BE53806"/>
    <w:rsid w:val="2BE758D9"/>
    <w:rsid w:val="2BE772F2"/>
    <w:rsid w:val="2C09049E"/>
    <w:rsid w:val="2C0A653C"/>
    <w:rsid w:val="2C191F85"/>
    <w:rsid w:val="2C4712C3"/>
    <w:rsid w:val="2C5646F4"/>
    <w:rsid w:val="2C874F6F"/>
    <w:rsid w:val="2CA32A1F"/>
    <w:rsid w:val="2CE82D6F"/>
    <w:rsid w:val="2D115742"/>
    <w:rsid w:val="2D343236"/>
    <w:rsid w:val="2D5C086B"/>
    <w:rsid w:val="2D823314"/>
    <w:rsid w:val="2D9078D1"/>
    <w:rsid w:val="2D9214E0"/>
    <w:rsid w:val="2DD15014"/>
    <w:rsid w:val="2DF50400"/>
    <w:rsid w:val="2DF72DE4"/>
    <w:rsid w:val="2E0220AF"/>
    <w:rsid w:val="2E0E6DB8"/>
    <w:rsid w:val="2E3A0AC8"/>
    <w:rsid w:val="2E455766"/>
    <w:rsid w:val="2E4B082A"/>
    <w:rsid w:val="2E5D4E86"/>
    <w:rsid w:val="2E5D790B"/>
    <w:rsid w:val="2E9A3C18"/>
    <w:rsid w:val="2EBB0FEE"/>
    <w:rsid w:val="2EC22DD3"/>
    <w:rsid w:val="2EC63002"/>
    <w:rsid w:val="2EE364E6"/>
    <w:rsid w:val="2EF73856"/>
    <w:rsid w:val="2EFD2AE1"/>
    <w:rsid w:val="2F0A6B38"/>
    <w:rsid w:val="2F3B2DD2"/>
    <w:rsid w:val="2F6F7335"/>
    <w:rsid w:val="2F93773A"/>
    <w:rsid w:val="2F946CCB"/>
    <w:rsid w:val="2FC50513"/>
    <w:rsid w:val="2FD25781"/>
    <w:rsid w:val="2FDB0057"/>
    <w:rsid w:val="2FDC2C0E"/>
    <w:rsid w:val="2FFD5044"/>
    <w:rsid w:val="2FFD7934"/>
    <w:rsid w:val="30733ACD"/>
    <w:rsid w:val="3075311F"/>
    <w:rsid w:val="308C3862"/>
    <w:rsid w:val="309379D8"/>
    <w:rsid w:val="30942ED7"/>
    <w:rsid w:val="30A270F7"/>
    <w:rsid w:val="30DF1478"/>
    <w:rsid w:val="30EC586F"/>
    <w:rsid w:val="311213ED"/>
    <w:rsid w:val="31294542"/>
    <w:rsid w:val="31392E33"/>
    <w:rsid w:val="319C6071"/>
    <w:rsid w:val="31A863E0"/>
    <w:rsid w:val="31AC537E"/>
    <w:rsid w:val="31E3679B"/>
    <w:rsid w:val="31E732FD"/>
    <w:rsid w:val="32162851"/>
    <w:rsid w:val="32517576"/>
    <w:rsid w:val="32970153"/>
    <w:rsid w:val="32BE5C2C"/>
    <w:rsid w:val="32ED07A3"/>
    <w:rsid w:val="32FB6478"/>
    <w:rsid w:val="330E2F43"/>
    <w:rsid w:val="33263B3F"/>
    <w:rsid w:val="336963EB"/>
    <w:rsid w:val="33816EEB"/>
    <w:rsid w:val="33854E0E"/>
    <w:rsid w:val="338F52EF"/>
    <w:rsid w:val="33C85258"/>
    <w:rsid w:val="33EB55CD"/>
    <w:rsid w:val="33EC4C02"/>
    <w:rsid w:val="340D2360"/>
    <w:rsid w:val="3410665D"/>
    <w:rsid w:val="34211214"/>
    <w:rsid w:val="342E63AB"/>
    <w:rsid w:val="34711E4F"/>
    <w:rsid w:val="34915D87"/>
    <w:rsid w:val="34950E68"/>
    <w:rsid w:val="34986E94"/>
    <w:rsid w:val="34AF62C9"/>
    <w:rsid w:val="34CB4388"/>
    <w:rsid w:val="34FA6E12"/>
    <w:rsid w:val="34FE01D5"/>
    <w:rsid w:val="35397FFA"/>
    <w:rsid w:val="35772B1A"/>
    <w:rsid w:val="358D5588"/>
    <w:rsid w:val="35C05806"/>
    <w:rsid w:val="35C42453"/>
    <w:rsid w:val="361B3215"/>
    <w:rsid w:val="363A3B40"/>
    <w:rsid w:val="365302AE"/>
    <w:rsid w:val="36607A0A"/>
    <w:rsid w:val="366529DF"/>
    <w:rsid w:val="366E227C"/>
    <w:rsid w:val="366F2E0D"/>
    <w:rsid w:val="36735F09"/>
    <w:rsid w:val="367B6A5C"/>
    <w:rsid w:val="36A52284"/>
    <w:rsid w:val="36A74ADA"/>
    <w:rsid w:val="36AD60D5"/>
    <w:rsid w:val="36B224F9"/>
    <w:rsid w:val="36C3116B"/>
    <w:rsid w:val="36EC0CC9"/>
    <w:rsid w:val="3734210D"/>
    <w:rsid w:val="373F410B"/>
    <w:rsid w:val="37EE7094"/>
    <w:rsid w:val="38296C89"/>
    <w:rsid w:val="383002EB"/>
    <w:rsid w:val="38586797"/>
    <w:rsid w:val="38797966"/>
    <w:rsid w:val="387D48E7"/>
    <w:rsid w:val="388243AC"/>
    <w:rsid w:val="38855EC9"/>
    <w:rsid w:val="388801F5"/>
    <w:rsid w:val="388D77A1"/>
    <w:rsid w:val="3894610C"/>
    <w:rsid w:val="38B113F5"/>
    <w:rsid w:val="38BC0149"/>
    <w:rsid w:val="38D87D1C"/>
    <w:rsid w:val="38E22CFA"/>
    <w:rsid w:val="39165BBB"/>
    <w:rsid w:val="39565BF3"/>
    <w:rsid w:val="39636459"/>
    <w:rsid w:val="396B7F6C"/>
    <w:rsid w:val="39AC0A66"/>
    <w:rsid w:val="39B417A9"/>
    <w:rsid w:val="39F94929"/>
    <w:rsid w:val="39FC5695"/>
    <w:rsid w:val="3A006D8E"/>
    <w:rsid w:val="3A206388"/>
    <w:rsid w:val="3A3651E5"/>
    <w:rsid w:val="3A6B67E3"/>
    <w:rsid w:val="3A744481"/>
    <w:rsid w:val="3A8C7BEF"/>
    <w:rsid w:val="3A906246"/>
    <w:rsid w:val="3AA83519"/>
    <w:rsid w:val="3AE004A0"/>
    <w:rsid w:val="3B2349B7"/>
    <w:rsid w:val="3B3C7E67"/>
    <w:rsid w:val="3B3FC59C"/>
    <w:rsid w:val="3B616CFF"/>
    <w:rsid w:val="3B6259F6"/>
    <w:rsid w:val="3B720C0D"/>
    <w:rsid w:val="3B976654"/>
    <w:rsid w:val="3BAF42E8"/>
    <w:rsid w:val="3BB6355F"/>
    <w:rsid w:val="3BC01EFC"/>
    <w:rsid w:val="3BCA786A"/>
    <w:rsid w:val="3BD31E2F"/>
    <w:rsid w:val="3BF15831"/>
    <w:rsid w:val="3C105946"/>
    <w:rsid w:val="3C471448"/>
    <w:rsid w:val="3C5F759A"/>
    <w:rsid w:val="3C62784F"/>
    <w:rsid w:val="3C6C525A"/>
    <w:rsid w:val="3CAD649B"/>
    <w:rsid w:val="3CC33275"/>
    <w:rsid w:val="3CC34D87"/>
    <w:rsid w:val="3CCB5CFD"/>
    <w:rsid w:val="3CCE23CB"/>
    <w:rsid w:val="3CD17D17"/>
    <w:rsid w:val="3CE90B95"/>
    <w:rsid w:val="3D095B46"/>
    <w:rsid w:val="3D0C108D"/>
    <w:rsid w:val="3D130D7B"/>
    <w:rsid w:val="3D380D30"/>
    <w:rsid w:val="3D3C7F39"/>
    <w:rsid w:val="3D440F09"/>
    <w:rsid w:val="3D4504A0"/>
    <w:rsid w:val="3D6F6425"/>
    <w:rsid w:val="3D8734BB"/>
    <w:rsid w:val="3D9A11D4"/>
    <w:rsid w:val="3DA16D89"/>
    <w:rsid w:val="3DA364BE"/>
    <w:rsid w:val="3DDB7149"/>
    <w:rsid w:val="3DE041CB"/>
    <w:rsid w:val="3E0D48F6"/>
    <w:rsid w:val="3E1868B4"/>
    <w:rsid w:val="3E377251"/>
    <w:rsid w:val="3E42664B"/>
    <w:rsid w:val="3E4B4F87"/>
    <w:rsid w:val="3E5661DC"/>
    <w:rsid w:val="3E5A7334"/>
    <w:rsid w:val="3E7B5D6B"/>
    <w:rsid w:val="3E843E66"/>
    <w:rsid w:val="3E8F51FE"/>
    <w:rsid w:val="3E926F87"/>
    <w:rsid w:val="3E9A59DE"/>
    <w:rsid w:val="3EAF4836"/>
    <w:rsid w:val="3EC33DFA"/>
    <w:rsid w:val="3EC84D62"/>
    <w:rsid w:val="3ED045C8"/>
    <w:rsid w:val="3EE85404"/>
    <w:rsid w:val="3F060E16"/>
    <w:rsid w:val="3F173D18"/>
    <w:rsid w:val="3F1C4A39"/>
    <w:rsid w:val="3F1D1096"/>
    <w:rsid w:val="3F2F0234"/>
    <w:rsid w:val="3F485DF7"/>
    <w:rsid w:val="3F6363FE"/>
    <w:rsid w:val="3F756B8F"/>
    <w:rsid w:val="3F8F60F8"/>
    <w:rsid w:val="3F95482B"/>
    <w:rsid w:val="3FA46AC7"/>
    <w:rsid w:val="3FA57E6B"/>
    <w:rsid w:val="3FBA4D6C"/>
    <w:rsid w:val="4019356B"/>
    <w:rsid w:val="40275AB8"/>
    <w:rsid w:val="4046605F"/>
    <w:rsid w:val="40592157"/>
    <w:rsid w:val="40674A44"/>
    <w:rsid w:val="406E1CAE"/>
    <w:rsid w:val="40764AFE"/>
    <w:rsid w:val="407A39D5"/>
    <w:rsid w:val="40817E61"/>
    <w:rsid w:val="40A0133A"/>
    <w:rsid w:val="40C31A53"/>
    <w:rsid w:val="40FF545D"/>
    <w:rsid w:val="410067C8"/>
    <w:rsid w:val="41193901"/>
    <w:rsid w:val="41836C1F"/>
    <w:rsid w:val="418F0D2A"/>
    <w:rsid w:val="419929E5"/>
    <w:rsid w:val="41D01505"/>
    <w:rsid w:val="41E9396D"/>
    <w:rsid w:val="42474939"/>
    <w:rsid w:val="424C3C57"/>
    <w:rsid w:val="42613FF3"/>
    <w:rsid w:val="42654F91"/>
    <w:rsid w:val="42660D96"/>
    <w:rsid w:val="428667D2"/>
    <w:rsid w:val="429A368A"/>
    <w:rsid w:val="42CD1CE0"/>
    <w:rsid w:val="42E1381E"/>
    <w:rsid w:val="42ED6459"/>
    <w:rsid w:val="42F16C31"/>
    <w:rsid w:val="42FE58DD"/>
    <w:rsid w:val="43004C12"/>
    <w:rsid w:val="43174B3D"/>
    <w:rsid w:val="431C3DDE"/>
    <w:rsid w:val="43354997"/>
    <w:rsid w:val="434B790E"/>
    <w:rsid w:val="4360274F"/>
    <w:rsid w:val="43977AB6"/>
    <w:rsid w:val="43A3342B"/>
    <w:rsid w:val="43C77C27"/>
    <w:rsid w:val="43DE09EE"/>
    <w:rsid w:val="44002FAD"/>
    <w:rsid w:val="44657104"/>
    <w:rsid w:val="449101DD"/>
    <w:rsid w:val="44BA722D"/>
    <w:rsid w:val="44DE1391"/>
    <w:rsid w:val="44F96CD2"/>
    <w:rsid w:val="45106B70"/>
    <w:rsid w:val="451B225C"/>
    <w:rsid w:val="452410C9"/>
    <w:rsid w:val="45317DFB"/>
    <w:rsid w:val="456D3CE4"/>
    <w:rsid w:val="4579042C"/>
    <w:rsid w:val="457F0571"/>
    <w:rsid w:val="45851176"/>
    <w:rsid w:val="45883496"/>
    <w:rsid w:val="45C63B94"/>
    <w:rsid w:val="45D74E30"/>
    <w:rsid w:val="460A332B"/>
    <w:rsid w:val="460E7DA5"/>
    <w:rsid w:val="46402205"/>
    <w:rsid w:val="46422483"/>
    <w:rsid w:val="4659254A"/>
    <w:rsid w:val="465B0637"/>
    <w:rsid w:val="465E3F0D"/>
    <w:rsid w:val="466A16E6"/>
    <w:rsid w:val="466A3861"/>
    <w:rsid w:val="467B69ED"/>
    <w:rsid w:val="46893F2B"/>
    <w:rsid w:val="46C4686E"/>
    <w:rsid w:val="46D2790F"/>
    <w:rsid w:val="46D85D5E"/>
    <w:rsid w:val="46DA136D"/>
    <w:rsid w:val="477B778F"/>
    <w:rsid w:val="477F61D9"/>
    <w:rsid w:val="478203EC"/>
    <w:rsid w:val="47B025FA"/>
    <w:rsid w:val="47FE483C"/>
    <w:rsid w:val="4809698F"/>
    <w:rsid w:val="4811697D"/>
    <w:rsid w:val="487A3E25"/>
    <w:rsid w:val="488B5503"/>
    <w:rsid w:val="48937E21"/>
    <w:rsid w:val="489A0361"/>
    <w:rsid w:val="48AD6A8D"/>
    <w:rsid w:val="48B94FF3"/>
    <w:rsid w:val="48E37AAB"/>
    <w:rsid w:val="48FD4B4C"/>
    <w:rsid w:val="49061243"/>
    <w:rsid w:val="490A68E0"/>
    <w:rsid w:val="491055FE"/>
    <w:rsid w:val="495A44E3"/>
    <w:rsid w:val="495F5B3E"/>
    <w:rsid w:val="496D7CED"/>
    <w:rsid w:val="496F77D7"/>
    <w:rsid w:val="497654FD"/>
    <w:rsid w:val="49B64211"/>
    <w:rsid w:val="49F6167F"/>
    <w:rsid w:val="4A064FA0"/>
    <w:rsid w:val="4A0909A1"/>
    <w:rsid w:val="4A16615C"/>
    <w:rsid w:val="4A4424D7"/>
    <w:rsid w:val="4A5939C6"/>
    <w:rsid w:val="4AB82D0F"/>
    <w:rsid w:val="4ABB17CB"/>
    <w:rsid w:val="4AEB7664"/>
    <w:rsid w:val="4AFD7C19"/>
    <w:rsid w:val="4B0567D1"/>
    <w:rsid w:val="4B1C363A"/>
    <w:rsid w:val="4B236AAE"/>
    <w:rsid w:val="4B707271"/>
    <w:rsid w:val="4B9739F7"/>
    <w:rsid w:val="4BEE2503"/>
    <w:rsid w:val="4BEF5BF8"/>
    <w:rsid w:val="4C245A30"/>
    <w:rsid w:val="4C503B9A"/>
    <w:rsid w:val="4C736329"/>
    <w:rsid w:val="4C77015F"/>
    <w:rsid w:val="4C7C718B"/>
    <w:rsid w:val="4C9A4AA6"/>
    <w:rsid w:val="4CAD4F46"/>
    <w:rsid w:val="4CB6685F"/>
    <w:rsid w:val="4CC367FE"/>
    <w:rsid w:val="4CD670E4"/>
    <w:rsid w:val="4D077F3C"/>
    <w:rsid w:val="4D123355"/>
    <w:rsid w:val="4D2A3B31"/>
    <w:rsid w:val="4D312C52"/>
    <w:rsid w:val="4D73233C"/>
    <w:rsid w:val="4D844549"/>
    <w:rsid w:val="4D905305"/>
    <w:rsid w:val="4D964A72"/>
    <w:rsid w:val="4D9C1254"/>
    <w:rsid w:val="4DC36632"/>
    <w:rsid w:val="4DF55F07"/>
    <w:rsid w:val="4DFC0584"/>
    <w:rsid w:val="4E6544E7"/>
    <w:rsid w:val="4E793892"/>
    <w:rsid w:val="4E800872"/>
    <w:rsid w:val="4EB63AF8"/>
    <w:rsid w:val="4EC569ED"/>
    <w:rsid w:val="4ED50EA1"/>
    <w:rsid w:val="4EDF24BE"/>
    <w:rsid w:val="4EE259CC"/>
    <w:rsid w:val="4EEC050C"/>
    <w:rsid w:val="4F104EC3"/>
    <w:rsid w:val="4F2C625F"/>
    <w:rsid w:val="4F47354A"/>
    <w:rsid w:val="4F710CA8"/>
    <w:rsid w:val="4F911C54"/>
    <w:rsid w:val="4FD45CB9"/>
    <w:rsid w:val="4FE625E0"/>
    <w:rsid w:val="4FE94F10"/>
    <w:rsid w:val="5021480F"/>
    <w:rsid w:val="502D0EC8"/>
    <w:rsid w:val="505A2E5A"/>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0E2446"/>
    <w:rsid w:val="522E4CC3"/>
    <w:rsid w:val="5244713B"/>
    <w:rsid w:val="52615633"/>
    <w:rsid w:val="52977FD4"/>
    <w:rsid w:val="52A25790"/>
    <w:rsid w:val="52A96B6F"/>
    <w:rsid w:val="52B45975"/>
    <w:rsid w:val="52D94AA4"/>
    <w:rsid w:val="52EA3A62"/>
    <w:rsid w:val="52F50BB8"/>
    <w:rsid w:val="53097272"/>
    <w:rsid w:val="53395B77"/>
    <w:rsid w:val="53513CED"/>
    <w:rsid w:val="53544462"/>
    <w:rsid w:val="53554555"/>
    <w:rsid w:val="53946913"/>
    <w:rsid w:val="5397158E"/>
    <w:rsid w:val="53AB34E5"/>
    <w:rsid w:val="53CC11E3"/>
    <w:rsid w:val="53EF7A35"/>
    <w:rsid w:val="54013861"/>
    <w:rsid w:val="54487265"/>
    <w:rsid w:val="544D6070"/>
    <w:rsid w:val="54605E1E"/>
    <w:rsid w:val="54A169A9"/>
    <w:rsid w:val="54B3506A"/>
    <w:rsid w:val="54B4570E"/>
    <w:rsid w:val="54CA0D16"/>
    <w:rsid w:val="54DD4057"/>
    <w:rsid w:val="54E7490F"/>
    <w:rsid w:val="54F47F43"/>
    <w:rsid w:val="550764A4"/>
    <w:rsid w:val="550B2BF6"/>
    <w:rsid w:val="55214EB5"/>
    <w:rsid w:val="55364EFD"/>
    <w:rsid w:val="555D4828"/>
    <w:rsid w:val="557A4C8B"/>
    <w:rsid w:val="558931E1"/>
    <w:rsid w:val="55923347"/>
    <w:rsid w:val="55925180"/>
    <w:rsid w:val="55983B1B"/>
    <w:rsid w:val="55A8376B"/>
    <w:rsid w:val="55DC29B6"/>
    <w:rsid w:val="55DD4241"/>
    <w:rsid w:val="560862DF"/>
    <w:rsid w:val="566B6D1E"/>
    <w:rsid w:val="569F6AC7"/>
    <w:rsid w:val="57032A2C"/>
    <w:rsid w:val="570F5219"/>
    <w:rsid w:val="575D12B5"/>
    <w:rsid w:val="57610A87"/>
    <w:rsid w:val="5772374D"/>
    <w:rsid w:val="577B1140"/>
    <w:rsid w:val="577B7F21"/>
    <w:rsid w:val="577F181B"/>
    <w:rsid w:val="57921984"/>
    <w:rsid w:val="579737F0"/>
    <w:rsid w:val="57AB7B30"/>
    <w:rsid w:val="57AF5251"/>
    <w:rsid w:val="57B26373"/>
    <w:rsid w:val="57B63F04"/>
    <w:rsid w:val="57CD20C2"/>
    <w:rsid w:val="57D675AB"/>
    <w:rsid w:val="57D95FDD"/>
    <w:rsid w:val="57EA58F1"/>
    <w:rsid w:val="584A29BD"/>
    <w:rsid w:val="58917D2F"/>
    <w:rsid w:val="5894085C"/>
    <w:rsid w:val="58AE4F0C"/>
    <w:rsid w:val="58B85899"/>
    <w:rsid w:val="58E363A9"/>
    <w:rsid w:val="590E29AC"/>
    <w:rsid w:val="595E1678"/>
    <w:rsid w:val="596D5BD4"/>
    <w:rsid w:val="597E3DD8"/>
    <w:rsid w:val="59A269BC"/>
    <w:rsid w:val="59D634DF"/>
    <w:rsid w:val="59F80043"/>
    <w:rsid w:val="5A0904C1"/>
    <w:rsid w:val="5A09252F"/>
    <w:rsid w:val="5A0B2778"/>
    <w:rsid w:val="5A133E67"/>
    <w:rsid w:val="5A2A7C7B"/>
    <w:rsid w:val="5A3E2560"/>
    <w:rsid w:val="5A5D3B6E"/>
    <w:rsid w:val="5A637A76"/>
    <w:rsid w:val="5A6D33BA"/>
    <w:rsid w:val="5A792B1F"/>
    <w:rsid w:val="5A7D5519"/>
    <w:rsid w:val="5A874767"/>
    <w:rsid w:val="5A8C7BCC"/>
    <w:rsid w:val="5A8D7133"/>
    <w:rsid w:val="5A944CE3"/>
    <w:rsid w:val="5AAD6F28"/>
    <w:rsid w:val="5AD63A24"/>
    <w:rsid w:val="5AEA5EB6"/>
    <w:rsid w:val="5AEA62E5"/>
    <w:rsid w:val="5AFF3461"/>
    <w:rsid w:val="5B1511F3"/>
    <w:rsid w:val="5B167F88"/>
    <w:rsid w:val="5B2E1A1D"/>
    <w:rsid w:val="5B317CC1"/>
    <w:rsid w:val="5B6B0A58"/>
    <w:rsid w:val="5B843A1C"/>
    <w:rsid w:val="5B873E3F"/>
    <w:rsid w:val="5B897053"/>
    <w:rsid w:val="5BA83A02"/>
    <w:rsid w:val="5C02690E"/>
    <w:rsid w:val="5C196DA7"/>
    <w:rsid w:val="5C1D0043"/>
    <w:rsid w:val="5C2A048C"/>
    <w:rsid w:val="5C80234E"/>
    <w:rsid w:val="5C8A680C"/>
    <w:rsid w:val="5CA644DC"/>
    <w:rsid w:val="5CE01922"/>
    <w:rsid w:val="5D0C4701"/>
    <w:rsid w:val="5D0F0395"/>
    <w:rsid w:val="5D221076"/>
    <w:rsid w:val="5D397964"/>
    <w:rsid w:val="5D5A391C"/>
    <w:rsid w:val="5D5F10C0"/>
    <w:rsid w:val="5D891B7B"/>
    <w:rsid w:val="5DA35AD2"/>
    <w:rsid w:val="5DAA5DD8"/>
    <w:rsid w:val="5DAD38EE"/>
    <w:rsid w:val="5DCE5EE9"/>
    <w:rsid w:val="5E006862"/>
    <w:rsid w:val="5E0207B9"/>
    <w:rsid w:val="5E0B0AD6"/>
    <w:rsid w:val="5E176F9E"/>
    <w:rsid w:val="5E1834A1"/>
    <w:rsid w:val="5E261785"/>
    <w:rsid w:val="5E4A7017"/>
    <w:rsid w:val="5E4F2952"/>
    <w:rsid w:val="5E552BBA"/>
    <w:rsid w:val="5E610D01"/>
    <w:rsid w:val="5E611C10"/>
    <w:rsid w:val="5E655CD1"/>
    <w:rsid w:val="5EA31D4C"/>
    <w:rsid w:val="5EFC7377"/>
    <w:rsid w:val="5F06174D"/>
    <w:rsid w:val="5F3A3602"/>
    <w:rsid w:val="5F6277C6"/>
    <w:rsid w:val="5F6D0B1D"/>
    <w:rsid w:val="5F6FF5AD"/>
    <w:rsid w:val="5F8D0B82"/>
    <w:rsid w:val="5FAC7CA9"/>
    <w:rsid w:val="5FBC4C67"/>
    <w:rsid w:val="5FCC5339"/>
    <w:rsid w:val="5FE34A5B"/>
    <w:rsid w:val="5FFE1E36"/>
    <w:rsid w:val="600502B2"/>
    <w:rsid w:val="60232584"/>
    <w:rsid w:val="602C4E9D"/>
    <w:rsid w:val="6060009F"/>
    <w:rsid w:val="607330CE"/>
    <w:rsid w:val="60825176"/>
    <w:rsid w:val="609F2AC4"/>
    <w:rsid w:val="60ED3E90"/>
    <w:rsid w:val="60FA2EE8"/>
    <w:rsid w:val="61054A27"/>
    <w:rsid w:val="610A52BC"/>
    <w:rsid w:val="611D2366"/>
    <w:rsid w:val="61401BAF"/>
    <w:rsid w:val="61421856"/>
    <w:rsid w:val="614F0BA7"/>
    <w:rsid w:val="615227C4"/>
    <w:rsid w:val="615F4C5A"/>
    <w:rsid w:val="61654E3F"/>
    <w:rsid w:val="61721216"/>
    <w:rsid w:val="6182292A"/>
    <w:rsid w:val="618D5C6B"/>
    <w:rsid w:val="619F7F92"/>
    <w:rsid w:val="61B60EF8"/>
    <w:rsid w:val="61F94C26"/>
    <w:rsid w:val="62000E56"/>
    <w:rsid w:val="620A1913"/>
    <w:rsid w:val="62330149"/>
    <w:rsid w:val="624E346D"/>
    <w:rsid w:val="624F3E49"/>
    <w:rsid w:val="62632286"/>
    <w:rsid w:val="62885958"/>
    <w:rsid w:val="628E759D"/>
    <w:rsid w:val="62B674A5"/>
    <w:rsid w:val="62F40B65"/>
    <w:rsid w:val="62FC2CFE"/>
    <w:rsid w:val="63024505"/>
    <w:rsid w:val="632C6FB1"/>
    <w:rsid w:val="633D721D"/>
    <w:rsid w:val="635B1DB5"/>
    <w:rsid w:val="636B0439"/>
    <w:rsid w:val="63711FED"/>
    <w:rsid w:val="63880DDC"/>
    <w:rsid w:val="638D750D"/>
    <w:rsid w:val="63AC6CC0"/>
    <w:rsid w:val="63D066D2"/>
    <w:rsid w:val="64055776"/>
    <w:rsid w:val="640C0875"/>
    <w:rsid w:val="64240056"/>
    <w:rsid w:val="643E143A"/>
    <w:rsid w:val="646C4E42"/>
    <w:rsid w:val="648B6EEF"/>
    <w:rsid w:val="648C1B70"/>
    <w:rsid w:val="64C158BF"/>
    <w:rsid w:val="64C27B00"/>
    <w:rsid w:val="64CE2EAA"/>
    <w:rsid w:val="64D66A7C"/>
    <w:rsid w:val="653C3090"/>
    <w:rsid w:val="65405CCA"/>
    <w:rsid w:val="654A7E87"/>
    <w:rsid w:val="655A3BEA"/>
    <w:rsid w:val="65854376"/>
    <w:rsid w:val="658767BE"/>
    <w:rsid w:val="65892531"/>
    <w:rsid w:val="65BA52F7"/>
    <w:rsid w:val="66097CE7"/>
    <w:rsid w:val="66195831"/>
    <w:rsid w:val="662B5A52"/>
    <w:rsid w:val="662D6DA8"/>
    <w:rsid w:val="662E75B1"/>
    <w:rsid w:val="66342C2E"/>
    <w:rsid w:val="663E784C"/>
    <w:rsid w:val="667A09B7"/>
    <w:rsid w:val="668B6A45"/>
    <w:rsid w:val="66A45BDC"/>
    <w:rsid w:val="66C74351"/>
    <w:rsid w:val="672F3F24"/>
    <w:rsid w:val="673E055F"/>
    <w:rsid w:val="67551CE3"/>
    <w:rsid w:val="67837EB7"/>
    <w:rsid w:val="679413D5"/>
    <w:rsid w:val="679B2025"/>
    <w:rsid w:val="67A22552"/>
    <w:rsid w:val="67B22DCC"/>
    <w:rsid w:val="67BE71AA"/>
    <w:rsid w:val="67D90273"/>
    <w:rsid w:val="67DE5875"/>
    <w:rsid w:val="67E55852"/>
    <w:rsid w:val="67EB1AB4"/>
    <w:rsid w:val="67FA1285"/>
    <w:rsid w:val="68134F6C"/>
    <w:rsid w:val="68551F4F"/>
    <w:rsid w:val="685847A6"/>
    <w:rsid w:val="687C10C9"/>
    <w:rsid w:val="68840C16"/>
    <w:rsid w:val="68876EFB"/>
    <w:rsid w:val="68884654"/>
    <w:rsid w:val="689F444F"/>
    <w:rsid w:val="68B96DBB"/>
    <w:rsid w:val="68BB37A7"/>
    <w:rsid w:val="68CA2805"/>
    <w:rsid w:val="68E937A3"/>
    <w:rsid w:val="68FC4E55"/>
    <w:rsid w:val="69196B57"/>
    <w:rsid w:val="693E15D3"/>
    <w:rsid w:val="694E7060"/>
    <w:rsid w:val="69627681"/>
    <w:rsid w:val="69701FBE"/>
    <w:rsid w:val="6977531D"/>
    <w:rsid w:val="697B1F3A"/>
    <w:rsid w:val="69A53598"/>
    <w:rsid w:val="69CC2BFF"/>
    <w:rsid w:val="69D97139"/>
    <w:rsid w:val="69FD55B8"/>
    <w:rsid w:val="6A0B1C62"/>
    <w:rsid w:val="6A2406C8"/>
    <w:rsid w:val="6A2C3AC3"/>
    <w:rsid w:val="6A4B7311"/>
    <w:rsid w:val="6A8453C5"/>
    <w:rsid w:val="6A9A6657"/>
    <w:rsid w:val="6ADE0BD1"/>
    <w:rsid w:val="6AE96859"/>
    <w:rsid w:val="6B147746"/>
    <w:rsid w:val="6B24787C"/>
    <w:rsid w:val="6B380B3D"/>
    <w:rsid w:val="6B532C57"/>
    <w:rsid w:val="6B573233"/>
    <w:rsid w:val="6B5B6274"/>
    <w:rsid w:val="6B935D53"/>
    <w:rsid w:val="6C045D31"/>
    <w:rsid w:val="6C133194"/>
    <w:rsid w:val="6C196F71"/>
    <w:rsid w:val="6C226FCB"/>
    <w:rsid w:val="6C31226F"/>
    <w:rsid w:val="6C4455E8"/>
    <w:rsid w:val="6C514E57"/>
    <w:rsid w:val="6C552F0B"/>
    <w:rsid w:val="6C57287F"/>
    <w:rsid w:val="6C8C67B7"/>
    <w:rsid w:val="6C9D744C"/>
    <w:rsid w:val="6CC03428"/>
    <w:rsid w:val="6D167928"/>
    <w:rsid w:val="6D26299B"/>
    <w:rsid w:val="6D4772EC"/>
    <w:rsid w:val="6D9078AF"/>
    <w:rsid w:val="6DAA3FEF"/>
    <w:rsid w:val="6DBF2DB2"/>
    <w:rsid w:val="6DC0172B"/>
    <w:rsid w:val="6DCB690C"/>
    <w:rsid w:val="6DD41A5B"/>
    <w:rsid w:val="6DF43C2E"/>
    <w:rsid w:val="6DF51CA3"/>
    <w:rsid w:val="6E0863D3"/>
    <w:rsid w:val="6E8335BD"/>
    <w:rsid w:val="6E8E12EF"/>
    <w:rsid w:val="6E925436"/>
    <w:rsid w:val="6E972936"/>
    <w:rsid w:val="6ED446C5"/>
    <w:rsid w:val="6F0C3442"/>
    <w:rsid w:val="6F2A7D94"/>
    <w:rsid w:val="6F730377"/>
    <w:rsid w:val="6F8331F1"/>
    <w:rsid w:val="6F8A0F8C"/>
    <w:rsid w:val="6FAE1A09"/>
    <w:rsid w:val="6FD44A65"/>
    <w:rsid w:val="6FD75BF8"/>
    <w:rsid w:val="70206492"/>
    <w:rsid w:val="707723D0"/>
    <w:rsid w:val="70BF3010"/>
    <w:rsid w:val="70E5507E"/>
    <w:rsid w:val="70F5661B"/>
    <w:rsid w:val="71084023"/>
    <w:rsid w:val="710E183A"/>
    <w:rsid w:val="71360107"/>
    <w:rsid w:val="713B688E"/>
    <w:rsid w:val="7151750C"/>
    <w:rsid w:val="71A265F4"/>
    <w:rsid w:val="71B675CD"/>
    <w:rsid w:val="71D43752"/>
    <w:rsid w:val="71F1796A"/>
    <w:rsid w:val="720C45CB"/>
    <w:rsid w:val="72132D4D"/>
    <w:rsid w:val="72154626"/>
    <w:rsid w:val="72262B5D"/>
    <w:rsid w:val="72283FF7"/>
    <w:rsid w:val="722E7212"/>
    <w:rsid w:val="723A0474"/>
    <w:rsid w:val="725923E4"/>
    <w:rsid w:val="72777EDD"/>
    <w:rsid w:val="72864BF7"/>
    <w:rsid w:val="729023FC"/>
    <w:rsid w:val="72B62B48"/>
    <w:rsid w:val="72CE1FD6"/>
    <w:rsid w:val="73286404"/>
    <w:rsid w:val="73460898"/>
    <w:rsid w:val="73B95C72"/>
    <w:rsid w:val="73C0646E"/>
    <w:rsid w:val="73D239B1"/>
    <w:rsid w:val="73D96AEE"/>
    <w:rsid w:val="73E6120B"/>
    <w:rsid w:val="740F0CE2"/>
    <w:rsid w:val="742222F5"/>
    <w:rsid w:val="74271D8C"/>
    <w:rsid w:val="74476126"/>
    <w:rsid w:val="744A77F6"/>
    <w:rsid w:val="7463243A"/>
    <w:rsid w:val="74706664"/>
    <w:rsid w:val="747F3682"/>
    <w:rsid w:val="749C4185"/>
    <w:rsid w:val="75067759"/>
    <w:rsid w:val="752E6DCD"/>
    <w:rsid w:val="754405BD"/>
    <w:rsid w:val="754F2B6C"/>
    <w:rsid w:val="7551380D"/>
    <w:rsid w:val="75600BE5"/>
    <w:rsid w:val="7564475C"/>
    <w:rsid w:val="7583797F"/>
    <w:rsid w:val="75CD5DE4"/>
    <w:rsid w:val="75D20F1D"/>
    <w:rsid w:val="75DA2C18"/>
    <w:rsid w:val="75F54412"/>
    <w:rsid w:val="761D08E0"/>
    <w:rsid w:val="763A5CD8"/>
    <w:rsid w:val="765D347C"/>
    <w:rsid w:val="76826699"/>
    <w:rsid w:val="76C87133"/>
    <w:rsid w:val="76CD08D5"/>
    <w:rsid w:val="76DB4B92"/>
    <w:rsid w:val="77052AA4"/>
    <w:rsid w:val="77136511"/>
    <w:rsid w:val="77315B09"/>
    <w:rsid w:val="77340A39"/>
    <w:rsid w:val="77351FD0"/>
    <w:rsid w:val="77472422"/>
    <w:rsid w:val="777F31F2"/>
    <w:rsid w:val="778F3C27"/>
    <w:rsid w:val="779C6247"/>
    <w:rsid w:val="77D1700D"/>
    <w:rsid w:val="77DF044B"/>
    <w:rsid w:val="77EC04CC"/>
    <w:rsid w:val="77ED2B68"/>
    <w:rsid w:val="77FDDB5F"/>
    <w:rsid w:val="78063EE4"/>
    <w:rsid w:val="781A0520"/>
    <w:rsid w:val="78775729"/>
    <w:rsid w:val="78A42DB0"/>
    <w:rsid w:val="78A656AB"/>
    <w:rsid w:val="78B2245C"/>
    <w:rsid w:val="78C51ED0"/>
    <w:rsid w:val="78E172CC"/>
    <w:rsid w:val="78E201F2"/>
    <w:rsid w:val="78EA1D1F"/>
    <w:rsid w:val="7904172F"/>
    <w:rsid w:val="790F7E27"/>
    <w:rsid w:val="792A231A"/>
    <w:rsid w:val="79316829"/>
    <w:rsid w:val="79475498"/>
    <w:rsid w:val="79720531"/>
    <w:rsid w:val="797E66A9"/>
    <w:rsid w:val="79A97383"/>
    <w:rsid w:val="79B7342D"/>
    <w:rsid w:val="79D35D8D"/>
    <w:rsid w:val="79E27E8B"/>
    <w:rsid w:val="79F850CE"/>
    <w:rsid w:val="79FD443C"/>
    <w:rsid w:val="7A1D1975"/>
    <w:rsid w:val="7A307068"/>
    <w:rsid w:val="7A3E5150"/>
    <w:rsid w:val="7A4670D6"/>
    <w:rsid w:val="7A534B63"/>
    <w:rsid w:val="7A615382"/>
    <w:rsid w:val="7A67303B"/>
    <w:rsid w:val="7AAB1D04"/>
    <w:rsid w:val="7ABA4368"/>
    <w:rsid w:val="7AD05746"/>
    <w:rsid w:val="7B080600"/>
    <w:rsid w:val="7B200376"/>
    <w:rsid w:val="7B2173E8"/>
    <w:rsid w:val="7B257FFD"/>
    <w:rsid w:val="7B343476"/>
    <w:rsid w:val="7B5A2978"/>
    <w:rsid w:val="7B5A7E4C"/>
    <w:rsid w:val="7B667AF9"/>
    <w:rsid w:val="7B7468F8"/>
    <w:rsid w:val="7B7C1ABA"/>
    <w:rsid w:val="7BC30888"/>
    <w:rsid w:val="7BEE0103"/>
    <w:rsid w:val="7BF56183"/>
    <w:rsid w:val="7C0A0FE4"/>
    <w:rsid w:val="7C1A1F01"/>
    <w:rsid w:val="7C254906"/>
    <w:rsid w:val="7C30396B"/>
    <w:rsid w:val="7C590818"/>
    <w:rsid w:val="7C6FCA9D"/>
    <w:rsid w:val="7C7C10F6"/>
    <w:rsid w:val="7C853BEA"/>
    <w:rsid w:val="7C881368"/>
    <w:rsid w:val="7CE27788"/>
    <w:rsid w:val="7CE5569E"/>
    <w:rsid w:val="7D0C32F1"/>
    <w:rsid w:val="7D0F408D"/>
    <w:rsid w:val="7D491C6C"/>
    <w:rsid w:val="7D5429C0"/>
    <w:rsid w:val="7D6E6D43"/>
    <w:rsid w:val="7D7E1AD8"/>
    <w:rsid w:val="7DB57A34"/>
    <w:rsid w:val="7DE60973"/>
    <w:rsid w:val="7DEF0916"/>
    <w:rsid w:val="7DF74B1D"/>
    <w:rsid w:val="7E1E5218"/>
    <w:rsid w:val="7E290672"/>
    <w:rsid w:val="7E532133"/>
    <w:rsid w:val="7E662156"/>
    <w:rsid w:val="7E8D00FD"/>
    <w:rsid w:val="7E924985"/>
    <w:rsid w:val="7E9A4E1F"/>
    <w:rsid w:val="7EA7723A"/>
    <w:rsid w:val="7ED02A96"/>
    <w:rsid w:val="7EF56FBB"/>
    <w:rsid w:val="7F0768EB"/>
    <w:rsid w:val="7F143BEC"/>
    <w:rsid w:val="7F28097A"/>
    <w:rsid w:val="7F5A23C9"/>
    <w:rsid w:val="7F715AF2"/>
    <w:rsid w:val="7F886E69"/>
    <w:rsid w:val="7FFA4FF3"/>
    <w:rsid w:val="BB7FA927"/>
    <w:rsid w:val="DEFFAD92"/>
    <w:rsid w:val="DF8B5375"/>
    <w:rsid w:val="F5FFD31F"/>
    <w:rsid w:val="FA47BF2E"/>
    <w:rsid w:val="FA7DB66F"/>
    <w:rsid w:val="FEEF3596"/>
    <w:rsid w:val="FFF7D9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99"/>
    <w:rPr>
      <w:rFonts w:ascii="宋体" w:hAnsi="宋体" w:eastAsia="宋体" w:cs="Times New Roman"/>
      <w:sz w:val="24"/>
      <w:szCs w:val="22"/>
      <w:lang w:val="zh-CN" w:eastAsia="zh-CN" w:bidi="ar-SA"/>
    </w:rPr>
  </w:style>
  <w:style w:type="paragraph" w:styleId="6">
    <w:name w:val="Normal Indent"/>
    <w:basedOn w:val="1"/>
    <w:next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5"/>
    <w:qFormat/>
    <w:uiPriority w:val="0"/>
    <w:pPr>
      <w:shd w:val="clear" w:color="auto" w:fill="000080"/>
    </w:pPr>
  </w:style>
  <w:style w:type="paragraph" w:styleId="20">
    <w:name w:val="annotation text"/>
    <w:basedOn w:val="1"/>
    <w:link w:val="346"/>
    <w:qFormat/>
    <w:uiPriority w:val="99"/>
    <w:pPr>
      <w:jc w:val="left"/>
    </w:pPr>
  </w:style>
  <w:style w:type="paragraph" w:styleId="21">
    <w:name w:val="Salutation"/>
    <w:basedOn w:val="1"/>
    <w:next w:val="1"/>
    <w:link w:val="300"/>
    <w:qFormat/>
    <w:uiPriority w:val="0"/>
    <w:rPr>
      <w:rFonts w:ascii="仿宋_GB2312" w:eastAsia="仿宋_GB2312"/>
      <w:sz w:val="28"/>
      <w:szCs w:val="20"/>
    </w:rPr>
  </w:style>
  <w:style w:type="paragraph" w:styleId="22">
    <w:name w:val="Body Text 3"/>
    <w:basedOn w:val="1"/>
    <w:link w:val="332"/>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2"/>
    <w:qFormat/>
    <w:uiPriority w:val="0"/>
    <w:pPr>
      <w:autoSpaceDE w:val="0"/>
      <w:autoSpaceDN w:val="0"/>
      <w:spacing w:line="360" w:lineRule="auto"/>
    </w:pPr>
    <w:rPr>
      <w:rFonts w:ascii="宋体" w:hAnsi="Arial" w:cs="Arial"/>
      <w:snapToGrid w:val="0"/>
      <w:sz w:val="24"/>
      <w:szCs w:val="21"/>
      <w:lang w:val="zh-CN"/>
    </w:rPr>
  </w:style>
  <w:style w:type="paragraph" w:customStyle="1" w:styleId="25">
    <w:name w:val="_Style 2"/>
    <w:basedOn w:val="1"/>
    <w:qFormat/>
    <w:uiPriority w:val="0"/>
    <w:pPr>
      <w:ind w:firstLine="200" w:firstLineChars="200"/>
    </w:pPr>
    <w:rPr>
      <w:rFonts w:ascii="Calibri" w:hAnsi="Calibri"/>
      <w:sz w:val="28"/>
    </w:rPr>
  </w:style>
  <w:style w:type="paragraph" w:styleId="26">
    <w:name w:val="Body Text Indent"/>
    <w:basedOn w:val="1"/>
    <w:next w:val="27"/>
    <w:link w:val="267"/>
    <w:qFormat/>
    <w:uiPriority w:val="0"/>
    <w:pPr>
      <w:spacing w:line="480" w:lineRule="exact"/>
      <w:ind w:firstLine="480" w:firstLineChars="200"/>
    </w:pPr>
    <w:rPr>
      <w:rFonts w:ascii="宋体" w:hAnsi="宋体"/>
      <w:sz w:val="24"/>
    </w:rPr>
  </w:style>
  <w:style w:type="paragraph" w:styleId="27">
    <w:name w:val="Body Text First Indent 2"/>
    <w:basedOn w:val="26"/>
    <w:next w:val="1"/>
    <w:link w:val="124"/>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2"/>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4"/>
    <w:qFormat/>
    <w:uiPriority w:val="0"/>
    <w:pPr>
      <w:ind w:left="100" w:leftChars="2500"/>
    </w:pPr>
    <w:rPr>
      <w:rFonts w:ascii="宋体"/>
      <w:sz w:val="24"/>
      <w:szCs w:val="21"/>
      <w:lang w:val="zh-CN"/>
    </w:rPr>
  </w:style>
  <w:style w:type="paragraph" w:styleId="39">
    <w:name w:val="Body Text Indent 2"/>
    <w:basedOn w:val="1"/>
    <w:link w:val="310"/>
    <w:qFormat/>
    <w:uiPriority w:val="0"/>
    <w:pPr>
      <w:spacing w:line="360" w:lineRule="auto"/>
      <w:ind w:firstLine="601"/>
      <w:textAlignment w:val="baseline"/>
    </w:pPr>
    <w:rPr>
      <w:rFonts w:ascii="宋体"/>
      <w:kern w:val="0"/>
      <w:sz w:val="28"/>
      <w:szCs w:val="20"/>
    </w:rPr>
  </w:style>
  <w:style w:type="paragraph" w:styleId="40">
    <w:name w:val="endnote text"/>
    <w:basedOn w:val="1"/>
    <w:link w:val="933"/>
    <w:qFormat/>
    <w:uiPriority w:val="0"/>
    <w:rPr>
      <w:lang w:val="zh-CN"/>
    </w:rPr>
  </w:style>
  <w:style w:type="paragraph" w:styleId="41">
    <w:name w:val="Balloon Text"/>
    <w:basedOn w:val="1"/>
    <w:link w:val="191"/>
    <w:qFormat/>
    <w:uiPriority w:val="0"/>
    <w:rPr>
      <w:sz w:val="18"/>
      <w:szCs w:val="18"/>
    </w:rPr>
  </w:style>
  <w:style w:type="paragraph" w:styleId="42">
    <w:name w:val="footer"/>
    <w:basedOn w:val="1"/>
    <w:link w:val="385"/>
    <w:qFormat/>
    <w:uiPriority w:val="99"/>
    <w:pPr>
      <w:tabs>
        <w:tab w:val="center" w:pos="4153"/>
        <w:tab w:val="right" w:pos="8306"/>
      </w:tabs>
      <w:snapToGrid w:val="0"/>
      <w:jc w:val="left"/>
    </w:pPr>
    <w:rPr>
      <w:sz w:val="18"/>
      <w:szCs w:val="18"/>
    </w:rPr>
  </w:style>
  <w:style w:type="paragraph" w:styleId="43">
    <w:name w:val="envelope return"/>
    <w:basedOn w:val="1"/>
    <w:qFormat/>
    <w:uiPriority w:val="0"/>
    <w:pPr>
      <w:snapToGrid w:val="0"/>
    </w:pPr>
    <w:rPr>
      <w:rFonts w:ascii="Arial" w:hAnsi="Arial" w:cs="Arial"/>
    </w:rPr>
  </w:style>
  <w:style w:type="paragraph" w:styleId="44">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6"/>
    <w:link w:val="312"/>
    <w:qFormat/>
    <w:uiPriority w:val="0"/>
    <w:pPr>
      <w:adjustRightInd/>
      <w:snapToGrid/>
      <w:spacing w:before="60" w:after="60" w:line="300" w:lineRule="exact"/>
      <w:ind w:firstLine="0"/>
    </w:pPr>
    <w:rPr>
      <w:rFonts w:ascii="Calibri"/>
      <w:snapToGrid/>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77"/>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next w:val="1"/>
    <w:link w:val="304"/>
    <w:qFormat/>
    <w:uiPriority w:val="0"/>
    <w:pPr>
      <w:spacing w:after="120" w:line="480" w:lineRule="auto"/>
    </w:pPr>
  </w:style>
  <w:style w:type="paragraph" w:styleId="60">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288"/>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0"/>
    <w:next w:val="20"/>
    <w:link w:val="99"/>
    <w:qFormat/>
    <w:uiPriority w:val="0"/>
    <w:rPr>
      <w:b/>
      <w:bCs/>
    </w:rPr>
  </w:style>
  <w:style w:type="paragraph" w:styleId="64">
    <w:name w:val="Body Text First Indent"/>
    <w:basedOn w:val="1"/>
    <w:next w:val="1"/>
    <w:link w:val="323"/>
    <w:qFormat/>
    <w:uiPriority w:val="0"/>
    <w:pPr>
      <w:ind w:firstLine="420"/>
    </w:pPr>
    <w:rPr>
      <w:rFonts w:hAnsi="Calibri" w:cs="Times New Roman"/>
      <w:snapToGrid/>
      <w:szCs w:val="20"/>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basedOn w:val="72"/>
    <w:qFormat/>
    <w:uiPriority w:val="99"/>
    <w:rPr>
      <w:rFonts w:ascii="Times New Roman" w:hAnsi="Times New Roman" w:eastAsia="宋体" w:cs="Times New Roman"/>
      <w:kern w:val="2"/>
      <w:sz w:val="21"/>
      <w:szCs w:val="24"/>
      <w:lang w:val="en-US" w:eastAsia="zh-CN" w:bidi="ar-SA"/>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Default"/>
    <w:next w:val="83"/>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4">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 w:val="24"/>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sz w:val="24"/>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Char1"/>
    <w:link w:val="63"/>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 w:val="24"/>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27"/>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72"/>
    <w:qFormat/>
    <w:uiPriority w:val="0"/>
    <w:rPr>
      <w:rFonts w:ascii="Arial" w:hAnsi="Arial" w:eastAsia="黑体" w:cs="Arial"/>
      <w:snapToGrid w:val="0"/>
      <w:kern w:val="0"/>
      <w:szCs w:val="21"/>
    </w:rPr>
  </w:style>
  <w:style w:type="character" w:customStyle="1" w:styleId="12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 w:val="24"/>
      <w:szCs w:val="20"/>
    </w:rPr>
  </w:style>
  <w:style w:type="character" w:customStyle="1" w:styleId="135">
    <w:name w:val="Char Char24"/>
    <w:qFormat/>
    <w:uiPriority w:val="6"/>
    <w:rPr>
      <w:kern w:val="1"/>
      <w:sz w:val="21"/>
    </w:rPr>
  </w:style>
  <w:style w:type="character" w:customStyle="1" w:styleId="136">
    <w:name w:val="副标题 Char"/>
    <w:link w:val="50"/>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9"/>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99"/>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4"/>
    <w:link w:val="173"/>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Char"/>
    <w:link w:val="38"/>
    <w:qFormat/>
    <w:uiPriority w:val="0"/>
    <w:rPr>
      <w:rFonts w:ascii="宋体"/>
      <w:kern w:val="2"/>
      <w:sz w:val="24"/>
      <w:szCs w:val="21"/>
      <w:lang w:val="zh-CN"/>
    </w:rPr>
  </w:style>
  <w:style w:type="character" w:customStyle="1" w:styleId="185">
    <w:name w:val="标题 9 Char"/>
    <w:link w:val="12"/>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Char"/>
    <w:link w:val="41"/>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6"/>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Char1"/>
    <w:link w:val="19"/>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72"/>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Char"/>
    <w:link w:val="32"/>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7"/>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Char"/>
    <w:link w:val="17"/>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82"/>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60">
    <w:name w:val="列出段落1"/>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Char3"/>
    <w:link w:val="26"/>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Char"/>
    <w:link w:val="3"/>
    <w:qFormat/>
    <w:uiPriority w:val="9"/>
    <w:rPr>
      <w:b/>
      <w:bCs/>
      <w:kern w:val="44"/>
      <w:sz w:val="44"/>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62"/>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8"/>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1"/>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Char"/>
    <w:link w:val="60"/>
    <w:qFormat/>
    <w:uiPriority w:val="0"/>
    <w:rPr>
      <w:rFonts w:ascii="黑体" w:hAnsi="Courier New" w:eastAsia="黑体"/>
    </w:rPr>
  </w:style>
  <w:style w:type="character" w:customStyle="1" w:styleId="304">
    <w:name w:val="正文文本 2 Char1"/>
    <w:link w:val="59"/>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7"/>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0"/>
    <w:qFormat/>
    <w:uiPriority w:val="0"/>
    <w:rPr>
      <w:b/>
      <w:bCs/>
      <w:kern w:val="2"/>
      <w:sz w:val="24"/>
      <w:szCs w:val="24"/>
    </w:rPr>
  </w:style>
  <w:style w:type="character" w:customStyle="1" w:styleId="310">
    <w:name w:val="正文文本缩进 2 Char"/>
    <w:link w:val="39"/>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3"/>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64"/>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7"/>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2"/>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0"/>
    <w:qFormat/>
    <w:uiPriority w:val="0"/>
    <w:rPr>
      <w:kern w:val="2"/>
      <w:sz w:val="21"/>
      <w:szCs w:val="24"/>
    </w:rPr>
  </w:style>
  <w:style w:type="character" w:customStyle="1" w:styleId="347">
    <w:name w:val="签名 Char"/>
    <w:link w:val="45"/>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1"/>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Char"/>
    <w:link w:val="56"/>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Char2"/>
    <w:link w:val="42"/>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Char2"/>
    <w:link w:val="44"/>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2"/>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6"/>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3">
    <w:name w:val="gray6"/>
    <w:basedOn w:val="72"/>
    <w:qFormat/>
    <w:uiPriority w:val="0"/>
    <w:rPr>
      <w:rFonts w:ascii="Arial" w:hAnsi="Arial" w:eastAsia="黑体" w:cs="Arial"/>
      <w:snapToGrid w:val="0"/>
      <w:kern w:val="0"/>
      <w:szCs w:val="21"/>
    </w:rPr>
  </w:style>
  <w:style w:type="character" w:customStyle="1" w:styleId="434">
    <w:name w:val="hui"/>
    <w:basedOn w:val="72"/>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7"/>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5">
    <w:name w:val="无间隔2"/>
    <w:basedOn w:val="1"/>
    <w:link w:val="934"/>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4"/>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5"/>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8"/>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5"/>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qFormat/>
    <w:uiPriority w:val="0"/>
    <w:pPr>
      <w:adjustRightInd/>
      <w:ind w:firstLine="420" w:firstLineChars="200"/>
    </w:pPr>
    <w:rPr>
      <w:rFonts w:eastAsia="仿宋_GB2312"/>
      <w:sz w:val="28"/>
    </w:rPr>
  </w:style>
  <w:style w:type="paragraph" w:customStyle="1" w:styleId="52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6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0"/>
    <w:pPr>
      <w:adjustRightInd/>
      <w:ind w:firstLine="200" w:firstLineChars="200"/>
      <w:jc w:val="right"/>
    </w:pPr>
  </w:style>
  <w:style w:type="paragraph" w:customStyle="1" w:styleId="527">
    <w:name w:val="Char Char11 Char Char Char Char Char Char Char Char Char"/>
    <w:basedOn w:val="1"/>
    <w:qFormat/>
    <w:uiPriority w:val="0"/>
    <w:pPr>
      <w:spacing w:line="360" w:lineRule="auto"/>
    </w:pPr>
    <w:rPr>
      <w:szCs w:val="20"/>
    </w:rPr>
  </w:style>
  <w:style w:type="paragraph" w:customStyle="1" w:styleId="528">
    <w:name w:val="正文1.25"/>
    <w:basedOn w:val="1"/>
    <w:qFormat/>
    <w:uiPriority w:val="0"/>
    <w:pPr>
      <w:adjustRightInd/>
      <w:spacing w:line="300" w:lineRule="auto"/>
      <w:ind w:firstLine="480" w:firstLineChars="200"/>
    </w:pPr>
    <w:rPr>
      <w:sz w:val="24"/>
      <w:szCs w:val="20"/>
    </w:rPr>
  </w:style>
  <w:style w:type="paragraph" w:customStyle="1" w:styleId="52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6"/>
    <w:rPr>
      <w:rFonts w:ascii="仿宋_GB2312" w:eastAsia="仿宋_GB2312"/>
      <w:b/>
      <w:sz w:val="32"/>
      <w:szCs w:val="20"/>
    </w:rPr>
  </w:style>
  <w:style w:type="paragraph" w:customStyle="1" w:styleId="533">
    <w:name w:val="列出段落2"/>
    <w:basedOn w:val="1"/>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0"/>
    <w:rPr>
      <w:rFonts w:eastAsia="仿宋_GB2312"/>
      <w:sz w:val="28"/>
      <w:szCs w:val="20"/>
    </w:rPr>
  </w:style>
  <w:style w:type="paragraph" w:customStyle="1" w:styleId="53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7"/>
    <w:qFormat/>
    <w:uiPriority w:val="0"/>
    <w:pPr>
      <w:widowControl/>
      <w:jc w:val="left"/>
    </w:pPr>
    <w:rPr>
      <w:rFonts w:cs="宋体"/>
      <w:sz w:val="24"/>
      <w:szCs w:val="20"/>
    </w:rPr>
  </w:style>
  <w:style w:type="paragraph" w:customStyle="1" w:styleId="537">
    <w:name w:val="彩色列表 - 强调文字颜色 11"/>
    <w:basedOn w:val="1"/>
    <w:qFormat/>
    <w:uiPriority w:val="0"/>
    <w:pPr>
      <w:adjustRightInd/>
      <w:ind w:firstLine="420" w:firstLineChars="200"/>
    </w:pPr>
    <w:rPr>
      <w:rFonts w:ascii="Calibri" w:hAnsi="Calibri"/>
      <w:szCs w:val="22"/>
    </w:rPr>
  </w:style>
  <w:style w:type="paragraph" w:customStyle="1" w:styleId="538">
    <w:name w:val="加粗正文"/>
    <w:basedOn w:val="1"/>
    <w:qFormat/>
    <w:uiPriority w:val="0"/>
    <w:pPr>
      <w:adjustRightInd/>
      <w:spacing w:beforeLines="50" w:afterLines="50" w:line="360" w:lineRule="auto"/>
      <w:ind w:firstLine="422" w:firstLineChars="200"/>
    </w:pPr>
    <w:rPr>
      <w:b/>
      <w:bCs/>
      <w:szCs w:val="21"/>
    </w:rPr>
  </w:style>
  <w:style w:type="paragraph" w:customStyle="1" w:styleId="53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6"/>
    <w:rPr>
      <w:szCs w:val="20"/>
    </w:rPr>
  </w:style>
  <w:style w:type="paragraph" w:customStyle="1" w:styleId="54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82"/>
    <w:next w:val="82"/>
    <w:qFormat/>
    <w:uiPriority w:val="0"/>
    <w:pPr>
      <w:spacing w:after="68"/>
    </w:pPr>
    <w:rPr>
      <w:rFonts w:ascii="FHLHE E+ Futura Bk" w:eastAsia="FHLHE E+ Futura Bk" w:cs="Times New Roman"/>
      <w:color w:val="auto"/>
    </w:rPr>
  </w:style>
  <w:style w:type="paragraph" w:customStyle="1" w:styleId="54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82"/>
    <w:next w:val="82"/>
    <w:qFormat/>
    <w:uiPriority w:val="0"/>
    <w:rPr>
      <w:rFonts w:ascii="宋体" w:eastAsia="宋体" w:cs="Times New Roman"/>
      <w:color w:val="auto"/>
    </w:rPr>
  </w:style>
  <w:style w:type="paragraph" w:customStyle="1" w:styleId="552">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qFormat/>
    <w:uiPriority w:val="0"/>
    <w:rPr>
      <w:rFonts w:ascii="仿宋_GB2312" w:eastAsia="仿宋_GB2312"/>
      <w:b/>
      <w:sz w:val="32"/>
      <w:szCs w:val="32"/>
    </w:rPr>
  </w:style>
  <w:style w:type="paragraph" w:customStyle="1" w:styleId="55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6">
    <w:name w:val="_正文段落"/>
    <w:basedOn w:val="1"/>
    <w:qFormat/>
    <w:uiPriority w:val="0"/>
    <w:pPr>
      <w:adjustRightInd/>
      <w:ind w:firstLine="560"/>
    </w:pPr>
    <w:rPr>
      <w:rFonts w:ascii="仿宋_GB2312" w:hAnsi="仿宋" w:eastAsia="仿宋_GB2312"/>
      <w:kern w:val="0"/>
      <w:sz w:val="28"/>
      <w:szCs w:val="28"/>
    </w:rPr>
  </w:style>
  <w:style w:type="paragraph" w:customStyle="1" w:styleId="57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qFormat/>
    <w:uiPriority w:val="0"/>
    <w:rPr>
      <w:rFonts w:ascii="Tahoma" w:hAnsi="Tahoma"/>
      <w:sz w:val="24"/>
      <w:szCs w:val="20"/>
    </w:rPr>
  </w:style>
  <w:style w:type="paragraph" w:customStyle="1" w:styleId="586">
    <w:name w:val="标题五"/>
    <w:basedOn w:val="1"/>
    <w:qFormat/>
    <w:uiPriority w:val="0"/>
    <w:pPr>
      <w:adjustRightInd/>
      <w:spacing w:beforeLines="50" w:line="360" w:lineRule="auto"/>
    </w:pPr>
    <w:rPr>
      <w:b/>
      <w:sz w:val="24"/>
    </w:rPr>
  </w:style>
  <w:style w:type="paragraph" w:customStyle="1" w:styleId="587">
    <w:name w:val="Char Char1101"/>
    <w:basedOn w:val="1"/>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qFormat/>
    <w:uiPriority w:val="0"/>
    <w:pPr>
      <w:adjustRightInd/>
      <w:spacing w:line="360" w:lineRule="auto"/>
      <w:ind w:firstLine="200" w:firstLineChars="200"/>
    </w:pPr>
    <w:rPr>
      <w:szCs w:val="20"/>
    </w:rPr>
  </w:style>
  <w:style w:type="paragraph" w:customStyle="1" w:styleId="59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0"/>
    <w:rPr>
      <w:rFonts w:ascii="仿宋_GB2312" w:eastAsia="仿宋_GB2312"/>
      <w:b/>
      <w:sz w:val="32"/>
      <w:szCs w:val="32"/>
    </w:rPr>
  </w:style>
  <w:style w:type="paragraph" w:customStyle="1" w:styleId="59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0"/>
    <w:pPr>
      <w:adjustRightInd/>
    </w:pPr>
    <w:rPr>
      <w:sz w:val="18"/>
      <w:szCs w:val="20"/>
    </w:rPr>
  </w:style>
  <w:style w:type="paragraph" w:customStyle="1" w:styleId="59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9"/>
    <w:qFormat/>
    <w:uiPriority w:val="0"/>
    <w:pPr>
      <w:snapToGrid w:val="0"/>
      <w:spacing w:line="360" w:lineRule="auto"/>
    </w:pPr>
    <w:rPr>
      <w:rFonts w:ascii="宋体"/>
      <w:b/>
      <w:sz w:val="24"/>
      <w:szCs w:val="20"/>
    </w:rPr>
  </w:style>
  <w:style w:type="paragraph" w:customStyle="1" w:styleId="607">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8">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7"/>
    <w:pPr>
      <w:adjustRightInd/>
    </w:pPr>
    <w:rPr>
      <w:rFonts w:ascii="宋体" w:hAnsi="Courier New"/>
    </w:rPr>
  </w:style>
  <w:style w:type="paragraph" w:customStyle="1" w:styleId="610">
    <w:name w:val="Char3"/>
    <w:basedOn w:val="1"/>
    <w:qFormat/>
    <w:uiPriority w:val="0"/>
    <w:pPr>
      <w:adjustRightInd/>
    </w:pPr>
    <w:rPr>
      <w:rFonts w:ascii="仿宋_GB2312" w:eastAsia="仿宋_GB2312"/>
      <w:b/>
      <w:sz w:val="32"/>
      <w:szCs w:val="32"/>
    </w:rPr>
  </w:style>
  <w:style w:type="paragraph" w:customStyle="1" w:styleId="61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qFormat/>
    <w:uiPriority w:val="0"/>
    <w:rPr>
      <w:b/>
    </w:rPr>
  </w:style>
  <w:style w:type="paragraph" w:customStyle="1" w:styleId="620">
    <w:name w:val="表格内文"/>
    <w:basedOn w:val="1"/>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0"/>
    <w:rPr>
      <w:rFonts w:ascii="仿宋_GB2312" w:eastAsia="仿宋_GB2312"/>
      <w:b/>
      <w:sz w:val="32"/>
      <w:szCs w:val="32"/>
    </w:rPr>
  </w:style>
  <w:style w:type="paragraph" w:customStyle="1" w:styleId="62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qFormat/>
    <w:uiPriority w:val="0"/>
    <w:pPr>
      <w:spacing w:line="360" w:lineRule="auto"/>
    </w:pPr>
    <w:rPr>
      <w:szCs w:val="20"/>
    </w:rPr>
  </w:style>
  <w:style w:type="paragraph" w:customStyle="1" w:styleId="6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7">
    <w:name w:val="MM Topic 1"/>
    <w:basedOn w:val="3"/>
    <w:qFormat/>
    <w:uiPriority w:val="0"/>
    <w:pPr>
      <w:tabs>
        <w:tab w:val="left" w:pos="840"/>
      </w:tabs>
      <w:adjustRightInd/>
      <w:ind w:left="840" w:hanging="420"/>
    </w:pPr>
  </w:style>
  <w:style w:type="paragraph" w:customStyle="1" w:styleId="628">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0"/>
    <w:pPr>
      <w:spacing w:line="360" w:lineRule="auto"/>
      <w:ind w:firstLine="200" w:firstLineChars="200"/>
    </w:pPr>
    <w:rPr>
      <w:kern w:val="0"/>
      <w:sz w:val="24"/>
      <w:szCs w:val="20"/>
    </w:rPr>
  </w:style>
  <w:style w:type="paragraph" w:customStyle="1" w:styleId="630">
    <w:name w:val="表格"/>
    <w:basedOn w:val="1"/>
    <w:qFormat/>
    <w:uiPriority w:val="0"/>
    <w:pPr>
      <w:snapToGrid w:val="0"/>
      <w:ind w:firstLine="42" w:firstLineChars="21"/>
    </w:pPr>
    <w:rPr>
      <w:rFonts w:ascii="宋体" w:hAnsi="宋体"/>
      <w:kern w:val="0"/>
      <w:sz w:val="20"/>
      <w:szCs w:val="20"/>
    </w:rPr>
  </w:style>
  <w:style w:type="paragraph" w:customStyle="1" w:styleId="631">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7"/>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Lines="50"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9"/>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5"/>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5"/>
    <w:next w:val="56"/>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qFormat/>
    <w:uiPriority w:val="0"/>
    <w:rPr>
      <w:rFonts w:ascii="仿宋_GB2312" w:eastAsia="仿宋_GB2312"/>
      <w:b/>
      <w:sz w:val="32"/>
      <w:szCs w:val="32"/>
    </w:rPr>
  </w:style>
  <w:style w:type="paragraph" w:customStyle="1" w:styleId="796">
    <w:name w:val="五级条标题"/>
    <w:basedOn w:val="797"/>
    <w:next w:val="642"/>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qFormat/>
    <w:uiPriority w:val="0"/>
    <w:pPr>
      <w:tabs>
        <w:tab w:val="left" w:pos="2940"/>
        <w:tab w:val="clear" w:pos="2520"/>
      </w:tabs>
      <w:ind w:left="2940"/>
      <w:outlineLvl w:val="5"/>
    </w:pPr>
  </w:style>
  <w:style w:type="paragraph" w:customStyle="1" w:styleId="7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0"/>
    <w:rPr>
      <w:rFonts w:ascii="仿宋_GB2312" w:eastAsia="仿宋_GB2312"/>
      <w:b/>
      <w:sz w:val="32"/>
      <w:szCs w:val="32"/>
    </w:rPr>
  </w:style>
  <w:style w:type="paragraph" w:customStyle="1" w:styleId="80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4">
    <w:name w:val="单元格左对齐"/>
    <w:basedOn w:val="1"/>
    <w:qFormat/>
    <w:uiPriority w:val="0"/>
    <w:pPr>
      <w:adjustRightInd/>
      <w:spacing w:line="360" w:lineRule="auto"/>
    </w:pPr>
    <w:rPr>
      <w:sz w:val="24"/>
    </w:rPr>
  </w:style>
  <w:style w:type="paragraph" w:customStyle="1" w:styleId="805">
    <w:name w:val="正文主体"/>
    <w:basedOn w:val="626"/>
    <w:qFormat/>
    <w:uiPriority w:val="0"/>
  </w:style>
  <w:style w:type="paragraph" w:customStyle="1" w:styleId="80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0"/>
    <w:pPr>
      <w:adjustRightInd/>
      <w:spacing w:line="360" w:lineRule="auto"/>
      <w:ind w:firstLine="480" w:firstLineChars="200"/>
    </w:pPr>
    <w:rPr>
      <w:sz w:val="24"/>
      <w:szCs w:val="20"/>
    </w:rPr>
  </w:style>
  <w:style w:type="paragraph" w:customStyle="1" w:styleId="810">
    <w:name w:val="P1"/>
    <w:basedOn w:val="1"/>
    <w:qFormat/>
    <w:uiPriority w:val="0"/>
    <w:pPr>
      <w:adjustRightInd/>
      <w:spacing w:line="288" w:lineRule="auto"/>
      <w:ind w:firstLine="425" w:firstLineChars="200"/>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Char Char11 Char Char Char1"/>
    <w:basedOn w:val="1"/>
    <w:qFormat/>
    <w:uiPriority w:val="6"/>
    <w:pPr>
      <w:spacing w:line="360" w:lineRule="auto"/>
    </w:pPr>
    <w:rPr>
      <w:szCs w:val="20"/>
    </w:rPr>
  </w:style>
  <w:style w:type="paragraph" w:customStyle="1" w:styleId="8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4">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0"/>
    <w:pPr>
      <w:spacing w:line="360" w:lineRule="auto"/>
    </w:pPr>
    <w:rPr>
      <w:szCs w:val="20"/>
    </w:rPr>
  </w:style>
  <w:style w:type="paragraph" w:customStyle="1" w:styleId="81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0"/>
    <w:rPr>
      <w:rFonts w:ascii="仿宋_GB2312" w:eastAsia="仿宋_GB2312"/>
      <w:b/>
      <w:sz w:val="32"/>
      <w:szCs w:val="32"/>
    </w:rPr>
  </w:style>
  <w:style w:type="paragraph" w:customStyle="1" w:styleId="82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qFormat/>
    <w:uiPriority w:val="0"/>
    <w:pPr>
      <w:adjustRightInd/>
      <w:spacing w:line="360" w:lineRule="auto"/>
      <w:ind w:firstLine="480"/>
    </w:pPr>
    <w:rPr>
      <w:rFonts w:cs="宋体"/>
      <w:sz w:val="24"/>
      <w:szCs w:val="20"/>
    </w:rPr>
  </w:style>
  <w:style w:type="paragraph" w:customStyle="1" w:styleId="825">
    <w:name w:val="Char Char4 Char Char"/>
    <w:basedOn w:val="1"/>
    <w:qFormat/>
    <w:uiPriority w:val="0"/>
    <w:pPr>
      <w:widowControl/>
      <w:adjustRightInd/>
      <w:spacing w:after="160" w:line="240" w:lineRule="exact"/>
      <w:jc w:val="left"/>
    </w:pPr>
  </w:style>
  <w:style w:type="paragraph" w:customStyle="1" w:styleId="8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0"/>
    <w:pPr>
      <w:spacing w:line="360" w:lineRule="auto"/>
    </w:pPr>
    <w:rPr>
      <w:szCs w:val="20"/>
    </w:rPr>
  </w:style>
  <w:style w:type="paragraph" w:customStyle="1" w:styleId="82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0"/>
    <w:pPr>
      <w:adjustRightInd/>
      <w:ind w:firstLine="200" w:firstLineChars="200"/>
    </w:pPr>
    <w:rPr>
      <w:rFonts w:ascii="Tahoma" w:hAnsi="Tahoma"/>
      <w:sz w:val="24"/>
      <w:szCs w:val="20"/>
    </w:rPr>
  </w:style>
  <w:style w:type="paragraph" w:customStyle="1" w:styleId="835">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qFormat/>
    <w:uiPriority w:val="0"/>
    <w:pPr>
      <w:tabs>
        <w:tab w:val="left" w:pos="0"/>
      </w:tabs>
      <w:ind w:left="900" w:firstLine="0" w:firstLineChars="0"/>
    </w:pPr>
  </w:style>
  <w:style w:type="paragraph" w:customStyle="1" w:styleId="838">
    <w:name w:val="Bulleted List"/>
    <w:basedOn w:val="1"/>
    <w:qFormat/>
    <w:uiPriority w:val="0"/>
    <w:pPr>
      <w:tabs>
        <w:tab w:val="left" w:pos="1260"/>
      </w:tabs>
      <w:adjustRightInd/>
      <w:ind w:left="1260" w:hanging="420"/>
    </w:pPr>
  </w:style>
  <w:style w:type="paragraph" w:customStyle="1" w:styleId="839">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0"/>
    <w:rPr>
      <w:rFonts w:ascii="Tahoma" w:hAnsi="Tahoma" w:cs="仿宋_GB2312"/>
      <w:sz w:val="24"/>
      <w:szCs w:val="20"/>
    </w:rPr>
  </w:style>
  <w:style w:type="paragraph" w:customStyle="1" w:styleId="842">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9"/>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0"/>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1"/>
    <w:qFormat/>
    <w:uiPriority w:val="0"/>
    <w:rPr>
      <w:b w:val="0"/>
      <w:sz w:val="20"/>
    </w:rPr>
  </w:style>
  <w:style w:type="paragraph" w:customStyle="1" w:styleId="896">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数字标题5"/>
    <w:basedOn w:val="8"/>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5"/>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4"/>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Char"/>
    <w:link w:val="40"/>
    <w:qFormat/>
    <w:uiPriority w:val="0"/>
    <w:rPr>
      <w:kern w:val="2"/>
      <w:sz w:val="21"/>
      <w:szCs w:val="24"/>
      <w:lang w:val="zh-CN"/>
    </w:rPr>
  </w:style>
  <w:style w:type="character" w:customStyle="1" w:styleId="934">
    <w:name w:val="无间隔 Char"/>
    <w:link w:val="485"/>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2"/>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纯文本3"/>
    <w:basedOn w:val="1"/>
    <w:qFormat/>
    <w:uiPriority w:val="0"/>
    <w:pPr>
      <w:textAlignment w:val="baseline"/>
    </w:pPr>
    <w:rPr>
      <w:rFonts w:ascii="宋体" w:hAnsi="Courier New" w:eastAsia="楷体_GB2312"/>
      <w:sz w:val="26"/>
      <w:szCs w:val="20"/>
    </w:rPr>
  </w:style>
  <w:style w:type="paragraph" w:customStyle="1" w:styleId="96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70">
    <w:name w:val="NormalCharacter"/>
    <w:qFormat/>
    <w:uiPriority w:val="0"/>
    <w:rPr>
      <w:kern w:val="2"/>
      <w:sz w:val="21"/>
      <w:szCs w:val="24"/>
      <w:lang w:val="en-US" w:eastAsia="zh-CN" w:bidi="ar-SA"/>
    </w:rPr>
  </w:style>
  <w:style w:type="character" w:customStyle="1" w:styleId="971">
    <w:name w:val="UserStyle_12"/>
    <w:qFormat/>
    <w:uiPriority w:val="0"/>
    <w:rPr>
      <w:kern w:val="2"/>
      <w:sz w:val="21"/>
      <w:szCs w:val="24"/>
      <w:lang w:val="en-US" w:eastAsia="zh-CN" w:bidi="ar-SA"/>
    </w:rPr>
  </w:style>
  <w:style w:type="paragraph" w:customStyle="1" w:styleId="972">
    <w:name w:val="BodyText"/>
    <w:basedOn w:val="1"/>
    <w:next w:val="973"/>
    <w:qFormat/>
    <w:uiPriority w:val="0"/>
    <w:pPr>
      <w:spacing w:after="120"/>
      <w:textAlignment w:val="baseline"/>
    </w:pPr>
    <w:rPr>
      <w:rFonts w:ascii="Calibri" w:hAnsi="Calibri"/>
    </w:rPr>
  </w:style>
  <w:style w:type="paragraph" w:customStyle="1" w:styleId="973">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 w:type="paragraph" w:styleId="974">
    <w:name w:val="No Spacing"/>
    <w:basedOn w:val="1"/>
    <w:qFormat/>
    <w:uiPriority w:val="1"/>
    <w:rPr>
      <w:szCs w:val="22"/>
    </w:rPr>
  </w:style>
  <w:style w:type="paragraph" w:customStyle="1" w:styleId="975">
    <w:name w:val="Plain Text"/>
    <w:basedOn w:val="1"/>
    <w:qFormat/>
    <w:uiPriority w:val="0"/>
    <w:pPr>
      <w:adjustRightInd w:val="0"/>
      <w:textAlignment w:val="baseline"/>
    </w:pPr>
    <w:rPr>
      <w:rFonts w:ascii="宋体" w:hAnsi="Courier New" w:eastAsia="楷体_GB2312"/>
      <w:sz w:val="26"/>
      <w:szCs w:val="20"/>
    </w:rPr>
  </w:style>
  <w:style w:type="paragraph" w:customStyle="1" w:styleId="976">
    <w:name w:val="封面第一行"/>
    <w:basedOn w:val="1"/>
    <w:qFormat/>
    <w:uiPriority w:val="0"/>
    <w:pPr>
      <w:spacing w:line="360" w:lineRule="auto"/>
      <w:jc w:val="center"/>
    </w:pPr>
    <w:rPr>
      <w:rFonts w:ascii="黑体" w:hAnsi="宋体" w:eastAsia="黑体" w:cs="宋体"/>
      <w:sz w:val="56"/>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8"/>
    <customShpInfo spid="_x0000_s4097"/>
    <customShpInfo spid="_x0000_s4100"/>
    <customShpInfo spid="_x0000_s4099"/>
    <customShpInfo spid="_x0000_s4101"/>
    <customShpInfo spid="_x0000_s4102"/>
    <customShpInfo spid="_x0000_s4104"/>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47</Pages>
  <Words>25608</Words>
  <Characters>27154</Characters>
  <Lines>124</Lines>
  <Paragraphs>136</Paragraphs>
  <TotalTime>5</TotalTime>
  <ScaleCrop>false</ScaleCrop>
  <LinksUpToDate>false</LinksUpToDate>
  <CharactersWithSpaces>29153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2021-07-31T16:22:00Z</dcterms:created>
  <dc:creator>玥</dc:creator>
  <cp:lastModifiedBy>Administrator</cp:lastModifiedBy>
  <cp:lastPrinted>2022-09-07T17:05:00Z</cp:lastPrinted>
  <dcterms:modified xsi:type="dcterms:W3CDTF">2022-11-21T05:22:26Z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