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bCs/>
          <w:color w:val="auto"/>
          <w:spacing w:val="-10"/>
          <w:sz w:val="48"/>
          <w:szCs w:val="48"/>
          <w:highlight w:val="none"/>
          <w:lang w:eastAsia="zh-CN"/>
        </w:rPr>
      </w:pPr>
    </w:p>
    <w:p>
      <w:pPr>
        <w:pStyle w:val="6"/>
        <w:spacing w:line="276" w:lineRule="auto"/>
        <w:rPr>
          <w:rFonts w:hint="eastAsia" w:eastAsia="黑体"/>
          <w:b/>
          <w:bCs/>
          <w:color w:val="auto"/>
          <w:spacing w:val="-10"/>
          <w:sz w:val="48"/>
          <w:szCs w:val="48"/>
          <w:highlight w:val="none"/>
          <w:lang w:eastAsia="zh-CN"/>
        </w:rPr>
      </w:pPr>
      <w:r>
        <w:rPr>
          <w:rFonts w:hint="eastAsia" w:eastAsia="黑体"/>
          <w:b/>
          <w:bCs/>
          <w:color w:val="auto"/>
          <w:spacing w:val="-10"/>
          <w:sz w:val="48"/>
          <w:szCs w:val="48"/>
          <w:highlight w:val="none"/>
          <w:lang w:eastAsia="zh-CN"/>
        </w:rPr>
        <w:t>2023年度嘉兴港区道路、桥梁及雨水管线维修养护项目</w:t>
      </w:r>
    </w:p>
    <w:p>
      <w:pPr>
        <w:pStyle w:val="6"/>
        <w:spacing w:line="276" w:lineRule="auto"/>
        <w:rPr>
          <w:rFonts w:ascii="微软雅黑" w:hAnsi="微软雅黑" w:eastAsia="微软雅黑"/>
          <w:b w:val="0"/>
          <w:bCs/>
          <w:color w:val="auto"/>
          <w:spacing w:val="-4"/>
          <w:sz w:val="21"/>
          <w:szCs w:val="21"/>
          <w:highlight w:val="none"/>
        </w:rPr>
      </w:pPr>
      <w:r>
        <w:rPr>
          <w:rFonts w:hint="eastAsia"/>
          <w:color w:val="auto"/>
          <w:highlight w:val="none"/>
        </w:rPr>
        <w:t>（线上电子招投标）</w:t>
      </w: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int="eastAsia"/>
          <w:b/>
          <w:color w:val="auto"/>
          <w:sz w:val="36"/>
          <w:szCs w:val="36"/>
          <w:highlight w:val="none"/>
        </w:rPr>
        <w:t>（公开招标）</w:t>
      </w:r>
    </w:p>
    <w:p>
      <w:pPr>
        <w:spacing w:line="360" w:lineRule="auto"/>
        <w:jc w:val="center"/>
        <w:rPr>
          <w:b/>
          <w:color w:val="auto"/>
          <w:sz w:val="72"/>
          <w:szCs w:val="72"/>
          <w:highlight w:val="none"/>
        </w:rPr>
      </w:pPr>
    </w:p>
    <w:p>
      <w:pPr>
        <w:pStyle w:val="53"/>
        <w:rPr>
          <w:color w:val="auto"/>
          <w:highlight w:val="none"/>
        </w:rPr>
      </w:pPr>
    </w:p>
    <w:p>
      <w:pPr>
        <w:spacing w:line="360" w:lineRule="auto"/>
        <w:jc w:val="center"/>
        <w:rPr>
          <w:b/>
          <w:color w:val="auto"/>
          <w:sz w:val="72"/>
          <w:szCs w:val="72"/>
          <w:highlight w:val="none"/>
        </w:rPr>
      </w:pPr>
      <w:r>
        <w:rPr>
          <w:rFonts w:hint="eastAsia"/>
          <w:b/>
          <w:color w:val="auto"/>
          <w:sz w:val="72"/>
          <w:szCs w:val="72"/>
          <w:highlight w:val="none"/>
        </w:rPr>
        <w:t>招  标  文  件</w:t>
      </w: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ind w:firstLine="803" w:firstLineChars="250"/>
        <w:jc w:val="left"/>
        <w:rPr>
          <w:rFonts w:hint="eastAsia" w:ascii="宋体" w:eastAsia="宋体"/>
          <w:b/>
          <w:bCs/>
          <w:color w:val="auto"/>
          <w:sz w:val="32"/>
          <w:szCs w:val="32"/>
          <w:highlight w:val="none"/>
          <w:lang w:eastAsia="zh-CN"/>
        </w:rPr>
      </w:pPr>
      <w:r>
        <w:rPr>
          <w:rFonts w:ascii="宋体"/>
          <w:b/>
          <w:bCs/>
          <w:color w:val="auto"/>
          <w:sz w:val="32"/>
          <w:szCs w:val="32"/>
          <w:highlight w:val="none"/>
        </w:rPr>
        <w:t>项目编号：</w:t>
      </w:r>
      <w:r>
        <w:rPr>
          <w:rFonts w:hint="eastAsia" w:ascii="宋体"/>
          <w:b/>
          <w:bCs/>
          <w:color w:val="auto"/>
          <w:sz w:val="32"/>
          <w:szCs w:val="32"/>
          <w:highlight w:val="none"/>
          <w:lang w:eastAsia="zh-CN"/>
        </w:rPr>
        <w:t>JXYJZFCG-202</w:t>
      </w:r>
      <w:r>
        <w:rPr>
          <w:rFonts w:hint="eastAsia" w:ascii="宋体"/>
          <w:b/>
          <w:bCs/>
          <w:color w:val="auto"/>
          <w:sz w:val="32"/>
          <w:szCs w:val="32"/>
          <w:highlight w:val="none"/>
          <w:lang w:val="en-US" w:eastAsia="zh-CN"/>
        </w:rPr>
        <w:t>3</w:t>
      </w:r>
      <w:r>
        <w:rPr>
          <w:rFonts w:hint="eastAsia" w:ascii="宋体"/>
          <w:b/>
          <w:bCs/>
          <w:color w:val="auto"/>
          <w:sz w:val="32"/>
          <w:szCs w:val="32"/>
          <w:highlight w:val="none"/>
          <w:lang w:eastAsia="zh-CN"/>
        </w:rPr>
        <w:t>-</w:t>
      </w:r>
      <w:r>
        <w:rPr>
          <w:rFonts w:hint="eastAsia" w:ascii="宋体"/>
          <w:b/>
          <w:bCs/>
          <w:color w:val="auto"/>
          <w:sz w:val="32"/>
          <w:szCs w:val="32"/>
          <w:highlight w:val="none"/>
          <w:lang w:val="en-US" w:eastAsia="zh-CN"/>
        </w:rPr>
        <w:t xml:space="preserve">05 </w:t>
      </w:r>
    </w:p>
    <w:p>
      <w:pPr>
        <w:spacing w:line="360" w:lineRule="auto"/>
        <w:ind w:left="2244" w:leftChars="304" w:hanging="1606" w:hangingChars="500"/>
        <w:jc w:val="left"/>
        <w:rPr>
          <w:rFonts w:hint="eastAsia" w:hAnsi="宋体"/>
          <w:b/>
          <w:bCs/>
          <w:color w:val="auto"/>
          <w:sz w:val="30"/>
          <w:szCs w:val="30"/>
          <w:highlight w:val="none"/>
          <w:lang w:eastAsia="zh-CN"/>
        </w:rPr>
      </w:pPr>
      <w:r>
        <w:rPr>
          <w:rFonts w:hint="eastAsia" w:ascii="宋体"/>
          <w:b/>
          <w:bCs/>
          <w:color w:val="auto"/>
          <w:sz w:val="32"/>
          <w:szCs w:val="32"/>
          <w:highlight w:val="none"/>
        </w:rPr>
        <w:t>采购单位：</w:t>
      </w:r>
      <w:r>
        <w:rPr>
          <w:rFonts w:hint="eastAsia" w:hAnsi="宋体"/>
          <w:b/>
          <w:bCs/>
          <w:color w:val="auto"/>
          <w:sz w:val="30"/>
          <w:szCs w:val="30"/>
          <w:highlight w:val="none"/>
          <w:lang w:eastAsia="zh-CN"/>
        </w:rPr>
        <w:t xml:space="preserve">浙江乍浦经济开发区（嘉兴港区）管理委员会 </w:t>
      </w:r>
    </w:p>
    <w:p>
      <w:pPr>
        <w:spacing w:line="360" w:lineRule="auto"/>
        <w:ind w:firstLine="803" w:firstLineChars="250"/>
        <w:jc w:val="left"/>
        <w:rPr>
          <w:rFonts w:hint="eastAsia" w:ascii="宋体" w:eastAsia="宋体"/>
          <w:b/>
          <w:bCs/>
          <w:color w:val="auto"/>
          <w:sz w:val="32"/>
          <w:szCs w:val="32"/>
          <w:highlight w:val="none"/>
          <w:lang w:eastAsia="zh-CN"/>
        </w:rPr>
      </w:pPr>
      <w:r>
        <w:rPr>
          <w:rFonts w:hint="eastAsia" w:ascii="宋体"/>
          <w:b/>
          <w:color w:val="auto"/>
          <w:sz w:val="32"/>
          <w:szCs w:val="32"/>
          <w:highlight w:val="none"/>
        </w:rPr>
        <w:t>备案单位：</w:t>
      </w:r>
      <w:r>
        <w:rPr>
          <w:rFonts w:hint="eastAsia" w:ascii="宋体"/>
          <w:b/>
          <w:bCs/>
          <w:color w:val="auto"/>
          <w:sz w:val="32"/>
          <w:szCs w:val="32"/>
          <w:highlight w:val="none"/>
          <w:lang w:eastAsia="zh-CN"/>
        </w:rPr>
        <w:t>嘉兴市财政局港区分局</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代理机构：嘉兴市银建工程咨询评估有限公司</w:t>
      </w:r>
    </w:p>
    <w:p>
      <w:pPr>
        <w:pStyle w:val="19"/>
        <w:spacing w:line="360" w:lineRule="auto"/>
        <w:ind w:firstLine="790" w:firstLineChars="246"/>
        <w:rPr>
          <w:b/>
          <w:color w:val="auto"/>
          <w:sz w:val="32"/>
          <w:szCs w:val="32"/>
          <w:highlight w:val="none"/>
        </w:rPr>
      </w:pPr>
      <w:r>
        <w:rPr>
          <w:rFonts w:hint="eastAsia"/>
          <w:b/>
          <w:bCs/>
          <w:color w:val="auto"/>
          <w:sz w:val="32"/>
          <w:szCs w:val="32"/>
          <w:highlight w:val="none"/>
        </w:rPr>
        <w:t>编制日期：202</w:t>
      </w:r>
      <w:r>
        <w:rPr>
          <w:rFonts w:hint="eastAsia"/>
          <w:b/>
          <w:bCs/>
          <w:color w:val="auto"/>
          <w:sz w:val="32"/>
          <w:szCs w:val="32"/>
          <w:highlight w:val="none"/>
          <w:lang w:val="en-US" w:eastAsia="zh-CN"/>
        </w:rPr>
        <w:t>3</w:t>
      </w:r>
      <w:r>
        <w:rPr>
          <w:rFonts w:hint="eastAsia"/>
          <w:b/>
          <w:bCs/>
          <w:color w:val="auto"/>
          <w:sz w:val="32"/>
          <w:szCs w:val="32"/>
          <w:highlight w:val="none"/>
        </w:rPr>
        <w:t>年</w:t>
      </w:r>
      <w:r>
        <w:rPr>
          <w:rFonts w:hint="eastAsia"/>
          <w:b/>
          <w:bCs/>
          <w:color w:val="auto"/>
          <w:sz w:val="32"/>
          <w:szCs w:val="32"/>
          <w:highlight w:val="none"/>
          <w:lang w:val="en-US" w:eastAsia="zh-CN"/>
        </w:rPr>
        <w:t>4</w:t>
      </w:r>
      <w:r>
        <w:rPr>
          <w:rFonts w:hint="eastAsia"/>
          <w:b/>
          <w:bCs/>
          <w:color w:val="auto"/>
          <w:sz w:val="32"/>
          <w:szCs w:val="32"/>
          <w:highlight w:val="none"/>
        </w:rPr>
        <w:t>月</w:t>
      </w:r>
    </w:p>
    <w:p>
      <w:pPr>
        <w:pStyle w:val="19"/>
        <w:spacing w:line="360" w:lineRule="auto"/>
        <w:ind w:firstLine="3349" w:firstLineChars="695"/>
        <w:rPr>
          <w:rFonts w:hint="eastAsia"/>
          <w:b/>
          <w:color w:val="auto"/>
          <w:sz w:val="48"/>
          <w:szCs w:val="48"/>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9"/>
        <w:spacing w:line="360" w:lineRule="auto"/>
        <w:ind w:firstLine="3349" w:firstLineChars="695"/>
        <w:rPr>
          <w:b/>
          <w:color w:val="auto"/>
          <w:sz w:val="48"/>
          <w:szCs w:val="48"/>
          <w:highlight w:val="none"/>
        </w:rPr>
      </w:pPr>
      <w:r>
        <w:rPr>
          <w:rFonts w:hint="eastAsia"/>
          <w:b/>
          <w:color w:val="auto"/>
          <w:sz w:val="48"/>
          <w:szCs w:val="48"/>
          <w:highlight w:val="none"/>
        </w:rPr>
        <w:t>目  录</w:t>
      </w:r>
    </w:p>
    <w:p>
      <w:pPr>
        <w:pStyle w:val="19"/>
        <w:spacing w:line="480" w:lineRule="auto"/>
        <w:rPr>
          <w:color w:val="auto"/>
          <w:sz w:val="21"/>
          <w:szCs w:val="21"/>
          <w:highlight w:val="none"/>
        </w:rPr>
      </w:pPr>
      <w:r>
        <w:rPr>
          <w:rFonts w:hint="eastAsia"/>
          <w:color w:val="auto"/>
          <w:sz w:val="21"/>
          <w:szCs w:val="21"/>
          <w:highlight w:val="none"/>
        </w:rPr>
        <w:t>第一章 公开招标采购公告</w:t>
      </w:r>
    </w:p>
    <w:p>
      <w:pPr>
        <w:pStyle w:val="19"/>
        <w:spacing w:line="480" w:lineRule="auto"/>
        <w:rPr>
          <w:color w:val="auto"/>
          <w:sz w:val="21"/>
          <w:szCs w:val="21"/>
          <w:highlight w:val="none"/>
        </w:rPr>
      </w:pPr>
      <w:r>
        <w:rPr>
          <w:rFonts w:hint="eastAsia"/>
          <w:color w:val="auto"/>
          <w:sz w:val="21"/>
          <w:szCs w:val="21"/>
          <w:highlight w:val="none"/>
        </w:rPr>
        <w:t>第二章 投标人须知</w:t>
      </w:r>
    </w:p>
    <w:p>
      <w:pPr>
        <w:pStyle w:val="19"/>
        <w:spacing w:line="480" w:lineRule="auto"/>
        <w:ind w:firstLine="735" w:firstLineChars="350"/>
        <w:rPr>
          <w:color w:val="auto"/>
          <w:sz w:val="21"/>
          <w:szCs w:val="21"/>
          <w:highlight w:val="none"/>
        </w:rPr>
      </w:pPr>
      <w:r>
        <w:rPr>
          <w:rFonts w:hint="eastAsia"/>
          <w:color w:val="auto"/>
          <w:sz w:val="21"/>
          <w:szCs w:val="21"/>
          <w:highlight w:val="none"/>
        </w:rPr>
        <w:t>附表</w:t>
      </w:r>
    </w:p>
    <w:p>
      <w:pPr>
        <w:pStyle w:val="19"/>
        <w:spacing w:line="480" w:lineRule="auto"/>
        <w:ind w:firstLine="735" w:firstLineChars="350"/>
        <w:rPr>
          <w:color w:val="auto"/>
          <w:sz w:val="21"/>
          <w:szCs w:val="21"/>
          <w:highlight w:val="none"/>
        </w:rPr>
      </w:pPr>
      <w:r>
        <w:rPr>
          <w:rFonts w:hint="eastAsia"/>
          <w:color w:val="auto"/>
          <w:sz w:val="21"/>
          <w:szCs w:val="21"/>
          <w:highlight w:val="none"/>
        </w:rPr>
        <w:t>一、总则</w:t>
      </w:r>
    </w:p>
    <w:p>
      <w:pPr>
        <w:pStyle w:val="19"/>
        <w:spacing w:line="480" w:lineRule="auto"/>
        <w:ind w:firstLine="735" w:firstLineChars="350"/>
        <w:rPr>
          <w:color w:val="auto"/>
          <w:sz w:val="21"/>
          <w:szCs w:val="21"/>
          <w:highlight w:val="none"/>
        </w:rPr>
      </w:pPr>
      <w:r>
        <w:rPr>
          <w:rFonts w:hint="eastAsia"/>
          <w:color w:val="auto"/>
          <w:sz w:val="21"/>
          <w:szCs w:val="21"/>
          <w:highlight w:val="none"/>
        </w:rPr>
        <w:t>二、招标文件</w:t>
      </w:r>
    </w:p>
    <w:p>
      <w:pPr>
        <w:pStyle w:val="19"/>
        <w:spacing w:line="480" w:lineRule="auto"/>
        <w:ind w:firstLine="735" w:firstLineChars="350"/>
        <w:rPr>
          <w:color w:val="auto"/>
          <w:sz w:val="21"/>
          <w:szCs w:val="21"/>
          <w:highlight w:val="none"/>
        </w:rPr>
      </w:pPr>
      <w:r>
        <w:rPr>
          <w:rFonts w:hint="eastAsia"/>
          <w:color w:val="auto"/>
          <w:sz w:val="21"/>
          <w:szCs w:val="21"/>
          <w:highlight w:val="none"/>
        </w:rPr>
        <w:t>三、投标文件的编制</w:t>
      </w:r>
    </w:p>
    <w:p>
      <w:pPr>
        <w:pStyle w:val="19"/>
        <w:spacing w:line="480" w:lineRule="auto"/>
        <w:ind w:firstLine="735" w:firstLineChars="350"/>
        <w:rPr>
          <w:color w:val="auto"/>
          <w:sz w:val="21"/>
          <w:szCs w:val="21"/>
          <w:highlight w:val="none"/>
        </w:rPr>
      </w:pPr>
      <w:r>
        <w:rPr>
          <w:rFonts w:hint="eastAsia"/>
          <w:color w:val="auto"/>
          <w:sz w:val="21"/>
          <w:szCs w:val="21"/>
          <w:highlight w:val="none"/>
        </w:rPr>
        <w:t>四、开标</w:t>
      </w:r>
    </w:p>
    <w:p>
      <w:pPr>
        <w:pStyle w:val="19"/>
        <w:spacing w:line="480" w:lineRule="auto"/>
        <w:ind w:firstLine="735" w:firstLineChars="350"/>
        <w:rPr>
          <w:color w:val="auto"/>
          <w:sz w:val="21"/>
          <w:szCs w:val="21"/>
          <w:highlight w:val="none"/>
        </w:rPr>
      </w:pPr>
      <w:r>
        <w:rPr>
          <w:rFonts w:hint="eastAsia"/>
          <w:color w:val="auto"/>
          <w:sz w:val="21"/>
          <w:szCs w:val="21"/>
          <w:highlight w:val="none"/>
          <w:lang w:val="en-US" w:eastAsia="zh-CN"/>
        </w:rPr>
        <w:t>五</w:t>
      </w:r>
      <w:r>
        <w:rPr>
          <w:rFonts w:hint="eastAsia"/>
          <w:color w:val="auto"/>
          <w:sz w:val="21"/>
          <w:szCs w:val="21"/>
          <w:highlight w:val="none"/>
        </w:rPr>
        <w:t>、评标</w:t>
      </w:r>
    </w:p>
    <w:p>
      <w:pPr>
        <w:pStyle w:val="19"/>
        <w:spacing w:line="480" w:lineRule="auto"/>
        <w:ind w:firstLine="735" w:firstLineChars="350"/>
        <w:rPr>
          <w:color w:val="auto"/>
          <w:sz w:val="21"/>
          <w:szCs w:val="21"/>
          <w:highlight w:val="none"/>
        </w:rPr>
      </w:pPr>
      <w:r>
        <w:rPr>
          <w:rFonts w:hint="eastAsia"/>
          <w:color w:val="auto"/>
          <w:sz w:val="21"/>
          <w:szCs w:val="21"/>
          <w:highlight w:val="none"/>
          <w:lang w:val="en-US" w:eastAsia="zh-CN"/>
        </w:rPr>
        <w:t>六</w:t>
      </w:r>
      <w:r>
        <w:rPr>
          <w:rFonts w:hint="eastAsia"/>
          <w:color w:val="auto"/>
          <w:sz w:val="21"/>
          <w:szCs w:val="21"/>
          <w:highlight w:val="none"/>
        </w:rPr>
        <w:t>、定标</w:t>
      </w:r>
    </w:p>
    <w:p>
      <w:pPr>
        <w:pStyle w:val="19"/>
        <w:spacing w:line="480" w:lineRule="auto"/>
        <w:ind w:firstLine="735" w:firstLineChars="350"/>
        <w:rPr>
          <w:color w:val="auto"/>
          <w:sz w:val="21"/>
          <w:szCs w:val="21"/>
          <w:highlight w:val="none"/>
        </w:rPr>
      </w:pPr>
      <w:r>
        <w:rPr>
          <w:rFonts w:hint="eastAsia"/>
          <w:color w:val="auto"/>
          <w:sz w:val="21"/>
          <w:szCs w:val="21"/>
          <w:highlight w:val="none"/>
          <w:lang w:val="en-US" w:eastAsia="zh-CN"/>
        </w:rPr>
        <w:t>七</w:t>
      </w:r>
      <w:r>
        <w:rPr>
          <w:rFonts w:hint="eastAsia"/>
          <w:color w:val="auto"/>
          <w:sz w:val="21"/>
          <w:szCs w:val="21"/>
          <w:highlight w:val="none"/>
        </w:rPr>
        <w:t>、合同授予</w:t>
      </w:r>
    </w:p>
    <w:p>
      <w:pPr>
        <w:pStyle w:val="19"/>
        <w:tabs>
          <w:tab w:val="right" w:pos="8820"/>
        </w:tabs>
        <w:spacing w:line="480" w:lineRule="auto"/>
        <w:rPr>
          <w:color w:val="auto"/>
          <w:sz w:val="21"/>
          <w:szCs w:val="21"/>
          <w:highlight w:val="none"/>
        </w:rPr>
      </w:pPr>
      <w:r>
        <w:rPr>
          <w:rFonts w:hint="eastAsia"/>
          <w:color w:val="auto"/>
          <w:sz w:val="21"/>
          <w:szCs w:val="21"/>
          <w:highlight w:val="none"/>
        </w:rPr>
        <w:t>第三章 招标项目要求</w:t>
      </w:r>
    </w:p>
    <w:p>
      <w:pPr>
        <w:pStyle w:val="19"/>
        <w:spacing w:line="480" w:lineRule="auto"/>
        <w:rPr>
          <w:color w:val="auto"/>
          <w:sz w:val="21"/>
          <w:szCs w:val="21"/>
          <w:highlight w:val="none"/>
        </w:rPr>
      </w:pPr>
      <w:r>
        <w:rPr>
          <w:rFonts w:hint="eastAsia"/>
          <w:color w:val="auto"/>
          <w:sz w:val="21"/>
          <w:szCs w:val="21"/>
          <w:highlight w:val="none"/>
        </w:rPr>
        <w:t>第四章 合同样本</w:t>
      </w:r>
    </w:p>
    <w:p>
      <w:pPr>
        <w:pStyle w:val="19"/>
        <w:spacing w:line="480" w:lineRule="auto"/>
        <w:rPr>
          <w:color w:val="auto"/>
          <w:sz w:val="21"/>
          <w:szCs w:val="21"/>
          <w:highlight w:val="none"/>
        </w:rPr>
      </w:pPr>
      <w:r>
        <w:rPr>
          <w:rFonts w:hint="eastAsia"/>
          <w:color w:val="auto"/>
          <w:sz w:val="21"/>
          <w:szCs w:val="21"/>
          <w:highlight w:val="none"/>
        </w:rPr>
        <w:t>第五章 评标办法</w:t>
      </w:r>
    </w:p>
    <w:p>
      <w:pPr>
        <w:pStyle w:val="19"/>
        <w:spacing w:line="480" w:lineRule="auto"/>
        <w:rPr>
          <w:color w:val="auto"/>
          <w:sz w:val="24"/>
          <w:szCs w:val="24"/>
          <w:highlight w:val="none"/>
        </w:rPr>
      </w:pPr>
      <w:r>
        <w:rPr>
          <w:rFonts w:hint="eastAsia"/>
          <w:color w:val="auto"/>
          <w:sz w:val="21"/>
          <w:szCs w:val="21"/>
          <w:highlight w:val="none"/>
        </w:rPr>
        <w:t>第六章 投标相关文件格式</w:t>
      </w:r>
    </w:p>
    <w:p>
      <w:pPr>
        <w:pStyle w:val="19"/>
        <w:spacing w:line="480" w:lineRule="auto"/>
        <w:jc w:val="center"/>
        <w:rPr>
          <w:rFonts w:hint="eastAsia"/>
          <w:b/>
          <w:color w:val="auto"/>
          <w:sz w:val="24"/>
          <w:szCs w:val="24"/>
          <w:highlight w:val="none"/>
        </w:rPr>
        <w:sectPr>
          <w:footerReference r:id="rId4" w:type="default"/>
          <w:pgSz w:w="11906" w:h="16838"/>
          <w:pgMar w:top="1474" w:right="1797" w:bottom="1247" w:left="1797"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19"/>
        <w:spacing w:line="480" w:lineRule="auto"/>
        <w:jc w:val="center"/>
        <w:rPr>
          <w:rFonts w:hint="eastAsia"/>
          <w:b/>
          <w:color w:val="auto"/>
          <w:sz w:val="24"/>
          <w:szCs w:val="24"/>
          <w:highlight w:val="none"/>
        </w:rPr>
      </w:pPr>
      <w:r>
        <w:rPr>
          <w:rFonts w:hint="eastAsia"/>
          <w:b/>
          <w:color w:val="auto"/>
          <w:sz w:val="24"/>
          <w:szCs w:val="24"/>
          <w:highlight w:val="none"/>
        </w:rPr>
        <w:t>第一章  公开招标采购公告</w:t>
      </w:r>
    </w:p>
    <w:p>
      <w:pPr>
        <w:pStyle w:val="29"/>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100" w:afterAutospacing="1"/>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7"/>
          <w:szCs w:val="27"/>
          <w:highlight w:val="none"/>
        </w:rPr>
        <w:t> </w:t>
      </w:r>
      <w:r>
        <w:rPr>
          <w:rFonts w:hint="eastAsia" w:ascii="宋体" w:hAnsi="宋体" w:eastAsia="宋体" w:cs="宋体"/>
          <w:i w:val="0"/>
          <w:iCs w:val="0"/>
          <w:caps w:val="0"/>
          <w:color w:val="auto"/>
          <w:spacing w:val="0"/>
          <w:sz w:val="21"/>
          <w:szCs w:val="21"/>
          <w:highlight w:val="none"/>
        </w:rPr>
        <w:t>项目概况                                                     </w:t>
      </w:r>
      <w:r>
        <w:rPr>
          <w:rFonts w:hint="eastAsia" w:ascii="宋体" w:hAnsi="宋体" w:eastAsia="宋体" w:cs="宋体"/>
          <w:i w:val="0"/>
          <w:iCs w:val="0"/>
          <w:caps w:val="0"/>
          <w:color w:val="auto"/>
          <w:spacing w:val="0"/>
          <w:sz w:val="21"/>
          <w:szCs w:val="21"/>
          <w:highlight w:val="none"/>
          <w:lang w:eastAsia="zh-CN"/>
        </w:rPr>
        <w:t>2023年度嘉兴港区道路、桥梁及雨水管线维修养护项目</w:t>
      </w:r>
      <w:r>
        <w:rPr>
          <w:rFonts w:hint="eastAsia" w:ascii="宋体" w:hAnsi="宋体" w:eastAsia="宋体" w:cs="宋体"/>
          <w:i w:val="0"/>
          <w:iCs w:val="0"/>
          <w:caps w:val="0"/>
          <w:color w:val="auto"/>
          <w:spacing w:val="0"/>
          <w:sz w:val="21"/>
          <w:szCs w:val="21"/>
          <w:highlight w:val="none"/>
        </w:rPr>
        <w:t>招标项目的潜在投标人应在</w:t>
      </w:r>
      <w:r>
        <w:rPr>
          <w:rFonts w:hint="eastAsia" w:ascii="宋体" w:hAnsi="宋体" w:eastAsia="宋体" w:cs="宋体"/>
          <w:i w:val="0"/>
          <w:iCs w:val="0"/>
          <w:caps w:val="0"/>
          <w:color w:val="auto"/>
          <w:spacing w:val="0"/>
          <w:sz w:val="21"/>
          <w:szCs w:val="21"/>
          <w:highlight w:val="none"/>
          <w:u w:val="none"/>
        </w:rPr>
        <w:t>政府采购云平台（https://www.zcygov.cn/）</w:t>
      </w:r>
      <w:r>
        <w:rPr>
          <w:rFonts w:hint="eastAsia" w:ascii="宋体" w:hAnsi="宋体" w:eastAsia="宋体" w:cs="宋体"/>
          <w:i w:val="0"/>
          <w:iCs w:val="0"/>
          <w:caps w:val="0"/>
          <w:color w:val="auto"/>
          <w:spacing w:val="0"/>
          <w:sz w:val="21"/>
          <w:szCs w:val="21"/>
          <w:highlight w:val="none"/>
        </w:rPr>
        <w:t>获取（下载）招标文件，并于202</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年</w:t>
      </w:r>
      <w:r>
        <w:rPr>
          <w:rFonts w:hint="eastAsia" w:hAnsi="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月</w:t>
      </w:r>
      <w:r>
        <w:rPr>
          <w:rFonts w:hint="eastAsia" w:hAnsi="宋体" w:cs="宋体"/>
          <w:i w:val="0"/>
          <w:iCs w:val="0"/>
          <w:caps w:val="0"/>
          <w:color w:val="auto"/>
          <w:spacing w:val="0"/>
          <w:sz w:val="21"/>
          <w:szCs w:val="21"/>
          <w:highlight w:val="none"/>
          <w:lang w:val="en-US" w:eastAsia="zh-CN"/>
        </w:rPr>
        <w:t>19</w:t>
      </w:r>
      <w:r>
        <w:rPr>
          <w:rFonts w:hint="eastAsia" w:ascii="宋体" w:hAnsi="宋体" w:eastAsia="宋体" w:cs="宋体"/>
          <w:i w:val="0"/>
          <w:iCs w:val="0"/>
          <w:caps w:val="0"/>
          <w:color w:val="auto"/>
          <w:spacing w:val="0"/>
          <w:sz w:val="21"/>
          <w:szCs w:val="21"/>
          <w:highlight w:val="none"/>
        </w:rPr>
        <w:t xml:space="preserve">日 </w:t>
      </w:r>
      <w:r>
        <w:rPr>
          <w:rFonts w:hint="eastAsia" w:ascii="宋体" w:hAnsi="宋体" w:eastAsia="宋体" w:cs="宋体"/>
          <w:i w:val="0"/>
          <w:iCs w:val="0"/>
          <w:caps w:val="0"/>
          <w:color w:val="auto"/>
          <w:spacing w:val="0"/>
          <w:sz w:val="21"/>
          <w:szCs w:val="21"/>
          <w:highlight w:val="none"/>
          <w:lang w:val="en-US" w:eastAsia="zh-CN"/>
        </w:rPr>
        <w:t>09</w:t>
      </w:r>
      <w:r>
        <w:rPr>
          <w:rFonts w:hint="eastAsia" w:ascii="宋体" w:hAnsi="宋体" w:eastAsia="宋体" w:cs="宋体"/>
          <w:i w:val="0"/>
          <w:iCs w:val="0"/>
          <w:caps w:val="0"/>
          <w:color w:val="auto"/>
          <w:spacing w:val="0"/>
          <w:sz w:val="21"/>
          <w:szCs w:val="21"/>
          <w:highlight w:val="none"/>
        </w:rPr>
        <w:t>:30（北京时间）前递交（上传）投标文件。                             </w:t>
      </w:r>
      <w:r>
        <w:rPr>
          <w:rStyle w:val="36"/>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before="225" w:beforeAutospacing="0" w:after="225" w:afterAutospacing="0" w:line="300" w:lineRule="atLeast"/>
        <w:rPr>
          <w:rStyle w:val="36"/>
          <w:rFonts w:hint="eastAsia" w:ascii="宋体" w:hAnsi="宋体" w:eastAsia="宋体" w:cs="宋体"/>
          <w:i w:val="0"/>
          <w:iCs w:val="0"/>
          <w:caps w:val="0"/>
          <w:color w:val="auto"/>
          <w:spacing w:val="0"/>
          <w:sz w:val="21"/>
          <w:szCs w:val="21"/>
          <w:highlight w:val="none"/>
        </w:rPr>
      </w:pPr>
      <w:r>
        <w:rPr>
          <w:rStyle w:val="36"/>
          <w:rFonts w:hint="eastAsia" w:ascii="宋体" w:hAnsi="宋体" w:eastAsia="宋体" w:cs="宋体"/>
          <w:i w:val="0"/>
          <w:iCs w:val="0"/>
          <w:caps w:val="0"/>
          <w:color w:val="auto"/>
          <w:spacing w:val="0"/>
          <w:sz w:val="21"/>
          <w:szCs w:val="21"/>
          <w:highlight w:val="none"/>
          <w:lang w:eastAsia="zh-CN"/>
        </w:rPr>
        <w:t>一、项目基本情况</w:t>
      </w:r>
      <w:r>
        <w:rPr>
          <w:rStyle w:val="36"/>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line="300" w:lineRule="atLeast"/>
        <w:ind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项目编号：</w:t>
      </w:r>
      <w:r>
        <w:rPr>
          <w:rFonts w:hint="eastAsia" w:ascii="宋体" w:hAnsi="宋体" w:eastAsia="宋体" w:cs="宋体"/>
          <w:i w:val="0"/>
          <w:iCs w:val="0"/>
          <w:caps w:val="0"/>
          <w:color w:val="auto"/>
          <w:spacing w:val="0"/>
          <w:sz w:val="21"/>
          <w:szCs w:val="21"/>
          <w:highlight w:val="none"/>
          <w:lang w:eastAsia="zh-CN"/>
        </w:rPr>
        <w:t>JXYJZFCG-202</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hAnsi="宋体" w:cs="宋体"/>
          <w:i w:val="0"/>
          <w:iCs w:val="0"/>
          <w:caps w:val="0"/>
          <w:color w:val="auto"/>
          <w:spacing w:val="0"/>
          <w:sz w:val="21"/>
          <w:szCs w:val="21"/>
          <w:highlight w:val="none"/>
          <w:lang w:val="en-US" w:eastAsia="zh-CN"/>
        </w:rPr>
        <w:t>05</w:t>
      </w:r>
      <w:r>
        <w:rPr>
          <w:rFonts w:hint="eastAsia" w:ascii="宋体" w:hAnsi="宋体" w:eastAsia="宋体" w:cs="宋体"/>
          <w:i w:val="0"/>
          <w:iCs w:val="0"/>
          <w:caps w:val="0"/>
          <w:color w:val="auto"/>
          <w:spacing w:val="0"/>
          <w:sz w:val="21"/>
          <w:szCs w:val="21"/>
          <w:highlight w:val="none"/>
          <w:lang w:val="en-US" w:eastAsia="zh-CN"/>
        </w:rPr>
        <w:t xml:space="preserve"> </w:t>
      </w:r>
    </w:p>
    <w:p>
      <w:pPr>
        <w:pStyle w:val="29"/>
        <w:keepNext w:val="0"/>
        <w:keepLines w:val="0"/>
        <w:widowControl/>
        <w:suppressLineNumbers w:val="0"/>
        <w:spacing w:line="300" w:lineRule="atLeast"/>
        <w:ind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项目名称：</w:t>
      </w:r>
      <w:r>
        <w:rPr>
          <w:rFonts w:hint="eastAsia" w:ascii="宋体" w:hAnsi="宋体" w:eastAsia="宋体" w:cs="宋体"/>
          <w:i w:val="0"/>
          <w:iCs w:val="0"/>
          <w:caps w:val="0"/>
          <w:color w:val="auto"/>
          <w:spacing w:val="0"/>
          <w:sz w:val="21"/>
          <w:szCs w:val="21"/>
          <w:highlight w:val="none"/>
          <w:lang w:eastAsia="zh-CN"/>
        </w:rPr>
        <w:t>2023年度嘉兴港区道路、桥梁及雨水管线维修养护项目</w:t>
      </w:r>
      <w:r>
        <w:rPr>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line="300" w:lineRule="atLeast"/>
        <w:ind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预算金额（元）：</w:t>
      </w:r>
      <w:r>
        <w:rPr>
          <w:rFonts w:hint="eastAsia" w:hAnsi="宋体" w:cs="宋体"/>
          <w:i w:val="0"/>
          <w:iCs w:val="0"/>
          <w:caps w:val="0"/>
          <w:color w:val="auto"/>
          <w:spacing w:val="0"/>
          <w:sz w:val="21"/>
          <w:szCs w:val="21"/>
          <w:highlight w:val="none"/>
          <w:lang w:val="en-US" w:eastAsia="zh-CN"/>
        </w:rPr>
        <w:t>10000000</w:t>
      </w:r>
      <w:r>
        <w:rPr>
          <w:rFonts w:hint="eastAsia" w:ascii="宋体" w:hAnsi="宋体" w:eastAsia="宋体" w:cs="宋体"/>
          <w:i w:val="0"/>
          <w:iCs w:val="0"/>
          <w:caps w:val="0"/>
          <w:color w:val="auto"/>
          <w:spacing w:val="0"/>
          <w:sz w:val="21"/>
          <w:szCs w:val="21"/>
          <w:highlight w:val="none"/>
          <w:lang w:val="en-US" w:eastAsia="zh-CN"/>
        </w:rPr>
        <w:t xml:space="preserve">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hAnsi="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最高限价（元）：</w:t>
      </w:r>
      <w:r>
        <w:rPr>
          <w:rFonts w:hint="eastAsia" w:hAnsi="宋体" w:cs="宋体"/>
          <w:i w:val="0"/>
          <w:iCs w:val="0"/>
          <w:caps w:val="0"/>
          <w:color w:val="auto"/>
          <w:spacing w:val="0"/>
          <w:sz w:val="21"/>
          <w:szCs w:val="21"/>
          <w:highlight w:val="none"/>
          <w:lang w:val="en-US" w:eastAsia="zh-CN"/>
        </w:rPr>
        <w:t>6000000</w:t>
      </w:r>
      <w:r>
        <w:rPr>
          <w:rFonts w:hint="eastAsia" w:ascii="宋体" w:hAnsi="宋体" w:eastAsia="宋体" w:cs="宋体"/>
          <w:i w:val="0"/>
          <w:iCs w:val="0"/>
          <w:caps w:val="0"/>
          <w:color w:val="auto"/>
          <w:spacing w:val="0"/>
          <w:sz w:val="21"/>
          <w:szCs w:val="21"/>
          <w:highlight w:val="none"/>
          <w:lang w:val="en-US" w:eastAsia="zh-CN"/>
        </w:rPr>
        <w:t>,</w:t>
      </w:r>
      <w:r>
        <w:rPr>
          <w:rFonts w:hint="eastAsia" w:hAnsi="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val="en-US" w:eastAsia="zh-CN"/>
        </w:rPr>
        <w:t xml:space="preserve">000000 </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ind w:firstLine="420"/>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采购需求：</w:t>
      </w:r>
      <w:r>
        <w:rPr>
          <w:rFonts w:hint="eastAsia" w:ascii="宋体" w:hAnsi="宋体" w:eastAsia="宋体" w:cs="宋体"/>
          <w:i w:val="0"/>
          <w:iCs w:val="0"/>
          <w:caps w:val="0"/>
          <w:color w:val="auto"/>
          <w:spacing w:val="0"/>
          <w:sz w:val="21"/>
          <w:szCs w:val="21"/>
          <w:highlight w:val="none"/>
          <w:lang w:val="en-US" w:eastAsia="zh-CN"/>
        </w:rPr>
        <w:t>详见第三章</w:t>
      </w:r>
    </w:p>
    <w:p>
      <w:pPr>
        <w:autoSpaceDE w:val="0"/>
        <w:autoSpaceDN w:val="0"/>
        <w:snapToGrid w:val="0"/>
        <w:spacing w:line="540" w:lineRule="exact"/>
        <w:ind w:firstLine="210" w:firstLineChars="100"/>
        <w:rPr>
          <w:rFonts w:hint="eastAsia" w:ascii="宋体" w:hAnsi="宋体" w:eastAsia="宋体" w:cs="宋体"/>
          <w:b/>
          <w:bCs/>
          <w:color w:val="auto"/>
          <w:sz w:val="21"/>
          <w:szCs w:val="21"/>
          <w:highlight w:val="none"/>
        </w:rPr>
      </w:pPr>
      <w:r>
        <w:rPr>
          <w:rFonts w:hint="eastAsia" w:ascii="宋体" w:hAnsi="宋体" w:eastAsia="宋体" w:cs="宋体"/>
          <w:i w:val="0"/>
          <w:iCs w:val="0"/>
          <w:caps w:val="0"/>
          <w:color w:val="auto"/>
          <w:spacing w:val="0"/>
          <w:sz w:val="21"/>
          <w:szCs w:val="21"/>
          <w:highlight w:val="none"/>
        </w:rPr>
        <w:t>  标项一</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标项名称: </w:t>
      </w:r>
      <w:r>
        <w:rPr>
          <w:rFonts w:hint="eastAsia" w:ascii="宋体" w:hAnsi="宋体" w:eastAsia="宋体" w:cs="宋体"/>
          <w:i w:val="0"/>
          <w:iCs w:val="0"/>
          <w:caps w:val="0"/>
          <w:color w:val="auto"/>
          <w:spacing w:val="0"/>
          <w:sz w:val="21"/>
          <w:szCs w:val="21"/>
          <w:highlight w:val="none"/>
          <w:lang w:eastAsia="zh-CN"/>
        </w:rPr>
        <w:t>2023年度嘉兴港区道路、桥梁及雨水管线维修养护项目</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标段一</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数量: </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预算金额（元）:</w:t>
      </w:r>
      <w:r>
        <w:rPr>
          <w:rFonts w:hint="eastAsia" w:ascii="宋体" w:hAnsi="宋体" w:cs="宋体"/>
          <w:i w:val="0"/>
          <w:iCs w:val="0"/>
          <w:caps w:val="0"/>
          <w:color w:val="auto"/>
          <w:spacing w:val="0"/>
          <w:sz w:val="21"/>
          <w:szCs w:val="21"/>
          <w:highlight w:val="none"/>
          <w:lang w:val="en-US" w:eastAsia="zh-CN"/>
        </w:rPr>
        <w:t>6000000</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简要规格描述或项目基本概况介绍、用途：详见招标文件的第</w:t>
      </w:r>
      <w:r>
        <w:rPr>
          <w:rFonts w:hint="eastAsia" w:ascii="宋体" w:hAnsi="宋体" w:eastAsia="宋体" w:cs="宋体"/>
          <w:i w:val="0"/>
          <w:iCs w:val="0"/>
          <w:caps w:val="0"/>
          <w:color w:val="auto"/>
          <w:spacing w:val="0"/>
          <w:sz w:val="21"/>
          <w:szCs w:val="21"/>
          <w:highlight w:val="none"/>
          <w:lang w:val="en-US" w:eastAsia="zh-CN"/>
        </w:rPr>
        <w:t>三</w:t>
      </w:r>
      <w:r>
        <w:rPr>
          <w:rFonts w:hint="eastAsia" w:ascii="宋体" w:hAnsi="宋体" w:eastAsia="宋体" w:cs="宋体"/>
          <w:i w:val="0"/>
          <w:iCs w:val="0"/>
          <w:caps w:val="0"/>
          <w:color w:val="auto"/>
          <w:spacing w:val="0"/>
          <w:sz w:val="21"/>
          <w:szCs w:val="21"/>
          <w:highlight w:val="none"/>
        </w:rPr>
        <w:t>章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备注：</w:t>
      </w:r>
      <w:r>
        <w:rPr>
          <w:rFonts w:hint="eastAsia" w:ascii="宋体" w:hAnsi="宋体" w:eastAsia="宋体" w:cs="宋体"/>
          <w:b/>
          <w:bCs/>
          <w:i w:val="0"/>
          <w:iCs w:val="0"/>
          <w:caps w:val="0"/>
          <w:color w:val="auto"/>
          <w:spacing w:val="0"/>
          <w:sz w:val="21"/>
          <w:szCs w:val="21"/>
          <w:highlight w:val="none"/>
          <w:lang w:val="en-US" w:eastAsia="zh-CN"/>
        </w:rPr>
        <w:t>本项目分</w:t>
      </w:r>
      <w:r>
        <w:rPr>
          <w:rFonts w:hint="eastAsia" w:ascii="宋体" w:hAnsi="宋体" w:eastAsia="宋体" w:cs="宋体"/>
          <w:b/>
          <w:bCs/>
          <w:i w:val="0"/>
          <w:iCs w:val="0"/>
          <w:caps w:val="0"/>
          <w:color w:val="auto"/>
          <w:spacing w:val="0"/>
          <w:sz w:val="21"/>
          <w:szCs w:val="21"/>
          <w:highlight w:val="none"/>
        </w:rPr>
        <w:t>为</w:t>
      </w:r>
      <w:r>
        <w:rPr>
          <w:rFonts w:hint="eastAsia" w:ascii="宋体" w:hAnsi="宋体" w:eastAsia="宋体" w:cs="宋体"/>
          <w:b/>
          <w:bCs/>
          <w:i w:val="0"/>
          <w:iCs w:val="0"/>
          <w:caps w:val="0"/>
          <w:color w:val="auto"/>
          <w:spacing w:val="0"/>
          <w:sz w:val="21"/>
          <w:szCs w:val="21"/>
          <w:highlight w:val="none"/>
          <w:lang w:val="en-US" w:eastAsia="zh-CN"/>
        </w:rPr>
        <w:t>二</w:t>
      </w:r>
      <w:r>
        <w:rPr>
          <w:rFonts w:hint="eastAsia" w:ascii="宋体" w:hAnsi="宋体" w:eastAsia="宋体" w:cs="宋体"/>
          <w:b/>
          <w:bCs/>
          <w:i w:val="0"/>
          <w:iCs w:val="0"/>
          <w:caps w:val="0"/>
          <w:color w:val="auto"/>
          <w:spacing w:val="0"/>
          <w:sz w:val="21"/>
          <w:szCs w:val="21"/>
          <w:highlight w:val="none"/>
        </w:rPr>
        <w:t>个标项，</w:t>
      </w:r>
      <w:r>
        <w:rPr>
          <w:rFonts w:hint="eastAsia" w:ascii="宋体" w:hAnsi="宋体" w:eastAsia="宋体" w:cs="宋体"/>
          <w:b/>
          <w:bCs/>
          <w:i w:val="0"/>
          <w:iCs w:val="0"/>
          <w:caps w:val="0"/>
          <w:color w:val="auto"/>
          <w:spacing w:val="0"/>
          <w:sz w:val="21"/>
          <w:szCs w:val="21"/>
          <w:highlight w:val="none"/>
          <w:lang w:eastAsia="zh-CN"/>
        </w:rPr>
        <w:t>投标人</w:t>
      </w:r>
      <w:r>
        <w:rPr>
          <w:rFonts w:hint="eastAsia" w:ascii="宋体" w:hAnsi="宋体" w:eastAsia="宋体" w:cs="宋体"/>
          <w:b/>
          <w:bCs/>
          <w:i w:val="0"/>
          <w:iCs w:val="0"/>
          <w:caps w:val="0"/>
          <w:color w:val="auto"/>
          <w:spacing w:val="0"/>
          <w:sz w:val="21"/>
          <w:szCs w:val="21"/>
          <w:highlight w:val="none"/>
        </w:rPr>
        <w:t>可自行选择标项响应投标，但</w:t>
      </w:r>
      <w:r>
        <w:rPr>
          <w:rFonts w:hint="eastAsia" w:ascii="宋体" w:hAnsi="宋体" w:eastAsia="宋体" w:cs="宋体"/>
          <w:b/>
          <w:bCs/>
          <w:i w:val="0"/>
          <w:iCs w:val="0"/>
          <w:caps w:val="0"/>
          <w:color w:val="auto"/>
          <w:spacing w:val="0"/>
          <w:sz w:val="21"/>
          <w:szCs w:val="21"/>
          <w:highlight w:val="none"/>
          <w:lang w:eastAsia="zh-CN"/>
        </w:rPr>
        <w:t>投标人</w:t>
      </w:r>
      <w:r>
        <w:rPr>
          <w:rFonts w:hint="eastAsia" w:ascii="宋体" w:hAnsi="宋体" w:eastAsia="宋体" w:cs="宋体"/>
          <w:b/>
          <w:bCs/>
          <w:i w:val="0"/>
          <w:iCs w:val="0"/>
          <w:caps w:val="0"/>
          <w:color w:val="auto"/>
          <w:spacing w:val="0"/>
          <w:sz w:val="21"/>
          <w:szCs w:val="21"/>
          <w:highlight w:val="none"/>
        </w:rPr>
        <w:t>中标只能中一个标项，根据标项一、标项二的顺序依次进行开评标，如投标单位已中先开评标标项，</w:t>
      </w:r>
      <w:r>
        <w:rPr>
          <w:rFonts w:hint="eastAsia" w:ascii="宋体" w:hAnsi="宋体" w:eastAsia="宋体" w:cs="宋体"/>
          <w:b/>
          <w:bCs/>
          <w:color w:val="auto"/>
          <w:sz w:val="21"/>
          <w:szCs w:val="21"/>
          <w:highlight w:val="none"/>
          <w:lang w:val="en-US" w:eastAsia="zh-CN"/>
        </w:rPr>
        <w:t>仍参与</w:t>
      </w:r>
      <w:r>
        <w:rPr>
          <w:rFonts w:hint="eastAsia" w:ascii="宋体" w:hAnsi="宋体" w:eastAsia="宋体" w:cs="宋体"/>
          <w:b/>
          <w:bCs/>
          <w:color w:val="auto"/>
          <w:sz w:val="21"/>
          <w:szCs w:val="21"/>
          <w:highlight w:val="none"/>
        </w:rPr>
        <w:t>后续标项的评标，但自动失去后续标项的中标、中标候选推荐资格。</w:t>
      </w:r>
    </w:p>
    <w:p>
      <w:pPr>
        <w:keepNext w:val="0"/>
        <w:keepLines w:val="0"/>
        <w:pageBreakBefore w:val="0"/>
        <w:widowControl w:val="0"/>
        <w:kinsoku/>
        <w:wordWrap/>
        <w:overflowPunct/>
        <w:topLinePunct w:val="0"/>
        <w:autoSpaceDE w:val="0"/>
        <w:autoSpaceDN w:val="0"/>
        <w:bidi w:val="0"/>
        <w:snapToGrid w:val="0"/>
        <w:spacing w:before="0" w:beforeAutospacing="0" w:after="0" w:afterAutospacing="0" w:line="540" w:lineRule="exact"/>
        <w:ind w:left="0" w:leftChars="0" w:right="0" w:firstLine="210" w:firstLineChars="100"/>
        <w:textAlignment w:val="auto"/>
        <w:rPr>
          <w:rFonts w:hint="eastAsia" w:ascii="宋体" w:hAnsi="宋体" w:eastAsia="宋体" w:cs="宋体"/>
          <w:color w:val="auto"/>
          <w:sz w:val="21"/>
          <w:szCs w:val="21"/>
          <w:highlight w:val="none"/>
          <w:lang w:val="en-US" w:eastAsia="zh-CN"/>
        </w:rPr>
      </w:pPr>
    </w:p>
    <w:p>
      <w:pPr>
        <w:autoSpaceDE w:val="0"/>
        <w:autoSpaceDN w:val="0"/>
        <w:snapToGrid w:val="0"/>
        <w:spacing w:line="540" w:lineRule="exact"/>
        <w:ind w:firstLine="210" w:firstLineChars="100"/>
        <w:rPr>
          <w:rFonts w:hint="eastAsia" w:ascii="宋体" w:hAnsi="宋体" w:eastAsia="宋体" w:cs="宋体"/>
          <w:b/>
          <w:bCs/>
          <w:color w:val="auto"/>
          <w:sz w:val="21"/>
          <w:szCs w:val="21"/>
          <w:highlight w:val="none"/>
        </w:rPr>
      </w:pPr>
      <w:r>
        <w:rPr>
          <w:rFonts w:hint="eastAsia" w:ascii="宋体" w:hAnsi="宋体" w:eastAsia="宋体" w:cs="宋体"/>
          <w:i w:val="0"/>
          <w:iCs w:val="0"/>
          <w:caps w:val="0"/>
          <w:color w:val="auto"/>
          <w:spacing w:val="0"/>
          <w:sz w:val="21"/>
          <w:szCs w:val="21"/>
          <w:highlight w:val="none"/>
        </w:rPr>
        <w:t>  标项二</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标项名称: </w:t>
      </w:r>
      <w:r>
        <w:rPr>
          <w:rFonts w:hint="eastAsia" w:ascii="宋体" w:hAnsi="宋体" w:eastAsia="宋体" w:cs="宋体"/>
          <w:i w:val="0"/>
          <w:iCs w:val="0"/>
          <w:caps w:val="0"/>
          <w:color w:val="auto"/>
          <w:spacing w:val="0"/>
          <w:sz w:val="21"/>
          <w:szCs w:val="21"/>
          <w:highlight w:val="none"/>
          <w:lang w:eastAsia="zh-CN"/>
        </w:rPr>
        <w:t>2023年度嘉兴港区道路、桥梁及雨水管线维修养护项目</w:t>
      </w:r>
      <w:r>
        <w:rPr>
          <w:rFonts w:hint="eastAsia" w:ascii="宋体" w:hAnsi="宋体" w:eastAsia="宋体" w:cs="宋体"/>
          <w:i w:val="0"/>
          <w:iCs w:val="0"/>
          <w:caps w:val="0"/>
          <w:color w:val="auto"/>
          <w:spacing w:val="0"/>
          <w:sz w:val="21"/>
          <w:szCs w:val="21"/>
          <w:highlight w:val="none"/>
        </w:rPr>
        <w:t>(标段</w:t>
      </w:r>
      <w:r>
        <w:rPr>
          <w:rFonts w:hint="eastAsia" w:ascii="宋体" w:hAnsi="宋体" w:eastAsia="宋体" w:cs="宋体"/>
          <w:i w:val="0"/>
          <w:iCs w:val="0"/>
          <w:caps w:val="0"/>
          <w:color w:val="auto"/>
          <w:spacing w:val="0"/>
          <w:sz w:val="21"/>
          <w:szCs w:val="21"/>
          <w:highlight w:val="none"/>
          <w:lang w:val="en-US" w:eastAsia="zh-CN"/>
        </w:rPr>
        <w:t>二</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数量: </w:t>
      </w:r>
      <w:r>
        <w:rPr>
          <w:rFonts w:hint="eastAsia" w:ascii="宋体" w:hAnsi="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预算金额（元）: </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val="en-US" w:eastAsia="zh-CN"/>
        </w:rPr>
        <w:t>000000</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简要规格描述或项目基本概况介绍、用途：详见招标文件的第</w:t>
      </w:r>
      <w:r>
        <w:rPr>
          <w:rFonts w:hint="eastAsia" w:ascii="宋体" w:hAnsi="宋体" w:eastAsia="宋体" w:cs="宋体"/>
          <w:i w:val="0"/>
          <w:iCs w:val="0"/>
          <w:caps w:val="0"/>
          <w:color w:val="auto"/>
          <w:spacing w:val="0"/>
          <w:sz w:val="21"/>
          <w:szCs w:val="21"/>
          <w:highlight w:val="none"/>
          <w:lang w:val="en-US" w:eastAsia="zh-CN"/>
        </w:rPr>
        <w:t>三</w:t>
      </w:r>
      <w:r>
        <w:rPr>
          <w:rFonts w:hint="eastAsia" w:ascii="宋体" w:hAnsi="宋体" w:eastAsia="宋体" w:cs="宋体"/>
          <w:i w:val="0"/>
          <w:iCs w:val="0"/>
          <w:caps w:val="0"/>
          <w:color w:val="auto"/>
          <w:spacing w:val="0"/>
          <w:sz w:val="21"/>
          <w:szCs w:val="21"/>
          <w:highlight w:val="none"/>
        </w:rPr>
        <w:t>章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备注：</w:t>
      </w:r>
      <w:r>
        <w:rPr>
          <w:rFonts w:hint="eastAsia" w:ascii="宋体" w:hAnsi="宋体" w:eastAsia="宋体" w:cs="宋体"/>
          <w:b/>
          <w:bCs/>
          <w:i w:val="0"/>
          <w:iCs w:val="0"/>
          <w:caps w:val="0"/>
          <w:color w:val="auto"/>
          <w:spacing w:val="0"/>
          <w:sz w:val="21"/>
          <w:szCs w:val="21"/>
          <w:highlight w:val="none"/>
          <w:lang w:val="en-US" w:eastAsia="zh-CN"/>
        </w:rPr>
        <w:t>本项目分</w:t>
      </w:r>
      <w:r>
        <w:rPr>
          <w:rFonts w:hint="eastAsia" w:ascii="宋体" w:hAnsi="宋体" w:eastAsia="宋体" w:cs="宋体"/>
          <w:b/>
          <w:bCs/>
          <w:i w:val="0"/>
          <w:iCs w:val="0"/>
          <w:caps w:val="0"/>
          <w:color w:val="auto"/>
          <w:spacing w:val="0"/>
          <w:sz w:val="21"/>
          <w:szCs w:val="21"/>
          <w:highlight w:val="none"/>
        </w:rPr>
        <w:t>为</w:t>
      </w:r>
      <w:r>
        <w:rPr>
          <w:rFonts w:hint="eastAsia" w:ascii="宋体" w:hAnsi="宋体" w:eastAsia="宋体" w:cs="宋体"/>
          <w:b/>
          <w:bCs/>
          <w:i w:val="0"/>
          <w:iCs w:val="0"/>
          <w:caps w:val="0"/>
          <w:color w:val="auto"/>
          <w:spacing w:val="0"/>
          <w:sz w:val="21"/>
          <w:szCs w:val="21"/>
          <w:highlight w:val="none"/>
          <w:lang w:val="en-US" w:eastAsia="zh-CN"/>
        </w:rPr>
        <w:t>二</w:t>
      </w:r>
      <w:r>
        <w:rPr>
          <w:rFonts w:hint="eastAsia" w:ascii="宋体" w:hAnsi="宋体" w:eastAsia="宋体" w:cs="宋体"/>
          <w:b/>
          <w:bCs/>
          <w:i w:val="0"/>
          <w:iCs w:val="0"/>
          <w:caps w:val="0"/>
          <w:color w:val="auto"/>
          <w:spacing w:val="0"/>
          <w:sz w:val="21"/>
          <w:szCs w:val="21"/>
          <w:highlight w:val="none"/>
        </w:rPr>
        <w:t>个标项，</w:t>
      </w:r>
      <w:r>
        <w:rPr>
          <w:rFonts w:hint="eastAsia" w:ascii="宋体" w:hAnsi="宋体" w:eastAsia="宋体" w:cs="宋体"/>
          <w:b/>
          <w:bCs/>
          <w:i w:val="0"/>
          <w:iCs w:val="0"/>
          <w:caps w:val="0"/>
          <w:color w:val="auto"/>
          <w:spacing w:val="0"/>
          <w:sz w:val="21"/>
          <w:szCs w:val="21"/>
          <w:highlight w:val="none"/>
          <w:lang w:eastAsia="zh-CN"/>
        </w:rPr>
        <w:t>投标人</w:t>
      </w:r>
      <w:r>
        <w:rPr>
          <w:rFonts w:hint="eastAsia" w:ascii="宋体" w:hAnsi="宋体" w:eastAsia="宋体" w:cs="宋体"/>
          <w:b/>
          <w:bCs/>
          <w:i w:val="0"/>
          <w:iCs w:val="0"/>
          <w:caps w:val="0"/>
          <w:color w:val="auto"/>
          <w:spacing w:val="0"/>
          <w:sz w:val="21"/>
          <w:szCs w:val="21"/>
          <w:highlight w:val="none"/>
        </w:rPr>
        <w:t>可自行选择标项响应投标，但</w:t>
      </w:r>
      <w:r>
        <w:rPr>
          <w:rFonts w:hint="eastAsia" w:ascii="宋体" w:hAnsi="宋体" w:eastAsia="宋体" w:cs="宋体"/>
          <w:b/>
          <w:bCs/>
          <w:i w:val="0"/>
          <w:iCs w:val="0"/>
          <w:caps w:val="0"/>
          <w:color w:val="auto"/>
          <w:spacing w:val="0"/>
          <w:sz w:val="21"/>
          <w:szCs w:val="21"/>
          <w:highlight w:val="none"/>
          <w:lang w:eastAsia="zh-CN"/>
        </w:rPr>
        <w:t>投标人</w:t>
      </w:r>
      <w:r>
        <w:rPr>
          <w:rFonts w:hint="eastAsia" w:ascii="宋体" w:hAnsi="宋体" w:eastAsia="宋体" w:cs="宋体"/>
          <w:b/>
          <w:bCs/>
          <w:i w:val="0"/>
          <w:iCs w:val="0"/>
          <w:caps w:val="0"/>
          <w:color w:val="auto"/>
          <w:spacing w:val="0"/>
          <w:sz w:val="21"/>
          <w:szCs w:val="21"/>
          <w:highlight w:val="none"/>
        </w:rPr>
        <w:t>中标只能中一个标项，根据标项一、标项二的顺序依次进行开评标，如投标单位已中先开评标标项，</w:t>
      </w:r>
      <w:r>
        <w:rPr>
          <w:rFonts w:hint="eastAsia" w:ascii="宋体" w:hAnsi="宋体" w:eastAsia="宋体" w:cs="宋体"/>
          <w:b/>
          <w:bCs/>
          <w:color w:val="auto"/>
          <w:sz w:val="21"/>
          <w:szCs w:val="21"/>
          <w:highlight w:val="none"/>
          <w:lang w:val="en-US" w:eastAsia="zh-CN"/>
        </w:rPr>
        <w:t>仍参与</w:t>
      </w:r>
      <w:r>
        <w:rPr>
          <w:rFonts w:hint="eastAsia" w:ascii="宋体" w:hAnsi="宋体" w:eastAsia="宋体" w:cs="宋体"/>
          <w:b/>
          <w:bCs/>
          <w:color w:val="auto"/>
          <w:sz w:val="21"/>
          <w:szCs w:val="21"/>
          <w:highlight w:val="none"/>
        </w:rPr>
        <w:t>后续标项的评标，但自动失去后续标项的中标、中标候选推荐资格。</w:t>
      </w:r>
    </w:p>
    <w:p>
      <w:pPr>
        <w:pStyle w:val="29"/>
        <w:keepNext w:val="0"/>
        <w:keepLines w:val="0"/>
        <w:widowControl/>
        <w:suppressLineNumbers w:val="0"/>
        <w:spacing w:line="300" w:lineRule="atLeast"/>
        <w:ind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合同履约期限：标项</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 xml:space="preserve"> 2，详见招标文件的第</w:t>
      </w:r>
      <w:r>
        <w:rPr>
          <w:rFonts w:hint="eastAsia" w:ascii="宋体" w:hAnsi="宋体" w:eastAsia="宋体" w:cs="宋体"/>
          <w:i w:val="0"/>
          <w:iCs w:val="0"/>
          <w:caps w:val="0"/>
          <w:color w:val="auto"/>
          <w:spacing w:val="0"/>
          <w:sz w:val="21"/>
          <w:szCs w:val="21"/>
          <w:highlight w:val="none"/>
          <w:lang w:val="en-US" w:eastAsia="zh-CN"/>
        </w:rPr>
        <w:t>三</w:t>
      </w:r>
      <w:r>
        <w:rPr>
          <w:rFonts w:hint="eastAsia" w:ascii="宋体" w:hAnsi="宋体" w:eastAsia="宋体" w:cs="宋体"/>
          <w:i w:val="0"/>
          <w:iCs w:val="0"/>
          <w:caps w:val="0"/>
          <w:color w:val="auto"/>
          <w:spacing w:val="0"/>
          <w:sz w:val="21"/>
          <w:szCs w:val="21"/>
          <w:highlight w:val="none"/>
        </w:rPr>
        <w:t>章;</w:t>
      </w:r>
    </w:p>
    <w:p>
      <w:pPr>
        <w:pStyle w:val="29"/>
        <w:keepNext w:val="0"/>
        <w:keepLines w:val="0"/>
        <w:widowControl/>
        <w:suppressLineNumbers w:val="0"/>
        <w:spacing w:line="300" w:lineRule="atLeast"/>
        <w:ind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本项目（否）接受联合体投标。</w:t>
      </w:r>
    </w:p>
    <w:p>
      <w:pPr>
        <w:pStyle w:val="29"/>
        <w:keepNext w:val="0"/>
        <w:keepLines w:val="0"/>
        <w:widowControl/>
        <w:suppressLineNumbers w:val="0"/>
        <w:spacing w:before="225" w:beforeAutospacing="0" w:after="225" w:afterAutospacing="0" w:line="300" w:lineRule="atLeast"/>
        <w:rPr>
          <w:rFonts w:hint="eastAsia" w:ascii="宋体" w:hAnsi="宋体" w:eastAsia="宋体" w:cs="宋体"/>
          <w:color w:val="auto"/>
          <w:sz w:val="21"/>
          <w:szCs w:val="21"/>
          <w:highlight w:val="none"/>
        </w:rPr>
      </w:pPr>
      <w:r>
        <w:rPr>
          <w:rStyle w:val="36"/>
          <w:rFonts w:hint="eastAsia" w:ascii="宋体" w:hAnsi="宋体" w:eastAsia="宋体" w:cs="宋体"/>
          <w:i w:val="0"/>
          <w:iCs w:val="0"/>
          <w:caps w:val="0"/>
          <w:color w:val="auto"/>
          <w:spacing w:val="0"/>
          <w:sz w:val="21"/>
          <w:szCs w:val="21"/>
          <w:highlight w:val="none"/>
        </w:rPr>
        <w:t>二、申请人的资格要求：</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9"/>
        <w:spacing w:line="300" w:lineRule="atLeast"/>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2.落实政府采购政策需满足的资格要求：标项1、2：供应商为中小企业/小微企业</w:t>
      </w:r>
      <w:r>
        <w:rPr>
          <w:rFonts w:hint="eastAsia" w:ascii="宋体" w:hAnsi="宋体" w:eastAsia="宋体" w:cs="宋体"/>
          <w:i w:val="0"/>
          <w:iCs w:val="0"/>
          <w:caps w:val="0"/>
          <w:color w:val="auto"/>
          <w:spacing w:val="0"/>
          <w:sz w:val="21"/>
          <w:szCs w:val="21"/>
          <w:highlight w:val="none"/>
          <w:lang w:eastAsia="zh-CN"/>
        </w:rPr>
        <w:t>。</w:t>
      </w:r>
    </w:p>
    <w:p>
      <w:pPr>
        <w:widowControl/>
        <w:adjustRightInd w:val="0"/>
        <w:snapToGrid w:val="0"/>
        <w:spacing w:line="440" w:lineRule="exact"/>
        <w:ind w:firstLine="420" w:firstLineChars="200"/>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3.本项目的特定资格要求：投标单位具有市政公用工程施工总承包三级及以上资质；项目经理要求具有市政工程二级及以上注册建造师，具有项目经理三类人员B类证书，且在有效期内。</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Style w:val="36"/>
          <w:rFonts w:hint="eastAsia" w:ascii="宋体" w:hAnsi="宋体" w:eastAsia="宋体" w:cs="宋体"/>
          <w:i w:val="0"/>
          <w:iCs w:val="0"/>
          <w:caps w:val="0"/>
          <w:color w:val="auto"/>
          <w:spacing w:val="0"/>
          <w:sz w:val="21"/>
          <w:szCs w:val="21"/>
          <w:highlight w:val="none"/>
        </w:rPr>
        <w:t>三、获取招标文件</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时间：/至202</w:t>
      </w:r>
      <w:r>
        <w:rPr>
          <w:rFonts w:hint="eastAsia" w:ascii="宋体" w:hAnsi="宋体" w:eastAsia="宋体" w:cs="宋体"/>
          <w:i w:val="0"/>
          <w:iCs w:val="0"/>
          <w:caps w:val="0"/>
          <w:color w:val="auto"/>
          <w:spacing w:val="0"/>
          <w:sz w:val="21"/>
          <w:szCs w:val="21"/>
          <w:highlight w:val="none"/>
          <w:u w:val="none"/>
          <w:lang w:val="en-US" w:eastAsia="zh-CN"/>
        </w:rPr>
        <w:t>3</w:t>
      </w:r>
      <w:r>
        <w:rPr>
          <w:rFonts w:hint="eastAsia" w:ascii="宋体" w:hAnsi="宋体" w:eastAsia="宋体" w:cs="宋体"/>
          <w:i w:val="0"/>
          <w:iCs w:val="0"/>
          <w:caps w:val="0"/>
          <w:color w:val="auto"/>
          <w:spacing w:val="0"/>
          <w:sz w:val="21"/>
          <w:szCs w:val="21"/>
          <w:highlight w:val="none"/>
          <w:u w:val="none"/>
        </w:rPr>
        <w:t>年</w:t>
      </w:r>
      <w:r>
        <w:rPr>
          <w:rFonts w:hint="eastAsia" w:hAnsi="宋体"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月</w:t>
      </w:r>
      <w:r>
        <w:rPr>
          <w:rFonts w:hint="eastAsia" w:hAnsi="宋体" w:cs="宋体"/>
          <w:i w:val="0"/>
          <w:iCs w:val="0"/>
          <w:caps w:val="0"/>
          <w:color w:val="auto"/>
          <w:spacing w:val="0"/>
          <w:sz w:val="21"/>
          <w:szCs w:val="21"/>
          <w:highlight w:val="none"/>
          <w:u w:val="none"/>
          <w:lang w:val="en-US" w:eastAsia="zh-CN"/>
        </w:rPr>
        <w:t>19</w:t>
      </w:r>
      <w:r>
        <w:rPr>
          <w:rFonts w:hint="eastAsia" w:ascii="宋体" w:hAnsi="宋体" w:eastAsia="宋体" w:cs="宋体"/>
          <w:i w:val="0"/>
          <w:iCs w:val="0"/>
          <w:caps w:val="0"/>
          <w:color w:val="auto"/>
          <w:spacing w:val="0"/>
          <w:sz w:val="21"/>
          <w:szCs w:val="21"/>
          <w:highlight w:val="none"/>
          <w:u w:val="none"/>
        </w:rPr>
        <w:t>日 ，每天上午00:00至12:00 ，下午12:00至23:59（北京时间，线上获取法定节假日均可，线下获取文件法定节假日除外）</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地点（网址）：</w:t>
      </w:r>
      <w:r>
        <w:rPr>
          <w:rFonts w:hint="eastAsia" w:ascii="宋体" w:hAnsi="宋体" w:eastAsia="宋体" w:cs="宋体"/>
          <w:i w:val="0"/>
          <w:iCs w:val="0"/>
          <w:caps w:val="0"/>
          <w:color w:val="auto"/>
          <w:spacing w:val="0"/>
          <w:sz w:val="21"/>
          <w:szCs w:val="21"/>
          <w:highlight w:val="none"/>
          <w:u w:val="none"/>
        </w:rPr>
        <w:t>政府采购云平台（https://www.zcygov.cn/）</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 xml:space="preserve">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售价（元）：0 </w:t>
      </w:r>
    </w:p>
    <w:p>
      <w:pPr>
        <w:pStyle w:val="29"/>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1"/>
          <w:szCs w:val="21"/>
          <w:highlight w:val="none"/>
        </w:rPr>
      </w:pPr>
      <w:r>
        <w:rPr>
          <w:rStyle w:val="36"/>
          <w:rFonts w:hint="eastAsia" w:ascii="宋体" w:hAnsi="宋体" w:eastAsia="宋体" w:cs="宋体"/>
          <w:i w:val="0"/>
          <w:iCs w:val="0"/>
          <w:caps w:val="0"/>
          <w:color w:val="auto"/>
          <w:spacing w:val="0"/>
          <w:sz w:val="21"/>
          <w:szCs w:val="21"/>
          <w:highlight w:val="none"/>
        </w:rPr>
        <w:t>四、提交投标文件截止时间、开标时间和地点</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 提交投标文件截止时间：202</w:t>
      </w:r>
      <w:r>
        <w:rPr>
          <w:rFonts w:hint="eastAsia" w:ascii="宋体" w:hAnsi="宋体" w:eastAsia="宋体" w:cs="宋体"/>
          <w:i w:val="0"/>
          <w:iCs w:val="0"/>
          <w:caps w:val="0"/>
          <w:color w:val="auto"/>
          <w:spacing w:val="0"/>
          <w:sz w:val="21"/>
          <w:szCs w:val="21"/>
          <w:highlight w:val="none"/>
          <w:u w:val="none"/>
          <w:lang w:val="en-US" w:eastAsia="zh-CN"/>
        </w:rPr>
        <w:t>3</w:t>
      </w:r>
      <w:r>
        <w:rPr>
          <w:rFonts w:hint="eastAsia" w:ascii="宋体" w:hAnsi="宋体" w:eastAsia="宋体" w:cs="宋体"/>
          <w:i w:val="0"/>
          <w:iCs w:val="0"/>
          <w:caps w:val="0"/>
          <w:color w:val="auto"/>
          <w:spacing w:val="0"/>
          <w:sz w:val="21"/>
          <w:szCs w:val="21"/>
          <w:highlight w:val="none"/>
          <w:u w:val="none"/>
        </w:rPr>
        <w:t>年</w:t>
      </w:r>
      <w:r>
        <w:rPr>
          <w:rFonts w:hint="eastAsia" w:hAnsi="宋体"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月</w:t>
      </w:r>
      <w:r>
        <w:rPr>
          <w:rFonts w:hint="eastAsia" w:hAnsi="宋体" w:cs="宋体"/>
          <w:i w:val="0"/>
          <w:iCs w:val="0"/>
          <w:caps w:val="0"/>
          <w:color w:val="auto"/>
          <w:spacing w:val="0"/>
          <w:sz w:val="21"/>
          <w:szCs w:val="21"/>
          <w:highlight w:val="none"/>
          <w:u w:val="none"/>
          <w:lang w:val="en-US" w:eastAsia="zh-CN"/>
        </w:rPr>
        <w:t>19</w:t>
      </w:r>
      <w:r>
        <w:rPr>
          <w:rFonts w:hint="eastAsia" w:ascii="宋体" w:hAnsi="宋体" w:eastAsia="宋体" w:cs="宋体"/>
          <w:i w:val="0"/>
          <w:iCs w:val="0"/>
          <w:caps w:val="0"/>
          <w:color w:val="auto"/>
          <w:spacing w:val="0"/>
          <w:sz w:val="21"/>
          <w:szCs w:val="21"/>
          <w:highlight w:val="none"/>
          <w:u w:val="none"/>
        </w:rPr>
        <w:t>日</w:t>
      </w:r>
      <w:r>
        <w:rPr>
          <w:rFonts w:hint="eastAsia" w:ascii="宋体" w:hAnsi="宋体" w:eastAsia="宋体" w:cs="宋体"/>
          <w:i w:val="0"/>
          <w:iCs w:val="0"/>
          <w:caps w:val="0"/>
          <w:color w:val="auto"/>
          <w:spacing w:val="0"/>
          <w:sz w:val="21"/>
          <w:szCs w:val="21"/>
          <w:highlight w:val="none"/>
          <w:u w:val="none"/>
          <w:lang w:val="en-US" w:eastAsia="zh-CN"/>
        </w:rPr>
        <w:t>09</w:t>
      </w:r>
      <w:r>
        <w:rPr>
          <w:rFonts w:hint="eastAsia" w:ascii="宋体" w:hAnsi="宋体" w:eastAsia="宋体" w:cs="宋体"/>
          <w:i w:val="0"/>
          <w:iCs w:val="0"/>
          <w:caps w:val="0"/>
          <w:color w:val="auto"/>
          <w:spacing w:val="0"/>
          <w:sz w:val="21"/>
          <w:szCs w:val="21"/>
          <w:highlight w:val="none"/>
          <w:u w:val="none"/>
        </w:rPr>
        <w:t>:30（北京时间）</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 投标地点（网址）：政府采购云平台（https://www.zcygov.cn/）在线投标</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   </w:t>
      </w:r>
      <w:r>
        <w:rPr>
          <w:rFonts w:hint="eastAsia" w:hAnsi="宋体" w:cs="宋体"/>
          <w:i w:val="0"/>
          <w:iCs w:val="0"/>
          <w:caps w:val="0"/>
          <w:color w:val="auto"/>
          <w:spacing w:val="0"/>
          <w:sz w:val="21"/>
          <w:szCs w:val="21"/>
          <w:highlight w:val="none"/>
          <w:u w:val="none"/>
          <w:lang w:val="en-US" w:eastAsia="zh-CN"/>
        </w:rPr>
        <w:t xml:space="preserve">  </w:t>
      </w:r>
      <w:r>
        <w:rPr>
          <w:rFonts w:hint="eastAsia" w:ascii="宋体" w:hAnsi="宋体" w:eastAsia="宋体" w:cs="宋体"/>
          <w:i w:val="0"/>
          <w:iCs w:val="0"/>
          <w:caps w:val="0"/>
          <w:color w:val="auto"/>
          <w:spacing w:val="0"/>
          <w:sz w:val="21"/>
          <w:szCs w:val="21"/>
          <w:highlight w:val="none"/>
          <w:u w:val="none"/>
        </w:rPr>
        <w:t>开标时间：202</w:t>
      </w:r>
      <w:r>
        <w:rPr>
          <w:rFonts w:hint="eastAsia" w:ascii="宋体" w:hAnsi="宋体" w:eastAsia="宋体" w:cs="宋体"/>
          <w:i w:val="0"/>
          <w:iCs w:val="0"/>
          <w:caps w:val="0"/>
          <w:color w:val="auto"/>
          <w:spacing w:val="0"/>
          <w:sz w:val="21"/>
          <w:szCs w:val="21"/>
          <w:highlight w:val="none"/>
          <w:u w:val="none"/>
          <w:lang w:val="en-US" w:eastAsia="zh-CN"/>
        </w:rPr>
        <w:t>3</w:t>
      </w:r>
      <w:r>
        <w:rPr>
          <w:rFonts w:hint="eastAsia" w:ascii="宋体" w:hAnsi="宋体" w:eastAsia="宋体" w:cs="宋体"/>
          <w:i w:val="0"/>
          <w:iCs w:val="0"/>
          <w:caps w:val="0"/>
          <w:color w:val="auto"/>
          <w:spacing w:val="0"/>
          <w:sz w:val="21"/>
          <w:szCs w:val="21"/>
          <w:highlight w:val="none"/>
          <w:u w:val="none"/>
        </w:rPr>
        <w:t>年</w:t>
      </w:r>
      <w:r>
        <w:rPr>
          <w:rFonts w:hint="eastAsia" w:hAnsi="宋体"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月</w:t>
      </w:r>
      <w:r>
        <w:rPr>
          <w:rFonts w:hint="eastAsia" w:hAnsi="宋体" w:cs="宋体"/>
          <w:i w:val="0"/>
          <w:iCs w:val="0"/>
          <w:caps w:val="0"/>
          <w:color w:val="auto"/>
          <w:spacing w:val="0"/>
          <w:sz w:val="21"/>
          <w:szCs w:val="21"/>
          <w:highlight w:val="none"/>
          <w:u w:val="none"/>
          <w:lang w:val="en-US" w:eastAsia="zh-CN"/>
        </w:rPr>
        <w:t>19</w:t>
      </w:r>
      <w:r>
        <w:rPr>
          <w:rFonts w:hint="eastAsia" w:ascii="宋体" w:hAnsi="宋体" w:eastAsia="宋体" w:cs="宋体"/>
          <w:i w:val="0"/>
          <w:iCs w:val="0"/>
          <w:caps w:val="0"/>
          <w:color w:val="auto"/>
          <w:spacing w:val="0"/>
          <w:sz w:val="21"/>
          <w:szCs w:val="21"/>
          <w:highlight w:val="none"/>
          <w:u w:val="none"/>
        </w:rPr>
        <w:t xml:space="preserve">日 </w:t>
      </w:r>
      <w:r>
        <w:rPr>
          <w:rFonts w:hint="eastAsia" w:ascii="宋体" w:hAnsi="宋体" w:eastAsia="宋体" w:cs="宋体"/>
          <w:i w:val="0"/>
          <w:iCs w:val="0"/>
          <w:caps w:val="0"/>
          <w:color w:val="auto"/>
          <w:spacing w:val="0"/>
          <w:sz w:val="21"/>
          <w:szCs w:val="21"/>
          <w:highlight w:val="none"/>
          <w:u w:val="none"/>
          <w:lang w:val="en-US" w:eastAsia="zh-CN"/>
        </w:rPr>
        <w:t>09</w:t>
      </w:r>
      <w:r>
        <w:rPr>
          <w:rFonts w:hint="eastAsia" w:ascii="宋体" w:hAnsi="宋体" w:eastAsia="宋体" w:cs="宋体"/>
          <w:i w:val="0"/>
          <w:iCs w:val="0"/>
          <w:caps w:val="0"/>
          <w:color w:val="auto"/>
          <w:spacing w:val="0"/>
          <w:sz w:val="21"/>
          <w:szCs w:val="21"/>
          <w:highlight w:val="none"/>
          <w:u w:val="none"/>
        </w:rPr>
        <w:t>:30</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   开标地点（网址）：政府采购云平台（https://www.zcygov.cn/），</w:t>
      </w:r>
      <w:r>
        <w:rPr>
          <w:rFonts w:hint="eastAsia" w:ascii="宋体" w:hAnsi="宋体" w:eastAsia="宋体" w:cs="宋体"/>
          <w:i w:val="0"/>
          <w:iCs w:val="0"/>
          <w:caps w:val="0"/>
          <w:color w:val="auto"/>
          <w:spacing w:val="0"/>
          <w:sz w:val="21"/>
          <w:szCs w:val="21"/>
          <w:highlight w:val="none"/>
          <w:u w:val="none"/>
          <w:lang w:val="zh-CN"/>
        </w:rPr>
        <w:t>嘉兴市银</w:t>
      </w:r>
      <w:r>
        <w:rPr>
          <w:rFonts w:hint="eastAsia" w:ascii="宋体" w:hAnsi="宋体" w:eastAsia="宋体" w:cs="宋体"/>
          <w:i w:val="0"/>
          <w:iCs w:val="0"/>
          <w:caps w:val="0"/>
          <w:color w:val="auto"/>
          <w:spacing w:val="0"/>
          <w:sz w:val="21"/>
          <w:szCs w:val="21"/>
          <w:highlight w:val="none"/>
          <w:u w:val="none"/>
        </w:rPr>
        <w:t>建工程咨询评估有限公司（</w:t>
      </w:r>
      <w:r>
        <w:rPr>
          <w:rFonts w:hint="eastAsia" w:ascii="宋体" w:hAnsi="宋体" w:eastAsia="宋体" w:cs="宋体"/>
          <w:i w:val="0"/>
          <w:iCs w:val="0"/>
          <w:caps w:val="0"/>
          <w:color w:val="auto"/>
          <w:spacing w:val="0"/>
          <w:sz w:val="21"/>
          <w:szCs w:val="21"/>
          <w:highlight w:val="none"/>
          <w:u w:val="none"/>
          <w:lang w:val="zh-CN"/>
        </w:rPr>
        <w:t>嘉兴港区乍浦镇雅山中路</w:t>
      </w:r>
      <w:r>
        <w:rPr>
          <w:rFonts w:hint="eastAsia" w:ascii="宋体" w:hAnsi="宋体" w:eastAsia="宋体" w:cs="宋体"/>
          <w:i w:val="0"/>
          <w:iCs w:val="0"/>
          <w:caps w:val="0"/>
          <w:color w:val="auto"/>
          <w:spacing w:val="0"/>
          <w:sz w:val="21"/>
          <w:szCs w:val="21"/>
          <w:highlight w:val="none"/>
          <w:u w:val="none"/>
        </w:rPr>
        <w:t>170号五楼（金旺广场））  </w:t>
      </w:r>
    </w:p>
    <w:p>
      <w:pPr>
        <w:pStyle w:val="29"/>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1"/>
          <w:szCs w:val="21"/>
          <w:highlight w:val="none"/>
        </w:rPr>
      </w:pPr>
      <w:r>
        <w:rPr>
          <w:rStyle w:val="36"/>
          <w:rFonts w:hint="eastAsia" w:ascii="宋体" w:hAnsi="宋体" w:eastAsia="宋体" w:cs="宋体"/>
          <w:i w:val="0"/>
          <w:iCs w:val="0"/>
          <w:caps w:val="0"/>
          <w:color w:val="auto"/>
          <w:spacing w:val="0"/>
          <w:sz w:val="21"/>
          <w:szCs w:val="21"/>
          <w:highlight w:val="none"/>
        </w:rPr>
        <w:t>五、公告期限</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自本公告发布之日起5个工作日。</w:t>
      </w:r>
    </w:p>
    <w:p>
      <w:pPr>
        <w:pStyle w:val="29"/>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1"/>
          <w:szCs w:val="21"/>
          <w:highlight w:val="none"/>
        </w:rPr>
      </w:pPr>
      <w:r>
        <w:rPr>
          <w:rStyle w:val="36"/>
          <w:rFonts w:hint="eastAsia" w:ascii="宋体" w:hAnsi="宋体" w:eastAsia="宋体" w:cs="宋体"/>
          <w:i w:val="0"/>
          <w:iCs w:val="0"/>
          <w:caps w:val="0"/>
          <w:color w:val="auto"/>
          <w:spacing w:val="0"/>
          <w:sz w:val="21"/>
          <w:szCs w:val="21"/>
          <w:highlight w:val="none"/>
        </w:rPr>
        <w:t>六、其他补充事宜</w:t>
      </w:r>
    </w:p>
    <w:p>
      <w:pPr>
        <w:pStyle w:val="29"/>
        <w:keepNext w:val="0"/>
        <w:keepLines w:val="0"/>
        <w:widowControl/>
        <w:suppressLineNumbers w:val="0"/>
        <w:spacing w:line="315"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9"/>
        <w:keepNext w:val="0"/>
        <w:keepLines w:val="0"/>
        <w:widowControl/>
        <w:suppressLineNumbers w:val="0"/>
        <w:spacing w:line="315"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4.其他事项：</w:t>
      </w:r>
    </w:p>
    <w:p>
      <w:pPr>
        <w:spacing w:line="440" w:lineRule="exact"/>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本项目通过“政采云平台（www.zcygov.cn）”实行在线投标响应（电子投标），供应商应先安装“政采云电子交易客户端”，并按照本招标文件和“政采云平台”的要求，通过“政采云电子交易客户端”编制并加密投标文件。供应商未按规定加密的投标文件，“政采云平台”将予以拒收。</w:t>
      </w:r>
    </w:p>
    <w:p>
      <w:pPr>
        <w:spacing w:line="440" w:lineRule="exact"/>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“政采云电子交易客户端”请自行前往“浙江政府采购网-下载专区-电子交易客户端”进行下载。</w:t>
      </w:r>
    </w:p>
    <w:p>
      <w:pPr>
        <w:spacing w:line="440" w:lineRule="exact"/>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电子投标具体操作流程详见：“供应商-政府采购项目电子交易操作指南</w:t>
      </w:r>
      <w:r>
        <w:rPr>
          <w:rFonts w:hint="eastAsia" w:ascii="宋体" w:hAnsi="宋体" w:eastAsia="宋体" w:cs="宋体"/>
          <w:i w:val="0"/>
          <w:iCs w:val="0"/>
          <w:caps w:val="0"/>
          <w:color w:val="auto"/>
          <w:spacing w:val="0"/>
          <w:sz w:val="21"/>
          <w:szCs w:val="21"/>
          <w:highlight w:val="none"/>
        </w:rPr>
        <w:fldChar w:fldCharType="begin"/>
      </w:r>
      <w:r>
        <w:rPr>
          <w:rFonts w:hint="eastAsia" w:ascii="宋体" w:hAnsi="宋体" w:eastAsia="宋体" w:cs="宋体"/>
          <w:i w:val="0"/>
          <w:iCs w:val="0"/>
          <w:caps w:val="0"/>
          <w:color w:val="auto"/>
          <w:spacing w:val="0"/>
          <w:sz w:val="21"/>
          <w:szCs w:val="21"/>
          <w:highlight w:val="none"/>
        </w:rPr>
        <w:instrText xml:space="preserve"> HYPERLINK "https://help.zcygov.cn/web/site_2/2018/12-28/2573.html" </w:instrText>
      </w:r>
      <w:r>
        <w:rPr>
          <w:rFonts w:hint="eastAsia" w:ascii="宋体" w:hAnsi="宋体" w:eastAsia="宋体" w:cs="宋体"/>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https://help.zcygov.cn/web/site_2/2018/12-28/2573.html”；</w:t>
      </w:r>
      <w:r>
        <w:rPr>
          <w:rFonts w:hint="eastAsia" w:ascii="宋体" w:hAnsi="宋体" w:eastAsia="宋体" w:cs="宋体"/>
          <w:i w:val="0"/>
          <w:iCs w:val="0"/>
          <w:caps w:val="0"/>
          <w:color w:val="auto"/>
          <w:spacing w:val="0"/>
          <w:sz w:val="21"/>
          <w:szCs w:val="21"/>
          <w:highlight w:val="none"/>
        </w:rPr>
        <w:fldChar w:fldCharType="end"/>
      </w:r>
      <w:r>
        <w:rPr>
          <w:rFonts w:hint="eastAsia" w:ascii="宋体" w:hAnsi="宋体" w:eastAsia="宋体" w:cs="宋体"/>
          <w:i w:val="0"/>
          <w:iCs w:val="0"/>
          <w:caps w:val="0"/>
          <w:color w:val="auto"/>
          <w:spacing w:val="0"/>
          <w:sz w:val="21"/>
          <w:szCs w:val="21"/>
          <w:highlight w:val="none"/>
        </w:rPr>
        <w:t>关于提醒供应商熟悉“不见面开评标”系统的通知</w:t>
      </w:r>
      <w:r>
        <w:rPr>
          <w:rFonts w:hint="eastAsia" w:ascii="宋体" w:hAnsi="宋体" w:eastAsia="宋体" w:cs="宋体"/>
          <w:i w:val="0"/>
          <w:iCs w:val="0"/>
          <w:caps w:val="0"/>
          <w:color w:val="auto"/>
          <w:spacing w:val="0"/>
          <w:sz w:val="21"/>
          <w:szCs w:val="21"/>
          <w:highlight w:val="none"/>
        </w:rPr>
        <w:fldChar w:fldCharType="begin"/>
      </w:r>
      <w:r>
        <w:rPr>
          <w:rFonts w:hint="eastAsia" w:ascii="宋体" w:hAnsi="宋体" w:eastAsia="宋体" w:cs="宋体"/>
          <w:i w:val="0"/>
          <w:iCs w:val="0"/>
          <w:caps w:val="0"/>
          <w:color w:val="auto"/>
          <w:spacing w:val="0"/>
          <w:sz w:val="21"/>
          <w:szCs w:val="21"/>
          <w:highlight w:val="none"/>
        </w:rPr>
        <w:instrText xml:space="preserve"> HYPERLINK "http://zfcg.czt.zj.gov.cn/importantAdvise/2020-03-10/13302.html" </w:instrText>
      </w:r>
      <w:r>
        <w:rPr>
          <w:rFonts w:hint="eastAsia" w:ascii="宋体" w:hAnsi="宋体" w:eastAsia="宋体" w:cs="宋体"/>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http://zfcg.czt.zj.gov.cn/importantAdvise/2020-03-10/13302.html</w:t>
      </w:r>
      <w:r>
        <w:rPr>
          <w:rFonts w:hint="eastAsia" w:ascii="宋体" w:hAnsi="宋体" w:eastAsia="宋体" w:cs="宋体"/>
          <w:i w:val="0"/>
          <w:iCs w:val="0"/>
          <w:caps w:val="0"/>
          <w:color w:val="auto"/>
          <w:spacing w:val="0"/>
          <w:sz w:val="21"/>
          <w:szCs w:val="21"/>
          <w:highlight w:val="none"/>
        </w:rPr>
        <w:fldChar w:fldCharType="end"/>
      </w:r>
      <w:r>
        <w:rPr>
          <w:rFonts w:hint="eastAsia" w:ascii="宋体" w:hAnsi="宋体" w:eastAsia="宋体" w:cs="宋体"/>
          <w:i w:val="0"/>
          <w:iCs w:val="0"/>
          <w:caps w:val="0"/>
          <w:color w:val="auto"/>
          <w:spacing w:val="0"/>
          <w:sz w:val="21"/>
          <w:szCs w:val="21"/>
          <w:highlight w:val="none"/>
        </w:rPr>
        <w:t>”。</w:t>
      </w:r>
    </w:p>
    <w:p>
      <w:pPr>
        <w:spacing w:line="440" w:lineRule="exact"/>
        <w:ind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通过“政采云平台”参与在线投标时如遇平台技术问题详询400-881-7190。</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为确保网上操作合法、有效和安全，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i w:val="0"/>
          <w:iCs w:val="0"/>
          <w:caps w:val="0"/>
          <w:color w:val="auto"/>
          <w:spacing w:val="0"/>
          <w:sz w:val="21"/>
          <w:szCs w:val="21"/>
          <w:highlight w:val="none"/>
        </w:rPr>
        <w:fldChar w:fldCharType="begin"/>
      </w:r>
      <w:r>
        <w:rPr>
          <w:rFonts w:hint="eastAsia" w:ascii="宋体" w:hAnsi="宋体" w:eastAsia="宋体" w:cs="宋体"/>
          <w:i w:val="0"/>
          <w:iCs w:val="0"/>
          <w:caps w:val="0"/>
          <w:color w:val="auto"/>
          <w:spacing w:val="0"/>
          <w:sz w:val="21"/>
          <w:szCs w:val="21"/>
          <w:highlight w:val="none"/>
        </w:rPr>
        <w:instrText xml:space="preserve"> HYPERLINK "http://www.zjzfcg.gov.cn/bidClientTemplate/2019-05-27/12945.html" \t "_blank" \o "CA驱动和申领流程" </w:instrText>
      </w:r>
      <w:r>
        <w:rPr>
          <w:rFonts w:hint="eastAsia" w:ascii="宋体" w:hAnsi="宋体" w:eastAsia="宋体" w:cs="宋体"/>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CA驱动和申领流程</w:t>
      </w:r>
      <w:r>
        <w:rPr>
          <w:rFonts w:hint="eastAsia" w:ascii="宋体" w:hAnsi="宋体" w:eastAsia="宋体" w:cs="宋体"/>
          <w:i w:val="0"/>
          <w:iCs w:val="0"/>
          <w:caps w:val="0"/>
          <w:color w:val="auto"/>
          <w:spacing w:val="0"/>
          <w:sz w:val="21"/>
          <w:szCs w:val="21"/>
          <w:highlight w:val="none"/>
        </w:rPr>
        <w:fldChar w:fldCharType="end"/>
      </w:r>
      <w:r>
        <w:rPr>
          <w:rFonts w:hint="eastAsia" w:ascii="宋体" w:hAnsi="宋体" w:eastAsia="宋体" w:cs="宋体"/>
          <w:i w:val="0"/>
          <w:iCs w:val="0"/>
          <w:caps w:val="0"/>
          <w:color w:val="auto"/>
          <w:spacing w:val="0"/>
          <w:sz w:val="21"/>
          <w:szCs w:val="21"/>
          <w:highlight w:val="none"/>
        </w:rPr>
        <w:t>”进行查阅。</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投标供应商应当在投标截止时间前，将生成的“电子加密投标文件”上传递交至“政采云平台”。投标截止时间以后上传递交的投标文件将被“政采云平台”拒收。</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投标供应商在“政采云平台”完成“电子加密投标文件”的上传递交后，还可以邮寄形式（拒绝到付）（或者直接送达方式送至嘉兴市银建工程咨询评估有限公司</w:t>
      </w:r>
      <w:r>
        <w:rPr>
          <w:rFonts w:hint="eastAsia" w:ascii="宋体" w:hAnsi="宋体" w:eastAsia="宋体" w:cs="宋体"/>
          <w:i w:val="0"/>
          <w:iCs w:val="0"/>
          <w:caps w:val="0"/>
          <w:color w:val="auto"/>
          <w:spacing w:val="0"/>
          <w:sz w:val="21"/>
          <w:szCs w:val="21"/>
          <w:highlight w:val="none"/>
          <w:lang w:eastAsia="zh-CN"/>
        </w:rPr>
        <w:t>嘉兴港区分公司</w:t>
      </w:r>
      <w:r>
        <w:rPr>
          <w:rFonts w:hint="eastAsia" w:ascii="宋体" w:hAnsi="宋体" w:eastAsia="宋体" w:cs="宋体"/>
          <w:i w:val="0"/>
          <w:iCs w:val="0"/>
          <w:caps w:val="0"/>
          <w:color w:val="auto"/>
          <w:spacing w:val="0"/>
          <w:sz w:val="21"/>
          <w:szCs w:val="21"/>
          <w:highlight w:val="none"/>
        </w:rPr>
        <w:t>）在投标截止时间前递交以介质（U盘）存储的数据电文形式的“备份投标文件”，“备份投标文件”应当密封包装并在包装上标注投标项目名称（备份投标文件）、投标单位名称并加盖公章。（备注：包裹外包装上请注明具体项目名称备份投标文件）（备份投标文件的递交时间以签收时间为准，如在规定时间内未收到投标文件，由投标供应商自行承担责任，请投标人主动致电确认是否已签收）。</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pPr>
        <w:pStyle w:val="52"/>
        <w:ind w:left="0" w:leftChars="0" w:firstLine="0" w:firstLineChars="0"/>
        <w:rPr>
          <w:rFonts w:hint="eastAsia" w:ascii="宋体" w:hAnsi="宋体" w:eastAsia="宋体" w:cs="宋体"/>
          <w:i w:val="0"/>
          <w:iCs w:val="0"/>
          <w:caps w:val="0"/>
          <w:color w:val="auto"/>
          <w:spacing w:val="0"/>
          <w:kern w:val="2"/>
          <w:sz w:val="21"/>
          <w:szCs w:val="21"/>
          <w:highlight w:val="none"/>
          <w:lang w:val="en-US" w:eastAsia="zh-CN" w:bidi="ar-SA"/>
        </w:rPr>
      </w:pPr>
      <w:r>
        <w:rPr>
          <w:rFonts w:hint="eastAsia" w:ascii="宋体" w:hAnsi="宋体" w:eastAsia="宋体" w:cs="宋体"/>
          <w:i w:val="0"/>
          <w:iCs w:val="0"/>
          <w:caps w:val="0"/>
          <w:color w:val="auto"/>
          <w:spacing w:val="0"/>
          <w:kern w:val="2"/>
          <w:sz w:val="21"/>
          <w:szCs w:val="21"/>
          <w:highlight w:val="none"/>
          <w:lang w:val="en-US" w:eastAsia="zh-CN" w:bidi="ar-SA"/>
        </w:rPr>
        <w:t>（6）单位负责人为同一人或者存在直接控股、管理关系的不同供应商，不得参加同一合同项下的政府采购活动。</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本招标项目，中标单位与采购单位签订的政府采购合同适用于嘉兴市政府采购贷款政</w:t>
      </w:r>
    </w:p>
    <w:p>
      <w:pPr>
        <w:spacing w:line="440" w:lineRule="exac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策，简称“政采贷”，具体内容可参阅政府采购贷款流程：</w:t>
      </w:r>
      <w:r>
        <w:rPr>
          <w:rFonts w:hint="eastAsia" w:ascii="宋体" w:hAnsi="宋体" w:eastAsia="宋体" w:cs="宋体"/>
          <w:i w:val="0"/>
          <w:iCs w:val="0"/>
          <w:caps w:val="0"/>
          <w:color w:val="auto"/>
          <w:spacing w:val="0"/>
          <w:sz w:val="21"/>
          <w:szCs w:val="21"/>
          <w:highlight w:val="none"/>
        </w:rPr>
        <w:fldChar w:fldCharType="begin"/>
      </w:r>
      <w:r>
        <w:rPr>
          <w:rFonts w:hint="eastAsia" w:ascii="宋体" w:hAnsi="宋体" w:eastAsia="宋体" w:cs="宋体"/>
          <w:i w:val="0"/>
          <w:iCs w:val="0"/>
          <w:caps w:val="0"/>
          <w:color w:val="auto"/>
          <w:spacing w:val="0"/>
          <w:sz w:val="21"/>
          <w:szCs w:val="21"/>
          <w:highlight w:val="none"/>
        </w:rPr>
        <w:instrText xml:space="preserve"> HYPERLINK "http://www.jxzbtb.gov.cn/jxcms/jxztb/category/zcd/zcd_zxqyrzwj/list.html" </w:instrText>
      </w:r>
      <w:r>
        <w:rPr>
          <w:rFonts w:hint="eastAsia" w:ascii="宋体" w:hAnsi="宋体" w:eastAsia="宋体" w:cs="宋体"/>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http://www.jxzbtb.gov.cn/jxcms/jxztb/category/zcd/zcd_zxqyrzwj/list.html</w:t>
      </w:r>
      <w:r>
        <w:rPr>
          <w:rFonts w:hint="eastAsia" w:ascii="宋体" w:hAnsi="宋体" w:eastAsia="宋体" w:cs="宋体"/>
          <w:i w:val="0"/>
          <w:iCs w:val="0"/>
          <w:caps w:val="0"/>
          <w:color w:val="auto"/>
          <w:spacing w:val="0"/>
          <w:sz w:val="21"/>
          <w:szCs w:val="21"/>
          <w:highlight w:val="none"/>
        </w:rPr>
        <w:fldChar w:fldCharType="end"/>
      </w:r>
    </w:p>
    <w:p>
      <w:pPr>
        <w:pStyle w:val="29"/>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color w:val="auto"/>
          <w:sz w:val="21"/>
          <w:szCs w:val="21"/>
          <w:highlight w:val="none"/>
        </w:rPr>
      </w:pPr>
      <w:r>
        <w:rPr>
          <w:rStyle w:val="36"/>
          <w:rFonts w:hint="eastAsia" w:ascii="宋体" w:hAnsi="宋体" w:eastAsia="宋体" w:cs="宋体"/>
          <w:i w:val="0"/>
          <w:iCs w:val="0"/>
          <w:caps w:val="0"/>
          <w:color w:val="auto"/>
          <w:spacing w:val="0"/>
          <w:sz w:val="21"/>
          <w:szCs w:val="21"/>
          <w:highlight w:val="none"/>
        </w:rPr>
        <w:t>七、对本次采购提出询问、质疑、投诉，请按以下方式联系</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1.采购人信息</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名    称：</w:t>
      </w:r>
      <w:r>
        <w:rPr>
          <w:rFonts w:hint="eastAsia" w:hAnsi="宋体" w:cs="宋体"/>
          <w:i w:val="0"/>
          <w:iCs w:val="0"/>
          <w:caps w:val="0"/>
          <w:color w:val="auto"/>
          <w:spacing w:val="0"/>
          <w:sz w:val="21"/>
          <w:szCs w:val="21"/>
          <w:highlight w:val="none"/>
          <w:lang w:eastAsia="zh-CN"/>
        </w:rPr>
        <w:t>浙江乍浦经济开发区（嘉兴港区）管理委员会</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地    址：</w:t>
      </w:r>
      <w:r>
        <w:rPr>
          <w:rFonts w:hint="eastAsia" w:hAnsi="宋体" w:cs="宋体"/>
          <w:i w:val="0"/>
          <w:iCs w:val="0"/>
          <w:caps w:val="0"/>
          <w:color w:val="auto"/>
          <w:spacing w:val="0"/>
          <w:sz w:val="21"/>
          <w:szCs w:val="21"/>
          <w:highlight w:val="none"/>
          <w:lang w:val="en-US" w:eastAsia="zh-CN"/>
        </w:rPr>
        <w:t>中山东路</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传    真： </w:t>
      </w:r>
      <w:r>
        <w:rPr>
          <w:rFonts w:hint="eastAsia" w:hAnsi="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项目联系人（询问）：</w:t>
      </w:r>
      <w:r>
        <w:rPr>
          <w:rFonts w:hint="eastAsia" w:hAnsi="宋体" w:cs="宋体"/>
          <w:i w:val="0"/>
          <w:iCs w:val="0"/>
          <w:caps w:val="0"/>
          <w:color w:val="auto"/>
          <w:spacing w:val="0"/>
          <w:sz w:val="21"/>
          <w:szCs w:val="21"/>
          <w:highlight w:val="none"/>
          <w:lang w:val="en-US" w:eastAsia="zh-CN"/>
        </w:rPr>
        <w:t>宋工</w:t>
      </w:r>
      <w:r>
        <w:rPr>
          <w:rFonts w:hint="eastAsia" w:ascii="宋体" w:hAnsi="宋体" w:eastAsia="宋体" w:cs="宋体"/>
          <w:i w:val="0"/>
          <w:iCs w:val="0"/>
          <w:caps w:val="0"/>
          <w:color w:val="auto"/>
          <w:spacing w:val="0"/>
          <w:sz w:val="21"/>
          <w:szCs w:val="21"/>
          <w:highlight w:val="none"/>
          <w:lang w:val="en-US" w:eastAsia="zh-CN"/>
        </w:rPr>
        <w:t xml:space="preserve"> </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项目联系方式（询问）：</w:t>
      </w:r>
      <w:r>
        <w:rPr>
          <w:rFonts w:hint="eastAsia" w:hAnsi="宋体" w:cs="宋体"/>
          <w:i w:val="0"/>
          <w:iCs w:val="0"/>
          <w:caps w:val="0"/>
          <w:color w:val="auto"/>
          <w:spacing w:val="0"/>
          <w:sz w:val="21"/>
          <w:szCs w:val="21"/>
          <w:highlight w:val="none"/>
          <w:lang w:val="en-US" w:eastAsia="zh-CN"/>
        </w:rPr>
        <w:t>0573-85581731</w:t>
      </w:r>
      <w:r>
        <w:rPr>
          <w:rFonts w:hint="eastAsia" w:ascii="宋体" w:hAnsi="宋体" w:eastAsia="宋体" w:cs="宋体"/>
          <w:i w:val="0"/>
          <w:iCs w:val="0"/>
          <w:caps w:val="0"/>
          <w:color w:val="auto"/>
          <w:spacing w:val="0"/>
          <w:sz w:val="21"/>
          <w:szCs w:val="21"/>
          <w:highlight w:val="none"/>
          <w:lang w:val="en-US" w:eastAsia="zh-CN"/>
        </w:rPr>
        <w:t xml:space="preserve">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质疑联系人：</w:t>
      </w:r>
      <w:r>
        <w:rPr>
          <w:rFonts w:hint="eastAsia" w:hAnsi="宋体" w:cs="宋体"/>
          <w:i w:val="0"/>
          <w:iCs w:val="0"/>
          <w:caps w:val="0"/>
          <w:color w:val="auto"/>
          <w:spacing w:val="0"/>
          <w:sz w:val="21"/>
          <w:szCs w:val="21"/>
          <w:highlight w:val="none"/>
          <w:lang w:val="en-US" w:eastAsia="zh-CN"/>
        </w:rPr>
        <w:t>吴工</w:t>
      </w:r>
      <w:r>
        <w:rPr>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line="300" w:lineRule="atLeast"/>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质疑联系方式：</w:t>
      </w:r>
      <w:r>
        <w:rPr>
          <w:rFonts w:hint="eastAsia" w:hAnsi="宋体" w:cs="宋体"/>
          <w:i w:val="0"/>
          <w:iCs w:val="0"/>
          <w:caps w:val="0"/>
          <w:color w:val="auto"/>
          <w:spacing w:val="0"/>
          <w:sz w:val="21"/>
          <w:szCs w:val="21"/>
          <w:highlight w:val="none"/>
          <w:lang w:val="en-US" w:eastAsia="zh-CN"/>
        </w:rPr>
        <w:t>0573-85582856</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2.采购代理机构信息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名    称：嘉兴市银建工程咨询评估有限公司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    址：嘉兴港区乍浦镇雅山中路170号金旺广场五楼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传    真：0573-8</w:t>
      </w:r>
      <w:r>
        <w:rPr>
          <w:rFonts w:hint="eastAsia" w:ascii="宋体" w:hAnsi="宋体" w:eastAsia="宋体" w:cs="宋体"/>
          <w:i w:val="0"/>
          <w:iCs w:val="0"/>
          <w:caps w:val="0"/>
          <w:color w:val="auto"/>
          <w:spacing w:val="0"/>
          <w:sz w:val="21"/>
          <w:szCs w:val="21"/>
          <w:highlight w:val="none"/>
          <w:lang w:val="en-US" w:eastAsia="zh-CN"/>
        </w:rPr>
        <w:t>5528457</w:t>
      </w:r>
      <w:r>
        <w:rPr>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项目联系人（询问）：</w:t>
      </w:r>
      <w:r>
        <w:rPr>
          <w:rFonts w:hint="eastAsia" w:ascii="宋体" w:hAnsi="宋体" w:eastAsia="宋体" w:cs="宋体"/>
          <w:i w:val="0"/>
          <w:iCs w:val="0"/>
          <w:caps w:val="0"/>
          <w:color w:val="auto"/>
          <w:spacing w:val="0"/>
          <w:sz w:val="21"/>
          <w:szCs w:val="21"/>
          <w:highlight w:val="none"/>
          <w:lang w:eastAsia="zh-CN"/>
        </w:rPr>
        <w:t>陶晓燕</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项目联系方式（询问）：0573-8</w:t>
      </w:r>
      <w:r>
        <w:rPr>
          <w:rFonts w:hint="eastAsia" w:ascii="宋体" w:hAnsi="宋体" w:eastAsia="宋体" w:cs="宋体"/>
          <w:i w:val="0"/>
          <w:iCs w:val="0"/>
          <w:caps w:val="0"/>
          <w:color w:val="auto"/>
          <w:spacing w:val="0"/>
          <w:sz w:val="21"/>
          <w:szCs w:val="21"/>
          <w:highlight w:val="none"/>
          <w:lang w:val="en-US" w:eastAsia="zh-CN"/>
        </w:rPr>
        <w:t>5528457</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质疑联系人：</w:t>
      </w:r>
      <w:r>
        <w:rPr>
          <w:rFonts w:hint="eastAsia" w:ascii="宋体" w:hAnsi="宋体" w:eastAsia="宋体" w:cs="宋体"/>
          <w:i w:val="0"/>
          <w:iCs w:val="0"/>
          <w:caps w:val="0"/>
          <w:color w:val="auto"/>
          <w:spacing w:val="0"/>
          <w:sz w:val="21"/>
          <w:szCs w:val="21"/>
          <w:highlight w:val="none"/>
          <w:lang w:eastAsia="zh-CN"/>
        </w:rPr>
        <w:t>王燕</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质疑联系方式：0573-8</w:t>
      </w:r>
      <w:r>
        <w:rPr>
          <w:rFonts w:hint="eastAsia" w:ascii="宋体" w:hAnsi="宋体" w:eastAsia="宋体" w:cs="宋体"/>
          <w:i w:val="0"/>
          <w:iCs w:val="0"/>
          <w:caps w:val="0"/>
          <w:color w:val="auto"/>
          <w:spacing w:val="0"/>
          <w:sz w:val="21"/>
          <w:szCs w:val="21"/>
          <w:highlight w:val="none"/>
          <w:lang w:val="en-US" w:eastAsia="zh-CN"/>
        </w:rPr>
        <w:t>5528457</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3.同级政府采购监督管理部门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名    称：</w:t>
      </w:r>
      <w:r>
        <w:rPr>
          <w:rFonts w:hint="eastAsia" w:ascii="宋体" w:hAnsi="宋体" w:eastAsia="宋体" w:cs="宋体"/>
          <w:i w:val="0"/>
          <w:iCs w:val="0"/>
          <w:caps w:val="0"/>
          <w:color w:val="auto"/>
          <w:spacing w:val="0"/>
          <w:sz w:val="21"/>
          <w:szCs w:val="21"/>
          <w:highlight w:val="none"/>
          <w:lang w:eastAsia="zh-CN"/>
        </w:rPr>
        <w:t>嘉兴市财政局港区分局</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    址：</w:t>
      </w:r>
      <w:r>
        <w:rPr>
          <w:rFonts w:hint="eastAsia" w:ascii="宋体" w:hAnsi="宋体" w:eastAsia="宋体" w:cs="宋体"/>
          <w:i w:val="0"/>
          <w:iCs w:val="0"/>
          <w:caps w:val="0"/>
          <w:color w:val="auto"/>
          <w:spacing w:val="0"/>
          <w:sz w:val="21"/>
          <w:szCs w:val="21"/>
          <w:highlight w:val="none"/>
          <w:lang w:val="en-US" w:eastAsia="zh-CN"/>
        </w:rPr>
        <w:t>乍浦镇天妃路</w:t>
      </w:r>
      <w:r>
        <w:rPr>
          <w:rFonts w:hint="eastAsia" w:ascii="宋体" w:hAnsi="宋体" w:eastAsia="宋体" w:cs="宋体"/>
          <w:i w:val="0"/>
          <w:iCs w:val="0"/>
          <w:caps w:val="0"/>
          <w:color w:val="auto"/>
          <w:spacing w:val="0"/>
          <w:sz w:val="21"/>
          <w:szCs w:val="21"/>
          <w:highlight w:val="none"/>
        </w:rPr>
        <w:t xml:space="preserve">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传    真：</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联系人 ：</w:t>
      </w:r>
      <w:r>
        <w:rPr>
          <w:rFonts w:hint="eastAsia" w:ascii="宋体" w:hAnsi="宋体" w:eastAsia="宋体" w:cs="宋体"/>
          <w:i w:val="0"/>
          <w:iCs w:val="0"/>
          <w:caps w:val="0"/>
          <w:color w:val="auto"/>
          <w:spacing w:val="0"/>
          <w:sz w:val="21"/>
          <w:szCs w:val="21"/>
          <w:highlight w:val="none"/>
          <w:lang w:val="en-US" w:eastAsia="zh-CN"/>
        </w:rPr>
        <w:t xml:space="preserve"> 唐工</w:t>
      </w:r>
      <w:r>
        <w:rPr>
          <w:rFonts w:hint="eastAsia" w:ascii="宋体" w:hAnsi="宋体" w:eastAsia="宋体" w:cs="宋体"/>
          <w:i w:val="0"/>
          <w:iCs w:val="0"/>
          <w:caps w:val="0"/>
          <w:color w:val="auto"/>
          <w:spacing w:val="0"/>
          <w:sz w:val="21"/>
          <w:szCs w:val="21"/>
          <w:highlight w:val="none"/>
        </w:rPr>
        <w:t>             </w:t>
      </w:r>
    </w:p>
    <w:p>
      <w:pPr>
        <w:pStyle w:val="29"/>
        <w:keepNext w:val="0"/>
        <w:keepLines w:val="0"/>
        <w:widowControl/>
        <w:suppressLineNumbers w:val="0"/>
        <w:spacing w:line="300" w:lineRule="atLeas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监督投诉电话：0573-85623733              </w:t>
      </w:r>
    </w:p>
    <w:p>
      <w:pPr>
        <w:keepNext w:val="0"/>
        <w:keepLines w:val="0"/>
        <w:widowControl/>
        <w:suppressLineNumbers w:val="0"/>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 400-888-4636；天谷CA 400-087-8198。</w:t>
      </w:r>
    </w:p>
    <w:p>
      <w:pPr>
        <w:pStyle w:val="19"/>
        <w:spacing w:line="480" w:lineRule="auto"/>
        <w:jc w:val="center"/>
        <w:rPr>
          <w:rFonts w:hint="eastAsia"/>
          <w:b/>
          <w:color w:val="auto"/>
          <w:sz w:val="24"/>
          <w:szCs w:val="24"/>
          <w:highlight w:val="none"/>
        </w:rPr>
      </w:pPr>
    </w:p>
    <w:p>
      <w:pPr>
        <w:spacing w:line="360" w:lineRule="auto"/>
        <w:jc w:val="center"/>
        <w:rPr>
          <w:color w:val="auto"/>
          <w:sz w:val="32"/>
          <w:szCs w:val="32"/>
          <w:highlight w:val="none"/>
        </w:rPr>
      </w:pPr>
      <w:r>
        <w:rPr>
          <w:rFonts w:hint="eastAsia" w:ascii="宋体"/>
          <w:color w:val="auto"/>
          <w:sz w:val="24"/>
          <w:highlight w:val="none"/>
        </w:rPr>
        <w:br w:type="page"/>
      </w:r>
      <w:r>
        <w:rPr>
          <w:rFonts w:hint="eastAsia"/>
          <w:color w:val="auto"/>
          <w:sz w:val="32"/>
          <w:szCs w:val="32"/>
          <w:highlight w:val="none"/>
        </w:rPr>
        <w:t>第二章  投标人须知</w:t>
      </w:r>
    </w:p>
    <w:p>
      <w:pPr>
        <w:spacing w:line="360" w:lineRule="auto"/>
        <w:ind w:left="238"/>
        <w:jc w:val="center"/>
        <w:outlineLvl w:val="1"/>
        <w:rPr>
          <w:rFonts w:ascii="宋体"/>
          <w:b/>
          <w:color w:val="auto"/>
          <w:sz w:val="28"/>
          <w:szCs w:val="28"/>
          <w:highlight w:val="none"/>
        </w:rPr>
      </w:pPr>
      <w:bookmarkStart w:id="0" w:name="_Toc177870535"/>
      <w:r>
        <w:rPr>
          <w:rFonts w:hint="eastAsia" w:ascii="宋体"/>
          <w:b/>
          <w:color w:val="auto"/>
          <w:sz w:val="28"/>
          <w:szCs w:val="28"/>
          <w:highlight w:val="none"/>
        </w:rPr>
        <w:t>前附表</w:t>
      </w:r>
      <w:bookmarkEnd w:id="0"/>
    </w:p>
    <w:tbl>
      <w:tblPr>
        <w:tblStyle w:val="33"/>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7"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项目说明</w:t>
            </w:r>
          </w:p>
          <w:p>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w:t>
            </w:r>
            <w:r>
              <w:rPr>
                <w:rFonts w:hint="eastAsia" w:ascii="宋体" w:hAnsi="宋体" w:cs="宋体"/>
                <w:color w:val="auto"/>
                <w:sz w:val="21"/>
                <w:szCs w:val="21"/>
                <w:highlight w:val="none"/>
                <w:lang w:eastAsia="zh-CN"/>
              </w:rPr>
              <w:t>2023年度嘉兴港区道路、桥梁及雨水管线维修养护项目</w:t>
            </w:r>
            <w:r>
              <w:rPr>
                <w:rFonts w:hint="eastAsia" w:ascii="宋体" w:hAnsi="宋体" w:eastAsia="宋体" w:cs="宋体"/>
                <w:color w:val="auto"/>
                <w:sz w:val="21"/>
                <w:szCs w:val="21"/>
                <w:highlight w:val="none"/>
              </w:rPr>
              <w:t>。</w:t>
            </w:r>
          </w:p>
          <w:p>
            <w:pPr>
              <w:spacing w:line="500" w:lineRule="exact"/>
              <w:jc w:val="left"/>
              <w:rPr>
                <w:rFonts w:hint="eastAsia" w:ascii="宋体" w:hAnsi="宋体" w:eastAsia="宋体" w:cs="宋体"/>
                <w:color w:val="auto"/>
                <w:sz w:val="21"/>
                <w:szCs w:val="21"/>
                <w:highlight w:val="none"/>
              </w:rPr>
            </w:pPr>
            <w:bookmarkStart w:id="1" w:name="_Hlt75139851"/>
            <w:bookmarkEnd w:id="1"/>
            <w:r>
              <w:rPr>
                <w:rFonts w:hint="eastAsia" w:ascii="宋体" w:hAnsi="宋体" w:eastAsia="宋体" w:cs="宋体"/>
                <w:color w:val="auto"/>
                <w:sz w:val="21"/>
                <w:szCs w:val="21"/>
                <w:highlight w:val="none"/>
              </w:rPr>
              <w:t>二、采购内容：具体详见采购需求。</w:t>
            </w:r>
          </w:p>
          <w:p>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三、项目实施地点：采购人指定地点。</w:t>
            </w:r>
          </w:p>
          <w:p>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四、采购需求：详见采购文件第三章。</w:t>
            </w:r>
          </w:p>
          <w:p>
            <w:pPr>
              <w:spacing w:line="5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五、服务期：</w:t>
            </w:r>
            <w:r>
              <w:rPr>
                <w:rFonts w:hint="eastAsia" w:ascii="宋体" w:hAnsi="宋体" w:cs="宋体"/>
                <w:color w:val="auto"/>
                <w:sz w:val="21"/>
                <w:szCs w:val="21"/>
                <w:highlight w:val="none"/>
                <w:lang w:eastAsia="zh-CN"/>
              </w:rPr>
              <w:t>1年。服务期满如质量达到要求，经双方同意，本合同可以续签一年。</w:t>
            </w:r>
          </w:p>
          <w:p>
            <w:pPr>
              <w:spacing w:line="500" w:lineRule="exact"/>
              <w:jc w:val="left"/>
              <w:rPr>
                <w:rFonts w:hint="default" w:ascii="微软雅黑" w:hAnsi="微软雅黑"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预算金额：</w:t>
            </w:r>
            <w:r>
              <w:rPr>
                <w:rFonts w:hint="eastAsia" w:ascii="宋体" w:hAnsi="宋体"/>
                <w:b/>
                <w:bCs/>
                <w:color w:val="auto"/>
                <w:sz w:val="21"/>
                <w:szCs w:val="21"/>
                <w:highlight w:val="none"/>
                <w:lang w:val="en-US" w:eastAsia="zh-CN"/>
              </w:rPr>
              <w:t>标项一</w:t>
            </w:r>
            <w:r>
              <w:rPr>
                <w:rFonts w:hint="eastAsia" w:ascii="宋体" w:hAnsi="宋体"/>
                <w:b/>
                <w:bCs/>
                <w:color w:val="auto"/>
                <w:sz w:val="21"/>
                <w:szCs w:val="21"/>
                <w:highlight w:val="none"/>
              </w:rPr>
              <w:t>：人民币</w:t>
            </w:r>
            <w:r>
              <w:rPr>
                <w:rFonts w:hint="eastAsia"/>
                <w:b/>
                <w:bCs/>
                <w:color w:val="auto"/>
                <w:sz w:val="21"/>
                <w:szCs w:val="21"/>
                <w:highlight w:val="none"/>
                <w:u w:val="single"/>
                <w:lang w:val="en-US" w:eastAsia="zh-CN"/>
              </w:rPr>
              <w:t>600</w:t>
            </w:r>
            <w:r>
              <w:rPr>
                <w:rFonts w:hint="eastAsia" w:ascii="宋体" w:hAnsi="宋体"/>
                <w:b/>
                <w:bCs/>
                <w:color w:val="auto"/>
                <w:sz w:val="21"/>
                <w:szCs w:val="21"/>
                <w:highlight w:val="none"/>
                <w:u w:val="none"/>
              </w:rPr>
              <w:t>万</w:t>
            </w:r>
            <w:r>
              <w:rPr>
                <w:rFonts w:hint="eastAsia" w:ascii="宋体" w:hAnsi="宋体"/>
                <w:b/>
                <w:bCs/>
                <w:color w:val="auto"/>
                <w:sz w:val="21"/>
                <w:szCs w:val="21"/>
                <w:highlight w:val="none"/>
              </w:rPr>
              <w:t>元整；</w:t>
            </w:r>
            <w:r>
              <w:rPr>
                <w:rFonts w:hint="eastAsia" w:ascii="宋体" w:hAnsi="宋体"/>
                <w:b/>
                <w:bCs/>
                <w:color w:val="auto"/>
                <w:sz w:val="21"/>
                <w:szCs w:val="21"/>
                <w:highlight w:val="none"/>
                <w:lang w:val="en-US" w:eastAsia="zh-CN"/>
              </w:rPr>
              <w:t>标项二</w:t>
            </w:r>
            <w:r>
              <w:rPr>
                <w:rFonts w:hint="eastAsia" w:ascii="宋体" w:hAnsi="宋体"/>
                <w:b/>
                <w:bCs/>
                <w:color w:val="auto"/>
                <w:sz w:val="21"/>
                <w:szCs w:val="21"/>
                <w:highlight w:val="none"/>
              </w:rPr>
              <w:t>：人民币</w:t>
            </w:r>
            <w:r>
              <w:rPr>
                <w:rFonts w:hint="eastAsia"/>
                <w:b/>
                <w:bCs/>
                <w:color w:val="auto"/>
                <w:sz w:val="21"/>
                <w:szCs w:val="21"/>
                <w:highlight w:val="none"/>
                <w:u w:val="single"/>
                <w:lang w:val="en-US" w:eastAsia="zh-CN"/>
              </w:rPr>
              <w:t xml:space="preserve"> 400</w:t>
            </w:r>
            <w:r>
              <w:rPr>
                <w:rFonts w:hint="eastAsia" w:ascii="宋体" w:hAnsi="宋体"/>
                <w:b/>
                <w:bCs/>
                <w:color w:val="auto"/>
                <w:sz w:val="21"/>
                <w:szCs w:val="21"/>
                <w:highlight w:val="none"/>
                <w:u w:val="none"/>
              </w:rPr>
              <w:t>万</w:t>
            </w:r>
            <w:r>
              <w:rPr>
                <w:rFonts w:hint="eastAsia" w:ascii="宋体" w:hAnsi="宋体"/>
                <w:b/>
                <w:bCs/>
                <w:color w:val="auto"/>
                <w:sz w:val="21"/>
                <w:szCs w:val="21"/>
                <w:highlight w:val="none"/>
              </w:rPr>
              <w:t>元整。</w:t>
            </w:r>
            <w:r>
              <w:rPr>
                <w:rFonts w:hint="eastAsia" w:ascii="宋体" w:hAnsi="宋体" w:cs="宋体"/>
                <w:color w:val="auto"/>
                <w:sz w:val="21"/>
                <w:szCs w:val="21"/>
                <w:highlight w:val="none"/>
                <w:lang w:val="en-US" w:eastAsia="zh-CN"/>
              </w:rPr>
              <w:t xml:space="preserve"> </w:t>
            </w:r>
            <w:r>
              <w:rPr>
                <w:rFonts w:hint="eastAsia" w:ascii="宋体" w:cs="Arial"/>
                <w:b/>
                <w:color w:val="auto"/>
                <w:sz w:val="21"/>
                <w:szCs w:val="21"/>
                <w:highlight w:val="none"/>
                <w:lang w:val="en-US" w:eastAsia="zh-CN"/>
              </w:rPr>
              <w:t>预算价为最高限价，</w:t>
            </w:r>
            <w:r>
              <w:rPr>
                <w:rFonts w:hint="eastAsia" w:ascii="宋体" w:cs="Arial"/>
                <w:b/>
                <w:color w:val="auto"/>
                <w:sz w:val="21"/>
                <w:szCs w:val="21"/>
                <w:highlight w:val="none"/>
                <w:lang w:val="en-US" w:eastAsia="zh-CN"/>
              </w:rPr>
              <w:t>本项目</w:t>
            </w:r>
            <w:r>
              <w:rPr>
                <w:rFonts w:hint="eastAsia" w:ascii="宋体" w:cs="Arial"/>
                <w:b/>
                <w:color w:val="auto"/>
                <w:sz w:val="21"/>
                <w:szCs w:val="21"/>
                <w:highlight w:val="none"/>
              </w:rPr>
              <w:t>以“百分率”报价</w:t>
            </w:r>
            <w:r>
              <w:rPr>
                <w:rFonts w:hint="eastAsia" w:ascii="宋体" w:cs="Arial"/>
                <w:b/>
                <w:color w:val="auto"/>
                <w:sz w:val="21"/>
                <w:szCs w:val="21"/>
                <w:highlight w:val="none"/>
                <w:lang w:eastAsia="zh-CN"/>
              </w:rPr>
              <w:t>，</w:t>
            </w:r>
            <w:r>
              <w:rPr>
                <w:rFonts w:hint="eastAsia" w:ascii="宋体" w:cs="Arial"/>
                <w:b/>
                <w:color w:val="auto"/>
                <w:sz w:val="21"/>
                <w:szCs w:val="21"/>
                <w:highlight w:val="none"/>
                <w:lang w:val="en-US" w:eastAsia="zh-CN"/>
              </w:rPr>
              <w:t>投标百分率“100%”为最高限价（投标百分率），</w:t>
            </w:r>
            <w:r>
              <w:rPr>
                <w:rFonts w:hint="eastAsia" w:ascii="宋体" w:cs="Arial"/>
                <w:b/>
                <w:color w:val="auto"/>
                <w:sz w:val="21"/>
                <w:szCs w:val="21"/>
                <w:highlight w:val="none"/>
              </w:rPr>
              <w:t>投标单位</w:t>
            </w:r>
            <w:r>
              <w:rPr>
                <w:rFonts w:hint="eastAsia" w:ascii="宋体" w:cs="Arial"/>
                <w:b/>
                <w:color w:val="auto"/>
                <w:sz w:val="21"/>
                <w:szCs w:val="21"/>
                <w:highlight w:val="none"/>
                <w:lang w:val="en-US" w:eastAsia="zh-CN"/>
              </w:rPr>
              <w:t>未按规定</w:t>
            </w:r>
            <w:r>
              <w:rPr>
                <w:rFonts w:hint="eastAsia" w:ascii="宋体" w:cs="Arial"/>
                <w:b/>
                <w:color w:val="auto"/>
                <w:sz w:val="21"/>
                <w:szCs w:val="21"/>
                <w:highlight w:val="none"/>
              </w:rPr>
              <w:t>报价</w:t>
            </w:r>
            <w:r>
              <w:rPr>
                <w:rFonts w:hint="eastAsia" w:ascii="宋体" w:cs="Arial"/>
                <w:b/>
                <w:color w:val="auto"/>
                <w:sz w:val="21"/>
                <w:szCs w:val="21"/>
                <w:highlight w:val="none"/>
                <w:lang w:val="en-US" w:eastAsia="zh-CN"/>
              </w:rPr>
              <w:t>的</w:t>
            </w:r>
            <w:r>
              <w:rPr>
                <w:rFonts w:hint="eastAsia" w:ascii="宋体" w:cs="Arial"/>
                <w:b/>
                <w:color w:val="auto"/>
                <w:sz w:val="21"/>
                <w:szCs w:val="21"/>
                <w:highlight w:val="none"/>
              </w:rPr>
              <w:t>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5" w:type="dxa"/>
            <w:tcBorders>
              <w:top w:val="single" w:color="000000" w:sz="2" w:space="0"/>
              <w:left w:val="single" w:color="000000" w:sz="2" w:space="0"/>
              <w:bottom w:val="single" w:color="000000" w:sz="2" w:space="0"/>
              <w:right w:val="single" w:color="000000" w:sz="2"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7308" w:type="dxa"/>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kern w:val="0"/>
                <w:szCs w:val="21"/>
                <w:highlight w:val="none"/>
                <w:lang w:eastAsia="zh-CN"/>
              </w:rPr>
              <w:t>2023年度嘉兴港区道路、桥梁及雨水管线维修养护项目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招标服务费：本次代理服务费</w:t>
            </w:r>
            <w:r>
              <w:rPr>
                <w:rFonts w:hint="eastAsia" w:ascii="宋体" w:hAnsi="宋体"/>
                <w:color w:val="auto"/>
                <w:szCs w:val="21"/>
                <w:highlight w:val="none"/>
              </w:rPr>
              <w:t>由各标段</w:t>
            </w:r>
            <w:r>
              <w:rPr>
                <w:rFonts w:hint="eastAsia" w:ascii="宋体" w:hAnsi="宋体" w:cs="宋体"/>
                <w:color w:val="auto"/>
                <w:szCs w:val="21"/>
                <w:highlight w:val="none"/>
              </w:rPr>
              <w:t>中标人支付，代理服务费按照国家计委印发的《招</w:t>
            </w:r>
            <w:bookmarkStart w:id="25" w:name="_GoBack"/>
            <w:bookmarkEnd w:id="25"/>
            <w:r>
              <w:rPr>
                <w:rFonts w:hint="eastAsia" w:ascii="宋体" w:hAnsi="宋体" w:cs="宋体"/>
                <w:color w:val="auto"/>
                <w:szCs w:val="21"/>
                <w:highlight w:val="none"/>
              </w:rPr>
              <w:t>标代理服务收费管理暂行办法》计价格[2002]1980号规定收费。由</w:t>
            </w:r>
            <w:r>
              <w:rPr>
                <w:rFonts w:hint="eastAsia" w:ascii="宋体" w:hAnsi="宋体" w:cs="宋体"/>
                <w:color w:val="auto"/>
                <w:szCs w:val="21"/>
                <w:highlight w:val="none"/>
                <w:lang w:val="en-US" w:eastAsia="zh-CN"/>
              </w:rPr>
              <w:t>各标段</w:t>
            </w:r>
            <w:r>
              <w:rPr>
                <w:rFonts w:hint="eastAsia" w:ascii="宋体" w:hAnsi="宋体" w:cs="宋体"/>
                <w:color w:val="auto"/>
                <w:szCs w:val="21"/>
                <w:highlight w:val="none"/>
              </w:rPr>
              <w:t>中标人在领取中标通知书前支付给招标代理机构，各投标人应在投标报价中予以考虑。</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投标文件的组成：</w:t>
            </w:r>
            <w:r>
              <w:rPr>
                <w:rFonts w:hint="eastAsia" w:ascii="宋体" w:hAnsi="宋体" w:cs="宋体"/>
                <w:b/>
                <w:bCs/>
                <w:color w:val="auto"/>
                <w:szCs w:val="21"/>
                <w:highlight w:val="none"/>
              </w:rPr>
              <w:t>完整的《投标文件》由“资格文件”、“资信商务及技术文件”和“投标报价文件”三个部分组成。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投标文件的签章：</w:t>
            </w:r>
            <w:r>
              <w:rPr>
                <w:rFonts w:hint="eastAsia" w:ascii="宋体" w:hAnsi="宋体" w:cs="宋体"/>
                <w:b/>
                <w:color w:val="auto"/>
                <w:szCs w:val="21"/>
                <w:highlight w:val="none"/>
              </w:rPr>
              <w:t xml:space="preserve">电子签章（公章）。其中法定代表人和授权代表签字或盖章可书面签订或盖章后扫描至电子投标文件中上传；凡投标格式文件明确有签字盖章处均应符合。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pacing w:line="500" w:lineRule="exact"/>
              <w:jc w:val="left"/>
              <w:rPr>
                <w:rFonts w:ascii="宋体" w:hAnsi="宋体" w:cs="宋体"/>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份数：（1）“电子加密投标文件”：在线上传递交、一份。（2）“备份投标文件”：密封包装后（采用邮寄形式或者直接送达至采购代理公司）投标截止时间前递交、一份（邮寄或直接送达）地址：嘉兴市银建工程咨询评估有限公司嘉兴港区分公司（嘉兴港区乍浦镇雅山中路170号金旺广场五楼），联系人：陶晓燕 ，联系电话：0573-85528457）。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a.投标供应商应在投标截止时间前将“电子加密投标文件”成功上传递交至“政采云平台”，否则投标无效。</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a.投标供应商在“政府采购云平台”完成“电子加密投标文件”的上传递交后，还可以邮寄形式（或者直接送达方式）在投标截止时间前递交以介质（U盘）存储的 “备份投标文件”（一份）。</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或者逾期送达至投标地点的“备份投标文件”将不予接收；（备注：包裹外包装上请注明项目名称备份投标文件）。</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c.通过“政采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500" w:lineRule="exact"/>
              <w:jc w:val="left"/>
              <w:rPr>
                <w:rFonts w:ascii="宋体" w:hAnsi="宋体" w:cs="宋体"/>
                <w:color w:val="auto"/>
                <w:szCs w:val="21"/>
                <w:highlight w:val="none"/>
              </w:rPr>
            </w:pPr>
            <w:r>
              <w:rPr>
                <w:rFonts w:hint="eastAsia" w:hAnsi="宋体" w:cs="宋体"/>
                <w:b/>
                <w:bCs/>
                <w:color w:val="auto"/>
                <w:szCs w:val="21"/>
                <w:highlight w:val="none"/>
              </w:rPr>
              <w:t>d.如在开标过程中出现解密失败情况，以备份文件作为替代投标文件，如投标人未按照规定时间及要求提供有效备份文件，同时政采云上投标文件解密失败的，将导致投标无效。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kern w:val="0"/>
                <w:szCs w:val="21"/>
                <w:highlight w:val="none"/>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304"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投标地点：</w:t>
            </w:r>
            <w:r>
              <w:rPr>
                <w:rFonts w:hint="eastAsia" w:ascii="宋体" w:hAnsi="宋体" w:cs="宋体"/>
                <w:color w:val="auto"/>
                <w:kern w:val="0"/>
                <w:szCs w:val="21"/>
                <w:highlight w:val="none"/>
              </w:rPr>
              <w:t>详见公告</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68" w:hRule="atLeast"/>
          <w:jc w:val="center"/>
        </w:trPr>
        <w:tc>
          <w:tcPr>
            <w:tcW w:w="784" w:type="dxa"/>
            <w:tcBorders>
              <w:top w:val="single" w:color="000000" w:sz="2"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73" w:type="dxa"/>
            <w:gridSpan w:val="2"/>
            <w:tcBorders>
              <w:top w:val="single" w:color="000000" w:sz="2"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97"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olor w:val="auto"/>
                <w:szCs w:val="21"/>
                <w:highlight w:val="none"/>
              </w:rPr>
            </w:pPr>
            <w:r>
              <w:rPr>
                <w:rFonts w:ascii="宋体" w:hAnsi="宋体"/>
                <w:b/>
                <w:color w:val="auto"/>
                <w:szCs w:val="21"/>
                <w:highlight w:val="none"/>
              </w:rPr>
              <w:t>中标结果公告：</w:t>
            </w:r>
            <w:r>
              <w:rPr>
                <w:rFonts w:ascii="宋体" w:hAnsi="宋体"/>
                <w:color w:val="auto"/>
                <w:szCs w:val="21"/>
                <w:highlight w:val="none"/>
              </w:rPr>
              <w:t>自中标、成交供应商确定之日起2个工作日内结果公告于浙江政府采购网(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color w:val="auto"/>
                <w:szCs w:val="21"/>
                <w:highlight w:val="none"/>
              </w:rPr>
              <w:t>http://www.zjzfcg.gov.cn</w:t>
            </w:r>
            <w:r>
              <w:rPr>
                <w:rFonts w:ascii="宋体"/>
                <w:color w:val="auto"/>
                <w:szCs w:val="21"/>
                <w:highlight w:val="none"/>
              </w:rPr>
              <w:fldChar w:fldCharType="end"/>
            </w:r>
            <w:r>
              <w:rPr>
                <w:rFonts w:ascii="宋体" w:hAnsi="宋体"/>
                <w:color w:val="auto"/>
                <w:szCs w:val="21"/>
                <w:highlight w:val="none"/>
              </w:rPr>
              <w:t>)等网站或媒体。</w:t>
            </w:r>
            <w:r>
              <w:rPr>
                <w:rFonts w:hint="eastAsia" w:ascii="宋体" w:hAnsi="宋体"/>
                <w:color w:val="auto"/>
                <w:szCs w:val="21"/>
                <w:highlight w:val="none"/>
              </w:rPr>
              <w:t>中标公告期限为1个工作日。</w:t>
            </w:r>
          </w:p>
          <w:p>
            <w:pPr>
              <w:spacing w:line="500" w:lineRule="exact"/>
              <w:jc w:val="left"/>
              <w:rPr>
                <w:rFonts w:ascii="宋体" w:hAnsi="宋体" w:cs="宋体"/>
                <w:color w:val="auto"/>
                <w:szCs w:val="21"/>
                <w:highlight w:val="none"/>
              </w:rPr>
            </w:pPr>
            <w:r>
              <w:rPr>
                <w:rFonts w:hint="eastAsia" w:ascii="宋体" w:hAnsi="宋体"/>
                <w:b/>
                <w:color w:val="auto"/>
                <w:szCs w:val="21"/>
                <w:highlight w:val="none"/>
              </w:rPr>
              <w:t>中标通知书</w:t>
            </w:r>
            <w:r>
              <w:rPr>
                <w:rFonts w:hint="eastAsia" w:ascii="仿宋_GB2312" w:hAnsi="宋体" w:eastAsia="仿宋_GB2312"/>
                <w:b/>
                <w:bCs/>
                <w:color w:val="auto"/>
                <w:sz w:val="22"/>
                <w:szCs w:val="22"/>
                <w:highlight w:val="none"/>
              </w:rPr>
              <w:t>：</w:t>
            </w:r>
            <w:r>
              <w:rPr>
                <w:rFonts w:hint="eastAsia" w:ascii="宋体" w:hAnsi="宋体"/>
                <w:color w:val="auto"/>
                <w:szCs w:val="21"/>
                <w:highlight w:val="none"/>
              </w:rPr>
              <w:t>在发布中标结果公告的同时向中标人发出中标通知书。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潜在供应商需在浙江政府采购网</w:t>
            </w:r>
            <w:r>
              <w:rPr>
                <w:rFonts w:ascii="宋体" w:hAnsi="宋体" w:cs="宋体"/>
                <w:color w:val="auto"/>
                <w:szCs w:val="21"/>
                <w:highlight w:val="none"/>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auto"/>
                <w:szCs w:val="21"/>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一、说明</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中小企业</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残疾人福利性单位</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监狱企业</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二、针对本项目的相关规定</w:t>
            </w:r>
          </w:p>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1.本项目属于预留份额专门面向中小</w:t>
            </w:r>
            <w:r>
              <w:rPr>
                <w:rFonts w:hint="eastAsia" w:ascii="宋体" w:hAnsi="宋体"/>
                <w:b/>
                <w:bCs/>
                <w:color w:val="auto"/>
                <w:szCs w:val="21"/>
                <w:highlight w:val="none"/>
                <w:lang w:val="en-US" w:eastAsia="zh-CN"/>
              </w:rPr>
              <w:t>微</w:t>
            </w:r>
            <w:r>
              <w:rPr>
                <w:rFonts w:hint="eastAsia" w:ascii="宋体" w:hAnsi="宋体"/>
                <w:b/>
                <w:bCs/>
                <w:color w:val="auto"/>
                <w:szCs w:val="21"/>
                <w:highlight w:val="none"/>
              </w:rPr>
              <w:t>企业采购的项目。</w:t>
            </w:r>
          </w:p>
          <w:p>
            <w:pPr>
              <w:spacing w:line="500" w:lineRule="exact"/>
              <w:jc w:val="left"/>
              <w:rPr>
                <w:color w:val="auto"/>
                <w:szCs w:val="21"/>
                <w:highlight w:val="none"/>
              </w:rPr>
            </w:pPr>
            <w:r>
              <w:rPr>
                <w:rFonts w:hint="eastAsia" w:ascii="宋体" w:hAnsi="宋体"/>
                <w:b/>
                <w:bCs/>
                <w:color w:val="auto"/>
                <w:szCs w:val="21"/>
                <w:highlight w:val="none"/>
              </w:rPr>
              <w:t>2.本项目采购标的对应的中小企业计划分标准所属行业为：</w:t>
            </w:r>
            <w:r>
              <w:rPr>
                <w:rFonts w:hint="eastAsia" w:ascii="宋体" w:hAnsi="宋体"/>
                <w:b/>
                <w:bCs/>
                <w:color w:val="auto"/>
                <w:szCs w:val="21"/>
                <w:highlight w:val="none"/>
                <w:lang w:val="en-US" w:eastAsia="zh-CN"/>
              </w:rPr>
              <w:t>建筑</w:t>
            </w:r>
            <w:r>
              <w:rPr>
                <w:rFonts w:hint="eastAsia" w:ascii="宋体" w:hAnsi="宋体"/>
                <w:b/>
                <w:bCs/>
                <w:color w:val="auto"/>
                <w:szCs w:val="21"/>
                <w:highlight w:val="none"/>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25"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 xml:space="preserve"> 21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pStyle w:val="19"/>
              <w:spacing w:line="500" w:lineRule="exact"/>
              <w:outlineLvl w:val="0"/>
              <w:rPr>
                <w:rFonts w:hAnsi="宋体"/>
                <w:color w:val="auto"/>
                <w:kern w:val="2"/>
                <w:sz w:val="21"/>
                <w:szCs w:val="21"/>
                <w:highlight w:val="none"/>
                <w:lang w:val="en-US" w:eastAsia="zh-CN"/>
              </w:rPr>
            </w:pPr>
            <w:r>
              <w:rPr>
                <w:rFonts w:hAnsi="宋体"/>
                <w:color w:val="auto"/>
                <w:kern w:val="2"/>
                <w:sz w:val="21"/>
                <w:szCs w:val="21"/>
                <w:highlight w:val="none"/>
                <w:lang w:val="en-US" w:eastAsia="zh-CN"/>
              </w:rPr>
              <w:t>履约保证金的收取:</w:t>
            </w:r>
            <w:r>
              <w:rPr>
                <w:rFonts w:hint="eastAsia" w:hAnsi="宋体"/>
                <w:color w:val="auto"/>
                <w:kern w:val="2"/>
                <w:sz w:val="21"/>
                <w:szCs w:val="21"/>
                <w:highlight w:val="none"/>
                <w:lang w:val="en-US" w:eastAsia="zh-CN"/>
              </w:rPr>
              <w:t xml:space="preserve"> 无</w:t>
            </w:r>
            <w:r>
              <w:rPr>
                <w:rFonts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ascii="宋体" w:hAnsi="宋体"/>
                <w:b/>
                <w:color w:val="auto"/>
                <w:szCs w:val="21"/>
                <w:highlight w:val="none"/>
              </w:rPr>
              <w:t>解释：</w:t>
            </w:r>
            <w:r>
              <w:rPr>
                <w:rFonts w:ascii="宋体" w:hAnsi="宋体"/>
                <w:color w:val="auto"/>
                <w:szCs w:val="21"/>
                <w:highlight w:val="none"/>
              </w:rPr>
              <w:t>本招标文件的解释权属于招标采购单位</w:t>
            </w:r>
            <w:r>
              <w:rPr>
                <w:rFonts w:hint="eastAsia" w:ascii="宋体" w:hAnsi="宋体"/>
                <w:color w:val="auto"/>
                <w:szCs w:val="21"/>
                <w:highlight w:val="none"/>
              </w:rPr>
              <w:t>。</w:t>
            </w:r>
          </w:p>
        </w:tc>
      </w:tr>
    </w:tbl>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pStyle w:val="52"/>
        <w:rPr>
          <w:rFonts w:ascii="宋体"/>
          <w:b/>
          <w:color w:val="auto"/>
          <w:sz w:val="28"/>
          <w:szCs w:val="28"/>
          <w:highlight w:val="none"/>
        </w:rPr>
      </w:pPr>
    </w:p>
    <w:p>
      <w:pPr>
        <w:pStyle w:val="52"/>
        <w:rPr>
          <w:rFonts w:hint="eastAsia" w:ascii="宋体"/>
          <w:b/>
          <w:color w:val="auto"/>
          <w:sz w:val="28"/>
          <w:szCs w:val="28"/>
          <w:highlight w:val="none"/>
          <w:lang w:val="en-US" w:eastAsia="zh-CN"/>
        </w:rPr>
      </w:pPr>
      <w:r>
        <w:rPr>
          <w:rFonts w:hint="eastAsia" w:ascii="宋体"/>
          <w:b/>
          <w:color w:val="auto"/>
          <w:sz w:val="28"/>
          <w:szCs w:val="28"/>
          <w:highlight w:val="none"/>
          <w:lang w:val="en-US" w:eastAsia="zh-CN"/>
        </w:rPr>
        <w:t xml:space="preserve"> </w:t>
      </w:r>
    </w:p>
    <w:p>
      <w:pPr>
        <w:pStyle w:val="52"/>
        <w:rPr>
          <w:rFonts w:hint="eastAsia" w:ascii="宋体"/>
          <w:b/>
          <w:color w:val="auto"/>
          <w:sz w:val="28"/>
          <w:szCs w:val="28"/>
          <w:highlight w:val="none"/>
          <w:lang w:val="en-US" w:eastAsia="zh-CN"/>
        </w:rPr>
      </w:pPr>
    </w:p>
    <w:p>
      <w:pPr>
        <w:pStyle w:val="52"/>
        <w:rPr>
          <w:rFonts w:hint="eastAsia" w:ascii="宋体"/>
          <w:b/>
          <w:color w:val="auto"/>
          <w:sz w:val="28"/>
          <w:szCs w:val="28"/>
          <w:highlight w:val="none"/>
          <w:lang w:val="en-US" w:eastAsia="zh-CN"/>
        </w:rPr>
      </w:pPr>
    </w:p>
    <w:p>
      <w:pPr>
        <w:pStyle w:val="52"/>
        <w:rPr>
          <w:rFonts w:hint="eastAsia" w:ascii="宋体"/>
          <w:b/>
          <w:color w:val="auto"/>
          <w:sz w:val="28"/>
          <w:szCs w:val="28"/>
          <w:highlight w:val="none"/>
          <w:lang w:val="en-US" w:eastAsia="zh-CN"/>
        </w:rPr>
      </w:pPr>
    </w:p>
    <w:p>
      <w:pPr>
        <w:pStyle w:val="52"/>
        <w:rPr>
          <w:rFonts w:hint="eastAsia" w:ascii="宋体"/>
          <w:b/>
          <w:color w:val="auto"/>
          <w:sz w:val="28"/>
          <w:szCs w:val="28"/>
          <w:highlight w:val="none"/>
          <w:lang w:val="en-US" w:eastAsia="zh-CN"/>
        </w:rPr>
      </w:pPr>
    </w:p>
    <w:p>
      <w:pPr>
        <w:snapToGrid w:val="0"/>
        <w:spacing w:line="360" w:lineRule="auto"/>
        <w:jc w:val="center"/>
        <w:rPr>
          <w:rFonts w:ascii="宋体"/>
          <w:b/>
          <w:color w:val="auto"/>
          <w:sz w:val="28"/>
          <w:szCs w:val="28"/>
          <w:highlight w:val="none"/>
        </w:rPr>
      </w:pPr>
      <w:r>
        <w:rPr>
          <w:rFonts w:hint="eastAsia" w:ascii="宋体"/>
          <w:b/>
          <w:color w:val="auto"/>
          <w:sz w:val="28"/>
          <w:szCs w:val="28"/>
          <w:highlight w:val="none"/>
        </w:rPr>
        <w:t>一、总则</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1. 适用范围</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1.1 本招标文件适用于本次所述项目的招标。</w:t>
      </w:r>
    </w:p>
    <w:p>
      <w:pPr>
        <w:snapToGrid w:val="0"/>
        <w:spacing w:line="460" w:lineRule="exact"/>
        <w:jc w:val="left"/>
        <w:rPr>
          <w:rFonts w:ascii="宋体"/>
          <w:b/>
          <w:color w:val="auto"/>
          <w:szCs w:val="21"/>
          <w:highlight w:val="none"/>
        </w:rPr>
      </w:pPr>
      <w:r>
        <w:rPr>
          <w:rFonts w:hint="eastAsia" w:ascii="宋体"/>
          <w:b/>
          <w:color w:val="auto"/>
          <w:szCs w:val="21"/>
          <w:highlight w:val="none"/>
        </w:rPr>
        <w:t>2.相关名词说明</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2.1 潜在投标人领取招标文件后,必须按国家《保密法》以及保密工作的相关规定，对招标文件内容应承担保密义务，维护采购人的权益，发生窃、泄密事件潜在投标人应承担相应的法律责任。</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2.2 投标人一旦参与本次采购活动，即被视为接受了本招标文件的所有内容，如有任何异议，均需在答疑截止时间以书面形式提出。</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3.定义</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3.1 “招标人”指</w:t>
      </w:r>
      <w:r>
        <w:rPr>
          <w:rFonts w:hint="eastAsia" w:ascii="宋体" w:hAnsi="宋体" w:cs="Arial"/>
          <w:b/>
          <w:color w:val="auto"/>
          <w:szCs w:val="21"/>
          <w:highlight w:val="none"/>
          <w:u w:val="single"/>
          <w:lang w:eastAsia="zh-CN"/>
        </w:rPr>
        <w:t xml:space="preserve">浙江乍浦经济开发区（嘉兴港区）管理委员会 </w:t>
      </w:r>
      <w:r>
        <w:rPr>
          <w:rFonts w:hint="eastAsia" w:ascii="宋体"/>
          <w:color w:val="auto"/>
          <w:szCs w:val="21"/>
          <w:highlight w:val="none"/>
        </w:rPr>
        <w:t>。</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投标人”系指向招标方提交投标文件的单位或个人。</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3“产品”系指供方按招标文件规定，须向采购人提供的一切设备、保险、税金、备品备件、工具、手册及其它有关技术资料和材料。</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4“服务”系指招标文件规定投标人须承担的安装、调试、技术协助、校准、培训、技术指导以及其他类似的义务。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5“项目”系指投标人按招标文件规定向采购人提供的产品和服务。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6“书面形式”包括信函、传真、电报等。</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7“▲”系指实质性要求条款</w:t>
      </w:r>
      <w:r>
        <w:rPr>
          <w:rFonts w:hint="eastAsia" w:ascii="宋体" w:hAnsi="宋体"/>
          <w:color w:val="auto"/>
          <w:szCs w:val="21"/>
          <w:highlight w:val="none"/>
        </w:rPr>
        <w:t xml:space="preserve">，不满足实行性要求条款的投标文件无效。 </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4.招标方式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4.1 本次招标采用公开招标方式进行。</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5.投标委托</w:t>
      </w:r>
    </w:p>
    <w:p>
      <w:pPr>
        <w:pStyle w:val="3"/>
        <w:snapToGrid w:val="0"/>
        <w:spacing w:line="460" w:lineRule="exact"/>
        <w:ind w:firstLine="404" w:firstLineChars="200"/>
        <w:jc w:val="left"/>
        <w:rPr>
          <w:color w:val="auto"/>
          <w:sz w:val="21"/>
          <w:szCs w:val="21"/>
          <w:highlight w:val="none"/>
        </w:rPr>
      </w:pPr>
      <w:r>
        <w:rPr>
          <w:rFonts w:hint="eastAsia"/>
          <w:color w:val="auto"/>
          <w:sz w:val="21"/>
          <w:szCs w:val="21"/>
          <w:highlight w:val="none"/>
        </w:rPr>
        <w:t>如投标人代表不是法定代表人，须有法定代表人出具的授权委托书。(格式见第六部分）。</w:t>
      </w:r>
    </w:p>
    <w:p>
      <w:pPr>
        <w:snapToGrid w:val="0"/>
        <w:spacing w:line="460" w:lineRule="exact"/>
        <w:jc w:val="left"/>
        <w:rPr>
          <w:rFonts w:ascii="宋体"/>
          <w:b/>
          <w:color w:val="auto"/>
          <w:szCs w:val="21"/>
          <w:highlight w:val="none"/>
        </w:rPr>
      </w:pPr>
      <w:r>
        <w:rPr>
          <w:rFonts w:hint="eastAsia" w:ascii="宋体"/>
          <w:b/>
          <w:color w:val="auto"/>
          <w:szCs w:val="21"/>
          <w:highlight w:val="none"/>
        </w:rPr>
        <w:t>6. 投标费用</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pPr>
        <w:snapToGrid w:val="0"/>
        <w:spacing w:line="460" w:lineRule="exact"/>
        <w:jc w:val="left"/>
        <w:rPr>
          <w:rFonts w:ascii="宋体"/>
          <w:b/>
          <w:color w:val="auto"/>
          <w:szCs w:val="21"/>
          <w:highlight w:val="none"/>
        </w:rPr>
      </w:pPr>
      <w:r>
        <w:rPr>
          <w:rFonts w:hint="eastAsia" w:ascii="宋体"/>
          <w:b/>
          <w:color w:val="auto"/>
          <w:szCs w:val="21"/>
          <w:highlight w:val="none"/>
        </w:rPr>
        <w:t>7.质疑和投诉</w:t>
      </w:r>
    </w:p>
    <w:p>
      <w:pPr>
        <w:snapToGrid w:val="0"/>
        <w:spacing w:line="460" w:lineRule="exact"/>
        <w:ind w:firstLine="420" w:firstLineChars="200"/>
        <w:jc w:val="left"/>
        <w:rPr>
          <w:rFonts w:ascii="宋体"/>
          <w:b/>
          <w:color w:val="auto"/>
          <w:szCs w:val="21"/>
          <w:highlight w:val="none"/>
        </w:rPr>
      </w:pPr>
      <w:r>
        <w:rPr>
          <w:rFonts w:hint="eastAsia" w:ascii="宋体" w:hAnsi="宋体"/>
          <w:color w:val="auto"/>
          <w:highlight w:val="none"/>
        </w:rPr>
        <w:t>7.1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1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7.2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7.3质疑和投诉应当满足《政府采购质疑和投诉办法》（中华人民共和国财政部令第94号）要求。</w:t>
      </w:r>
    </w:p>
    <w:p>
      <w:pPr>
        <w:snapToGrid w:val="0"/>
        <w:spacing w:line="460" w:lineRule="exact"/>
        <w:ind w:firstLine="411" w:firstLineChars="196"/>
        <w:jc w:val="left"/>
        <w:outlineLvl w:val="1"/>
        <w:rPr>
          <w:rFonts w:ascii="宋体" w:hAnsi="宋体"/>
          <w:b/>
          <w:color w:val="auto"/>
          <w:szCs w:val="21"/>
          <w:highlight w:val="none"/>
        </w:rPr>
      </w:pPr>
      <w:r>
        <w:rPr>
          <w:rFonts w:ascii="宋体" w:hAnsi="宋体"/>
          <w:color w:val="auto"/>
          <w:szCs w:val="21"/>
          <w:highlight w:val="none"/>
        </w:rPr>
        <w:t>▲</w:t>
      </w:r>
      <w:r>
        <w:rPr>
          <w:rFonts w:hint="eastAsia" w:ascii="宋体" w:hAnsi="宋体"/>
          <w:b/>
          <w:color w:val="auto"/>
          <w:szCs w:val="21"/>
          <w:highlight w:val="none"/>
        </w:rPr>
        <w:t>8.特别说明</w:t>
      </w:r>
    </w:p>
    <w:p>
      <w:pPr>
        <w:pStyle w:val="1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p>
      <w:pPr>
        <w:pStyle w:val="1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8.2</w:t>
      </w:r>
      <w:r>
        <w:rPr>
          <w:color w:val="auto"/>
          <w:kern w:val="2"/>
          <w:sz w:val="21"/>
          <w:szCs w:val="21"/>
          <w:highlight w:val="none"/>
        </w:rPr>
        <w:t>投标人投标所使用的资格、信誉、荣誉、业绩与企业认证必须为本法人所拥有。投标人投标所使用的采购项目实施人员必须为本法人员工。</w:t>
      </w:r>
    </w:p>
    <w:p>
      <w:pPr>
        <w:pStyle w:val="1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8.3</w:t>
      </w:r>
      <w:r>
        <w:rPr>
          <w:color w:val="auto"/>
          <w:kern w:val="2"/>
          <w:sz w:val="21"/>
          <w:szCs w:val="21"/>
          <w:highlight w:val="none"/>
        </w:rPr>
        <w:t>投标人应仔细阅读招标文件的所有内容，按照招标文件的要求提交投标文件，并对所提供的全部资料的真实性承担法律责任。</w:t>
      </w:r>
    </w:p>
    <w:p>
      <w:pPr>
        <w:pStyle w:val="19"/>
        <w:snapToGrid w:val="0"/>
        <w:spacing w:line="460" w:lineRule="exact"/>
        <w:ind w:left="2" w:leftChars="1" w:firstLine="420" w:firstLineChars="200"/>
        <w:rPr>
          <w:color w:val="auto"/>
          <w:kern w:val="2"/>
          <w:sz w:val="24"/>
          <w:szCs w:val="24"/>
          <w:highlight w:val="none"/>
        </w:rPr>
      </w:pPr>
      <w:r>
        <w:rPr>
          <w:rFonts w:hint="eastAsia"/>
          <w:color w:val="auto"/>
          <w:kern w:val="2"/>
          <w:sz w:val="21"/>
          <w:szCs w:val="21"/>
          <w:highlight w:val="none"/>
        </w:rPr>
        <w:t>8.4</w:t>
      </w:r>
      <w:r>
        <w:rPr>
          <w:color w:val="auto"/>
          <w:kern w:val="2"/>
          <w:sz w:val="21"/>
          <w:szCs w:val="21"/>
          <w:highlight w:val="none"/>
        </w:rPr>
        <w:t>投标人在投标活动中提供任何虚假材料,其投标无效，并报监管部门查处；中标后发现的,中标人须依照《中华人民共和国消费者权益保护法》第49条之规定双倍赔偿采购人</w:t>
      </w:r>
      <w:r>
        <w:rPr>
          <w:rFonts w:hint="eastAsia"/>
          <w:color w:val="auto"/>
          <w:kern w:val="2"/>
          <w:sz w:val="21"/>
          <w:szCs w:val="21"/>
          <w:highlight w:val="none"/>
        </w:rPr>
        <w:t>，</w:t>
      </w:r>
      <w:r>
        <w:rPr>
          <w:color w:val="auto"/>
          <w:kern w:val="2"/>
          <w:sz w:val="21"/>
          <w:szCs w:val="21"/>
          <w:highlight w:val="none"/>
        </w:rPr>
        <w:t>且民事赔偿并不免除违法投标人的行政与刑事责任</w:t>
      </w:r>
      <w:r>
        <w:rPr>
          <w:color w:val="auto"/>
          <w:kern w:val="2"/>
          <w:sz w:val="24"/>
          <w:szCs w:val="24"/>
          <w:highlight w:val="none"/>
        </w:rPr>
        <w:t>。</w:t>
      </w:r>
    </w:p>
    <w:p>
      <w:pPr>
        <w:pStyle w:val="19"/>
        <w:spacing w:line="360" w:lineRule="auto"/>
        <w:jc w:val="center"/>
        <w:outlineLvl w:val="0"/>
        <w:rPr>
          <w:b/>
          <w:color w:val="auto"/>
          <w:sz w:val="28"/>
          <w:szCs w:val="28"/>
          <w:highlight w:val="none"/>
        </w:rPr>
      </w:pPr>
      <w:r>
        <w:rPr>
          <w:rFonts w:hint="eastAsia"/>
          <w:b/>
          <w:color w:val="auto"/>
          <w:sz w:val="28"/>
          <w:szCs w:val="28"/>
          <w:highlight w:val="none"/>
        </w:rPr>
        <w:t>二、招标文件</w:t>
      </w:r>
    </w:p>
    <w:p>
      <w:pPr>
        <w:spacing w:line="440" w:lineRule="exact"/>
        <w:ind w:firstLine="422" w:firstLineChars="200"/>
        <w:jc w:val="left"/>
        <w:rPr>
          <w:rFonts w:ascii="宋体"/>
          <w:b/>
          <w:color w:val="auto"/>
          <w:szCs w:val="21"/>
          <w:highlight w:val="none"/>
        </w:rPr>
      </w:pPr>
      <w:r>
        <w:rPr>
          <w:rFonts w:hint="eastAsia" w:ascii="宋体"/>
          <w:b/>
          <w:color w:val="auto"/>
          <w:szCs w:val="21"/>
          <w:highlight w:val="none"/>
        </w:rPr>
        <w:t>1.招标文件的构成</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1.1招标公告</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1.2投标人须知</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1.3服务项目需求</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1.4合同主要条款</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1.5评标办法及标准</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1.6投标文件相关文件格式</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1.7本项目招标文件的澄清、答复、修改、补充的内容</w:t>
      </w:r>
    </w:p>
    <w:p>
      <w:pPr>
        <w:pStyle w:val="9"/>
        <w:widowControl w:val="0"/>
        <w:tabs>
          <w:tab w:val="clear" w:pos="454"/>
        </w:tabs>
        <w:snapToGrid w:val="0"/>
        <w:spacing w:afterLines="0" w:line="460" w:lineRule="exact"/>
        <w:ind w:left="279" w:leftChars="133" w:firstLine="422" w:firstLineChars="200"/>
        <w:rPr>
          <w:rFonts w:ascii="宋体" w:hAnsi="宋体"/>
          <w:b/>
          <w:color w:val="auto"/>
          <w:sz w:val="21"/>
          <w:szCs w:val="21"/>
          <w:highlight w:val="none"/>
        </w:rPr>
      </w:pPr>
      <w:r>
        <w:rPr>
          <w:rFonts w:hint="eastAsia" w:ascii="宋体" w:hAnsi="宋体"/>
          <w:b/>
          <w:color w:val="auto"/>
          <w:sz w:val="21"/>
          <w:szCs w:val="21"/>
          <w:highlight w:val="none"/>
        </w:rPr>
        <w:t>2.招标文件的澄清与修改</w:t>
      </w:r>
    </w:p>
    <w:p>
      <w:pPr>
        <w:pStyle w:val="1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2.1</w:t>
      </w:r>
      <w:r>
        <w:rPr>
          <w:color w:val="auto"/>
          <w:kern w:val="2"/>
          <w:sz w:val="21"/>
          <w:szCs w:val="21"/>
          <w:highlight w:val="none"/>
        </w:rPr>
        <w:t>投标人应认真阅读本招标文件，发现其中有误或有不合理要求的，</w:t>
      </w:r>
      <w:r>
        <w:rPr>
          <w:rFonts w:hint="eastAsia"/>
          <w:color w:val="auto"/>
          <w:kern w:val="2"/>
          <w:sz w:val="21"/>
          <w:szCs w:val="21"/>
          <w:highlight w:val="none"/>
        </w:rPr>
        <w:t>可</w:t>
      </w:r>
      <w:r>
        <w:rPr>
          <w:color w:val="auto"/>
          <w:kern w:val="2"/>
          <w:sz w:val="21"/>
          <w:szCs w:val="21"/>
          <w:highlight w:val="none"/>
        </w:rPr>
        <w:t>要求招标采购单位澄清。</w:t>
      </w:r>
      <w:r>
        <w:rPr>
          <w:rFonts w:hint="eastAsia"/>
          <w:color w:val="auto"/>
          <w:kern w:val="2"/>
          <w:sz w:val="21"/>
          <w:szCs w:val="21"/>
          <w:highlight w:val="none"/>
        </w:rPr>
        <w:t>招标采购单位</w:t>
      </w:r>
      <w:r>
        <w:rPr>
          <w:color w:val="auto"/>
          <w:kern w:val="2"/>
          <w:sz w:val="21"/>
          <w:szCs w:val="21"/>
          <w:highlight w:val="none"/>
        </w:rPr>
        <w:t>对已发出的招标文件进行必要澄清</w:t>
      </w:r>
      <w:r>
        <w:rPr>
          <w:rFonts w:hint="eastAsia"/>
          <w:color w:val="auto"/>
          <w:kern w:val="2"/>
          <w:sz w:val="21"/>
          <w:szCs w:val="21"/>
          <w:highlight w:val="none"/>
        </w:rPr>
        <w:t>或者</w:t>
      </w:r>
      <w:r>
        <w:rPr>
          <w:color w:val="auto"/>
          <w:kern w:val="2"/>
          <w:sz w:val="21"/>
          <w:szCs w:val="21"/>
          <w:highlight w:val="none"/>
        </w:rPr>
        <w:t>修改的，应当在招标文件要求提交投标文件截止</w:t>
      </w:r>
      <w:r>
        <w:rPr>
          <w:rFonts w:hint="eastAsia"/>
          <w:color w:val="auto"/>
          <w:kern w:val="2"/>
          <w:sz w:val="21"/>
          <w:szCs w:val="21"/>
          <w:highlight w:val="none"/>
        </w:rPr>
        <w:t>十</w:t>
      </w:r>
      <w:r>
        <w:rPr>
          <w:color w:val="auto"/>
          <w:kern w:val="2"/>
          <w:sz w:val="21"/>
          <w:szCs w:val="21"/>
          <w:highlight w:val="none"/>
        </w:rPr>
        <w:t>五日前，在财政部门指定的政府采购信息发布媒体上发布更正公告，</w:t>
      </w:r>
      <w:r>
        <w:rPr>
          <w:rFonts w:hint="eastAsia"/>
          <w:color w:val="auto"/>
          <w:kern w:val="2"/>
          <w:sz w:val="21"/>
          <w:szCs w:val="21"/>
          <w:highlight w:val="none"/>
        </w:rPr>
        <w:t>投标人应及时注意网站相关公告，否则后果自负。</w:t>
      </w:r>
    </w:p>
    <w:p>
      <w:pPr>
        <w:pStyle w:val="1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w:t>
      </w:r>
      <w:r>
        <w:rPr>
          <w:color w:val="auto"/>
          <w:kern w:val="2"/>
          <w:sz w:val="21"/>
          <w:szCs w:val="21"/>
          <w:highlight w:val="none"/>
        </w:rPr>
        <w:t>2招标文件澄清</w:t>
      </w:r>
      <w:r>
        <w:rPr>
          <w:rFonts w:hint="eastAsia"/>
          <w:color w:val="auto"/>
          <w:kern w:val="2"/>
          <w:sz w:val="21"/>
          <w:szCs w:val="21"/>
          <w:highlight w:val="none"/>
        </w:rPr>
        <w:t>或者</w:t>
      </w:r>
      <w:r>
        <w:rPr>
          <w:color w:val="auto"/>
          <w:kern w:val="2"/>
          <w:sz w:val="21"/>
          <w:szCs w:val="21"/>
          <w:highlight w:val="none"/>
        </w:rPr>
        <w:t>修改的内容为招标文件的组成部分。当招标文件与澄清</w:t>
      </w:r>
      <w:r>
        <w:rPr>
          <w:rFonts w:hint="eastAsia"/>
          <w:color w:val="auto"/>
          <w:kern w:val="2"/>
          <w:sz w:val="21"/>
          <w:szCs w:val="21"/>
          <w:highlight w:val="none"/>
        </w:rPr>
        <w:t>或者</w:t>
      </w:r>
      <w:r>
        <w:rPr>
          <w:color w:val="auto"/>
          <w:kern w:val="2"/>
          <w:sz w:val="21"/>
          <w:szCs w:val="21"/>
          <w:highlight w:val="none"/>
        </w:rPr>
        <w:t>修改就同一内容的表述不一致时，以最后发出的</w:t>
      </w:r>
      <w:r>
        <w:rPr>
          <w:rFonts w:hint="eastAsia"/>
          <w:color w:val="auto"/>
          <w:kern w:val="2"/>
          <w:sz w:val="21"/>
          <w:szCs w:val="21"/>
          <w:highlight w:val="none"/>
        </w:rPr>
        <w:t>电子文档</w:t>
      </w:r>
      <w:r>
        <w:rPr>
          <w:color w:val="auto"/>
          <w:kern w:val="2"/>
          <w:sz w:val="21"/>
          <w:szCs w:val="21"/>
          <w:highlight w:val="none"/>
        </w:rPr>
        <w:t>文件为准。</w:t>
      </w:r>
    </w:p>
    <w:p>
      <w:pPr>
        <w:pStyle w:val="19"/>
        <w:spacing w:line="460" w:lineRule="exact"/>
        <w:ind w:firstLine="420" w:firstLineChars="200"/>
        <w:outlineLvl w:val="1"/>
        <w:rPr>
          <w:color w:val="auto"/>
          <w:kern w:val="2"/>
          <w:sz w:val="21"/>
          <w:szCs w:val="21"/>
          <w:highlight w:val="none"/>
        </w:rPr>
      </w:pPr>
      <w:r>
        <w:rPr>
          <w:rFonts w:hint="eastAsia"/>
          <w:color w:val="auto"/>
          <w:kern w:val="2"/>
          <w:sz w:val="21"/>
          <w:szCs w:val="21"/>
          <w:highlight w:val="none"/>
        </w:rPr>
        <w:t>2.3对</w:t>
      </w:r>
      <w:r>
        <w:rPr>
          <w:color w:val="auto"/>
          <w:kern w:val="2"/>
          <w:sz w:val="21"/>
          <w:szCs w:val="21"/>
          <w:highlight w:val="none"/>
        </w:rPr>
        <w:t>招标文件的澄清、答复、修改或补充都应该通过</w:t>
      </w:r>
      <w:r>
        <w:rPr>
          <w:rFonts w:hint="eastAsia"/>
          <w:color w:val="auto"/>
          <w:kern w:val="2"/>
          <w:sz w:val="21"/>
          <w:szCs w:val="21"/>
          <w:highlight w:val="none"/>
        </w:rPr>
        <w:t>代理机构</w:t>
      </w:r>
      <w:r>
        <w:rPr>
          <w:color w:val="auto"/>
          <w:kern w:val="2"/>
          <w:sz w:val="21"/>
          <w:szCs w:val="21"/>
          <w:highlight w:val="none"/>
        </w:rPr>
        <w:t>以法定形式发布，采购人非通过本机构，不得擅自澄清、答复、修改或补充招标文件。</w:t>
      </w:r>
    </w:p>
    <w:p>
      <w:pPr>
        <w:pStyle w:val="19"/>
        <w:spacing w:line="460" w:lineRule="exact"/>
        <w:ind w:firstLine="562" w:firstLineChars="200"/>
        <w:jc w:val="center"/>
        <w:outlineLvl w:val="1"/>
        <w:rPr>
          <w:b/>
          <w:color w:val="auto"/>
          <w:sz w:val="28"/>
          <w:szCs w:val="28"/>
          <w:highlight w:val="none"/>
        </w:rPr>
      </w:pPr>
      <w:r>
        <w:rPr>
          <w:rFonts w:hint="eastAsia"/>
          <w:b/>
          <w:color w:val="auto"/>
          <w:sz w:val="28"/>
          <w:szCs w:val="28"/>
          <w:highlight w:val="none"/>
        </w:rPr>
        <w:t>三、投标文件的编制</w:t>
      </w:r>
    </w:p>
    <w:p>
      <w:pPr>
        <w:pStyle w:val="19"/>
        <w:snapToGrid w:val="0"/>
        <w:spacing w:line="460" w:lineRule="exact"/>
        <w:ind w:firstLine="422" w:firstLineChars="200"/>
        <w:outlineLvl w:val="1"/>
        <w:rPr>
          <w:rFonts w:hAnsi="宋体" w:cs="宋体"/>
          <w:b/>
          <w:color w:val="auto"/>
          <w:sz w:val="21"/>
          <w:szCs w:val="21"/>
          <w:highlight w:val="none"/>
        </w:rPr>
      </w:pPr>
      <w:bookmarkStart w:id="2" w:name="_Toc33535356"/>
      <w:r>
        <w:rPr>
          <w:rFonts w:hint="eastAsia" w:hAnsi="宋体" w:cs="宋体"/>
          <w:b/>
          <w:color w:val="auto"/>
          <w:sz w:val="21"/>
          <w:szCs w:val="21"/>
          <w:highlight w:val="none"/>
        </w:rPr>
        <w:t>本项目所涉投标文件格式请详见第六章，未给出的格式请自拟。资信商务及技术文件中不得出现报价，否则投标文件将被视为无效。</w:t>
      </w:r>
      <w:bookmarkEnd w:id="2"/>
    </w:p>
    <w:p>
      <w:pPr>
        <w:pStyle w:val="19"/>
        <w:snapToGrid w:val="0"/>
        <w:spacing w:line="460" w:lineRule="exact"/>
        <w:ind w:firstLine="422" w:firstLineChars="200"/>
        <w:outlineLvl w:val="1"/>
        <w:rPr>
          <w:rFonts w:hAnsi="宋体" w:cs="宋体"/>
          <w:b/>
          <w:color w:val="auto"/>
          <w:sz w:val="21"/>
          <w:szCs w:val="21"/>
          <w:highlight w:val="none"/>
        </w:rPr>
      </w:pPr>
      <w:bookmarkStart w:id="3" w:name="_Toc33535357"/>
      <w:r>
        <w:rPr>
          <w:rFonts w:hint="eastAsia" w:hAnsi="宋体" w:cs="宋体"/>
          <w:b/>
          <w:color w:val="auto"/>
          <w:sz w:val="21"/>
          <w:szCs w:val="21"/>
          <w:highlight w:val="none"/>
        </w:rPr>
        <w:t>总体要求：</w:t>
      </w:r>
      <w:bookmarkEnd w:id="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1.供应商</w:t>
      </w:r>
      <w:r>
        <w:rPr>
          <w:rFonts w:ascii="宋体" w:hAnsi="宋体"/>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2.投标文件及供应商与采购有关的来往通知，函件和文件均应使用中文。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3.供应商应按本文件中提供的文件格式、内容和要求制作投标文件。</w:t>
      </w:r>
    </w:p>
    <w:p>
      <w:pPr>
        <w:spacing w:line="460" w:lineRule="exact"/>
        <w:ind w:firstLine="207" w:firstLineChars="98"/>
        <w:jc w:val="left"/>
        <w:rPr>
          <w:rFonts w:ascii="宋体" w:hAnsi="宋体" w:cs="宋体"/>
          <w:bCs/>
          <w:color w:val="auto"/>
          <w:szCs w:val="21"/>
          <w:highlight w:val="none"/>
        </w:rPr>
      </w:pPr>
      <w:r>
        <w:rPr>
          <w:rFonts w:hint="eastAsia" w:ascii="宋体" w:hAnsi="宋体"/>
          <w:b/>
          <w:color w:val="auto"/>
          <w:szCs w:val="21"/>
          <w:highlight w:val="none"/>
        </w:rPr>
        <w:t xml:space="preserve">  4.投标文件的效力：投标文件的启用，按先后顺位分别为电子投标文件、电子</w:t>
      </w:r>
      <w:r>
        <w:rPr>
          <w:rFonts w:hint="eastAsia" w:ascii="宋体" w:hAnsi="宋体" w:cs="宋体"/>
          <w:bCs/>
          <w:color w:val="auto"/>
          <w:szCs w:val="21"/>
          <w:highlight w:val="none"/>
        </w:rPr>
        <w:t>备份投标文件</w:t>
      </w:r>
      <w:r>
        <w:rPr>
          <w:rFonts w:hint="eastAsia" w:ascii="宋体" w:hAnsi="宋体"/>
          <w:b/>
          <w:color w:val="auto"/>
          <w:szCs w:val="21"/>
          <w:highlight w:val="none"/>
        </w:rPr>
        <w:t>。</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5．投标文件的组成</w:t>
      </w:r>
    </w:p>
    <w:p>
      <w:pPr>
        <w:snapToGrid w:val="0"/>
        <w:spacing w:line="360" w:lineRule="auto"/>
        <w:ind w:firstLine="480"/>
        <w:jc w:val="left"/>
        <w:rPr>
          <w:rFonts w:ascii="宋体" w:hAnsi="宋体"/>
          <w:b/>
          <w:color w:val="auto"/>
          <w:sz w:val="24"/>
          <w:highlight w:val="none"/>
        </w:rPr>
      </w:pPr>
      <w:r>
        <w:rPr>
          <w:rFonts w:hint="eastAsia" w:ascii="宋体" w:hAnsi="宋体"/>
          <w:b/>
          <w:color w:val="auto"/>
          <w:sz w:val="24"/>
          <w:highlight w:val="none"/>
        </w:rPr>
        <w:t>包括电子投标文件和电子备份投标文件（选送），均由“资格文件”、“资信商务及技术文件”和“投标报价文件”三个部分组成。其中电子投标文件中所须加盖公章部分均采用CA签章。</w:t>
      </w:r>
    </w:p>
    <w:p>
      <w:pPr>
        <w:snapToGrid w:val="0"/>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电子投标文件投标人应根据“政采云供应商项目采购-电子招投标操作指南”及本招标文件规定的格式和顺序编制电子投标文件并进行关联定位。</w:t>
      </w:r>
      <w:r>
        <w:rPr>
          <w:rFonts w:hint="eastAsia" w:hAnsi="宋体" w:cs="宋体"/>
          <w:b/>
          <w:color w:val="auto"/>
          <w:highlight w:val="none"/>
        </w:rPr>
        <w:t>未设置关联点而导致失分或无效投标处理的风险由投标人承担。</w:t>
      </w:r>
    </w:p>
    <w:p>
      <w:pPr>
        <w:snapToGrid w:val="0"/>
        <w:spacing w:line="440" w:lineRule="exact"/>
        <w:jc w:val="left"/>
        <w:rPr>
          <w:rFonts w:hAnsi="宋体" w:cs="宋体"/>
          <w:b/>
          <w:color w:val="auto"/>
          <w:highlight w:val="none"/>
        </w:rPr>
      </w:pPr>
      <w:r>
        <w:rPr>
          <w:rFonts w:hint="eastAsia" w:hAnsi="宋体" w:cs="宋体"/>
          <w:b/>
          <w:color w:val="auto"/>
          <w:highlight w:val="none"/>
        </w:rPr>
        <w:t>5.1资格文件(封面详见后附)</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5.1.1基本资格条件证明材料：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（以下a~e项是基本资格条件对应证明材料的具体内容，各供应商须在响应文件中出具对应证明材料）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a.具有独立承担民事责任的能力：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供应商须在响应文件中出具符合以下情况的证明材料复印件（五选一）：</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①如供应商是企业（包括合伙企业），提供在工商部门注册的有效“企业法人营业执照”或“营业执照”；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②如供应商是事业单位，提供有效的“事业单位法人证书”；</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③如供应商是非企业专业服务机构的，提供执业许可证等证明文件；</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④如供应商是个体工商户，提供有效的“个体工商户营业执照”；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⑤如供应商是自然人，提供有效的自然人身份证明（居民身份证正反面或公安机关出具的临时居民身份证正反面或港澳台胞证或护照）。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b.具有良好的商业信誉和健全的财务会计制度的证明材料：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①良好的商业信誉：</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对列入失信被执行人、重大税收违法案件当事人名单、政府采购严重违法失信行为记录名单的供应商，其投标将作无效标处理。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②健全的财务会计制度：</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c.具有履行合同所必需的设备和专业技术能力：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供应商须在响应文件中出具具有履行合同所必需的设备和专业技术能力的《承诺函》。（由供应商根据本项目行拟定承诺函）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d.有依法缴纳税收和社会保障资金的良好记录：</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pPr>
        <w:autoSpaceDE w:val="0"/>
        <w:autoSpaceDN w:val="0"/>
        <w:adjustRightInd w:val="0"/>
        <w:snapToGrid w:val="0"/>
        <w:spacing w:line="440" w:lineRule="exact"/>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e.参加政府采购活动前三年内，在经营活动中没有重大违法记录（提供承诺）。</w:t>
      </w:r>
    </w:p>
    <w:p>
      <w:pPr>
        <w:autoSpaceDE w:val="0"/>
        <w:autoSpaceDN w:val="0"/>
        <w:adjustRightInd w:val="0"/>
        <w:snapToGrid w:val="0"/>
        <w:spacing w:line="440" w:lineRule="exact"/>
        <w:textAlignment w:val="bottom"/>
        <w:rPr>
          <w:rFonts w:ascii="宋体" w:hAnsi="宋体" w:cs="宋体"/>
          <w:b/>
          <w:color w:val="auto"/>
          <w:szCs w:val="21"/>
          <w:highlight w:val="none"/>
        </w:rPr>
      </w:pPr>
      <w:r>
        <w:rPr>
          <w:rFonts w:hint="eastAsia" w:ascii="宋体" w:hAnsi="宋体" w:cs="宋体"/>
          <w:bCs/>
          <w:color w:val="auto"/>
          <w:szCs w:val="21"/>
          <w:highlight w:val="none"/>
        </w:rPr>
        <w:t>5.1.2落实政府采购政策需满足的资格要求：</w:t>
      </w:r>
      <w:r>
        <w:rPr>
          <w:rFonts w:hint="eastAsia" w:ascii="宋体" w:hAnsi="宋体" w:cs="宋体"/>
          <w:b/>
          <w:color w:val="auto"/>
          <w:szCs w:val="21"/>
          <w:highlight w:val="none"/>
        </w:rPr>
        <w:t>本项目属于预留份额专门面向中小</w:t>
      </w:r>
      <w:r>
        <w:rPr>
          <w:rFonts w:hint="eastAsia" w:ascii="宋体" w:hAnsi="宋体" w:cs="宋体"/>
          <w:b/>
          <w:color w:val="auto"/>
          <w:szCs w:val="21"/>
          <w:highlight w:val="none"/>
          <w:lang w:val="en-US" w:eastAsia="zh-CN"/>
        </w:rPr>
        <w:t>微</w:t>
      </w:r>
      <w:r>
        <w:rPr>
          <w:rFonts w:hint="eastAsia" w:ascii="宋体" w:hAnsi="宋体" w:cs="宋体"/>
          <w:b/>
          <w:color w:val="auto"/>
          <w:szCs w:val="21"/>
          <w:highlight w:val="none"/>
        </w:rPr>
        <w:t>企业采购的项目。（供应商要求为中小企业/小微企业）。</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①中小企业声明函；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②供应商为监狱企业的证明文件：省级以上监狱管理局、戒毒管理局（含新疆生产建设兵团）出具；（如有）</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号）政策规定的，须提供《残疾人福利性单位声明函》；（如有）</w:t>
      </w:r>
    </w:p>
    <w:p>
      <w:pPr>
        <w:autoSpaceDE w:val="0"/>
        <w:autoSpaceDN w:val="0"/>
        <w:adjustRightInd w:val="0"/>
        <w:snapToGrid w:val="0"/>
        <w:spacing w:line="440" w:lineRule="exac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5.1.3</w:t>
      </w:r>
      <w:r>
        <w:rPr>
          <w:rFonts w:hint="eastAsia" w:ascii="宋体" w:hAnsi="宋体" w:cs="宋体"/>
          <w:bCs/>
          <w:color w:val="auto"/>
          <w:szCs w:val="21"/>
          <w:highlight w:val="none"/>
        </w:rPr>
        <w:t>特定资格要求的相关证明材料（具体要求详见公告）</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a、</w:t>
      </w:r>
      <w:r>
        <w:rPr>
          <w:rFonts w:ascii="宋体" w:hAnsi="宋体" w:cs="宋体"/>
          <w:bCs/>
          <w:color w:val="auto"/>
          <w:szCs w:val="21"/>
          <w:highlight w:val="none"/>
        </w:rPr>
        <w:t>企业营业执照</w:t>
      </w:r>
      <w:r>
        <w:rPr>
          <w:rFonts w:hint="eastAsia" w:ascii="宋体" w:hAnsi="宋体" w:cs="宋体"/>
          <w:bCs/>
          <w:color w:val="auto"/>
          <w:szCs w:val="21"/>
          <w:highlight w:val="none"/>
        </w:rPr>
        <w:t>副本复印件；</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b、</w:t>
      </w:r>
      <w:r>
        <w:rPr>
          <w:rFonts w:ascii="宋体" w:hAnsi="宋体" w:cs="宋体"/>
          <w:bCs/>
          <w:color w:val="auto"/>
          <w:szCs w:val="21"/>
          <w:highlight w:val="none"/>
        </w:rPr>
        <w:t>资质证书</w:t>
      </w:r>
      <w:r>
        <w:rPr>
          <w:rFonts w:hint="eastAsia" w:ascii="宋体" w:hAnsi="宋体" w:cs="宋体"/>
          <w:bCs/>
          <w:color w:val="auto"/>
          <w:szCs w:val="21"/>
          <w:highlight w:val="none"/>
        </w:rPr>
        <w:t>副本；</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c、</w:t>
      </w:r>
      <w:r>
        <w:rPr>
          <w:rFonts w:ascii="宋体" w:hAnsi="宋体" w:cs="宋体"/>
          <w:bCs/>
          <w:color w:val="auto"/>
          <w:szCs w:val="21"/>
          <w:highlight w:val="none"/>
        </w:rPr>
        <w:t>安全生产许可证</w:t>
      </w:r>
      <w:r>
        <w:rPr>
          <w:rFonts w:hint="eastAsia" w:ascii="宋体" w:hAnsi="宋体" w:cs="宋体"/>
          <w:bCs/>
          <w:color w:val="auto"/>
          <w:szCs w:val="21"/>
          <w:highlight w:val="none"/>
        </w:rPr>
        <w:t>副本；</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d、</w:t>
      </w:r>
      <w:r>
        <w:rPr>
          <w:rFonts w:ascii="宋体" w:hAnsi="宋体" w:cs="宋体"/>
          <w:bCs/>
          <w:color w:val="auto"/>
          <w:szCs w:val="21"/>
          <w:highlight w:val="none"/>
        </w:rPr>
        <w:t>建造师</w:t>
      </w:r>
      <w:r>
        <w:rPr>
          <w:rFonts w:hint="eastAsia" w:ascii="宋体" w:hAnsi="宋体" w:cs="宋体"/>
          <w:bCs/>
          <w:color w:val="auto"/>
          <w:szCs w:val="21"/>
          <w:highlight w:val="none"/>
        </w:rPr>
        <w:t>注册</w:t>
      </w:r>
      <w:r>
        <w:rPr>
          <w:rFonts w:ascii="宋体" w:hAnsi="宋体" w:cs="宋体"/>
          <w:bCs/>
          <w:color w:val="auto"/>
          <w:szCs w:val="21"/>
          <w:highlight w:val="none"/>
        </w:rPr>
        <w:t>证书</w:t>
      </w:r>
      <w:r>
        <w:rPr>
          <w:rFonts w:hint="eastAsia" w:ascii="宋体" w:hAnsi="宋体" w:cs="宋体"/>
          <w:bCs/>
          <w:color w:val="auto"/>
          <w:szCs w:val="21"/>
          <w:highlight w:val="none"/>
        </w:rPr>
        <w:t>、项目经理</w:t>
      </w:r>
      <w:r>
        <w:rPr>
          <w:rFonts w:ascii="宋体" w:hAnsi="宋体" w:cs="宋体"/>
          <w:bCs/>
          <w:color w:val="auto"/>
          <w:szCs w:val="21"/>
          <w:highlight w:val="none"/>
        </w:rPr>
        <w:t>三类人员B类证书</w:t>
      </w:r>
      <w:r>
        <w:rPr>
          <w:rFonts w:hint="eastAsia" w:ascii="宋体" w:hAnsi="宋体" w:cs="宋体"/>
          <w:bCs/>
          <w:color w:val="auto"/>
          <w:szCs w:val="21"/>
          <w:highlight w:val="none"/>
        </w:rPr>
        <w:t>。</w:t>
      </w:r>
    </w:p>
    <w:p>
      <w:pPr>
        <w:snapToGrid w:val="0"/>
        <w:spacing w:line="440" w:lineRule="exact"/>
        <w:jc w:val="left"/>
        <w:rPr>
          <w:rFonts w:ascii="宋体" w:hAnsi="宋体"/>
          <w:color w:val="auto"/>
          <w:szCs w:val="21"/>
          <w:highlight w:val="none"/>
        </w:rPr>
      </w:pPr>
      <w:r>
        <w:rPr>
          <w:rFonts w:hint="eastAsia" w:ascii="宋体" w:hAnsi="宋体" w:cs="宋体"/>
          <w:bCs/>
          <w:color w:val="auto"/>
          <w:szCs w:val="21"/>
          <w:highlight w:val="none"/>
        </w:rPr>
        <w:t>上述资格证明文件是对供应商资格进行合格性审查的评审依据，供应商应上传上述资料。未按要求出具上述证明材料或出具的证明材料不完整的，资格性审查均不予通过。</w:t>
      </w:r>
    </w:p>
    <w:p>
      <w:pPr>
        <w:snapToGrid w:val="0"/>
        <w:spacing w:line="460" w:lineRule="exact"/>
        <w:jc w:val="left"/>
        <w:rPr>
          <w:rFonts w:ascii="宋体" w:hAnsi="宋体"/>
          <w:b/>
          <w:color w:val="auto"/>
          <w:szCs w:val="21"/>
          <w:highlight w:val="none"/>
        </w:rPr>
      </w:pPr>
      <w:r>
        <w:rPr>
          <w:rFonts w:hint="eastAsia" w:ascii="宋体" w:hAnsi="宋体"/>
          <w:b/>
          <w:color w:val="auto"/>
          <w:szCs w:val="21"/>
          <w:highlight w:val="none"/>
        </w:rPr>
        <w:t>5.2资信商务及技术文件：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5.2.1投标声明书</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5.2.2法定代表人授权委托书</w:t>
      </w:r>
    </w:p>
    <w:p>
      <w:pPr>
        <w:spacing w:line="46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5.2.3关于资格的声明函</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4</w:t>
      </w:r>
      <w:r>
        <w:rPr>
          <w:rFonts w:hint="eastAsia" w:ascii="宋体" w:hAnsi="宋体"/>
          <w:color w:val="auto"/>
          <w:szCs w:val="21"/>
          <w:highlight w:val="none"/>
        </w:rPr>
        <w:t>类似案例成功的业绩</w:t>
      </w:r>
      <w:r>
        <w:rPr>
          <w:rFonts w:hint="eastAsia" w:ascii="宋体" w:hAnsi="宋体"/>
          <w:color w:val="auto"/>
          <w:szCs w:val="21"/>
          <w:highlight w:val="none"/>
          <w:lang w:eastAsia="zh-CN"/>
        </w:rPr>
        <w:t>一览表</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5</w:t>
      </w:r>
      <w:r>
        <w:rPr>
          <w:rFonts w:hint="eastAsia" w:ascii="宋体" w:hAnsi="宋体"/>
          <w:color w:val="auto"/>
          <w:szCs w:val="21"/>
          <w:highlight w:val="none"/>
        </w:rPr>
        <w:t>与本项目实施相关的投标人各类资质证书、认证证书、许可证等（如信誉荣誉、本地化服务等。提供复印件）</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7</w:t>
      </w:r>
      <w:r>
        <w:rPr>
          <w:rFonts w:hint="eastAsia" w:ascii="宋体" w:hAnsi="宋体"/>
          <w:color w:val="auto"/>
          <w:szCs w:val="21"/>
          <w:highlight w:val="none"/>
        </w:rPr>
        <w:t>商务响应表</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5.2.8投标单位截止投标时间前三年内的奖惩情况说明，格式自拟</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5.2.9养护技术措施</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5.2.10劳动力、机械设备投入及管理人员配备</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5.2.11主要施工机械设备表</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5.2.12养护作业主要管理人员表</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5.2.13劳动力计划表</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5.2.14文明安全作业措施</w:t>
      </w:r>
    </w:p>
    <w:p>
      <w:pPr>
        <w:snapToGrid w:val="0"/>
        <w:spacing w:beforeLines="50" w:after="50"/>
        <w:ind w:firstLine="411" w:firstLineChars="196"/>
        <w:rPr>
          <w:rFonts w:ascii="宋体" w:hAnsi="宋体"/>
          <w:color w:val="auto"/>
          <w:szCs w:val="21"/>
          <w:highlight w:val="none"/>
        </w:rPr>
      </w:pPr>
      <w:r>
        <w:rPr>
          <w:rFonts w:hint="eastAsia" w:ascii="宋体" w:hAnsi="宋体"/>
          <w:color w:val="auto"/>
          <w:szCs w:val="21"/>
          <w:highlight w:val="none"/>
        </w:rPr>
        <w:t>5.2.15应急措施</w:t>
      </w:r>
    </w:p>
    <w:p>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5.2.</w:t>
      </w:r>
      <w:r>
        <w:rPr>
          <w:rFonts w:hint="eastAsia" w:ascii="宋体" w:hAnsi="宋体" w:cs="Times New Roman"/>
          <w:color w:val="auto"/>
          <w:szCs w:val="21"/>
          <w:highlight w:val="none"/>
          <w:lang w:val="en-US" w:eastAsia="zh-CN"/>
        </w:rPr>
        <w:t>16</w:t>
      </w:r>
      <w:r>
        <w:rPr>
          <w:rFonts w:hint="eastAsia" w:ascii="宋体" w:hAnsi="宋体" w:cs="Times New Roman"/>
          <w:color w:val="auto"/>
          <w:szCs w:val="21"/>
          <w:highlight w:val="none"/>
        </w:rPr>
        <w:t>投标人认为需要提供的其他文件及资料（格式自拟）</w:t>
      </w:r>
    </w:p>
    <w:p>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5.3 报价文件：</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5.3.1投标函</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5.3.2开标一览表</w:t>
      </w:r>
    </w:p>
    <w:p>
      <w:pPr>
        <w:widowControl/>
        <w:snapToGrid w:val="0"/>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5.3.3投标人需要说明的其他文件和说明（格式自拟）</w:t>
      </w:r>
    </w:p>
    <w:p>
      <w:pPr>
        <w:snapToGrid w:val="0"/>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6.投标文件的语言及计量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6.1投标文件以及投标方与招标方就有关投标事宜的所有来往函电，均应以中文书写。</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6.2投标计量单位，除招标文件中有特殊要求外，应采用中华人民共和国法定计量单位，货币单位：人民币元。</w:t>
      </w:r>
    </w:p>
    <w:p>
      <w:pPr>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7. 投标报价</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7.1报价和结算均以人民币为单位。</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7.2投标人应按招标文件提供的投标报价表格式填写报价，报价表中相应内容的报价必须计算正确（如单价与总价）。</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7.3投标人的报价必须是唯一的，多报、漏报均视为无效投标。</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7.4报价采用单价核定法，如总报价发生计算错误，将按单价核定总报价，如投标人不接受修正后的价格，其投标则被视为无效投标。</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w:t>
      </w:r>
      <w:r>
        <w:rPr>
          <w:rFonts w:hint="eastAsia" w:ascii="宋体"/>
          <w:color w:val="auto"/>
          <w:sz w:val="21"/>
          <w:szCs w:val="21"/>
          <w:highlight w:val="none"/>
          <w:lang w:val="en-US" w:eastAsia="zh-CN"/>
        </w:rPr>
        <w:t>5</w:t>
      </w:r>
      <w:r>
        <w:rPr>
          <w:rFonts w:hint="eastAsia" w:ascii="宋体"/>
          <w:color w:val="auto"/>
          <w:sz w:val="21"/>
          <w:szCs w:val="21"/>
          <w:highlight w:val="none"/>
        </w:rPr>
        <w:t>投标人的报价为投标人按采购要求完成本项目的一切费用之和（含本次招标代理费等）。</w:t>
      </w:r>
    </w:p>
    <w:p>
      <w:pPr>
        <w:pStyle w:val="10"/>
        <w:spacing w:line="360" w:lineRule="auto"/>
        <w:ind w:firstLine="422" w:firstLineChars="200"/>
        <w:rPr>
          <w:rFonts w:ascii="宋体"/>
          <w:b/>
          <w:color w:val="auto"/>
          <w:sz w:val="21"/>
          <w:szCs w:val="21"/>
          <w:highlight w:val="none"/>
        </w:rPr>
      </w:pPr>
      <w:r>
        <w:rPr>
          <w:rFonts w:hint="eastAsia" w:ascii="宋体"/>
          <w:b/>
          <w:color w:val="auto"/>
          <w:sz w:val="21"/>
          <w:szCs w:val="21"/>
          <w:highlight w:val="none"/>
        </w:rPr>
        <w:t>7.</w:t>
      </w:r>
      <w:r>
        <w:rPr>
          <w:rFonts w:hint="eastAsia" w:ascii="宋体"/>
          <w:b/>
          <w:color w:val="auto"/>
          <w:sz w:val="21"/>
          <w:szCs w:val="21"/>
          <w:highlight w:val="none"/>
          <w:lang w:val="en-US" w:eastAsia="zh-CN"/>
        </w:rPr>
        <w:t>6</w:t>
      </w:r>
      <w:r>
        <w:rPr>
          <w:rFonts w:hint="eastAsia" w:ascii="宋体"/>
          <w:b/>
          <w:color w:val="auto"/>
          <w:sz w:val="21"/>
          <w:szCs w:val="21"/>
          <w:highlight w:val="none"/>
        </w:rPr>
        <w:t>投标人的报价被视为投标人的最后报价或成交价，投标报价应为完成本项目所发生的各项费用之和，应包括</w:t>
      </w:r>
      <w:r>
        <w:rPr>
          <w:rFonts w:hint="eastAsia" w:ascii="宋体"/>
          <w:b/>
          <w:color w:val="auto"/>
          <w:sz w:val="21"/>
          <w:szCs w:val="21"/>
          <w:highlight w:val="none"/>
          <w:lang w:eastAsia="zh-CN"/>
        </w:rPr>
        <w:t>人工、机械、设施维护、工具、管理、风险、保险、劳保、招标代理费、利润、税金及各种政策性文件规定所需的全部费用</w:t>
      </w:r>
      <w:r>
        <w:rPr>
          <w:rFonts w:hint="eastAsia" w:ascii="宋体"/>
          <w:b/>
          <w:color w:val="auto"/>
          <w:sz w:val="21"/>
          <w:szCs w:val="21"/>
          <w:highlight w:val="none"/>
        </w:rPr>
        <w:t>。</w:t>
      </w:r>
    </w:p>
    <w:p>
      <w:pPr>
        <w:pStyle w:val="10"/>
        <w:spacing w:line="360" w:lineRule="auto"/>
        <w:ind w:firstLineChars="200"/>
        <w:rPr>
          <w:rFonts w:ascii="宋体"/>
          <w:b/>
          <w:color w:val="auto"/>
          <w:sz w:val="21"/>
          <w:szCs w:val="21"/>
          <w:highlight w:val="none"/>
          <w:u w:val="single"/>
        </w:rPr>
      </w:pPr>
      <w:r>
        <w:rPr>
          <w:rFonts w:hint="eastAsia" w:ascii="宋体"/>
          <w:color w:val="auto"/>
          <w:sz w:val="21"/>
          <w:szCs w:val="21"/>
          <w:highlight w:val="none"/>
        </w:rPr>
        <w:t>7.</w:t>
      </w:r>
      <w:r>
        <w:rPr>
          <w:rFonts w:hint="eastAsia" w:ascii="宋体"/>
          <w:color w:val="auto"/>
          <w:sz w:val="21"/>
          <w:szCs w:val="21"/>
          <w:highlight w:val="none"/>
          <w:lang w:val="en-US" w:eastAsia="zh-CN"/>
        </w:rPr>
        <w:t>7</w:t>
      </w:r>
      <w:r>
        <w:rPr>
          <w:rFonts w:hint="eastAsia" w:ascii="宋体"/>
          <w:color w:val="auto"/>
          <w:sz w:val="21"/>
          <w:szCs w:val="21"/>
          <w:highlight w:val="none"/>
        </w:rPr>
        <w:t>投标人所报的投标</w:t>
      </w:r>
      <w:r>
        <w:rPr>
          <w:rFonts w:hint="eastAsia" w:ascii="宋体"/>
          <w:color w:val="auto"/>
          <w:sz w:val="21"/>
          <w:szCs w:val="21"/>
          <w:highlight w:val="none"/>
          <w:lang w:val="en-US" w:eastAsia="zh-CN"/>
        </w:rPr>
        <w:t>百分数折扣率</w:t>
      </w:r>
      <w:r>
        <w:rPr>
          <w:rFonts w:hint="eastAsia" w:ascii="宋体"/>
          <w:color w:val="auto"/>
          <w:sz w:val="21"/>
          <w:szCs w:val="21"/>
          <w:highlight w:val="none"/>
        </w:rPr>
        <w:t>在合同执行期间是固定不变的，不得以任何理由予以变更。投标文件以可调整价格提交的报价将作为非响应性投标而予以拒绝。</w:t>
      </w:r>
    </w:p>
    <w:p>
      <w:pPr>
        <w:pStyle w:val="10"/>
        <w:spacing w:line="360" w:lineRule="auto"/>
        <w:ind w:firstLineChars="200"/>
        <w:rPr>
          <w:rFonts w:ascii="宋体"/>
          <w:color w:val="auto"/>
          <w:sz w:val="21"/>
          <w:szCs w:val="21"/>
          <w:highlight w:val="none"/>
        </w:rPr>
      </w:pPr>
      <w:r>
        <w:rPr>
          <w:rFonts w:hint="eastAsia" w:ascii="宋体"/>
          <w:color w:val="auto"/>
          <w:sz w:val="21"/>
          <w:szCs w:val="21"/>
          <w:highlight w:val="none"/>
        </w:rPr>
        <w:t>7.</w:t>
      </w:r>
      <w:r>
        <w:rPr>
          <w:rFonts w:hint="eastAsia" w:ascii="宋体"/>
          <w:color w:val="auto"/>
          <w:sz w:val="21"/>
          <w:szCs w:val="21"/>
          <w:highlight w:val="none"/>
          <w:lang w:val="en-US" w:eastAsia="zh-CN"/>
        </w:rPr>
        <w:t>8</w:t>
      </w:r>
      <w:r>
        <w:rPr>
          <w:rFonts w:hint="eastAsia" w:ascii="宋体"/>
          <w:color w:val="auto"/>
          <w:sz w:val="21"/>
          <w:szCs w:val="21"/>
          <w:highlight w:val="none"/>
        </w:rPr>
        <w:t>最低报价不能作为中标的保证。</w:t>
      </w:r>
    </w:p>
    <w:p>
      <w:pPr>
        <w:pStyle w:val="9"/>
        <w:tabs>
          <w:tab w:val="clear" w:pos="454"/>
        </w:tabs>
        <w:spacing w:afterLines="0" w:line="460" w:lineRule="exact"/>
        <w:ind w:left="0" w:firstLine="422" w:firstLineChars="200"/>
        <w:rPr>
          <w:rFonts w:ascii="宋体"/>
          <w:b/>
          <w:color w:val="auto"/>
          <w:kern w:val="2"/>
          <w:sz w:val="21"/>
          <w:szCs w:val="21"/>
          <w:highlight w:val="none"/>
        </w:rPr>
      </w:pPr>
      <w:r>
        <w:rPr>
          <w:rFonts w:hint="eastAsia" w:ascii="宋体"/>
          <w:b/>
          <w:color w:val="auto"/>
          <w:kern w:val="2"/>
          <w:sz w:val="21"/>
          <w:szCs w:val="21"/>
          <w:highlight w:val="none"/>
        </w:rPr>
        <w:t>8. 投标文件的有效期</w:t>
      </w:r>
    </w:p>
    <w:p>
      <w:pPr>
        <w:pStyle w:val="9"/>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8.1投标文件合格投递后，在本须知前附表第3项规定的日期内有效。</w:t>
      </w:r>
    </w:p>
    <w:p>
      <w:pPr>
        <w:pStyle w:val="9"/>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8.2在原定投标有效期之前，如果出现特殊情况，采购代理机构可以以书面形式通知投标人延长投标有效期。</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b/>
          <w:color w:val="auto"/>
          <w:szCs w:val="21"/>
          <w:highlight w:val="none"/>
        </w:rPr>
        <w:t>9</w:t>
      </w:r>
      <w:r>
        <w:rPr>
          <w:rFonts w:hint="eastAsia" w:ascii="宋体" w:hAnsi="宋体"/>
          <w:b/>
          <w:color w:val="auto"/>
          <w:szCs w:val="21"/>
          <w:highlight w:val="none"/>
        </w:rPr>
        <w:t>.投标保证金</w:t>
      </w:r>
    </w:p>
    <w:p>
      <w:pPr>
        <w:snapToGrid w:val="0"/>
        <w:spacing w:line="460" w:lineRule="exact"/>
        <w:ind w:firstLine="420" w:firstLineChars="200"/>
        <w:jc w:val="left"/>
        <w:outlineLvl w:val="0"/>
        <w:rPr>
          <w:rFonts w:ascii="宋体" w:hAnsi="宋体"/>
          <w:color w:val="auto"/>
          <w:szCs w:val="21"/>
          <w:highlight w:val="none"/>
        </w:rPr>
      </w:pPr>
      <w:r>
        <w:rPr>
          <w:rFonts w:hint="eastAsia" w:ascii="宋体" w:hAnsi="宋体"/>
          <w:color w:val="auto"/>
          <w:szCs w:val="21"/>
          <w:highlight w:val="none"/>
        </w:rPr>
        <w:t>无。</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hAnsi="宋体"/>
          <w:b/>
          <w:color w:val="auto"/>
          <w:szCs w:val="21"/>
          <w:highlight w:val="none"/>
        </w:rPr>
        <w:t>10.投标文件的签署和份数</w:t>
      </w:r>
    </w:p>
    <w:p>
      <w:pPr>
        <w:snapToGrid w:val="0"/>
        <w:spacing w:line="460" w:lineRule="exact"/>
        <w:ind w:firstLine="420" w:firstLineChars="200"/>
        <w:jc w:val="left"/>
        <w:outlineLvl w:val="0"/>
        <w:rPr>
          <w:rFonts w:hint="eastAsia" w:ascii="宋体" w:hAnsi="宋体" w:cs="宋体"/>
          <w:b/>
          <w:bCs/>
          <w:color w:val="auto"/>
          <w:szCs w:val="21"/>
          <w:highlight w:val="none"/>
        </w:rPr>
      </w:pPr>
      <w:bookmarkStart w:id="4" w:name="_Toc178650929"/>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w:t>
      </w:r>
    </w:p>
    <w:p>
      <w:pPr>
        <w:snapToGrid w:val="0"/>
        <w:spacing w:line="460" w:lineRule="exact"/>
        <w:ind w:firstLine="422" w:firstLineChars="2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编制完成后同时生成）。</w:t>
      </w:r>
    </w:p>
    <w:p>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11.投标文件的上传和递交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 “备份投标文件”（一份）；</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b.“备份投标文件”应当密封包装，并在包装上标注投标项目名称、投标单位名称并加盖公章。没有密封包装或者逾期邮寄送达至邮寄接收地点或者逾期送达至指定地点的“备份投标文件”将不予接收；（</w:t>
      </w:r>
      <w:r>
        <w:rPr>
          <w:rFonts w:hint="eastAsia" w:ascii="宋体" w:hAnsi="宋体" w:cs="宋体"/>
          <w:b/>
          <w:color w:val="auto"/>
          <w:szCs w:val="21"/>
          <w:highlight w:val="none"/>
        </w:rPr>
        <w:t>包裹外包装上请注明项目名称</w:t>
      </w:r>
      <w:r>
        <w:rPr>
          <w:rFonts w:hint="eastAsia" w:ascii="宋体" w:hAnsi="宋体"/>
          <w:b/>
          <w:color w:val="auto"/>
          <w:szCs w:val="21"/>
          <w:highlight w:val="none"/>
        </w:rPr>
        <w:t>备份投标文件）</w:t>
      </w:r>
    </w:p>
    <w:p>
      <w:pPr>
        <w:snapToGrid w:val="0"/>
        <w:spacing w:line="46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bookmarkEnd w:id="4"/>
    <w:p>
      <w:pPr>
        <w:pStyle w:val="3"/>
        <w:adjustRightInd w:val="0"/>
        <w:snapToGrid w:val="0"/>
        <w:spacing w:line="360" w:lineRule="auto"/>
        <w:ind w:firstLine="0"/>
        <w:jc w:val="center"/>
        <w:outlineLvl w:val="1"/>
        <w:rPr>
          <w:rFonts w:hAnsi="宋体"/>
          <w:b/>
          <w:color w:val="auto"/>
          <w:spacing w:val="0"/>
          <w:sz w:val="24"/>
          <w:szCs w:val="24"/>
          <w:highlight w:val="none"/>
        </w:rPr>
      </w:pPr>
      <w:bookmarkStart w:id="5" w:name="_Toc170792769"/>
      <w:bookmarkStart w:id="6" w:name="_Toc107820050"/>
      <w:bookmarkStart w:id="7" w:name="_Toc177870553"/>
    </w:p>
    <w:p>
      <w:pPr>
        <w:pStyle w:val="3"/>
        <w:adjustRightInd w:val="0"/>
        <w:snapToGrid w:val="0"/>
        <w:spacing w:line="360" w:lineRule="auto"/>
        <w:ind w:firstLine="0"/>
        <w:jc w:val="center"/>
        <w:outlineLvl w:val="1"/>
        <w:rPr>
          <w:rFonts w:hint="eastAsia" w:hAnsi="宋体"/>
          <w:b/>
          <w:color w:val="auto"/>
          <w:spacing w:val="0"/>
          <w:sz w:val="28"/>
          <w:szCs w:val="28"/>
          <w:highlight w:val="none"/>
        </w:rPr>
      </w:pPr>
      <w:r>
        <w:rPr>
          <w:rFonts w:hint="eastAsia" w:hAnsi="宋体"/>
          <w:b/>
          <w:color w:val="auto"/>
          <w:spacing w:val="0"/>
          <w:sz w:val="28"/>
          <w:szCs w:val="28"/>
          <w:highlight w:val="none"/>
        </w:rPr>
        <w:t>四、开标</w:t>
      </w:r>
      <w:bookmarkEnd w:id="5"/>
      <w:bookmarkEnd w:id="6"/>
      <w:bookmarkEnd w:id="7"/>
    </w:p>
    <w:p>
      <w:pPr>
        <w:pStyle w:val="3"/>
        <w:adjustRightInd w:val="0"/>
        <w:snapToGrid w:val="0"/>
        <w:spacing w:line="360" w:lineRule="auto"/>
        <w:ind w:firstLine="0"/>
        <w:jc w:val="center"/>
        <w:outlineLvl w:val="1"/>
        <w:rPr>
          <w:rFonts w:hint="eastAsia" w:hAnsi="宋体"/>
          <w:b/>
          <w:color w:val="auto"/>
          <w:spacing w:val="0"/>
          <w:sz w:val="28"/>
          <w:szCs w:val="28"/>
          <w:highlight w:val="none"/>
        </w:rPr>
      </w:pPr>
    </w:p>
    <w:p>
      <w:pPr>
        <w:pStyle w:val="19"/>
        <w:snapToGrid w:val="0"/>
        <w:spacing w:line="460" w:lineRule="exact"/>
        <w:ind w:firstLine="422" w:firstLineChars="200"/>
        <w:rPr>
          <w:rFonts w:hAnsi="宋体"/>
          <w:b/>
          <w:bCs/>
          <w:color w:val="auto"/>
          <w:sz w:val="21"/>
          <w:szCs w:val="21"/>
          <w:highlight w:val="none"/>
        </w:rPr>
      </w:pPr>
      <w:bookmarkStart w:id="8" w:name="_Toc177870554"/>
      <w:r>
        <w:rPr>
          <w:rFonts w:hAnsi="宋体"/>
          <w:b/>
          <w:bCs/>
          <w:color w:val="auto"/>
          <w:sz w:val="21"/>
          <w:szCs w:val="21"/>
          <w:highlight w:val="none"/>
        </w:rPr>
        <w:t>（一）开标准备</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1.开标的准备工作由采购组织机构负责落实；</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9"/>
        <w:snapToGrid w:val="0"/>
        <w:spacing w:line="460" w:lineRule="exact"/>
        <w:ind w:firstLine="422" w:firstLineChars="200"/>
        <w:rPr>
          <w:rFonts w:hAnsi="宋体"/>
          <w:b/>
          <w:color w:val="auto"/>
          <w:sz w:val="21"/>
          <w:szCs w:val="21"/>
          <w:highlight w:val="none"/>
        </w:rPr>
      </w:pPr>
      <w:r>
        <w:rPr>
          <w:rFonts w:hint="eastAsia" w:hAnsi="宋体"/>
          <w:b/>
          <w:color w:val="auto"/>
          <w:sz w:val="21"/>
          <w:szCs w:val="21"/>
          <w:highlight w:val="none"/>
        </w:rPr>
        <w:t>(二 ) 采购人或者采购代理机构职责</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采购人或者采购代理机构负责组织评标工作，并履行下列职责：</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1.核对评审专家身份和采购人代表授权函，对评审专家在政府采购活动中的职责履行情况予以记录，并及时将有关违法违规行为向财政部门报告；</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2.宣布评标纪律；</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3.公布供应商名单，告知评审专家应当回避的情形；</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4.组织评标委员会推选评标组长，采购人代表不得担任组长；</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5.在评标期间采取必要的通讯管理措施，保证评标活动不受外界干扰；</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6.根据评标委员会的要求介绍政府采购相关政策法规、招标文件；</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7.维护评标秩序，监督评标委员会依照招标文件规定的评标程序、方法和标准进行独立评审，及时制止和纠正采购人代表、评审专家的倾向性言论或者违法违规行为；</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9.评审工作完成后，按照规定向评审专家支付劳务报酬和异地评审差旅费，不得向评审专家以外的其他人员支付评审劳务报酬；</w:t>
      </w:r>
    </w:p>
    <w:p>
      <w:pPr>
        <w:pStyle w:val="1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10.处理与评标有关的其他事项。</w:t>
      </w:r>
    </w:p>
    <w:p>
      <w:pPr>
        <w:pStyle w:val="8"/>
        <w:spacing w:before="0" w:after="0" w:line="460" w:lineRule="exact"/>
        <w:ind w:firstLine="422"/>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三</w:t>
      </w:r>
      <w:r>
        <w:rPr>
          <w:rFonts w:ascii="宋体" w:hAnsi="宋体" w:eastAsia="宋体"/>
          <w:color w:val="auto"/>
          <w:sz w:val="21"/>
          <w:szCs w:val="21"/>
          <w:highlight w:val="none"/>
        </w:rPr>
        <w:t>）</w:t>
      </w:r>
      <w:r>
        <w:rPr>
          <w:rFonts w:hint="eastAsia" w:ascii="宋体" w:hAnsi="宋体" w:eastAsia="宋体"/>
          <w:color w:val="auto"/>
          <w:sz w:val="21"/>
          <w:szCs w:val="21"/>
          <w:highlight w:val="none"/>
        </w:rPr>
        <w:t>开标流程（两阶段）</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3.1开标第一阶段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（2）开启投标文件，进入资格审查；</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（3）开启资格审查通过的投标供应商的商务技术文件进入符合性审查、商务技术评审；</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（4）第一阶段开标结束。</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3.2开标第二阶段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（3）评审结束后，公布最终评审结果得分。</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特别说明：如遇“政府采购云平台”电子化开标或评审程序调整的，按调整后程序执行。</w:t>
      </w:r>
    </w:p>
    <w:p>
      <w:pPr>
        <w:pStyle w:val="6"/>
        <w:tabs>
          <w:tab w:val="left" w:pos="1110"/>
        </w:tabs>
        <w:spacing w:line="600" w:lineRule="exact"/>
        <w:rPr>
          <w:rFonts w:ascii="宋体" w:hAnsi="宋体" w:eastAsia="宋体"/>
          <w:bCs/>
          <w:color w:val="auto"/>
          <w:sz w:val="28"/>
          <w:szCs w:val="28"/>
          <w:highlight w:val="none"/>
        </w:rPr>
      </w:pPr>
      <w:bookmarkStart w:id="9" w:name="_Toc24550037"/>
      <w:bookmarkStart w:id="10" w:name="_Toc33194393"/>
      <w:r>
        <w:rPr>
          <w:rFonts w:hint="eastAsia" w:ascii="宋体" w:hAnsi="宋体" w:eastAsia="宋体"/>
          <w:bCs/>
          <w:color w:val="auto"/>
          <w:sz w:val="28"/>
          <w:szCs w:val="28"/>
          <w:highlight w:val="none"/>
        </w:rPr>
        <w:t>（四）投标供应商资格审查</w:t>
      </w:r>
      <w:bookmarkEnd w:id="9"/>
      <w:bookmarkEnd w:id="10"/>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4.3单位负责人为同一人或者存在直接控股、管理关系的不同供应商参加同一合同项下的政府采购活动的，相关投标供应商均作资格无效处理。</w:t>
      </w:r>
    </w:p>
    <w:p>
      <w:pPr>
        <w:pStyle w:val="19"/>
        <w:spacing w:line="360" w:lineRule="auto"/>
        <w:ind w:left="723" w:hanging="723" w:hangingChars="300"/>
        <w:jc w:val="center"/>
        <w:outlineLvl w:val="1"/>
        <w:rPr>
          <w:rFonts w:hAnsi="宋体"/>
          <w:b/>
          <w:color w:val="auto"/>
          <w:sz w:val="24"/>
          <w:szCs w:val="24"/>
          <w:highlight w:val="none"/>
        </w:rPr>
      </w:pPr>
    </w:p>
    <w:p>
      <w:pPr>
        <w:pStyle w:val="19"/>
        <w:spacing w:line="360" w:lineRule="auto"/>
        <w:ind w:left="843" w:hanging="843" w:hangingChars="300"/>
        <w:jc w:val="center"/>
        <w:outlineLvl w:val="1"/>
        <w:rPr>
          <w:rFonts w:hAnsi="宋体"/>
          <w:b/>
          <w:bCs/>
          <w:color w:val="auto"/>
          <w:sz w:val="28"/>
          <w:szCs w:val="28"/>
          <w:highlight w:val="none"/>
        </w:rPr>
      </w:pPr>
      <w:r>
        <w:rPr>
          <w:rFonts w:hint="eastAsia" w:hAnsi="宋体"/>
          <w:b/>
          <w:bCs/>
          <w:color w:val="auto"/>
          <w:sz w:val="28"/>
          <w:szCs w:val="28"/>
          <w:highlight w:val="none"/>
        </w:rPr>
        <w:t>五、评标</w:t>
      </w:r>
      <w:bookmarkEnd w:id="8"/>
    </w:p>
    <w:p>
      <w:pPr>
        <w:pStyle w:val="19"/>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5.1专家抽取</w:t>
      </w:r>
    </w:p>
    <w:p>
      <w:pPr>
        <w:pStyle w:val="19"/>
        <w:spacing w:line="440" w:lineRule="exact"/>
        <w:ind w:firstLine="420" w:firstLineChars="200"/>
        <w:jc w:val="left"/>
        <w:rPr>
          <w:rFonts w:hAnsi="宋体"/>
          <w:bCs/>
          <w:color w:val="auto"/>
          <w:sz w:val="21"/>
          <w:szCs w:val="21"/>
          <w:highlight w:val="none"/>
        </w:rPr>
      </w:pPr>
      <w:r>
        <w:rPr>
          <w:rFonts w:hint="eastAsia" w:hAnsi="宋体"/>
          <w:bCs/>
          <w:color w:val="auto"/>
          <w:sz w:val="21"/>
          <w:szCs w:val="21"/>
          <w:highlight w:val="none"/>
        </w:rPr>
        <w:t>根据采购项目的特点，在政采云专家库中随机抽取</w:t>
      </w:r>
      <w:r>
        <w:rPr>
          <w:rFonts w:hint="eastAsia" w:hAnsi="宋体"/>
          <w:bCs/>
          <w:color w:val="auto"/>
          <w:sz w:val="21"/>
          <w:szCs w:val="21"/>
          <w:highlight w:val="none"/>
          <w:lang w:val="en-US" w:eastAsia="zh-CN"/>
        </w:rPr>
        <w:t>5</w:t>
      </w:r>
      <w:r>
        <w:rPr>
          <w:rFonts w:hint="eastAsia" w:hAnsi="宋体"/>
          <w:bCs/>
          <w:color w:val="auto"/>
          <w:sz w:val="21"/>
          <w:szCs w:val="21"/>
          <w:highlight w:val="none"/>
        </w:rPr>
        <w:t>名和业主代表</w:t>
      </w:r>
      <w:r>
        <w:rPr>
          <w:rFonts w:hint="eastAsia" w:hAnsi="宋体"/>
          <w:bCs/>
          <w:color w:val="auto"/>
          <w:sz w:val="21"/>
          <w:szCs w:val="21"/>
          <w:highlight w:val="none"/>
          <w:lang w:val="en-US" w:eastAsia="zh-CN"/>
        </w:rPr>
        <w:t>2</w:t>
      </w:r>
      <w:r>
        <w:rPr>
          <w:rFonts w:hint="eastAsia" w:hAnsi="宋体"/>
          <w:bCs/>
          <w:color w:val="auto"/>
          <w:sz w:val="21"/>
          <w:szCs w:val="21"/>
          <w:highlight w:val="none"/>
        </w:rPr>
        <w:t>名共</w:t>
      </w:r>
      <w:r>
        <w:rPr>
          <w:rFonts w:hint="eastAsia" w:hAnsi="宋体"/>
          <w:bCs/>
          <w:color w:val="auto"/>
          <w:sz w:val="21"/>
          <w:szCs w:val="21"/>
          <w:highlight w:val="none"/>
          <w:lang w:val="en-US" w:eastAsia="zh-CN"/>
        </w:rPr>
        <w:t>7</w:t>
      </w:r>
      <w:r>
        <w:rPr>
          <w:rFonts w:hint="eastAsia" w:hAnsi="宋体"/>
          <w:bCs/>
          <w:color w:val="auto"/>
          <w:sz w:val="21"/>
          <w:szCs w:val="21"/>
          <w:highlight w:val="none"/>
        </w:rPr>
        <w:t>人组成评审专家组。</w:t>
      </w:r>
    </w:p>
    <w:p>
      <w:pPr>
        <w:pStyle w:val="19"/>
        <w:spacing w:line="440" w:lineRule="exact"/>
        <w:ind w:firstLine="310" w:firstLineChars="147"/>
        <w:jc w:val="left"/>
        <w:rPr>
          <w:rFonts w:hAnsi="宋体"/>
          <w:b/>
          <w:color w:val="auto"/>
          <w:sz w:val="21"/>
          <w:szCs w:val="21"/>
          <w:highlight w:val="none"/>
        </w:rPr>
      </w:pPr>
      <w:r>
        <w:rPr>
          <w:rFonts w:hint="eastAsia" w:hAnsi="宋体"/>
          <w:b/>
          <w:color w:val="auto"/>
          <w:sz w:val="21"/>
          <w:szCs w:val="21"/>
          <w:highlight w:val="none"/>
        </w:rPr>
        <w:t>5.2评标的方式</w:t>
      </w:r>
    </w:p>
    <w:p>
      <w:pPr>
        <w:pStyle w:val="19"/>
        <w:spacing w:line="440" w:lineRule="exact"/>
        <w:ind w:firstLine="315" w:firstLineChars="1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pPr>
        <w:pStyle w:val="19"/>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5.3</w:t>
      </w:r>
      <w:r>
        <w:rPr>
          <w:rFonts w:hint="eastAsia" w:hAnsi="宋体"/>
          <w:b/>
          <w:bCs/>
          <w:color w:val="auto"/>
          <w:sz w:val="21"/>
          <w:szCs w:val="21"/>
          <w:highlight w:val="none"/>
        </w:rPr>
        <w:t>评标程序</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5.3.1形式审查:评标委员会将审查投标文件是否真实、完整，总体编排是否有序，文件签署是否正确等。</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5.3.2实质审查与比较。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5.3.2.1评标委员会审查投标文件的实质性内容是否符合招标文件的实质性要求。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5.3.2.2评标委员会将根据投标人的资信商务及技术文件进行审查、核对，如有疑问，将对投标人进行询标，投标人要向评标委员会澄清有关问题，并最终以书面形式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进行答复。评委打分可保留一位小数，各投标人的资信商务、技术文件得分为所有评委的有效评分的算术平均数。由指定专人进行计算复核。</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5.3.3评标委员会将根据投标人的报价文件进行审查、核对，如有疑问，将对投标人进行询标，投标人要向评标委员会澄清有关问题，并最终以书面形式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嘉兴市银建工程咨询评估有限公司工作人员协助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本项目的评分标准操作政府采购业务系统，由系统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5.3.4评标委员会完成评标后，评委对各部分得分汇总，得出本项目最终得分，评标委员会按评标原则推荐中标候选人同时起草评标报告。</w:t>
      </w:r>
    </w:p>
    <w:p>
      <w:p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5.4澄清问题的形式</w:t>
      </w:r>
    </w:p>
    <w:p>
      <w:pPr>
        <w:spacing w:line="440" w:lineRule="exact"/>
        <w:ind w:firstLine="420" w:firstLineChars="200"/>
        <w:jc w:val="left"/>
        <w:rPr>
          <w:rFonts w:asci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w:t>
      </w:r>
      <w:r>
        <w:rPr>
          <w:rFonts w:hint="eastAsia" w:ascii="宋体" w:hAnsi="宋体" w:cs="宋体"/>
          <w:color w:val="auto"/>
          <w:kern w:val="0"/>
          <w:szCs w:val="21"/>
          <w:highlight w:val="none"/>
        </w:rPr>
        <w:t>（或通过“政府采购云平台”在线询标）</w:t>
      </w:r>
      <w:r>
        <w:rPr>
          <w:rFonts w:hint="eastAsia" w:ascii="宋体" w:hAnsi="宋体"/>
          <w:color w:val="auto"/>
          <w:szCs w:val="21"/>
          <w:highlight w:val="none"/>
        </w:rPr>
        <w:t>要</w:t>
      </w:r>
      <w:r>
        <w:rPr>
          <w:rFonts w:hint="eastAsia" w:ascii="宋体"/>
          <w:color w:val="auto"/>
          <w:szCs w:val="21"/>
          <w:highlight w:val="none"/>
        </w:rPr>
        <w:t>求投标人作出必要的澄清、说明或者纠正。投标人的澄清、说明或者补正应当采用书面形式</w:t>
      </w:r>
      <w:r>
        <w:rPr>
          <w:rFonts w:hint="eastAsia" w:ascii="宋体" w:hAnsi="宋体" w:cs="宋体"/>
          <w:color w:val="auto"/>
          <w:kern w:val="0"/>
          <w:szCs w:val="21"/>
          <w:highlight w:val="none"/>
        </w:rPr>
        <w:t>（或通过“政府采购云平台”在线答复）</w:t>
      </w:r>
      <w:r>
        <w:rPr>
          <w:rFonts w:hint="eastAsia" w:ascii="宋体"/>
          <w:color w:val="auto"/>
          <w:szCs w:val="21"/>
          <w:highlight w:val="none"/>
        </w:rPr>
        <w:t>，由其法定代表人或委托代理人签字或盖章确认，并不得超出投标文件的范围或者改变投标文件的实质性内容。</w:t>
      </w:r>
    </w:p>
    <w:p>
      <w:pPr>
        <w:snapToGrid w:val="0"/>
        <w:spacing w:line="44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5.5</w:t>
      </w:r>
      <w:r>
        <w:rPr>
          <w:rFonts w:ascii="宋体" w:hAnsi="宋体"/>
          <w:b/>
          <w:color w:val="auto"/>
          <w:szCs w:val="21"/>
          <w:highlight w:val="none"/>
        </w:rPr>
        <w:t>错误修正</w:t>
      </w:r>
    </w:p>
    <w:p>
      <w:pPr>
        <w:pStyle w:val="19"/>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投标文件如果出现计算或表达上的错误，修正错误的原则如下：</w:t>
      </w:r>
    </w:p>
    <w:p>
      <w:pPr>
        <w:pStyle w:val="1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5.5.1</w:t>
      </w:r>
      <w:r>
        <w:rPr>
          <w:rFonts w:hAnsi="宋体"/>
          <w:bCs/>
          <w:color w:val="auto"/>
          <w:sz w:val="21"/>
          <w:szCs w:val="21"/>
          <w:highlight w:val="none"/>
        </w:rPr>
        <w:t>开标一览表总价与投标报价明细表汇总数不一致的，以开标一览表为准；</w:t>
      </w:r>
    </w:p>
    <w:p>
      <w:pPr>
        <w:pStyle w:val="1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5.5.2</w:t>
      </w:r>
      <w:r>
        <w:rPr>
          <w:rFonts w:hAnsi="宋体"/>
          <w:bCs/>
          <w:color w:val="auto"/>
          <w:sz w:val="21"/>
          <w:szCs w:val="21"/>
          <w:highlight w:val="none"/>
        </w:rPr>
        <w:t>投标文件的大写金额和小写金额不一致的，以大写金额为准；</w:t>
      </w:r>
    </w:p>
    <w:p>
      <w:pPr>
        <w:pStyle w:val="1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3总价金额与按单价汇总金额不一致的，以单价金额计算结果为准；</w:t>
      </w:r>
    </w:p>
    <w:p>
      <w:pPr>
        <w:pStyle w:val="1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4对不同文字文本投标文件的解释发生异议的，以中文文本为准。</w:t>
      </w:r>
    </w:p>
    <w:p>
      <w:pPr>
        <w:pStyle w:val="1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5.5.5</w:t>
      </w:r>
      <w:r>
        <w:rPr>
          <w:rFonts w:hint="eastAsia" w:hAnsi="宋体" w:cs="宋体"/>
          <w:b/>
          <w:color w:val="auto"/>
          <w:sz w:val="21"/>
          <w:szCs w:val="21"/>
          <w:highlight w:val="none"/>
        </w:rPr>
        <w:t>客户端填写的报价与以pdf格式上传文件中的报价不一致的，应以Pdf格式上传文件中的报价为准。</w:t>
      </w:r>
    </w:p>
    <w:p>
      <w:pPr>
        <w:pStyle w:val="19"/>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9"/>
        <w:spacing w:line="440" w:lineRule="exact"/>
        <w:ind w:firstLine="422" w:firstLineChars="200"/>
        <w:jc w:val="left"/>
        <w:rPr>
          <w:b/>
          <w:color w:val="auto"/>
          <w:sz w:val="21"/>
          <w:szCs w:val="21"/>
          <w:highlight w:val="none"/>
        </w:rPr>
      </w:pPr>
      <w:r>
        <w:rPr>
          <w:rFonts w:hint="eastAsia"/>
          <w:b/>
          <w:color w:val="auto"/>
          <w:sz w:val="21"/>
          <w:szCs w:val="21"/>
          <w:highlight w:val="none"/>
        </w:rPr>
        <w:t>5.6.评标过程的保密性</w:t>
      </w:r>
    </w:p>
    <w:p>
      <w:pPr>
        <w:pStyle w:val="19"/>
        <w:spacing w:line="440" w:lineRule="exact"/>
        <w:ind w:firstLine="420" w:firstLineChars="200"/>
        <w:jc w:val="left"/>
        <w:rPr>
          <w:color w:val="auto"/>
          <w:sz w:val="21"/>
          <w:szCs w:val="21"/>
          <w:highlight w:val="none"/>
        </w:rPr>
      </w:pPr>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5.7废标</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在采购中，出现下列情形之一的，应予废标：</w:t>
      </w:r>
    </w:p>
    <w:p>
      <w:pPr>
        <w:pStyle w:val="3"/>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(1)出现影响采购公正的违法、违规行为的；</w:t>
      </w:r>
    </w:p>
    <w:p>
      <w:pPr>
        <w:pStyle w:val="3"/>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(2)报价均超过最高限价，不能支付的；</w:t>
      </w:r>
    </w:p>
    <w:p>
      <w:pPr>
        <w:pStyle w:val="3"/>
        <w:snapToGrid w:val="0"/>
        <w:spacing w:line="440" w:lineRule="exact"/>
        <w:ind w:firstLine="300" w:firstLineChars="148"/>
        <w:rPr>
          <w:rFonts w:hAnsi="宋体" w:cs="宋体"/>
          <w:b/>
          <w:color w:val="auto"/>
          <w:sz w:val="21"/>
          <w:szCs w:val="21"/>
          <w:highlight w:val="none"/>
        </w:rPr>
      </w:pPr>
      <w:r>
        <w:rPr>
          <w:rFonts w:hint="eastAsia" w:hAnsi="宋体" w:cs="宋体"/>
          <w:b/>
          <w:color w:val="auto"/>
          <w:sz w:val="21"/>
          <w:szCs w:val="21"/>
          <w:highlight w:val="none"/>
        </w:rPr>
        <w:t>（3）有效供应商少于3家的；</w:t>
      </w:r>
    </w:p>
    <w:p>
      <w:pPr>
        <w:shd w:val="clear" w:color="auto" w:fill="FFFFFF"/>
        <w:snapToGrid w:val="0"/>
        <w:spacing w:line="44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(4)因重大变故，采购任务取消的。</w:t>
      </w:r>
    </w:p>
    <w:p>
      <w:pPr>
        <w:pStyle w:val="8"/>
        <w:spacing w:before="0" w:after="0" w:line="44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5.8可中止电子交易活动的情形</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采购过程中出现以下情形，导致电子交易平台无法正常运行，或者无法保证电子交易的公平、公正和安全时，采购组织机构可中止电子交易活动：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5.8.1电子交易平台发生故障而无法登录访问的；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5.8.2电子交易平台应用或数据库出现错误，不能进行正常操作的；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5.8.3电子交易平台发现严重安全漏洞，有潜在泄密危险的；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5.8.4病毒发作导致不能进行正常操作的；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5.8.5其他无法保证电子交易的公平、公正和安全的情况。</w:t>
      </w: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出现前款规定情形，不影响采购公平、公正性的，采购组织机构可以待上述情形消除后继续组织电子交易活动；影响或可能影响采购公平、公正性的，应当重新采购。</w:t>
      </w:r>
    </w:p>
    <w:p>
      <w:pPr>
        <w:pStyle w:val="19"/>
        <w:ind w:firstLine="422" w:firstLineChars="200"/>
        <w:jc w:val="left"/>
        <w:rPr>
          <w:b/>
          <w:color w:val="auto"/>
          <w:sz w:val="21"/>
          <w:szCs w:val="21"/>
          <w:highlight w:val="none"/>
        </w:rPr>
      </w:pPr>
      <w:r>
        <w:rPr>
          <w:rFonts w:hint="eastAsia"/>
          <w:b/>
          <w:color w:val="auto"/>
          <w:sz w:val="21"/>
          <w:szCs w:val="21"/>
          <w:highlight w:val="none"/>
        </w:rPr>
        <w:t>5.9.无效标条款</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5.9.1根据《政府采购货物和服务招标投标管理办法》有下列情形之一的，视为投标人串通投标，其投标无效：</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pPr>
        <w:pStyle w:val="19"/>
        <w:spacing w:line="440" w:lineRule="exact"/>
        <w:ind w:firstLine="420" w:firstLineChars="200"/>
        <w:jc w:val="left"/>
        <w:rPr>
          <w:color w:val="auto"/>
          <w:sz w:val="21"/>
          <w:szCs w:val="21"/>
          <w:highlight w:val="none"/>
        </w:rPr>
      </w:pPr>
      <w:r>
        <w:rPr>
          <w:rFonts w:hint="eastAsia"/>
          <w:color w:val="auto"/>
          <w:sz w:val="21"/>
          <w:szCs w:val="21"/>
          <w:highlight w:val="none"/>
        </w:rPr>
        <w:t>5.9.2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5.9.3资格审查</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资格证明文件不全的，或者不符合招标文件标明的资格要求的；</w:t>
      </w:r>
    </w:p>
    <w:p>
      <w:pPr>
        <w:snapToGri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没有通过资格审查的，</w:t>
      </w:r>
      <w:r>
        <w:rPr>
          <w:rFonts w:ascii="宋体" w:hAnsi="宋体"/>
          <w:b/>
          <w:bCs/>
          <w:color w:val="auto"/>
          <w:szCs w:val="21"/>
          <w:highlight w:val="none"/>
        </w:rPr>
        <w:t>投标文件将被视为无效。</w:t>
      </w:r>
    </w:p>
    <w:p>
      <w:pPr>
        <w:pStyle w:val="3"/>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4</w:t>
      </w:r>
      <w:r>
        <w:rPr>
          <w:rFonts w:hint="eastAsia"/>
          <w:b/>
          <w:color w:val="auto"/>
          <w:spacing w:val="0"/>
          <w:sz w:val="21"/>
          <w:szCs w:val="21"/>
          <w:highlight w:val="none"/>
        </w:rPr>
        <w:t>在符合性审查和商务评审时，如发现下列情形之一的，投标文件将被视为无效：</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w:t>
      </w:r>
      <w:r>
        <w:rPr>
          <w:rFonts w:hint="eastAsia"/>
          <w:color w:val="auto"/>
          <w:spacing w:val="0"/>
          <w:sz w:val="21"/>
          <w:szCs w:val="21"/>
          <w:highlight w:val="none"/>
          <w:lang w:val="en-US" w:eastAsia="zh-CN"/>
        </w:rPr>
        <w:t>未按招标文件规定格式</w:t>
      </w:r>
      <w:r>
        <w:rPr>
          <w:rFonts w:hint="eastAsia"/>
          <w:color w:val="auto"/>
          <w:spacing w:val="0"/>
          <w:sz w:val="21"/>
          <w:szCs w:val="21"/>
          <w:highlight w:val="none"/>
        </w:rPr>
        <w:t>签字</w:t>
      </w:r>
      <w:r>
        <w:rPr>
          <w:rFonts w:hint="eastAsia"/>
          <w:color w:val="auto"/>
          <w:spacing w:val="0"/>
          <w:sz w:val="21"/>
          <w:szCs w:val="21"/>
          <w:highlight w:val="none"/>
          <w:lang w:val="en-US" w:eastAsia="zh-CN"/>
        </w:rPr>
        <w:t>或盖章</w:t>
      </w:r>
      <w:r>
        <w:rPr>
          <w:rFonts w:hint="eastAsia"/>
          <w:color w:val="auto"/>
          <w:spacing w:val="0"/>
          <w:sz w:val="21"/>
          <w:szCs w:val="21"/>
          <w:highlight w:val="none"/>
        </w:rPr>
        <w:t>,或未提供法定代表人授权委托书、投标声明书或者填写项目不齐全的；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b</w:t>
      </w:r>
      <w:r>
        <w:rPr>
          <w:rFonts w:hint="eastAsia"/>
          <w:color w:val="auto"/>
          <w:spacing w:val="0"/>
          <w:sz w:val="21"/>
          <w:szCs w:val="21"/>
          <w:highlight w:val="none"/>
        </w:rPr>
        <w:t xml:space="preserve">、投标代表人未能出具身份证明或与法定代表人授权委托人身份不符的； </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c</w:t>
      </w:r>
      <w:r>
        <w:rPr>
          <w:rFonts w:hint="eastAsia"/>
          <w:color w:val="auto"/>
          <w:spacing w:val="0"/>
          <w:sz w:val="21"/>
          <w:szCs w:val="21"/>
          <w:highlight w:val="none"/>
        </w:rPr>
        <w:t>、</w:t>
      </w:r>
      <w:r>
        <w:rPr>
          <w:rFonts w:hAnsi="宋体"/>
          <w:snapToGrid w:val="0"/>
          <w:color w:val="auto"/>
          <w:sz w:val="21"/>
          <w:szCs w:val="21"/>
          <w:highlight w:val="none"/>
        </w:rPr>
        <w:t>投标有效期、交货时间、质保期等商务条款不能满足招标文件要求的；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d</w:t>
      </w:r>
      <w:r>
        <w:rPr>
          <w:rFonts w:hint="eastAsia"/>
          <w:color w:val="auto"/>
          <w:spacing w:val="0"/>
          <w:sz w:val="21"/>
          <w:szCs w:val="21"/>
          <w:highlight w:val="none"/>
        </w:rPr>
        <w:t>、投标文件组成漏项或未按规定的格式编制，内容不全或内容字迹模糊辨认不清的；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e</w:t>
      </w:r>
      <w:r>
        <w:rPr>
          <w:rFonts w:hint="eastAsia"/>
          <w:color w:val="auto"/>
          <w:spacing w:val="0"/>
          <w:sz w:val="21"/>
          <w:szCs w:val="21"/>
          <w:highlight w:val="none"/>
        </w:rPr>
        <w:t>、未实质性响应招标文件要求或者投标文件有招标人不能接受的附加条件的。</w:t>
      </w:r>
    </w:p>
    <w:p>
      <w:pPr>
        <w:pStyle w:val="3"/>
        <w:adjustRightInd w:val="0"/>
        <w:snapToGrid w:val="0"/>
        <w:spacing w:line="440" w:lineRule="exact"/>
        <w:ind w:firstLine="406" w:firstLineChars="200"/>
        <w:rPr>
          <w:rFonts w:hint="eastAsia" w:hAnsi="宋体" w:cs="宋体"/>
          <w:b/>
          <w:color w:val="auto"/>
          <w:sz w:val="21"/>
          <w:szCs w:val="21"/>
          <w:highlight w:val="none"/>
        </w:rPr>
      </w:pPr>
      <w:r>
        <w:rPr>
          <w:rFonts w:hint="eastAsia" w:hAnsi="宋体" w:cs="宋体"/>
          <w:b/>
          <w:color w:val="auto"/>
          <w:sz w:val="21"/>
          <w:szCs w:val="21"/>
          <w:highlight w:val="none"/>
          <w:lang w:val="en-US" w:eastAsia="zh-CN"/>
        </w:rPr>
        <w:t>f、</w:t>
      </w:r>
      <w:r>
        <w:rPr>
          <w:rFonts w:hint="eastAsia" w:hAnsi="宋体" w:cs="宋体"/>
          <w:b/>
          <w:color w:val="auto"/>
          <w:sz w:val="21"/>
          <w:szCs w:val="21"/>
          <w:highlight w:val="none"/>
        </w:rPr>
        <w:t>资信商务及技术文件中出现报价</w:t>
      </w:r>
      <w:r>
        <w:rPr>
          <w:rFonts w:hint="eastAsia" w:hAnsi="宋体" w:cs="宋体"/>
          <w:b/>
          <w:color w:val="auto"/>
          <w:sz w:val="21"/>
          <w:szCs w:val="21"/>
          <w:highlight w:val="none"/>
          <w:lang w:val="en-US" w:eastAsia="zh-CN"/>
        </w:rPr>
        <w:t>的</w:t>
      </w:r>
      <w:r>
        <w:rPr>
          <w:rFonts w:hint="eastAsia" w:hAnsi="宋体" w:cs="宋体"/>
          <w:b/>
          <w:color w:val="auto"/>
          <w:sz w:val="21"/>
          <w:szCs w:val="21"/>
          <w:highlight w:val="none"/>
        </w:rPr>
        <w:t>。</w:t>
      </w:r>
    </w:p>
    <w:p>
      <w:pPr>
        <w:pStyle w:val="3"/>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5</w:t>
      </w:r>
      <w:r>
        <w:rPr>
          <w:rFonts w:hint="eastAsia"/>
          <w:b/>
          <w:color w:val="auto"/>
          <w:spacing w:val="0"/>
          <w:sz w:val="21"/>
          <w:szCs w:val="21"/>
          <w:highlight w:val="none"/>
        </w:rPr>
        <w:t>在技术评审时，如发现下列情形之一的，投标文件将被视为无效：</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a、投标文件标明的响应或偏离与事实不符或虚假投标的；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b、明显不符合招标文件要求的服务内容，或者与招标文件中标“▲”的服务需求、主要功能项目发生实质性偏离的；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c、投标技术方案不明确，存在一个或一个以上备选（替代）投标方案的；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d、与其他参加本次投标供应商的投标文件（技术文件）的文字表述内容相同连续20行以上或者差错相同2处以上的。</w:t>
      </w:r>
    </w:p>
    <w:p>
      <w:pPr>
        <w:spacing w:line="440" w:lineRule="exact"/>
        <w:ind w:firstLine="420" w:firstLineChars="200"/>
        <w:rPr>
          <w:rFonts w:ascii="宋体" w:hAnsi="宋体" w:cs="宋体"/>
          <w:b/>
          <w:color w:val="auto"/>
          <w:szCs w:val="21"/>
          <w:highlight w:val="none"/>
        </w:rPr>
      </w:pPr>
      <w:r>
        <w:rPr>
          <w:rFonts w:hint="eastAsia"/>
          <w:color w:val="auto"/>
          <w:szCs w:val="21"/>
          <w:highlight w:val="none"/>
        </w:rPr>
        <w:t>e、</w:t>
      </w:r>
      <w:r>
        <w:rPr>
          <w:rFonts w:hint="eastAsia" w:ascii="宋体" w:hAnsi="宋体" w:cs="宋体"/>
          <w:b/>
          <w:color w:val="auto"/>
          <w:szCs w:val="21"/>
          <w:highlight w:val="none"/>
        </w:rPr>
        <w:t>仅提交“备份投标文件”的；</w:t>
      </w:r>
    </w:p>
    <w:p>
      <w:pPr>
        <w:pStyle w:val="3"/>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6</w:t>
      </w:r>
      <w:r>
        <w:rPr>
          <w:rFonts w:hint="eastAsia"/>
          <w:b/>
          <w:color w:val="auto"/>
          <w:spacing w:val="0"/>
          <w:sz w:val="21"/>
          <w:szCs w:val="21"/>
          <w:highlight w:val="none"/>
        </w:rPr>
        <w:t>在报价评审时，如发现下列情形之一的，投标文件将被视为无效：</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a、投标报价具有选择性，开标价格与投标文件承诺的优惠（折扣）价格不一致的。</w:t>
      </w:r>
    </w:p>
    <w:p>
      <w:pPr>
        <w:pStyle w:val="3"/>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b、开标一览表和投标报价明细清单填写不完整或字迹不能辨认的；</w:t>
      </w:r>
    </w:p>
    <w:p>
      <w:pPr>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c、仅提交“备份投标文件”的；</w:t>
      </w:r>
    </w:p>
    <w:p>
      <w:pPr>
        <w:pStyle w:val="3"/>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7</w:t>
      </w:r>
      <w:r>
        <w:rPr>
          <w:rFonts w:hint="eastAsia"/>
          <w:b/>
          <w:color w:val="auto"/>
          <w:spacing w:val="0"/>
          <w:sz w:val="21"/>
          <w:szCs w:val="21"/>
          <w:highlight w:val="none"/>
        </w:rPr>
        <w:t>符合招标文件明确规定的其他无效投标条款的。</w:t>
      </w:r>
    </w:p>
    <w:p>
      <w:pPr>
        <w:pStyle w:val="19"/>
        <w:tabs>
          <w:tab w:val="left" w:pos="630"/>
        </w:tabs>
        <w:spacing w:line="440" w:lineRule="exact"/>
        <w:ind w:firstLine="422" w:firstLineChars="200"/>
        <w:jc w:val="left"/>
        <w:rPr>
          <w:b/>
          <w:color w:val="auto"/>
          <w:sz w:val="21"/>
          <w:szCs w:val="21"/>
          <w:highlight w:val="none"/>
        </w:rPr>
      </w:pPr>
      <w:r>
        <w:rPr>
          <w:rFonts w:hint="eastAsia"/>
          <w:b/>
          <w:color w:val="auto"/>
          <w:sz w:val="21"/>
          <w:szCs w:val="21"/>
          <w:highlight w:val="none"/>
        </w:rPr>
        <w:t>5.10. 评标原则和评标办法</w:t>
      </w:r>
    </w:p>
    <w:p>
      <w:pPr>
        <w:pStyle w:val="19"/>
        <w:spacing w:line="440" w:lineRule="exact"/>
        <w:ind w:firstLine="420" w:firstLineChars="200"/>
        <w:jc w:val="left"/>
        <w:rPr>
          <w:color w:val="auto"/>
          <w:sz w:val="21"/>
          <w:szCs w:val="21"/>
          <w:highlight w:val="none"/>
        </w:rPr>
      </w:pPr>
      <w:r>
        <w:rPr>
          <w:rFonts w:hint="eastAsia"/>
          <w:color w:val="auto"/>
          <w:sz w:val="21"/>
          <w:szCs w:val="21"/>
          <w:highlight w:val="none"/>
        </w:rPr>
        <w:t>5.10.1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9"/>
        <w:spacing w:line="440" w:lineRule="exact"/>
        <w:ind w:firstLine="420" w:firstLineChars="200"/>
        <w:jc w:val="left"/>
        <w:rPr>
          <w:color w:val="auto"/>
          <w:sz w:val="21"/>
          <w:szCs w:val="21"/>
          <w:highlight w:val="none"/>
        </w:rPr>
      </w:pPr>
      <w:r>
        <w:rPr>
          <w:rFonts w:hint="eastAsia"/>
          <w:color w:val="auto"/>
          <w:sz w:val="21"/>
          <w:szCs w:val="21"/>
          <w:highlight w:val="none"/>
        </w:rPr>
        <w:t>5.10.2 评标办法。本项目的具体评标办法详见第五章的《评标办法》。</w:t>
      </w:r>
    </w:p>
    <w:p>
      <w:pPr>
        <w:pStyle w:val="19"/>
        <w:spacing w:line="360" w:lineRule="auto"/>
        <w:jc w:val="center"/>
        <w:outlineLvl w:val="1"/>
        <w:rPr>
          <w:rFonts w:hint="eastAsia"/>
          <w:b/>
          <w:color w:val="auto"/>
          <w:sz w:val="24"/>
          <w:szCs w:val="24"/>
          <w:highlight w:val="none"/>
        </w:rPr>
      </w:pPr>
    </w:p>
    <w:p>
      <w:pPr>
        <w:pStyle w:val="19"/>
        <w:spacing w:line="360" w:lineRule="auto"/>
        <w:jc w:val="center"/>
        <w:outlineLvl w:val="1"/>
        <w:rPr>
          <w:b/>
          <w:color w:val="auto"/>
          <w:sz w:val="24"/>
          <w:szCs w:val="24"/>
          <w:highlight w:val="none"/>
        </w:rPr>
      </w:pPr>
      <w:r>
        <w:rPr>
          <w:rFonts w:hint="eastAsia"/>
          <w:b/>
          <w:color w:val="auto"/>
          <w:sz w:val="24"/>
          <w:szCs w:val="24"/>
          <w:highlight w:val="none"/>
        </w:rPr>
        <w:t>六、定标</w:t>
      </w:r>
    </w:p>
    <w:p>
      <w:pPr>
        <w:pStyle w:val="10"/>
        <w:spacing w:line="460" w:lineRule="exact"/>
        <w:ind w:firstLine="422" w:firstLineChars="200"/>
        <w:rPr>
          <w:rFonts w:ascii="宋体"/>
          <w:b/>
          <w:color w:val="auto"/>
          <w:sz w:val="21"/>
          <w:szCs w:val="21"/>
          <w:highlight w:val="none"/>
        </w:rPr>
      </w:pPr>
      <w:r>
        <w:rPr>
          <w:rFonts w:hint="eastAsia" w:ascii="宋体"/>
          <w:b/>
          <w:color w:val="auto"/>
          <w:sz w:val="21"/>
          <w:szCs w:val="21"/>
          <w:highlight w:val="none"/>
        </w:rPr>
        <w:t>6.中标人确定</w:t>
      </w:r>
    </w:p>
    <w:p>
      <w:pPr>
        <w:spacing w:line="460" w:lineRule="exact"/>
        <w:ind w:firstLine="420" w:firstLineChars="200"/>
        <w:rPr>
          <w:rFonts w:ascii="宋体"/>
          <w:color w:val="auto"/>
          <w:szCs w:val="21"/>
          <w:highlight w:val="none"/>
        </w:rPr>
      </w:pPr>
      <w:r>
        <w:rPr>
          <w:rFonts w:hint="eastAsia" w:ascii="宋体"/>
          <w:color w:val="auto"/>
          <w:szCs w:val="21"/>
          <w:highlight w:val="none"/>
        </w:rPr>
        <w:t>6.1采购单位事先授权评标小组直接确定中标人的，评标小组可直接确定预中标人。</w:t>
      </w:r>
    </w:p>
    <w:p>
      <w:pPr>
        <w:spacing w:line="460" w:lineRule="exact"/>
        <w:ind w:firstLine="420" w:firstLineChars="200"/>
        <w:rPr>
          <w:rFonts w:ascii="宋体"/>
          <w:color w:val="auto"/>
          <w:szCs w:val="21"/>
          <w:highlight w:val="none"/>
        </w:rPr>
      </w:pPr>
      <w:r>
        <w:rPr>
          <w:rFonts w:hint="eastAsia" w:ascii="宋体"/>
          <w:color w:val="auto"/>
          <w:szCs w:val="21"/>
          <w:highlight w:val="none"/>
        </w:rPr>
        <w:t>6.2没有事先授权的，采购代理机构在评标结束后2个工作日内将评标结果交采购人确认。采购人应在收到后5个工作日内对评标结果进行确认。</w:t>
      </w:r>
    </w:p>
    <w:p>
      <w:pPr>
        <w:spacing w:line="460" w:lineRule="exact"/>
        <w:ind w:firstLine="420" w:firstLineChars="200"/>
        <w:rPr>
          <w:rFonts w:ascii="宋体"/>
          <w:color w:val="auto"/>
          <w:szCs w:val="21"/>
          <w:highlight w:val="none"/>
        </w:rPr>
      </w:pPr>
      <w:r>
        <w:rPr>
          <w:rFonts w:hint="eastAsia" w:ascii="宋体"/>
          <w:color w:val="auto"/>
          <w:szCs w:val="21"/>
          <w:highlight w:val="none"/>
        </w:rPr>
        <w:t>6.3 中标公告期限为公告1个工作日。</w:t>
      </w:r>
    </w:p>
    <w:p>
      <w:pPr>
        <w:spacing w:line="460" w:lineRule="exact"/>
        <w:ind w:firstLine="420" w:firstLineChars="200"/>
        <w:rPr>
          <w:rFonts w:ascii="宋体"/>
          <w:color w:val="auto"/>
          <w:szCs w:val="21"/>
          <w:highlight w:val="none"/>
        </w:rPr>
      </w:pPr>
      <w:r>
        <w:rPr>
          <w:rFonts w:hint="eastAsia" w:ascii="宋体"/>
          <w:color w:val="auto"/>
          <w:szCs w:val="21"/>
          <w:highlight w:val="none"/>
        </w:rPr>
        <w:t>6.4此次招投标实行资格后审。对于投标人有行贿、违规违法经营等行为的，一经发现查实，取消该投标人的中标资格。</w:t>
      </w:r>
    </w:p>
    <w:p>
      <w:pPr>
        <w:spacing w:line="460" w:lineRule="exact"/>
        <w:ind w:firstLine="420" w:firstLineChars="200"/>
        <w:rPr>
          <w:rFonts w:ascii="宋体"/>
          <w:color w:val="auto"/>
          <w:szCs w:val="21"/>
          <w:highlight w:val="none"/>
        </w:rPr>
      </w:pPr>
      <w:r>
        <w:rPr>
          <w:rFonts w:hint="eastAsia" w:ascii="宋体"/>
          <w:color w:val="auto"/>
          <w:szCs w:val="21"/>
          <w:highlight w:val="none"/>
        </w:rPr>
        <w:t>6.5中标公告及中标通知书</w:t>
      </w:r>
    </w:p>
    <w:p>
      <w:pPr>
        <w:spacing w:line="460" w:lineRule="exact"/>
        <w:ind w:firstLine="420" w:firstLineChars="200"/>
        <w:rPr>
          <w:rFonts w:ascii="宋体"/>
          <w:color w:val="auto"/>
          <w:szCs w:val="21"/>
          <w:highlight w:val="none"/>
        </w:rPr>
      </w:pPr>
      <w:r>
        <w:rPr>
          <w:rFonts w:hint="eastAsia" w:ascii="宋体"/>
          <w:color w:val="auto"/>
          <w:szCs w:val="21"/>
          <w:highlight w:val="none"/>
        </w:rPr>
        <w:t>6.5.1</w:t>
      </w:r>
      <w:r>
        <w:rPr>
          <w:rFonts w:ascii="宋体"/>
          <w:color w:val="auto"/>
          <w:szCs w:val="21"/>
          <w:highlight w:val="none"/>
        </w:rPr>
        <w:t>在公告中标结果的同时，采购代理机构向中标人发出中标通知书。</w:t>
      </w:r>
    </w:p>
    <w:p>
      <w:pPr>
        <w:spacing w:line="360" w:lineRule="auto"/>
        <w:jc w:val="center"/>
        <w:outlineLvl w:val="1"/>
        <w:rPr>
          <w:rFonts w:ascii="宋体"/>
          <w:b/>
          <w:color w:val="auto"/>
          <w:sz w:val="24"/>
          <w:highlight w:val="none"/>
        </w:rPr>
      </w:pPr>
    </w:p>
    <w:p>
      <w:pPr>
        <w:spacing w:line="360" w:lineRule="auto"/>
        <w:jc w:val="center"/>
        <w:outlineLvl w:val="1"/>
        <w:rPr>
          <w:rFonts w:ascii="宋体"/>
          <w:b/>
          <w:color w:val="auto"/>
          <w:sz w:val="24"/>
          <w:highlight w:val="none"/>
        </w:rPr>
      </w:pPr>
      <w:r>
        <w:rPr>
          <w:rFonts w:hint="eastAsia" w:ascii="宋体"/>
          <w:b/>
          <w:color w:val="auto"/>
          <w:sz w:val="24"/>
          <w:highlight w:val="none"/>
        </w:rPr>
        <w:t>七、合同授予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w:t>
      </w:r>
      <w:r>
        <w:rPr>
          <w:rFonts w:ascii="宋体" w:hAnsi="宋体"/>
          <w:color w:val="auto"/>
          <w:szCs w:val="21"/>
          <w:highlight w:val="none"/>
        </w:rPr>
        <w:t>采购人与中标人应当在《中标通知书》发出之日起30日内签订采购合同。同时，采购代理机构对合同内容进行审查，如发现与采购结果和投标承诺内容不一致的，应予以纠正</w:t>
      </w:r>
      <w:r>
        <w:rPr>
          <w:rFonts w:hint="eastAsia" w:ascii="宋体" w:hAnsi="宋体"/>
          <w:color w:val="auto"/>
          <w:szCs w:val="21"/>
          <w:highlight w:val="none"/>
        </w:rPr>
        <w:t>。</w:t>
      </w:r>
    </w:p>
    <w:p>
      <w:pPr>
        <w:spacing w:line="360" w:lineRule="auto"/>
        <w:ind w:firstLine="420" w:firstLineChars="200"/>
        <w:rPr>
          <w:rFonts w:ascii="宋体"/>
          <w:color w:val="auto"/>
          <w:sz w:val="24"/>
          <w:highlight w:val="none"/>
        </w:rPr>
      </w:pPr>
      <w:r>
        <w:rPr>
          <w:rFonts w:hint="eastAsia" w:ascii="宋体" w:hAnsi="宋体"/>
          <w:color w:val="auto"/>
          <w:szCs w:val="21"/>
          <w:highlight w:val="none"/>
        </w:rPr>
        <w:t>7.2</w:t>
      </w:r>
      <w:r>
        <w:rPr>
          <w:rFonts w:ascii="宋体" w:hAnsi="宋体"/>
          <w:color w:val="auto"/>
          <w:szCs w:val="21"/>
          <w:highlight w:val="none"/>
        </w:rPr>
        <w:t>中标人拖延、拒签合同的，将被取消中标资格。</w:t>
      </w:r>
      <w:r>
        <w:rPr>
          <w:rFonts w:hint="eastAsia" w:ascii="宋体" w:hAnsi="宋体"/>
          <w:color w:val="auto"/>
          <w:szCs w:val="21"/>
          <w:highlight w:val="none"/>
        </w:rPr>
        <w:t>中标供应商在接到《中标通知书》后，违反采购文件有关规定和要求，不履行投标承诺，在规定时间内拒交履约保证金、拒签合同或放弃中标的，则取消该投标人的中标资格，采购人重新组织采购。</w:t>
      </w:r>
    </w:p>
    <w:p>
      <w:pPr>
        <w:spacing w:line="360" w:lineRule="auto"/>
        <w:jc w:val="center"/>
        <w:rPr>
          <w:rFonts w:ascii="宋体"/>
          <w:b/>
          <w:color w:val="auto"/>
          <w:sz w:val="28"/>
          <w:szCs w:val="28"/>
          <w:highlight w:val="none"/>
        </w:rPr>
      </w:pPr>
      <w:bookmarkStart w:id="11" w:name="_Toc170792807"/>
      <w:bookmarkStart w:id="12" w:name="_Toc177870559"/>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pStyle w:val="15"/>
        <w:rPr>
          <w:rFonts w:ascii="宋体"/>
          <w:b/>
          <w:color w:val="auto"/>
          <w:sz w:val="28"/>
          <w:szCs w:val="28"/>
          <w:highlight w:val="none"/>
        </w:rPr>
      </w:pP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r>
        <w:rPr>
          <w:rFonts w:hint="eastAsia" w:ascii="宋体"/>
          <w:b/>
          <w:color w:val="auto"/>
          <w:sz w:val="28"/>
          <w:szCs w:val="28"/>
          <w:highlight w:val="none"/>
        </w:rPr>
        <w:t>第三章招标项目需求</w:t>
      </w:r>
    </w:p>
    <w:p>
      <w:pPr>
        <w:spacing w:line="360" w:lineRule="auto"/>
        <w:jc w:val="center"/>
        <w:rPr>
          <w:rFonts w:ascii="宋体"/>
          <w:b/>
          <w:color w:val="auto"/>
          <w:sz w:val="28"/>
          <w:szCs w:val="28"/>
          <w:highlight w:val="none"/>
        </w:rPr>
      </w:pPr>
    </w:p>
    <w:p>
      <w:pPr>
        <w:spacing w:line="500" w:lineRule="exact"/>
        <w:jc w:val="left"/>
        <w:rPr>
          <w:rFonts w:hint="eastAsia" w:ascii="Times New Roman" w:hAnsi="宋体" w:eastAsia="宋体" w:cs="Times New Roman"/>
          <w:b/>
          <w:bCs/>
          <w:color w:val="auto"/>
          <w:highlight w:val="none"/>
          <w:lang w:val="en-US" w:eastAsia="zh-CN"/>
        </w:rPr>
      </w:pPr>
      <w:bookmarkStart w:id="13" w:name="_Toc2323"/>
      <w:bookmarkStart w:id="14" w:name="_Toc327773690"/>
      <w:bookmarkStart w:id="15" w:name="_Toc421804112"/>
      <w:r>
        <w:rPr>
          <w:rFonts w:hint="eastAsia" w:ascii="Times New Roman" w:hAnsi="宋体" w:eastAsia="宋体" w:cs="Times New Roman"/>
          <w:b/>
          <w:bCs/>
          <w:color w:val="auto"/>
          <w:highlight w:val="none"/>
          <w:lang w:val="en-US" w:eastAsia="zh-CN"/>
        </w:rPr>
        <w:t>一、采购内容</w:t>
      </w:r>
      <w:bookmarkEnd w:id="13"/>
      <w:bookmarkEnd w:id="14"/>
      <w:bookmarkEnd w:id="15"/>
    </w:p>
    <w:p>
      <w:pPr>
        <w:pStyle w:val="19"/>
        <w:snapToGrid w:val="0"/>
        <w:spacing w:before="0" w:beforeLines="0" w:after="0" w:afterLines="0"/>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嘉兴港区道路、桥梁及雨水管线维修养护项目</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本次采购共</w:t>
      </w:r>
      <w:r>
        <w:rPr>
          <w:rFonts w:hint="eastAsia" w:ascii="Times New Roman" w:hAnsi="Times New Roman" w:eastAsia="宋体" w:cs="Times New Roman"/>
          <w:color w:val="auto"/>
          <w:sz w:val="21"/>
          <w:szCs w:val="21"/>
          <w:highlight w:val="none"/>
          <w:lang w:val="en-US" w:eastAsia="zh-CN"/>
        </w:rPr>
        <w:t>二</w:t>
      </w:r>
      <w:r>
        <w:rPr>
          <w:rFonts w:hint="eastAsia" w:ascii="Times New Roman" w:hAnsi="Times New Roman" w:eastAsia="宋体" w:cs="Times New Roman"/>
          <w:color w:val="auto"/>
          <w:sz w:val="21"/>
          <w:szCs w:val="21"/>
          <w:highlight w:val="none"/>
        </w:rPr>
        <w:t>个标项，分别为标段</w:t>
      </w:r>
      <w:r>
        <w:rPr>
          <w:rFonts w:hint="eastAsia" w:ascii="Times New Roman" w:hAnsi="Times New Roman" w:eastAsia="宋体"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rPr>
        <w:t>、标段</w:t>
      </w:r>
      <w:r>
        <w:rPr>
          <w:rFonts w:hint="eastAsia" w:ascii="Times New Roman" w:hAnsi="Times New Roman" w:eastAsia="宋体" w:cs="Times New Roman"/>
          <w:color w:val="auto"/>
          <w:sz w:val="21"/>
          <w:szCs w:val="21"/>
          <w:highlight w:val="none"/>
          <w:lang w:val="en-US" w:eastAsia="zh-CN"/>
        </w:rPr>
        <w:t>二</w:t>
      </w:r>
      <w:r>
        <w:rPr>
          <w:rFonts w:hint="eastAsia" w:ascii="Times New Roman" w:hAnsi="Times New Roman" w:eastAsia="宋体" w:cs="Times New Roman"/>
          <w:color w:val="auto"/>
          <w:sz w:val="21"/>
          <w:szCs w:val="21"/>
          <w:highlight w:val="none"/>
        </w:rPr>
        <w:t>。</w:t>
      </w:r>
    </w:p>
    <w:p>
      <w:pPr>
        <w:spacing w:line="500" w:lineRule="exact"/>
        <w:jc w:val="left"/>
        <w:rPr>
          <w:rFonts w:hint="eastAsia" w:ascii="Times New Roman" w:hAnsi="宋体" w:eastAsia="宋体" w:cs="Times New Roman"/>
          <w:b/>
          <w:bCs/>
          <w:color w:val="auto"/>
          <w:highlight w:val="none"/>
          <w:lang w:val="en-US" w:eastAsia="zh-CN"/>
        </w:rPr>
      </w:pPr>
      <w:bookmarkStart w:id="16" w:name="_Toc26608"/>
      <w:bookmarkStart w:id="17" w:name="_Toc327773691"/>
      <w:bookmarkStart w:id="18" w:name="_Toc421804113"/>
      <w:r>
        <w:rPr>
          <w:rFonts w:hint="eastAsia" w:ascii="Times New Roman" w:hAnsi="宋体" w:eastAsia="宋体" w:cs="Times New Roman"/>
          <w:b/>
          <w:bCs/>
          <w:color w:val="auto"/>
          <w:highlight w:val="none"/>
          <w:lang w:val="en-US" w:eastAsia="zh-CN"/>
        </w:rPr>
        <w:t>二、养护范围</w:t>
      </w:r>
      <w:bookmarkEnd w:id="16"/>
      <w:bookmarkEnd w:id="17"/>
      <w:bookmarkEnd w:id="18"/>
      <w:r>
        <w:rPr>
          <w:rFonts w:hint="eastAsia" w:ascii="Times New Roman" w:hAnsi="宋体" w:eastAsia="宋体" w:cs="Times New Roman"/>
          <w:b/>
          <w:bCs/>
          <w:color w:val="auto"/>
          <w:highlight w:val="none"/>
          <w:lang w:val="en-US" w:eastAsia="zh-CN"/>
        </w:rPr>
        <w:t xml:space="preserve"> </w:t>
      </w:r>
    </w:p>
    <w:p>
      <w:pPr>
        <w:snapToGrid w:val="0"/>
        <w:spacing w:line="400" w:lineRule="atLeast"/>
        <w:ind w:left="-2" w:leftChars="-1" w:firstLine="413" w:firstLineChars="196"/>
        <w:jc w:val="left"/>
        <w:outlineLvl w:val="2"/>
        <w:rPr>
          <w:rFonts w:hint="eastAsia" w:ascii="宋体" w:hAnsi="宋体" w:cs="Arial"/>
          <w:b/>
          <w:bCs/>
          <w:color w:val="auto"/>
          <w:szCs w:val="21"/>
          <w:highlight w:val="none"/>
        </w:rPr>
      </w:pPr>
      <w:r>
        <w:rPr>
          <w:rFonts w:hint="eastAsia" w:ascii="宋体" w:hAnsi="宋体" w:cs="Arial"/>
          <w:b/>
          <w:bCs/>
          <w:color w:val="auto"/>
          <w:szCs w:val="21"/>
          <w:highlight w:val="none"/>
        </w:rPr>
        <w:t>标段</w:t>
      </w:r>
      <w:r>
        <w:rPr>
          <w:rFonts w:hint="eastAsia" w:ascii="宋体" w:hAnsi="宋体" w:cs="Arial"/>
          <w:b/>
          <w:bCs/>
          <w:color w:val="auto"/>
          <w:szCs w:val="21"/>
          <w:highlight w:val="none"/>
          <w:lang w:val="en-US" w:eastAsia="zh-CN"/>
        </w:rPr>
        <w:t>一</w:t>
      </w:r>
      <w:r>
        <w:rPr>
          <w:rFonts w:hint="eastAsia" w:ascii="宋体" w:hAnsi="宋体" w:cs="Arial"/>
          <w:b/>
          <w:bCs/>
          <w:color w:val="auto"/>
          <w:szCs w:val="21"/>
          <w:highlight w:val="none"/>
        </w:rPr>
        <w:t>：</w:t>
      </w:r>
      <w:r>
        <w:rPr>
          <w:rFonts w:hint="eastAsia" w:ascii="宋体" w:hAnsi="宋体"/>
          <w:color w:val="auto"/>
          <w:kern w:val="0"/>
          <w:sz w:val="20"/>
          <w:szCs w:val="20"/>
          <w:highlight w:val="none"/>
        </w:rPr>
        <w:t>乍浦塘以东所有</w:t>
      </w:r>
      <w:r>
        <w:rPr>
          <w:rFonts w:hint="eastAsia" w:ascii="宋体" w:hAnsi="宋体"/>
          <w:color w:val="auto"/>
          <w:kern w:val="0"/>
          <w:sz w:val="20"/>
          <w:szCs w:val="20"/>
          <w:highlight w:val="none"/>
          <w:lang w:val="en-US" w:eastAsia="zh-CN"/>
        </w:rPr>
        <w:t>城市</w:t>
      </w:r>
      <w:r>
        <w:rPr>
          <w:rFonts w:hint="eastAsia" w:ascii="宋体" w:hAnsi="宋体"/>
          <w:color w:val="auto"/>
          <w:kern w:val="0"/>
          <w:sz w:val="20"/>
          <w:szCs w:val="20"/>
          <w:highlight w:val="none"/>
        </w:rPr>
        <w:t>道路（包括</w:t>
      </w:r>
      <w:r>
        <w:rPr>
          <w:rFonts w:hint="eastAsia" w:ascii="宋体" w:hAnsi="宋体"/>
          <w:color w:val="auto"/>
          <w:kern w:val="0"/>
          <w:sz w:val="20"/>
          <w:szCs w:val="20"/>
          <w:highlight w:val="none"/>
          <w:lang w:val="en-US" w:eastAsia="zh-CN"/>
        </w:rPr>
        <w:t>翁金线和</w:t>
      </w:r>
      <w:r>
        <w:rPr>
          <w:rFonts w:hint="eastAsia" w:ascii="宋体" w:hAnsi="宋体"/>
          <w:color w:val="auto"/>
          <w:kern w:val="0"/>
          <w:sz w:val="20"/>
          <w:szCs w:val="20"/>
          <w:highlight w:val="none"/>
        </w:rPr>
        <w:t>益山路）</w:t>
      </w:r>
    </w:p>
    <w:p>
      <w:pPr>
        <w:snapToGrid w:val="0"/>
        <w:spacing w:line="400" w:lineRule="atLeast"/>
        <w:ind w:left="-2" w:leftChars="-1" w:firstLine="413" w:firstLineChars="196"/>
        <w:jc w:val="left"/>
        <w:outlineLvl w:val="2"/>
        <w:rPr>
          <w:rFonts w:hint="eastAsia" w:ascii="宋体" w:hAnsi="宋体" w:cs="Arial"/>
          <w:b/>
          <w:bCs/>
          <w:color w:val="auto"/>
          <w:szCs w:val="21"/>
          <w:highlight w:val="none"/>
        </w:rPr>
      </w:pPr>
      <w:r>
        <w:rPr>
          <w:rFonts w:hint="eastAsia" w:ascii="宋体" w:hAnsi="宋体" w:cs="Arial"/>
          <w:b/>
          <w:bCs/>
          <w:color w:val="auto"/>
          <w:szCs w:val="21"/>
          <w:highlight w:val="none"/>
        </w:rPr>
        <w:t>标段</w:t>
      </w:r>
      <w:r>
        <w:rPr>
          <w:rFonts w:hint="eastAsia" w:ascii="宋体" w:hAnsi="宋体" w:cs="Arial"/>
          <w:b/>
          <w:bCs/>
          <w:color w:val="auto"/>
          <w:szCs w:val="21"/>
          <w:highlight w:val="none"/>
          <w:lang w:val="en-US" w:eastAsia="zh-CN"/>
        </w:rPr>
        <w:t>二</w:t>
      </w:r>
      <w:r>
        <w:rPr>
          <w:rFonts w:hint="eastAsia" w:ascii="宋体" w:hAnsi="宋体" w:cs="Arial"/>
          <w:b/>
          <w:bCs/>
          <w:color w:val="auto"/>
          <w:szCs w:val="21"/>
          <w:highlight w:val="none"/>
        </w:rPr>
        <w:t>：</w:t>
      </w:r>
      <w:r>
        <w:rPr>
          <w:rFonts w:hint="eastAsia" w:ascii="宋体" w:hAnsi="宋体"/>
          <w:color w:val="auto"/>
          <w:kern w:val="0"/>
          <w:sz w:val="20"/>
          <w:szCs w:val="20"/>
          <w:highlight w:val="none"/>
        </w:rPr>
        <w:t>乍浦塘以西所有</w:t>
      </w:r>
      <w:r>
        <w:rPr>
          <w:rFonts w:hint="eastAsia" w:ascii="宋体" w:hAnsi="宋体"/>
          <w:color w:val="auto"/>
          <w:kern w:val="0"/>
          <w:sz w:val="20"/>
          <w:szCs w:val="20"/>
          <w:highlight w:val="none"/>
          <w:lang w:val="en-US" w:eastAsia="zh-CN"/>
        </w:rPr>
        <w:t>城市</w:t>
      </w:r>
      <w:r>
        <w:rPr>
          <w:rFonts w:hint="eastAsia" w:ascii="宋体" w:hAnsi="宋体"/>
          <w:color w:val="auto"/>
          <w:kern w:val="0"/>
          <w:sz w:val="20"/>
          <w:szCs w:val="20"/>
          <w:highlight w:val="none"/>
        </w:rPr>
        <w:t>道路（包括港口三期）</w:t>
      </w:r>
      <w:r>
        <w:rPr>
          <w:rFonts w:hint="eastAsia" w:ascii="宋体" w:hAnsi="宋体" w:cs="Arial"/>
          <w:b/>
          <w:bCs/>
          <w:color w:val="auto"/>
          <w:szCs w:val="21"/>
          <w:highlight w:val="none"/>
        </w:rPr>
        <w:t>。</w:t>
      </w:r>
    </w:p>
    <w:p>
      <w:pPr>
        <w:spacing w:line="500" w:lineRule="exact"/>
        <w:jc w:val="left"/>
        <w:rPr>
          <w:rFonts w:ascii="宋体" w:hAnsi="宋体" w:cs="宋体"/>
          <w:color w:val="auto"/>
          <w:szCs w:val="21"/>
          <w:highlight w:val="none"/>
        </w:rPr>
      </w:pPr>
      <w:r>
        <w:rPr>
          <w:rFonts w:hint="eastAsia" w:hAnsi="宋体"/>
          <w:b/>
          <w:bCs/>
          <w:color w:val="auto"/>
          <w:highlight w:val="none"/>
          <w:lang w:val="en-US" w:eastAsia="zh-CN"/>
        </w:rPr>
        <w:t>三、</w:t>
      </w:r>
      <w:r>
        <w:rPr>
          <w:rFonts w:hint="eastAsia" w:ascii="宋体" w:hAnsi="宋体"/>
          <w:b/>
          <w:bCs/>
          <w:color w:val="auto"/>
          <w:kern w:val="0"/>
          <w:sz w:val="20"/>
          <w:szCs w:val="20"/>
          <w:highlight w:val="none"/>
        </w:rPr>
        <w:t>合同期限：</w:t>
      </w:r>
      <w:r>
        <w:rPr>
          <w:rFonts w:hint="eastAsia" w:ascii="宋体" w:hAnsi="宋体"/>
          <w:color w:val="auto"/>
          <w:kern w:val="0"/>
          <w:sz w:val="20"/>
          <w:szCs w:val="20"/>
          <w:highlight w:val="none"/>
        </w:rPr>
        <w:t>服务期限：202</w:t>
      </w:r>
      <w:r>
        <w:rPr>
          <w:rFonts w:hint="eastAsia" w:ascii="宋体" w:hAnsi="宋体"/>
          <w:color w:val="auto"/>
          <w:kern w:val="0"/>
          <w:sz w:val="20"/>
          <w:szCs w:val="20"/>
          <w:highlight w:val="none"/>
          <w:lang w:val="en-US" w:eastAsia="zh-CN"/>
        </w:rPr>
        <w:t>3</w:t>
      </w:r>
      <w:r>
        <w:rPr>
          <w:rFonts w:hint="eastAsia" w:ascii="宋体" w:hAnsi="宋体"/>
          <w:color w:val="auto"/>
          <w:kern w:val="0"/>
          <w:sz w:val="20"/>
          <w:szCs w:val="20"/>
          <w:highlight w:val="none"/>
        </w:rPr>
        <w:t>年</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rPr>
        <w:t>月1日-202</w:t>
      </w:r>
      <w:r>
        <w:rPr>
          <w:rFonts w:hint="eastAsia" w:ascii="宋体" w:hAnsi="宋体"/>
          <w:color w:val="auto"/>
          <w:kern w:val="0"/>
          <w:sz w:val="20"/>
          <w:szCs w:val="20"/>
          <w:highlight w:val="none"/>
          <w:lang w:val="en-US" w:eastAsia="zh-CN"/>
        </w:rPr>
        <w:t>4</w:t>
      </w:r>
      <w:r>
        <w:rPr>
          <w:rFonts w:hint="eastAsia" w:ascii="宋体" w:hAnsi="宋体"/>
          <w:color w:val="auto"/>
          <w:kern w:val="0"/>
          <w:sz w:val="20"/>
          <w:szCs w:val="20"/>
          <w:highlight w:val="none"/>
        </w:rPr>
        <w:t>年</w:t>
      </w:r>
      <w:r>
        <w:rPr>
          <w:rFonts w:hint="eastAsia" w:ascii="宋体" w:hAnsi="宋体"/>
          <w:color w:val="auto"/>
          <w:kern w:val="0"/>
          <w:sz w:val="20"/>
          <w:szCs w:val="20"/>
          <w:highlight w:val="none"/>
          <w:lang w:val="en-US" w:eastAsia="zh-CN"/>
        </w:rPr>
        <w:t>5</w:t>
      </w:r>
      <w:r>
        <w:rPr>
          <w:rFonts w:hint="eastAsia" w:ascii="宋体" w:hAnsi="宋体"/>
          <w:color w:val="auto"/>
          <w:kern w:val="0"/>
          <w:sz w:val="20"/>
          <w:szCs w:val="20"/>
          <w:highlight w:val="none"/>
        </w:rPr>
        <w:t>月</w:t>
      </w:r>
      <w:r>
        <w:rPr>
          <w:rFonts w:hint="eastAsia" w:ascii="宋体" w:hAnsi="宋体"/>
          <w:color w:val="auto"/>
          <w:kern w:val="0"/>
          <w:sz w:val="20"/>
          <w:szCs w:val="20"/>
          <w:highlight w:val="none"/>
          <w:lang w:val="en-US" w:eastAsia="zh-CN"/>
        </w:rPr>
        <w:t>31</w:t>
      </w:r>
      <w:r>
        <w:rPr>
          <w:rFonts w:hint="eastAsia" w:ascii="宋体" w:hAnsi="宋体"/>
          <w:color w:val="auto"/>
          <w:kern w:val="0"/>
          <w:sz w:val="20"/>
          <w:szCs w:val="20"/>
          <w:highlight w:val="none"/>
        </w:rPr>
        <w:t>日。</w:t>
      </w:r>
      <w:r>
        <w:rPr>
          <w:rFonts w:hint="eastAsia" w:ascii="宋体" w:hAnsi="宋体" w:cs="宋体"/>
          <w:color w:val="auto"/>
          <w:szCs w:val="21"/>
          <w:highlight w:val="none"/>
        </w:rPr>
        <w:t>服务期满如质量达到要求，经双方同意，本合同可以续签一年。</w:t>
      </w:r>
    </w:p>
    <w:p>
      <w:pPr>
        <w:pStyle w:val="19"/>
        <w:numPr>
          <w:ilvl w:val="0"/>
          <w:numId w:val="0"/>
        </w:numPr>
        <w:snapToGrid w:val="0"/>
        <w:spacing w:line="360" w:lineRule="auto"/>
        <w:ind w:leftChars="0"/>
        <w:outlineLvl w:val="0"/>
        <w:rPr>
          <w:rFonts w:hAnsi="宋体"/>
          <w:b/>
          <w:bCs/>
          <w:color w:val="auto"/>
          <w:highlight w:val="none"/>
        </w:rPr>
      </w:pPr>
      <w:r>
        <w:rPr>
          <w:rFonts w:hint="eastAsia" w:hAnsi="宋体"/>
          <w:b/>
          <w:bCs/>
          <w:color w:val="auto"/>
          <w:highlight w:val="none"/>
          <w:lang w:val="en-US" w:eastAsia="zh-CN"/>
        </w:rPr>
        <w:t>四、</w:t>
      </w:r>
      <w:r>
        <w:rPr>
          <w:rFonts w:hAnsi="宋体"/>
          <w:b/>
          <w:bCs/>
          <w:color w:val="auto"/>
          <w:highlight w:val="none"/>
        </w:rPr>
        <w:t>项目要求</w:t>
      </w:r>
    </w:p>
    <w:p>
      <w:pPr>
        <w:spacing w:line="360" w:lineRule="auto"/>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lang w:val="en-US" w:eastAsia="zh-CN"/>
        </w:rPr>
        <w:t>1</w:t>
      </w:r>
      <w:r>
        <w:rPr>
          <w:rFonts w:hint="eastAsia" w:ascii="宋体" w:hAnsi="宋体"/>
          <w:color w:val="auto"/>
          <w:kern w:val="0"/>
          <w:sz w:val="20"/>
          <w:szCs w:val="20"/>
          <w:highlight w:val="none"/>
        </w:rPr>
        <w:t>.养护内容</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（1）养护范围内道路、桥梁及其附属设施的维修养护、标志标线的恢复及检查井的维修、改造等，保持道路功能和设施处于完好状态。</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（2）养护范围内桥梁的检查和维修。</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（3）养护范围内道路、桥梁桥面系的日常巡查工作。</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（4）养护范围内雨水管线的养护疏通及井盖的更换、维修，井座的升降、加固等。</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（5）台风、汛期防洪，冬季冰雪灾害及各种恶劣天气下的应急抢险（含人、材料或机械设备、物储备）工作。</w:t>
      </w:r>
    </w:p>
    <w:p>
      <w:pPr>
        <w:spacing w:line="360" w:lineRule="auto"/>
        <w:ind w:firstLine="200" w:firstLineChars="100"/>
        <w:rPr>
          <w:rFonts w:ascii="宋体" w:hAnsi="宋体"/>
          <w:color w:val="auto"/>
          <w:kern w:val="0"/>
          <w:sz w:val="20"/>
          <w:szCs w:val="20"/>
          <w:highlight w:val="none"/>
        </w:rPr>
      </w:pPr>
      <w:r>
        <w:rPr>
          <w:rFonts w:hint="eastAsia" w:ascii="宋体" w:hAnsi="宋体"/>
          <w:color w:val="auto"/>
          <w:kern w:val="0"/>
          <w:sz w:val="20"/>
          <w:szCs w:val="20"/>
          <w:highlight w:val="none"/>
        </w:rPr>
        <w:t>（6）路面两侧标识标牌等与市政道路相关的其他内容的日常巡查，并将巡查内容汇总后交给采购单位。</w:t>
      </w:r>
    </w:p>
    <w:p>
      <w:pPr>
        <w:spacing w:line="360" w:lineRule="auto"/>
        <w:ind w:firstLine="459" w:firstLineChars="230"/>
        <w:rPr>
          <w:rFonts w:ascii="宋体" w:hAnsi="宋体"/>
          <w:color w:val="auto"/>
          <w:sz w:val="20"/>
          <w:szCs w:val="20"/>
          <w:highlight w:val="none"/>
        </w:rPr>
      </w:pPr>
      <w:r>
        <w:rPr>
          <w:rFonts w:hint="eastAsia" w:ascii="宋体" w:hAnsi="宋体"/>
          <w:color w:val="auto"/>
          <w:sz w:val="20"/>
          <w:szCs w:val="20"/>
          <w:highlight w:val="none"/>
          <w:lang w:val="en-US" w:eastAsia="zh-CN"/>
        </w:rPr>
        <w:t>2</w:t>
      </w:r>
      <w:r>
        <w:rPr>
          <w:rFonts w:hint="eastAsia" w:ascii="宋体" w:hAnsi="宋体"/>
          <w:color w:val="auto"/>
          <w:sz w:val="20"/>
          <w:szCs w:val="20"/>
          <w:highlight w:val="none"/>
        </w:rPr>
        <w:t>．服务要求</w:t>
      </w:r>
    </w:p>
    <w:p>
      <w:pPr>
        <w:pStyle w:val="19"/>
        <w:numPr>
          <w:ilvl w:val="0"/>
          <w:numId w:val="3"/>
        </w:numPr>
        <w:tabs>
          <w:tab w:val="clear" w:pos="600"/>
        </w:tabs>
        <w:snapToGrid w:val="0"/>
        <w:spacing w:line="360" w:lineRule="auto"/>
        <w:ind w:left="0" w:firstLine="360"/>
        <w:rPr>
          <w:rFonts w:hAnsi="宋体"/>
          <w:color w:val="auto"/>
          <w:highlight w:val="none"/>
        </w:rPr>
      </w:pPr>
      <w:r>
        <w:rPr>
          <w:rFonts w:hint="eastAsia" w:hAnsi="宋体"/>
          <w:color w:val="auto"/>
          <w:highlight w:val="none"/>
        </w:rPr>
        <w:t>中标单位应在每月25日前上报下月养护计划，每月5日前上报上月维修完成统计月报。</w:t>
      </w:r>
    </w:p>
    <w:p>
      <w:pPr>
        <w:pStyle w:val="19"/>
        <w:numPr>
          <w:ilvl w:val="0"/>
          <w:numId w:val="3"/>
        </w:numPr>
        <w:tabs>
          <w:tab w:val="left" w:pos="0"/>
          <w:tab w:val="clear" w:pos="600"/>
        </w:tabs>
        <w:snapToGrid w:val="0"/>
        <w:spacing w:line="360" w:lineRule="auto"/>
        <w:ind w:left="0" w:firstLine="360"/>
        <w:rPr>
          <w:rFonts w:hAnsi="宋体"/>
          <w:color w:val="auto"/>
          <w:highlight w:val="none"/>
        </w:rPr>
      </w:pPr>
      <w:r>
        <w:rPr>
          <w:rFonts w:hint="eastAsia" w:hAnsi="宋体"/>
          <w:color w:val="auto"/>
          <w:highlight w:val="none"/>
        </w:rPr>
        <w:t>中标单位应按道路类别、级别、养护等级等建立经常性巡查制，填写《城镇道路巡查表》、《城市桥梁桥面系日常巡检周报表》，巡查记录应定期整理归档。中标单位应及时发现道路、桥梁桥面系缺陷及设施破损等问题，根据采购单位的《嘉兴港区市政道路维修工程任务单》进行维修改造等。</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中标单位应按养护规范进行巡查，在巡视中应及时排查道路、桥梁设施存在的安全问题，发现后在第一时间做好安全警示，设置围栏，并及时检修，消除隐患。</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中标单位应按时完成采购单位交办的维修任务单，以及其它突击性任务和指令性任务并加强法定节假日的正常养护维修工作。</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中标单位应组建应急抢险队伍、建立应急预案处理机制，落实相应的人、机、物储备。</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道路的日常养护管理，按照中华人民共和国行业标准《城镇道路养护技术规范》CJJ36-2006的相关条款执行；桥梁的日常养护管理，按照中华人民共和国行业标准《城市桥梁养护技术规范》CJJ99-2003和《城市桥梁检测和养护维修管理办法》、《</w:t>
      </w:r>
      <w:r>
        <w:rPr>
          <w:rFonts w:hAnsi="宋体"/>
          <w:color w:val="auto"/>
          <w:highlight w:val="none"/>
        </w:rPr>
        <w:t>CJJ 68—2007 城镇排水管渠与泵站维护技术规程</w:t>
      </w:r>
      <w:r>
        <w:rPr>
          <w:rFonts w:hint="eastAsia" w:hAnsi="宋体"/>
          <w:color w:val="auto"/>
          <w:highlight w:val="none"/>
        </w:rPr>
        <w:t>》的相关条款执行；雨水井盖日常养护管理按照相关规定执行。</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投标单位应在投标文件中明确建立日常巡查制度，包括人员、设备、应急物资，巡查周期为每日不少于一次，并且每周将巡查结果汇总后报采购单位，将现场拍摄照片记录、巡查日志等存入资料备查。</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中标单位通过日常巡查发现的破损地点、破损需要更换的雨水井盖在通知采购单位（监理方）确认后2小时之内及时进行维修更换或采取安全措施，并在第一时间设立警示装置及隔离措施。如果因中标单位维修不及时或者未树立警示牌发生道路安全事故的，中标单位负全部责任。</w:t>
      </w:r>
    </w:p>
    <w:p>
      <w:pPr>
        <w:pStyle w:val="19"/>
        <w:numPr>
          <w:ilvl w:val="0"/>
          <w:numId w:val="3"/>
        </w:numPr>
        <w:tabs>
          <w:tab w:val="clear" w:pos="600"/>
        </w:tabs>
        <w:snapToGrid w:val="0"/>
        <w:spacing w:line="360" w:lineRule="auto"/>
        <w:ind w:left="180" w:firstLine="180"/>
        <w:rPr>
          <w:rFonts w:hAnsi="宋体"/>
          <w:color w:val="auto"/>
          <w:highlight w:val="none"/>
        </w:rPr>
      </w:pPr>
      <w:r>
        <w:rPr>
          <w:rFonts w:hint="eastAsia" w:hAnsi="宋体"/>
          <w:color w:val="auto"/>
          <w:highlight w:val="none"/>
        </w:rPr>
        <w:t>雨水管道应在雨天内加强巡查力度，遇到有积水的部位按照巡查制度要求，及时做好相关资料并在经过监理方（采购单位）认可后抓紧进行疏通，疏通时间控制在24小时，并在第一时间内设立相关警示标志及隔离措施。如果因中标单位维修不及时或者未树立警示牌发生道路安全事故的，中标单位负全部责任。</w:t>
      </w:r>
    </w:p>
    <w:p>
      <w:pPr>
        <w:pStyle w:val="19"/>
        <w:snapToGrid w:val="0"/>
        <w:spacing w:line="360" w:lineRule="auto"/>
        <w:ind w:left="360"/>
        <w:rPr>
          <w:rFonts w:hAnsi="宋体"/>
          <w:color w:val="auto"/>
          <w:highlight w:val="none"/>
        </w:rPr>
      </w:pPr>
      <w:r>
        <w:rPr>
          <w:rFonts w:hint="eastAsia" w:hAnsi="宋体"/>
          <w:color w:val="auto"/>
          <w:highlight w:val="none"/>
        </w:rPr>
        <w:t>（10）中标单位必须开通24小时抢修电话。接到抢修电话后，要求1小时内到达现场并做好防护措施。有特殊情况需报采购单位书面同意后方可延长时间。中标单位不按此要求养护，每发现一次处罚5000元。</w:t>
      </w:r>
    </w:p>
    <w:p>
      <w:pPr>
        <w:pStyle w:val="19"/>
        <w:snapToGrid w:val="0"/>
        <w:spacing w:line="360" w:lineRule="auto"/>
        <w:ind w:left="360"/>
        <w:rPr>
          <w:rFonts w:hAnsi="宋体"/>
          <w:color w:val="auto"/>
          <w:highlight w:val="none"/>
        </w:rPr>
      </w:pPr>
      <w:r>
        <w:rPr>
          <w:rFonts w:hint="eastAsia" w:hAnsi="宋体"/>
          <w:color w:val="auto"/>
          <w:highlight w:val="none"/>
        </w:rPr>
        <w:t>（11）及时处理对社会公众对涉及道路、桥梁养护的各种举报、投诉，并对提供线索者给予一定的奖励，每次50元，该费用经采购单位确认后由中标单位支付。</w:t>
      </w:r>
    </w:p>
    <w:p>
      <w:pPr>
        <w:pStyle w:val="19"/>
        <w:snapToGrid w:val="0"/>
        <w:spacing w:line="360" w:lineRule="auto"/>
        <w:ind w:left="360"/>
        <w:rPr>
          <w:rFonts w:hAnsi="宋体"/>
          <w:color w:val="auto"/>
          <w:highlight w:val="none"/>
        </w:rPr>
      </w:pPr>
      <w:r>
        <w:rPr>
          <w:rFonts w:hAnsi="宋体"/>
          <w:color w:val="auto"/>
          <w:highlight w:val="none"/>
        </w:rPr>
        <w:t>▲</w:t>
      </w:r>
      <w:r>
        <w:rPr>
          <w:rFonts w:hint="eastAsia" w:hAnsi="宋体"/>
          <w:color w:val="auto"/>
          <w:highlight w:val="none"/>
        </w:rPr>
        <w:t>（12）投标单位中标后30日历天内必须在港区范围内设立办公场所及相应物资、养护工具等堆放场地。</w:t>
      </w:r>
      <w:r>
        <w:rPr>
          <w:rFonts w:hint="eastAsia" w:hAnsi="宋体"/>
          <w:b/>
          <w:color w:val="auto"/>
          <w:highlight w:val="none"/>
        </w:rPr>
        <w:t>（投标文件中提供相应承诺书）</w:t>
      </w:r>
    </w:p>
    <w:p>
      <w:pPr>
        <w:pStyle w:val="19"/>
        <w:snapToGrid w:val="0"/>
        <w:spacing w:line="360" w:lineRule="auto"/>
        <w:ind w:left="360"/>
        <w:rPr>
          <w:rFonts w:hAnsi="宋体"/>
          <w:color w:val="auto"/>
          <w:highlight w:val="none"/>
        </w:rPr>
      </w:pPr>
      <w:r>
        <w:rPr>
          <w:rFonts w:hint="eastAsia" w:hAnsi="宋体"/>
          <w:color w:val="auto"/>
          <w:highlight w:val="none"/>
        </w:rPr>
        <w:t>（13）对于影响交通安全、道路通行安全的情形，中标单位未及时发现的，每发生一次，采购单位将对中标单位进行处罚。</w:t>
      </w:r>
    </w:p>
    <w:p>
      <w:pPr>
        <w:pStyle w:val="19"/>
        <w:snapToGrid w:val="0"/>
        <w:spacing w:line="360" w:lineRule="auto"/>
        <w:ind w:left="360"/>
        <w:rPr>
          <w:rFonts w:hAnsi="宋体"/>
          <w:color w:val="auto"/>
          <w:highlight w:val="none"/>
        </w:rPr>
      </w:pPr>
      <w:r>
        <w:rPr>
          <w:rFonts w:hAnsi="宋体"/>
          <w:color w:val="auto"/>
          <w:highlight w:val="none"/>
        </w:rPr>
        <w:t>▲</w:t>
      </w:r>
      <w:r>
        <w:rPr>
          <w:rFonts w:hint="eastAsia" w:hAnsi="宋体"/>
          <w:color w:val="auto"/>
          <w:highlight w:val="none"/>
        </w:rPr>
        <w:t>（14）应组建相对固定的养护班组，</w:t>
      </w:r>
      <w:r>
        <w:rPr>
          <w:rFonts w:hint="eastAsia" w:hAnsi="宋体"/>
          <w:color w:val="auto"/>
          <w:highlight w:val="none"/>
          <w:lang w:eastAsia="zh-CN"/>
        </w:rPr>
        <w:t>人员配备每个标段不少于20人（其中养护管理人员不少于5人）</w:t>
      </w:r>
      <w:r>
        <w:rPr>
          <w:rFonts w:hint="eastAsia" w:hAnsi="宋体"/>
          <w:color w:val="auto"/>
          <w:highlight w:val="none"/>
        </w:rPr>
        <w:t>，台风、汛期防洪，冬季冰雪灾害及各种恶劣天气下的应急抢险期间人员配备须翻倍。其他特殊情况应根据需要酌情增加并满足采购单位要求。</w:t>
      </w:r>
    </w:p>
    <w:p>
      <w:pPr>
        <w:pStyle w:val="19"/>
        <w:snapToGrid w:val="0"/>
        <w:spacing w:line="360" w:lineRule="auto"/>
        <w:ind w:left="360"/>
        <w:rPr>
          <w:rFonts w:hAnsi="宋体"/>
          <w:color w:val="auto"/>
          <w:highlight w:val="none"/>
        </w:rPr>
      </w:pPr>
      <w:r>
        <w:rPr>
          <w:rFonts w:hint="eastAsia" w:hAnsi="宋体"/>
          <w:color w:val="auto"/>
          <w:highlight w:val="none"/>
        </w:rPr>
        <w:t>（15）发现维修及抢修任务，第一时间向交警、嘉兴市综合行政执法局港区分局及跟踪审计单位备案。</w:t>
      </w:r>
    </w:p>
    <w:p>
      <w:pPr>
        <w:pStyle w:val="19"/>
        <w:snapToGrid w:val="0"/>
        <w:spacing w:line="360" w:lineRule="auto"/>
        <w:ind w:left="360"/>
        <w:rPr>
          <w:rFonts w:hAnsi="宋体"/>
          <w:b/>
          <w:color w:val="auto"/>
          <w:highlight w:val="none"/>
        </w:rPr>
      </w:pPr>
      <w:r>
        <w:rPr>
          <w:rFonts w:hAnsi="宋体"/>
          <w:b/>
          <w:color w:val="auto"/>
          <w:highlight w:val="none"/>
        </w:rPr>
        <w:t>▲</w:t>
      </w:r>
      <w:r>
        <w:rPr>
          <w:rFonts w:hint="eastAsia" w:hAnsi="宋体"/>
          <w:b/>
          <w:color w:val="auto"/>
          <w:highlight w:val="none"/>
        </w:rPr>
        <w:t>（16）主要机械设备最低要求：投标单位须配备</w:t>
      </w:r>
      <w:r>
        <w:rPr>
          <w:rFonts w:hint="eastAsia" w:ascii="新宋体" w:hAnsi="新宋体" w:eastAsia="新宋体"/>
          <w:b/>
          <w:color w:val="auto"/>
          <w:szCs w:val="21"/>
          <w:highlight w:val="none"/>
        </w:rPr>
        <w:t>压路机、动力切割机、铣刨机。自有或租赁都可以，租赁的须提供自202</w:t>
      </w:r>
      <w:r>
        <w:rPr>
          <w:rFonts w:hint="eastAsia" w:ascii="新宋体" w:hAnsi="新宋体" w:eastAsia="新宋体"/>
          <w:b/>
          <w:color w:val="auto"/>
          <w:szCs w:val="21"/>
          <w:highlight w:val="none"/>
          <w:lang w:val="en-US" w:eastAsia="zh-CN"/>
        </w:rPr>
        <w:t>3</w:t>
      </w:r>
      <w:r>
        <w:rPr>
          <w:rFonts w:hint="eastAsia" w:ascii="新宋体" w:hAnsi="新宋体" w:eastAsia="新宋体"/>
          <w:b/>
          <w:color w:val="auto"/>
          <w:szCs w:val="21"/>
          <w:highlight w:val="none"/>
        </w:rPr>
        <w:t>年签订的</w:t>
      </w:r>
      <w:r>
        <w:rPr>
          <w:rFonts w:hint="eastAsia" w:ascii="新宋体" w:hAnsi="新宋体" w:eastAsia="新宋体"/>
          <w:b/>
          <w:color w:val="auto"/>
          <w:szCs w:val="21"/>
          <w:highlight w:val="none"/>
          <w:lang w:eastAsia="zh-CN"/>
        </w:rPr>
        <w:t>2年（含2年）</w:t>
      </w:r>
      <w:r>
        <w:rPr>
          <w:rFonts w:hint="eastAsia" w:ascii="新宋体" w:hAnsi="新宋体" w:eastAsia="新宋体"/>
          <w:b/>
          <w:color w:val="auto"/>
          <w:szCs w:val="21"/>
          <w:highlight w:val="none"/>
        </w:rPr>
        <w:t>以上有效期的租赁合同，自有的须提供购买发票。</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、环境保护</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1）乙方要有环保意识，进场施工前必须到环保等有关部门办理好相关手续，注意施工噪音、灰尘、污水等污染对周围环境的影响，并尽量将影响降低到最低，合法合理的协调处理好这些事情，并且对此全部负责。</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、质量、安全与验收</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（1）质量、安全标准</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中标单位应按现行的国家施工验收规范和质量评定标准及安全生产标准等法律、法规进行施工，采购单位对本工程质量与安全文明的要求：1.质量合格；2.无安全事故。</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（2）工程质量等级、安全目标</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工程质量要求：</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①道路维修，根据采购单位维修任务单中要求进行维修。平整度、抗压强度、抗折强度达到相关要求。面层四角平整，与原路面接坡顺滑，表面不得有浮浆、脱皮、积水等现象，需要进行基层处理的，经采购单位（监理）同意，进行基层处理。</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②使用周期要求：质保期一年。</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（3）安全生产</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①安全要求：维修地点必须设置安全标志、警示标志、围栏等安全设施，夜间设置夜间照明警示灯，如果因中标单位维修不及时或者未树立警示牌、安全围栏发生道路安全事故的，中标单位负全部责任。</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②中标单位应按照工程建设安全生产有关管理规定，加强施工现场人员和机械的施工安全管理，采取严格的安全防护措施，保证本工程施工的安全，随时接受</w:t>
      </w:r>
      <w:r>
        <w:rPr>
          <w:rFonts w:hint="eastAsia" w:hAnsi="宋体"/>
          <w:color w:val="auto"/>
          <w:highlight w:val="none"/>
          <w:lang w:eastAsia="zh-CN"/>
        </w:rPr>
        <w:t>浙江乍浦经济开发区（嘉兴港区）管理委员会</w:t>
      </w:r>
      <w:r>
        <w:rPr>
          <w:rFonts w:hint="eastAsia" w:hAnsi="宋体"/>
          <w:color w:val="auto"/>
          <w:highlight w:val="none"/>
        </w:rPr>
        <w:t>的监督检查。</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③中标单位应教育本单位职工文明施工、安全生产，并对他们的安全负责。</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④由于中标单位安全防护措施不力，或因中标单位职工过失，或因第三者的原因造成人身、设备、工程质量事故及其他人为事故，其全部责任由中标单位承担，采购单位既不承担任何责任，也不支付任何费用。</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⑤施工过程中，为了保证安全施工 ，保护工地周围建筑物和居民等的安全，中标单位应采取必要的防护、安全措施，并承担所需费用。</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⑥施工现场必须实行标化工地管理，材料堆放有序，办公区、居住区卫生整洁，施工人员服饰统一整齐，并且文明礼貌。</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⑦发生重大伤亡事故及其他安全事故，中标单位应按有关规定立即上报有关部门并通知采购单位，同时按政府有关部门要求及时处理，并承担相关责任及由此发生的费用。</w:t>
      </w:r>
    </w:p>
    <w:p>
      <w:pPr>
        <w:spacing w:line="360" w:lineRule="auto"/>
        <w:ind w:firstLine="394" w:firstLineChars="196"/>
        <w:rPr>
          <w:rFonts w:ascii="宋体" w:hAnsi="宋体"/>
          <w:b/>
          <w:bCs/>
          <w:color w:val="auto"/>
          <w:sz w:val="20"/>
          <w:szCs w:val="20"/>
          <w:highlight w:val="none"/>
        </w:rPr>
      </w:pPr>
      <w:r>
        <w:rPr>
          <w:rFonts w:hint="eastAsia" w:ascii="宋体" w:hAnsi="宋体"/>
          <w:b/>
          <w:bCs/>
          <w:color w:val="auto"/>
          <w:sz w:val="20"/>
          <w:szCs w:val="20"/>
          <w:highlight w:val="none"/>
          <w:lang w:val="en-US" w:eastAsia="zh-CN"/>
        </w:rPr>
        <w:t>五</w:t>
      </w:r>
      <w:r>
        <w:rPr>
          <w:rFonts w:hint="eastAsia" w:ascii="宋体" w:hAnsi="宋体"/>
          <w:b/>
          <w:bCs/>
          <w:color w:val="auto"/>
          <w:sz w:val="20"/>
          <w:szCs w:val="20"/>
          <w:highlight w:val="none"/>
        </w:rPr>
        <w:t>、报价要求：</w:t>
      </w:r>
    </w:p>
    <w:p>
      <w:pPr>
        <w:spacing w:line="360" w:lineRule="auto"/>
        <w:ind w:firstLine="400" w:firstLineChars="200"/>
        <w:rPr>
          <w:rFonts w:ascii="宋体" w:hAnsi="宋体"/>
          <w:color w:val="auto"/>
          <w:sz w:val="20"/>
          <w:szCs w:val="20"/>
          <w:highlight w:val="none"/>
          <w:u w:val="single"/>
        </w:rPr>
      </w:pPr>
      <w:r>
        <w:rPr>
          <w:rFonts w:hint="eastAsia" w:ascii="宋体" w:hAnsi="宋体"/>
          <w:color w:val="auto"/>
          <w:sz w:val="20"/>
          <w:szCs w:val="20"/>
          <w:highlight w:val="none"/>
          <w:u w:val="single"/>
        </w:rPr>
        <w:t>1、道路、桥梁（含巡查检查费用）下浮后的费率：</w:t>
      </w:r>
    </w:p>
    <w:p>
      <w:pPr>
        <w:spacing w:line="360" w:lineRule="auto"/>
        <w:ind w:firstLine="400" w:firstLineChars="200"/>
        <w:rPr>
          <w:rFonts w:ascii="宋体" w:hAnsi="宋体"/>
          <w:color w:val="auto"/>
          <w:sz w:val="20"/>
          <w:szCs w:val="20"/>
          <w:highlight w:val="none"/>
          <w:u w:val="single"/>
        </w:rPr>
      </w:pPr>
      <w:r>
        <w:rPr>
          <w:rFonts w:hint="eastAsia" w:ascii="宋体" w:hAnsi="宋体"/>
          <w:color w:val="auto"/>
          <w:sz w:val="20"/>
          <w:szCs w:val="20"/>
          <w:highlight w:val="none"/>
          <w:u w:val="single"/>
        </w:rPr>
        <w:t>投标报价应以“百分率”报价，报价时综合考虑雨水井盖公众责任险。中标单位在养护服务费结算时，以有关部门审计后的审定金额为基础，乘以中标的百分率再扣除季度考核后的罚款金额作为最终计取的养护服务费。</w:t>
      </w:r>
    </w:p>
    <w:p>
      <w:pPr>
        <w:adjustRightInd w:val="0"/>
        <w:snapToGrid w:val="0"/>
        <w:spacing w:line="360" w:lineRule="auto"/>
        <w:ind w:firstLine="400" w:firstLineChars="200"/>
        <w:rPr>
          <w:rFonts w:ascii="宋体" w:hAnsi="宋体"/>
          <w:color w:val="auto"/>
          <w:sz w:val="20"/>
          <w:szCs w:val="20"/>
          <w:highlight w:val="none"/>
          <w:u w:val="single"/>
        </w:rPr>
      </w:pPr>
      <w:r>
        <w:rPr>
          <w:rFonts w:hint="eastAsia" w:ascii="宋体" w:hAnsi="宋体"/>
          <w:color w:val="auto"/>
          <w:sz w:val="20"/>
          <w:szCs w:val="20"/>
          <w:highlight w:val="none"/>
          <w:u w:val="single"/>
        </w:rPr>
        <w:t>说明：（1）投标人</w:t>
      </w:r>
      <w:r>
        <w:rPr>
          <w:rFonts w:hint="eastAsia" w:ascii="宋体" w:hAnsi="宋体"/>
          <w:color w:val="auto"/>
          <w:sz w:val="20"/>
          <w:szCs w:val="20"/>
          <w:highlight w:val="none"/>
          <w:u w:val="single"/>
          <w:lang w:val="en-US" w:eastAsia="zh-CN"/>
        </w:rPr>
        <w:t>今后在编制结算</w:t>
      </w:r>
      <w:r>
        <w:rPr>
          <w:rFonts w:hint="eastAsia" w:ascii="宋体" w:hAnsi="宋体"/>
          <w:color w:val="auto"/>
          <w:sz w:val="20"/>
          <w:szCs w:val="20"/>
          <w:highlight w:val="none"/>
          <w:u w:val="single"/>
        </w:rPr>
        <w:t>时取费必须符合</w:t>
      </w:r>
      <w:r>
        <w:rPr>
          <w:rFonts w:hint="eastAsia" w:ascii="宋体" w:hAnsi="宋体"/>
          <w:b/>
          <w:color w:val="auto"/>
          <w:sz w:val="20"/>
          <w:szCs w:val="20"/>
          <w:highlight w:val="none"/>
          <w:u w:val="single"/>
        </w:rPr>
        <w:t>《浙江省建设工程施工机械台班费用定额》（2018版）</w:t>
      </w:r>
      <w:r>
        <w:rPr>
          <w:rFonts w:hint="eastAsia" w:ascii="宋体" w:hAnsi="宋体"/>
          <w:color w:val="auto"/>
          <w:sz w:val="20"/>
          <w:szCs w:val="20"/>
          <w:highlight w:val="none"/>
          <w:u w:val="single"/>
        </w:rPr>
        <w:t>及浙江省相关补充和调整管理规定，“民工工伤保险费”及“意外伤害保险费”由投标人按照保险费缴纳的实际情况自主</w:t>
      </w:r>
      <w:r>
        <w:rPr>
          <w:rFonts w:hint="eastAsia" w:ascii="宋体" w:hAnsi="宋体"/>
          <w:color w:val="auto"/>
          <w:sz w:val="20"/>
          <w:szCs w:val="20"/>
          <w:highlight w:val="none"/>
          <w:u w:val="single"/>
          <w:lang w:val="en-US" w:eastAsia="zh-CN"/>
        </w:rPr>
        <w:t>考虑</w:t>
      </w:r>
      <w:r>
        <w:rPr>
          <w:rFonts w:hint="eastAsia" w:ascii="宋体" w:hAnsi="宋体"/>
          <w:color w:val="auto"/>
          <w:sz w:val="20"/>
          <w:szCs w:val="20"/>
          <w:highlight w:val="none"/>
          <w:u w:val="single"/>
        </w:rPr>
        <w:t>（二项费用均不得为零），结算时任何情况下（含工程造价变动等）一律不得下浮和调整。</w:t>
      </w:r>
    </w:p>
    <w:p>
      <w:pPr>
        <w:adjustRightInd w:val="0"/>
        <w:snapToGrid w:val="0"/>
        <w:spacing w:line="360" w:lineRule="auto"/>
        <w:ind w:left="420"/>
        <w:jc w:val="left"/>
        <w:rPr>
          <w:rFonts w:ascii="宋体" w:hAnsi="宋体"/>
          <w:color w:val="auto"/>
          <w:sz w:val="20"/>
          <w:szCs w:val="20"/>
          <w:highlight w:val="none"/>
          <w:u w:val="single"/>
        </w:rPr>
      </w:pPr>
      <w:r>
        <w:rPr>
          <w:rFonts w:hint="eastAsia" w:ascii="宋体" w:hAnsi="宋体"/>
          <w:color w:val="auto"/>
          <w:sz w:val="20"/>
          <w:szCs w:val="20"/>
          <w:highlight w:val="none"/>
          <w:u w:val="single"/>
        </w:rPr>
        <w:t>（2）不可预见费、风险系数等自行考虑，并计入报价内。凡施工中涉及到的安全维护、行</w:t>
      </w:r>
    </w:p>
    <w:p>
      <w:pPr>
        <w:adjustRightInd w:val="0"/>
        <w:snapToGrid w:val="0"/>
        <w:spacing w:line="360" w:lineRule="auto"/>
        <w:jc w:val="left"/>
        <w:rPr>
          <w:rFonts w:ascii="宋体" w:hAnsi="宋体"/>
          <w:color w:val="auto"/>
          <w:sz w:val="20"/>
          <w:szCs w:val="20"/>
          <w:highlight w:val="none"/>
          <w:u w:val="single"/>
        </w:rPr>
      </w:pPr>
      <w:r>
        <w:rPr>
          <w:rFonts w:hint="eastAsia" w:ascii="宋体" w:hAnsi="宋体"/>
          <w:color w:val="auto"/>
          <w:sz w:val="20"/>
          <w:szCs w:val="20"/>
          <w:highlight w:val="none"/>
          <w:u w:val="single"/>
        </w:rPr>
        <w:t>车干扰、土方运输、材料堆放、夜间施工、水电费用、巡查费、应急抢险费用等均包含在本报价中。</w:t>
      </w:r>
    </w:p>
    <w:p>
      <w:pPr>
        <w:adjustRightInd w:val="0"/>
        <w:snapToGrid w:val="0"/>
        <w:spacing w:line="360" w:lineRule="auto"/>
        <w:ind w:left="426"/>
        <w:rPr>
          <w:rFonts w:ascii="宋体" w:hAnsi="宋体"/>
          <w:color w:val="auto"/>
          <w:sz w:val="20"/>
          <w:szCs w:val="20"/>
          <w:highlight w:val="none"/>
          <w:u w:val="single"/>
        </w:rPr>
      </w:pPr>
      <w:r>
        <w:rPr>
          <w:rFonts w:hint="eastAsia" w:ascii="宋体" w:hAnsi="宋体"/>
          <w:color w:val="auto"/>
          <w:sz w:val="20"/>
          <w:szCs w:val="20"/>
          <w:highlight w:val="none"/>
          <w:u w:val="single"/>
        </w:rPr>
        <w:t>（3）凡涉及城建、城管、环保、工商、保险、水利等部门有可能发生的费用，需自行考虑，并进入总报价内。中标单位开工前需要办理建筑工程一切险（包括建设工程施工人员人身意外伤害险）、第三者责任险。保险费用由各投标单位考虑进入总报价。</w:t>
      </w:r>
    </w:p>
    <w:p>
      <w:pPr>
        <w:adjustRightInd w:val="0"/>
        <w:snapToGrid w:val="0"/>
        <w:spacing w:line="360" w:lineRule="auto"/>
        <w:ind w:left="420"/>
        <w:rPr>
          <w:rFonts w:ascii="宋体" w:hAnsi="宋体"/>
          <w:color w:val="auto"/>
          <w:sz w:val="20"/>
          <w:szCs w:val="20"/>
          <w:highlight w:val="none"/>
          <w:u w:val="single"/>
        </w:rPr>
      </w:pPr>
      <w:r>
        <w:rPr>
          <w:rFonts w:hint="eastAsia" w:ascii="宋体" w:hAnsi="宋体"/>
          <w:color w:val="auto"/>
          <w:sz w:val="20"/>
          <w:szCs w:val="20"/>
          <w:highlight w:val="none"/>
          <w:u w:val="single"/>
        </w:rPr>
        <w:t>（4）中标单位须按有关文件规定交纳相关费用，并及时办理相关许可证。</w:t>
      </w:r>
    </w:p>
    <w:p>
      <w:pPr>
        <w:adjustRightInd w:val="0"/>
        <w:snapToGrid w:val="0"/>
        <w:spacing w:line="360" w:lineRule="auto"/>
        <w:ind w:left="420"/>
        <w:rPr>
          <w:rFonts w:ascii="宋体" w:hAnsi="宋体"/>
          <w:color w:val="auto"/>
          <w:sz w:val="20"/>
          <w:szCs w:val="20"/>
          <w:highlight w:val="none"/>
          <w:u w:val="single"/>
        </w:rPr>
      </w:pPr>
      <w:r>
        <w:rPr>
          <w:rFonts w:hint="eastAsia" w:ascii="宋体" w:hAnsi="宋体"/>
          <w:color w:val="auto"/>
          <w:sz w:val="20"/>
          <w:szCs w:val="20"/>
          <w:highlight w:val="none"/>
          <w:u w:val="single"/>
        </w:rPr>
        <w:t>（5）中标单位负责施工所需的水、电、电讯线路等接至施工场地，各投标人须自行踏勘施工现场（如未踏勘招标人将视作已踏勘），相关费用须考虑在投标报价中，今后不作签证。</w:t>
      </w:r>
    </w:p>
    <w:p>
      <w:pPr>
        <w:tabs>
          <w:tab w:val="left" w:pos="756"/>
        </w:tabs>
        <w:adjustRightInd w:val="0"/>
        <w:snapToGrid w:val="0"/>
        <w:spacing w:line="360" w:lineRule="auto"/>
        <w:ind w:left="400"/>
        <w:jc w:val="left"/>
        <w:rPr>
          <w:rFonts w:ascii="宋体" w:hAnsi="宋体"/>
          <w:color w:val="auto"/>
          <w:sz w:val="20"/>
          <w:szCs w:val="20"/>
          <w:highlight w:val="none"/>
          <w:u w:val="single"/>
        </w:rPr>
      </w:pPr>
      <w:r>
        <w:rPr>
          <w:rFonts w:hint="eastAsia" w:ascii="宋体" w:hAnsi="宋体"/>
          <w:color w:val="auto"/>
          <w:sz w:val="20"/>
          <w:szCs w:val="20"/>
          <w:highlight w:val="none"/>
          <w:u w:val="single"/>
        </w:rPr>
        <w:t>（6）人工价可按最新季度人工市场信息价计取也可根据企业实力自定价格计取。</w:t>
      </w:r>
    </w:p>
    <w:p>
      <w:pPr>
        <w:tabs>
          <w:tab w:val="left" w:pos="756"/>
        </w:tabs>
        <w:adjustRightInd w:val="0"/>
        <w:snapToGrid w:val="0"/>
        <w:spacing w:line="360" w:lineRule="auto"/>
        <w:ind w:left="402"/>
        <w:jc w:val="left"/>
        <w:rPr>
          <w:rFonts w:ascii="宋体" w:hAnsi="宋体"/>
          <w:b/>
          <w:color w:val="auto"/>
          <w:sz w:val="20"/>
          <w:szCs w:val="20"/>
          <w:highlight w:val="none"/>
          <w:u w:val="single"/>
        </w:rPr>
      </w:pPr>
      <w:r>
        <w:rPr>
          <w:rFonts w:hint="eastAsia" w:ascii="宋体" w:hAnsi="宋体"/>
          <w:b/>
          <w:color w:val="auto"/>
          <w:sz w:val="20"/>
          <w:szCs w:val="20"/>
          <w:highlight w:val="none"/>
          <w:u w:val="single"/>
        </w:rPr>
        <w:t>（7）投标单位不得以低于成本价的报价参与投标。</w:t>
      </w:r>
    </w:p>
    <w:p>
      <w:pPr>
        <w:spacing w:line="360" w:lineRule="auto"/>
        <w:ind w:firstLine="402" w:firstLineChars="200"/>
        <w:rPr>
          <w:rFonts w:ascii="宋体" w:hAnsi="宋体"/>
          <w:b/>
          <w:bCs/>
          <w:color w:val="auto"/>
          <w:sz w:val="20"/>
          <w:szCs w:val="20"/>
          <w:highlight w:val="none"/>
        </w:rPr>
      </w:pPr>
      <w:r>
        <w:rPr>
          <w:rFonts w:hint="eastAsia" w:ascii="宋体" w:hAnsi="宋体"/>
          <w:b/>
          <w:bCs/>
          <w:color w:val="auto"/>
          <w:sz w:val="20"/>
          <w:szCs w:val="20"/>
          <w:highlight w:val="none"/>
          <w:lang w:val="en-US" w:eastAsia="zh-CN"/>
        </w:rPr>
        <w:t>六</w:t>
      </w:r>
      <w:r>
        <w:rPr>
          <w:rFonts w:hint="eastAsia" w:ascii="宋体" w:hAnsi="宋体"/>
          <w:b/>
          <w:bCs/>
          <w:color w:val="auto"/>
          <w:sz w:val="20"/>
          <w:szCs w:val="20"/>
          <w:highlight w:val="none"/>
        </w:rPr>
        <w:t>、费用结算：</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以经审定后的工程造价乘以中标百分率再扣除季度考核后的罚款金额结算，结算方式如下：</w:t>
      </w:r>
    </w:p>
    <w:p>
      <w:pPr>
        <w:pStyle w:val="19"/>
        <w:snapToGrid w:val="0"/>
        <w:spacing w:line="360" w:lineRule="auto"/>
        <w:ind w:firstLine="400" w:firstLineChars="200"/>
        <w:rPr>
          <w:rFonts w:hAnsi="宋体"/>
          <w:color w:val="auto"/>
          <w:highlight w:val="none"/>
          <w:u w:val="none"/>
        </w:rPr>
      </w:pPr>
      <w:r>
        <w:rPr>
          <w:rFonts w:hint="eastAsia" w:hAnsi="宋体"/>
          <w:color w:val="auto"/>
          <w:highlight w:val="none"/>
          <w:u w:val="none"/>
        </w:rPr>
        <w:t>养护费结算价=经审定后的工程造价*投标百分率-季度考核后的罚款金额。</w:t>
      </w:r>
    </w:p>
    <w:p>
      <w:pPr>
        <w:pStyle w:val="19"/>
        <w:numPr>
          <w:ins w:id="0" w:author="钟伟" w:date="2012-05-28T14:12:00Z"/>
        </w:numPr>
        <w:snapToGrid w:val="0"/>
        <w:spacing w:line="360" w:lineRule="auto"/>
        <w:ind w:firstLine="400" w:firstLineChars="200"/>
        <w:rPr>
          <w:rFonts w:hAnsi="宋体"/>
          <w:color w:val="auto"/>
          <w:highlight w:val="none"/>
        </w:rPr>
      </w:pPr>
      <w:r>
        <w:rPr>
          <w:rFonts w:hint="eastAsia" w:hAnsi="宋体"/>
          <w:color w:val="auto"/>
          <w:highlight w:val="none"/>
          <w:lang w:val="en-US" w:eastAsia="zh-CN"/>
        </w:rPr>
        <w:t>合同签订并具备实施条件后7个工作日内支付合同价的20%（合同价为预算价*中标百分率）作为预付款，今后养护费按实结算，以后每三个月结算一次，预付款在每季度支付款项时扣回，具体费用支付时间根据采购人资金到位情况另行商定。中标单位根据采购单位核实后的工作内容及工程量按照</w:t>
      </w:r>
      <w:r>
        <w:rPr>
          <w:rFonts w:hint="eastAsia" w:hAnsi="宋体"/>
          <w:b/>
          <w:color w:val="auto"/>
          <w:highlight w:val="none"/>
        </w:rPr>
        <w:t>《浙江省市政设施养护维修预算定额》（2018版）</w:t>
      </w:r>
      <w:r>
        <w:rPr>
          <w:rFonts w:hint="eastAsia" w:hAnsi="宋体"/>
          <w:color w:val="auto"/>
          <w:highlight w:val="none"/>
        </w:rPr>
        <w:t>编制结算</w:t>
      </w:r>
      <w:r>
        <w:rPr>
          <w:rFonts w:hAnsi="宋体"/>
          <w:color w:val="auto"/>
          <w:highlight w:val="none"/>
        </w:rPr>
        <w:t>。</w:t>
      </w:r>
    </w:p>
    <w:p>
      <w:pPr>
        <w:pStyle w:val="19"/>
        <w:snapToGrid w:val="0"/>
        <w:spacing w:before="120" w:after="120" w:line="360" w:lineRule="auto"/>
        <w:ind w:firstLine="402" w:firstLineChars="200"/>
        <w:rPr>
          <w:rFonts w:hint="default" w:hAnsi="宋体" w:eastAsia="宋体"/>
          <w:b/>
          <w:color w:val="auto"/>
          <w:highlight w:val="none"/>
          <w:lang w:val="en-US" w:eastAsia="zh-CN"/>
        </w:rPr>
      </w:pPr>
      <w:r>
        <w:rPr>
          <w:rFonts w:hint="eastAsia" w:ascii="宋体" w:hAnsi="宋体" w:eastAsia="宋体" w:cs="Times New Roman"/>
          <w:b/>
          <w:color w:val="auto"/>
          <w:highlight w:val="none"/>
          <w:lang w:val="en-US" w:eastAsia="zh-CN"/>
        </w:rPr>
        <w:t>七</w:t>
      </w:r>
      <w:r>
        <w:rPr>
          <w:rFonts w:hint="eastAsia" w:ascii="宋体" w:hAnsi="宋体" w:eastAsia="宋体" w:cs="Times New Roman"/>
          <w:b/>
          <w:color w:val="auto"/>
          <w:highlight w:val="none"/>
        </w:rPr>
        <w:t>、本项目</w:t>
      </w:r>
      <w:r>
        <w:rPr>
          <w:rFonts w:hint="eastAsia" w:hAnsi="宋体"/>
          <w:b/>
          <w:color w:val="auto"/>
          <w:highlight w:val="none"/>
        </w:rPr>
        <w:t>除按项目配置人员外，</w:t>
      </w:r>
      <w:r>
        <w:rPr>
          <w:rFonts w:hint="eastAsia" w:hAnsi="宋体"/>
          <w:b/>
          <w:color w:val="auto"/>
          <w:highlight w:val="none"/>
          <w:lang w:val="en-US" w:eastAsia="zh-CN"/>
        </w:rPr>
        <w:t>每个标段</w:t>
      </w:r>
      <w:r>
        <w:rPr>
          <w:rFonts w:hint="eastAsia" w:hAnsi="宋体"/>
          <w:b/>
          <w:color w:val="auto"/>
          <w:highlight w:val="none"/>
        </w:rPr>
        <w:t>还需另外提供</w:t>
      </w:r>
      <w:r>
        <w:rPr>
          <w:rFonts w:hint="eastAsia" w:hAnsi="宋体"/>
          <w:b/>
          <w:color w:val="auto"/>
          <w:highlight w:val="none"/>
          <w:lang w:val="en-US" w:eastAsia="zh-CN"/>
        </w:rPr>
        <w:t>1</w:t>
      </w:r>
      <w:r>
        <w:rPr>
          <w:rFonts w:hint="eastAsia" w:hAnsi="宋体"/>
          <w:b/>
          <w:color w:val="auto"/>
          <w:highlight w:val="none"/>
        </w:rPr>
        <w:t>名人员</w:t>
      </w:r>
      <w:r>
        <w:rPr>
          <w:rFonts w:hint="eastAsia"/>
          <w:b/>
          <w:color w:val="auto"/>
          <w:highlight w:val="none"/>
        </w:rPr>
        <w:t>在采购单位或采购单位指定办公场所办公，协助采购单位完成相关工作，要求在40周岁以下，大专及以上学历，建议男性，要求具有</w:t>
      </w:r>
      <w:r>
        <w:rPr>
          <w:rFonts w:hint="eastAsia"/>
          <w:b/>
          <w:color w:val="auto"/>
          <w:highlight w:val="none"/>
          <w:lang w:val="en-US" w:eastAsia="zh-CN"/>
        </w:rPr>
        <w:t>工程类</w:t>
      </w:r>
      <w:r>
        <w:rPr>
          <w:rFonts w:hint="eastAsia"/>
          <w:b/>
          <w:color w:val="auto"/>
          <w:highlight w:val="none"/>
        </w:rPr>
        <w:t>工程师及以上技术职称。由此产生的费用由投标单位在报价中综合考虑。</w:t>
      </w:r>
      <w:r>
        <w:rPr>
          <w:rFonts w:hint="eastAsia"/>
          <w:b/>
          <w:color w:val="auto"/>
          <w:highlight w:val="none"/>
          <w:lang w:val="en-US" w:eastAsia="zh-CN"/>
        </w:rPr>
        <w:t>如达不到采购人要求的，采购人有权更换。</w:t>
      </w:r>
    </w:p>
    <w:p>
      <w:pPr>
        <w:pStyle w:val="19"/>
        <w:snapToGrid w:val="0"/>
        <w:spacing w:before="120" w:after="120" w:line="360" w:lineRule="auto"/>
        <w:ind w:firstLine="402" w:firstLineChars="200"/>
        <w:rPr>
          <w:b/>
          <w:color w:val="auto"/>
          <w:highlight w:val="none"/>
        </w:rPr>
      </w:pPr>
      <w:r>
        <w:rPr>
          <w:rFonts w:hint="eastAsia"/>
          <w:b/>
          <w:color w:val="auto"/>
          <w:highlight w:val="none"/>
          <w:lang w:val="en-US" w:eastAsia="zh-CN"/>
        </w:rPr>
        <w:t>八</w:t>
      </w:r>
      <w:r>
        <w:rPr>
          <w:rFonts w:hint="eastAsia"/>
          <w:b/>
          <w:color w:val="auto"/>
          <w:highlight w:val="none"/>
        </w:rPr>
        <w:t>、项目经理或现场负责人接受采购单位考勤，当月考勤率不足80%，扣除当月养护款8000元。</w:t>
      </w:r>
    </w:p>
    <w:p>
      <w:pPr>
        <w:pStyle w:val="19"/>
        <w:snapToGrid w:val="0"/>
        <w:spacing w:before="120" w:after="120" w:line="360" w:lineRule="auto"/>
        <w:ind w:firstLine="402" w:firstLineChars="200"/>
        <w:rPr>
          <w:b/>
          <w:color w:val="auto"/>
          <w:highlight w:val="none"/>
        </w:rPr>
      </w:pPr>
      <w:r>
        <w:rPr>
          <w:rFonts w:hint="eastAsia"/>
          <w:b/>
          <w:color w:val="auto"/>
          <w:highlight w:val="none"/>
          <w:lang w:val="en-US" w:eastAsia="zh-CN"/>
        </w:rPr>
        <w:t>九</w:t>
      </w:r>
      <w:r>
        <w:rPr>
          <w:rFonts w:hint="eastAsia"/>
          <w:b/>
          <w:color w:val="auto"/>
          <w:highlight w:val="none"/>
        </w:rPr>
        <w:t>、驻采购单位办公人员接受采购单位考勤，当月考勤率不足80%，扣除当月养护款8000元。</w:t>
      </w:r>
    </w:p>
    <w:p>
      <w:pPr>
        <w:pStyle w:val="19"/>
        <w:snapToGrid w:val="0"/>
        <w:spacing w:before="120" w:after="120" w:line="360" w:lineRule="auto"/>
        <w:ind w:firstLine="402" w:firstLineChars="200"/>
        <w:rPr>
          <w:b/>
          <w:color w:val="auto"/>
          <w:highlight w:val="none"/>
        </w:rPr>
      </w:pPr>
      <w:r>
        <w:rPr>
          <w:rFonts w:hint="eastAsia"/>
          <w:b/>
          <w:color w:val="auto"/>
          <w:highlight w:val="none"/>
          <w:lang w:val="en-US" w:eastAsia="zh-CN"/>
        </w:rPr>
        <w:t>十</w:t>
      </w:r>
      <w:r>
        <w:rPr>
          <w:rFonts w:hint="eastAsia"/>
          <w:b/>
          <w:color w:val="auto"/>
          <w:highlight w:val="none"/>
        </w:rPr>
        <w:t>、中标单位应配合采购单位完成跟踪审计工作，维修前及隐蔽前应通知跟踪审计单位。</w:t>
      </w:r>
    </w:p>
    <w:p>
      <w:pPr>
        <w:pStyle w:val="19"/>
        <w:snapToGrid w:val="0"/>
        <w:spacing w:before="120" w:after="120" w:line="360" w:lineRule="auto"/>
        <w:ind w:firstLine="402" w:firstLineChars="200"/>
        <w:rPr>
          <w:b/>
          <w:color w:val="auto"/>
          <w:highlight w:val="none"/>
        </w:rPr>
      </w:pPr>
      <w:r>
        <w:rPr>
          <w:rFonts w:hint="eastAsia"/>
          <w:b/>
          <w:color w:val="auto"/>
          <w:highlight w:val="none"/>
          <w:lang w:val="en-US" w:eastAsia="zh-CN"/>
        </w:rPr>
        <w:t>十一</w:t>
      </w:r>
      <w:r>
        <w:rPr>
          <w:rFonts w:hint="eastAsia"/>
          <w:b/>
          <w:color w:val="auto"/>
          <w:highlight w:val="none"/>
        </w:rPr>
        <w:t>、采购单位每季度将对中标单位进行考核，如考核不合格，采购单位有权终止合同，并取消下一期投标资格。考核办法详见附件《市政设施养护考评表》。</w:t>
      </w:r>
    </w:p>
    <w:p>
      <w:pPr>
        <w:pStyle w:val="2"/>
        <w:rPr>
          <w:rFonts w:hint="eastAsia"/>
          <w:color w:val="auto"/>
          <w:highlight w:val="none"/>
        </w:rPr>
        <w:sectPr>
          <w:headerReference r:id="rId5" w:type="default"/>
          <w:footerReference r:id="rId6" w:type="default"/>
          <w:pgSz w:w="11906" w:h="16838"/>
          <w:pgMar w:top="1474" w:right="1797" w:bottom="1247" w:left="1797" w:header="851" w:footer="851" w:gutter="0"/>
          <w:pgNumType w:fmt="decimal" w:start="1"/>
          <w:cols w:space="720" w:num="1"/>
          <w:docGrid w:linePitch="312" w:charSpace="0"/>
        </w:sectPr>
      </w:pPr>
    </w:p>
    <w:p>
      <w:pPr>
        <w:pStyle w:val="21"/>
        <w:spacing w:after="0" w:line="360" w:lineRule="auto"/>
        <w:ind w:left="0" w:leftChars="0" w:firstLine="562" w:firstLineChars="200"/>
        <w:jc w:val="center"/>
        <w:rPr>
          <w:rFonts w:ascii="宋体"/>
          <w:b/>
          <w:color w:val="auto"/>
          <w:sz w:val="28"/>
          <w:szCs w:val="28"/>
          <w:highlight w:val="none"/>
        </w:rPr>
      </w:pPr>
      <w:r>
        <w:rPr>
          <w:rFonts w:hint="eastAsia" w:ascii="宋体"/>
          <w:b/>
          <w:color w:val="auto"/>
          <w:sz w:val="28"/>
          <w:szCs w:val="28"/>
          <w:highlight w:val="none"/>
        </w:rPr>
        <w:t>第四章  采购合同主要条款</w:t>
      </w:r>
    </w:p>
    <w:p>
      <w:pPr>
        <w:pStyle w:val="19"/>
        <w:spacing w:line="360" w:lineRule="auto"/>
        <w:ind w:left="321" w:hanging="321" w:hangingChars="100"/>
        <w:jc w:val="center"/>
        <w:outlineLvl w:val="0"/>
        <w:rPr>
          <w:b/>
          <w:color w:val="auto"/>
          <w:sz w:val="32"/>
          <w:szCs w:val="32"/>
          <w:highlight w:val="none"/>
        </w:rPr>
      </w:pPr>
      <w:r>
        <w:rPr>
          <w:rFonts w:hint="eastAsia"/>
          <w:b/>
          <w:color w:val="auto"/>
          <w:sz w:val="32"/>
          <w:szCs w:val="32"/>
          <w:highlight w:val="none"/>
        </w:rPr>
        <w:t>（样稿，以实际签订为准）</w:t>
      </w:r>
    </w:p>
    <w:p>
      <w:pPr>
        <w:widowControl/>
        <w:jc w:val="left"/>
        <w:rPr>
          <w:rFonts w:hint="eastAsia" w:ascii="宋体" w:cs="宋体"/>
          <w:color w:val="auto"/>
          <w:kern w:val="0"/>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合同编号：</w:t>
      </w:r>
      <w:r>
        <w:rPr>
          <w:rFonts w:hint="eastAsia" w:ascii="宋体" w:hAnsi="宋体" w:cs="Arial"/>
          <w:color w:val="auto"/>
          <w:kern w:val="0"/>
          <w:sz w:val="20"/>
          <w:szCs w:val="20"/>
          <w:highlight w:val="none"/>
          <w:lang w:val="en-US" w:eastAsia="zh-C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政府采购计划（预算）确认号：临[2023]1077号</w:t>
      </w:r>
      <w:r>
        <w:rPr>
          <w:rFonts w:hint="eastAsia" w:ascii="宋体" w:hAnsi="宋体" w:cs="Arial"/>
          <w:color w:val="auto"/>
          <w:kern w:val="0"/>
          <w:sz w:val="20"/>
          <w:szCs w:val="20"/>
          <w:highlight w:val="none"/>
          <w:lang w:val="en-US" w:eastAsia="zh-CN"/>
        </w:rPr>
        <w:t xml:space="preserve"> </w:t>
      </w:r>
    </w:p>
    <w:p>
      <w:pPr>
        <w:spacing w:line="500" w:lineRule="exact"/>
        <w:jc w:val="left"/>
        <w:rPr>
          <w:rFonts w:ascii="宋体" w:hAnsi="宋体" w:cs="Arial"/>
          <w:b/>
          <w:color w:val="auto"/>
          <w:sz w:val="20"/>
          <w:szCs w:val="20"/>
          <w:highlight w:val="none"/>
        </w:rPr>
      </w:pPr>
      <w:r>
        <w:rPr>
          <w:rFonts w:hint="eastAsia" w:ascii="宋体" w:hAnsi="宋体" w:cs="Arial"/>
          <w:color w:val="auto"/>
          <w:kern w:val="0"/>
          <w:sz w:val="20"/>
          <w:szCs w:val="20"/>
          <w:highlight w:val="none"/>
        </w:rPr>
        <w:t>预算金额：</w:t>
      </w:r>
      <w:r>
        <w:rPr>
          <w:rFonts w:hint="eastAsia" w:ascii="宋体" w:hAnsi="宋体" w:eastAsia="宋体" w:cs="Arial"/>
          <w:b/>
          <w:color w:val="auto"/>
          <w:sz w:val="20"/>
          <w:szCs w:val="20"/>
          <w:highlight w:val="none"/>
          <w:lang w:val="en-US" w:eastAsia="zh-CN"/>
        </w:rPr>
        <w:t>标段一</w:t>
      </w:r>
      <w:r>
        <w:rPr>
          <w:rFonts w:hint="eastAsia" w:ascii="宋体" w:hAnsi="宋体" w:cs="Arial"/>
          <w:b/>
          <w:color w:val="auto"/>
          <w:sz w:val="20"/>
          <w:szCs w:val="20"/>
          <w:highlight w:val="none"/>
          <w:lang w:val="en-US" w:eastAsia="zh-CN"/>
        </w:rPr>
        <w:t>600</w:t>
      </w:r>
      <w:r>
        <w:rPr>
          <w:rFonts w:hint="eastAsia" w:ascii="宋体" w:hAnsi="宋体" w:cs="Arial"/>
          <w:b/>
          <w:color w:val="auto"/>
          <w:sz w:val="20"/>
          <w:szCs w:val="20"/>
          <w:highlight w:val="none"/>
        </w:rPr>
        <w:t>万元</w:t>
      </w:r>
      <w:r>
        <w:rPr>
          <w:rFonts w:hint="eastAsia" w:ascii="宋体" w:hAnsi="宋体" w:cs="Arial"/>
          <w:b/>
          <w:color w:val="auto"/>
          <w:sz w:val="20"/>
          <w:szCs w:val="20"/>
          <w:highlight w:val="none"/>
          <w:lang w:eastAsia="zh-CN"/>
        </w:rPr>
        <w:t>；</w:t>
      </w:r>
      <w:r>
        <w:rPr>
          <w:rFonts w:hint="eastAsia" w:ascii="宋体" w:hAnsi="宋体" w:eastAsia="宋体" w:cs="Arial"/>
          <w:b/>
          <w:color w:val="auto"/>
          <w:sz w:val="20"/>
          <w:szCs w:val="20"/>
          <w:highlight w:val="none"/>
          <w:lang w:val="en-US" w:eastAsia="zh-CN"/>
        </w:rPr>
        <w:t>标段二</w:t>
      </w:r>
      <w:r>
        <w:rPr>
          <w:rFonts w:hint="eastAsia" w:ascii="宋体" w:hAnsi="宋体" w:cs="Arial"/>
          <w:b/>
          <w:color w:val="auto"/>
          <w:sz w:val="20"/>
          <w:szCs w:val="20"/>
          <w:highlight w:val="none"/>
          <w:lang w:val="en-US" w:eastAsia="zh-CN"/>
        </w:rPr>
        <w:t>400</w:t>
      </w:r>
      <w:r>
        <w:rPr>
          <w:rFonts w:hint="eastAsia" w:ascii="宋体" w:hAnsi="宋体" w:cs="Arial"/>
          <w:b/>
          <w:color w:val="auto"/>
          <w:sz w:val="20"/>
          <w:szCs w:val="20"/>
          <w:highlight w:val="none"/>
        </w:rPr>
        <w:t>万元（服务期限：202</w:t>
      </w:r>
      <w:r>
        <w:rPr>
          <w:rFonts w:hint="eastAsia" w:ascii="宋体" w:hAnsi="宋体" w:cs="Arial"/>
          <w:b/>
          <w:color w:val="auto"/>
          <w:sz w:val="20"/>
          <w:szCs w:val="20"/>
          <w:highlight w:val="none"/>
          <w:lang w:val="en-US" w:eastAsia="zh-CN"/>
        </w:rPr>
        <w:t>3</w:t>
      </w:r>
      <w:r>
        <w:rPr>
          <w:rFonts w:hint="eastAsia" w:ascii="宋体" w:hAnsi="宋体" w:cs="Arial"/>
          <w:b/>
          <w:color w:val="auto"/>
          <w:sz w:val="20"/>
          <w:szCs w:val="20"/>
          <w:highlight w:val="none"/>
        </w:rPr>
        <w:t>年</w:t>
      </w:r>
      <w:r>
        <w:rPr>
          <w:rFonts w:hint="eastAsia" w:ascii="宋体" w:hAnsi="宋体" w:cs="Arial"/>
          <w:b/>
          <w:color w:val="auto"/>
          <w:sz w:val="20"/>
          <w:szCs w:val="20"/>
          <w:highlight w:val="none"/>
          <w:lang w:val="en-US" w:eastAsia="zh-CN"/>
        </w:rPr>
        <w:t>6</w:t>
      </w:r>
      <w:r>
        <w:rPr>
          <w:rFonts w:hint="eastAsia" w:ascii="宋体" w:hAnsi="宋体" w:cs="Arial"/>
          <w:b/>
          <w:color w:val="auto"/>
          <w:sz w:val="20"/>
          <w:szCs w:val="20"/>
          <w:highlight w:val="none"/>
        </w:rPr>
        <w:t>月1日-202</w:t>
      </w:r>
      <w:r>
        <w:rPr>
          <w:rFonts w:hint="eastAsia" w:ascii="宋体" w:hAnsi="宋体" w:cs="Arial"/>
          <w:b/>
          <w:color w:val="auto"/>
          <w:sz w:val="20"/>
          <w:szCs w:val="20"/>
          <w:highlight w:val="none"/>
          <w:lang w:val="en-US" w:eastAsia="zh-CN"/>
        </w:rPr>
        <w:t>4</w:t>
      </w:r>
      <w:r>
        <w:rPr>
          <w:rFonts w:hint="eastAsia" w:ascii="宋体" w:hAnsi="宋体" w:cs="Arial"/>
          <w:b/>
          <w:color w:val="auto"/>
          <w:sz w:val="20"/>
          <w:szCs w:val="20"/>
          <w:highlight w:val="none"/>
        </w:rPr>
        <w:t>年</w:t>
      </w:r>
      <w:r>
        <w:rPr>
          <w:rFonts w:hint="eastAsia" w:ascii="宋体" w:hAnsi="宋体" w:cs="Arial"/>
          <w:b/>
          <w:color w:val="auto"/>
          <w:sz w:val="20"/>
          <w:szCs w:val="20"/>
          <w:highlight w:val="none"/>
          <w:lang w:val="en-US" w:eastAsia="zh-CN"/>
        </w:rPr>
        <w:t>5</w:t>
      </w:r>
      <w:r>
        <w:rPr>
          <w:rFonts w:hint="eastAsia" w:ascii="宋体" w:hAnsi="宋体" w:cs="Arial"/>
          <w:b/>
          <w:color w:val="auto"/>
          <w:sz w:val="20"/>
          <w:szCs w:val="20"/>
          <w:highlight w:val="none"/>
        </w:rPr>
        <w:t>月</w:t>
      </w:r>
      <w:r>
        <w:rPr>
          <w:rFonts w:hint="eastAsia" w:ascii="宋体" w:hAnsi="宋体" w:cs="Arial"/>
          <w:b/>
          <w:color w:val="auto"/>
          <w:sz w:val="20"/>
          <w:szCs w:val="20"/>
          <w:highlight w:val="none"/>
          <w:lang w:val="en-US" w:eastAsia="zh-CN"/>
        </w:rPr>
        <w:t>31</w:t>
      </w:r>
      <w:r>
        <w:rPr>
          <w:rFonts w:hint="eastAsia" w:ascii="宋体" w:hAnsi="宋体" w:cs="Arial"/>
          <w:b/>
          <w:color w:val="auto"/>
          <w:sz w:val="20"/>
          <w:szCs w:val="20"/>
          <w:highlight w:val="none"/>
        </w:rPr>
        <w:t>日</w:t>
      </w:r>
      <w:r>
        <w:rPr>
          <w:rFonts w:hint="eastAsia" w:ascii="宋体" w:hAnsi="宋体" w:cs="Arial"/>
          <w:b/>
          <w:color w:val="auto"/>
          <w:sz w:val="20"/>
          <w:szCs w:val="20"/>
          <w:highlight w:val="none"/>
          <w:lang w:eastAsia="zh-CN"/>
        </w:rPr>
        <w:t>）</w:t>
      </w:r>
      <w:r>
        <w:rPr>
          <w:rFonts w:hint="eastAsia" w:ascii="宋体" w:hAnsi="宋体" w:cs="宋体"/>
          <w:color w:val="auto"/>
          <w:szCs w:val="21"/>
          <w:highlight w:val="none"/>
        </w:rPr>
        <w:t>服务期满如质量达到要求，经双方同意，本合同可以续签一年</w:t>
      </w:r>
      <w:r>
        <w:rPr>
          <w:rFonts w:hint="eastAsia" w:ascii="宋体" w:hAnsi="宋体" w:cs="Arial"/>
          <w:b/>
          <w:color w:val="auto"/>
          <w:sz w:val="20"/>
          <w:szCs w:val="20"/>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0"/>
          <w:szCs w:val="20"/>
          <w:highlight w:val="none"/>
          <w:u w:val="single"/>
        </w:rPr>
      </w:pPr>
      <w:r>
        <w:rPr>
          <w:rFonts w:hint="eastAsia" w:ascii="宋体" w:hAnsi="宋体" w:cs="Arial"/>
          <w:color w:val="auto"/>
          <w:kern w:val="0"/>
          <w:sz w:val="20"/>
          <w:szCs w:val="20"/>
          <w:highlight w:val="none"/>
        </w:rPr>
        <w:t>采购人（以下称甲方）：</w:t>
      </w:r>
      <w:r>
        <w:rPr>
          <w:rFonts w:hint="eastAsia" w:ascii="宋体" w:hAnsi="宋体" w:cs="Arial"/>
          <w:color w:val="auto"/>
          <w:kern w:val="0"/>
          <w:sz w:val="20"/>
          <w:szCs w:val="20"/>
          <w:highlight w:val="none"/>
          <w:u w:val="single"/>
          <w:lang w:eastAsia="zh-CN"/>
        </w:rPr>
        <w:t>浙江乍浦经济开发区（嘉兴港区）管理委员会</w:t>
      </w:r>
      <w:r>
        <w:rPr>
          <w:rFonts w:hint="eastAsia" w:ascii="宋体" w:hAnsi="宋体" w:cs="Arial"/>
          <w:color w:val="auto"/>
          <w:kern w:val="0"/>
          <w:sz w:val="20"/>
          <w:szCs w:val="20"/>
          <w:highlight w:val="none"/>
          <w:u w:val="single"/>
        </w:rPr>
        <w:t xml:space="preserve">     </w:t>
      </w:r>
      <w:r>
        <w:rPr>
          <w:rFonts w:hint="eastAsia" w:ascii="宋体" w:hAnsi="宋体" w:cs="Tahoma"/>
          <w:color w:val="auto"/>
          <w:sz w:val="20"/>
          <w:szCs w:val="20"/>
          <w:highlight w:val="none"/>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0"/>
          <w:szCs w:val="20"/>
          <w:highlight w:val="none"/>
          <w:u w:val="single"/>
        </w:rPr>
      </w:pPr>
      <w:r>
        <w:rPr>
          <w:rFonts w:hint="eastAsia" w:ascii="宋体" w:hAnsi="宋体" w:cs="Arial"/>
          <w:color w:val="auto"/>
          <w:kern w:val="0"/>
          <w:sz w:val="20"/>
          <w:szCs w:val="20"/>
          <w:highlight w:val="none"/>
        </w:rPr>
        <w:t>采购代理机构：</w:t>
      </w:r>
      <w:r>
        <w:rPr>
          <w:rFonts w:hint="eastAsia" w:ascii="宋体" w:hAnsi="宋体" w:cs="Arial"/>
          <w:color w:val="auto"/>
          <w:kern w:val="0"/>
          <w:sz w:val="20"/>
          <w:szCs w:val="20"/>
          <w:highlight w:val="none"/>
          <w:u w:val="single"/>
        </w:rPr>
        <w:t>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0"/>
          <w:szCs w:val="20"/>
          <w:highlight w:val="none"/>
          <w:u w:val="single"/>
        </w:rPr>
      </w:pPr>
      <w:r>
        <w:rPr>
          <w:rFonts w:hint="eastAsia" w:ascii="宋体" w:hAnsi="宋体" w:cs="Arial"/>
          <w:color w:val="auto"/>
          <w:kern w:val="0"/>
          <w:sz w:val="20"/>
          <w:szCs w:val="20"/>
          <w:highlight w:val="none"/>
        </w:rPr>
        <w:t>采购方式</w:t>
      </w:r>
      <w:r>
        <w:rPr>
          <w:rFonts w:hint="eastAsia" w:ascii="宋体" w:hAnsi="宋体" w:cs="Arial"/>
          <w:color w:val="auto"/>
          <w:kern w:val="0"/>
          <w:sz w:val="20"/>
          <w:szCs w:val="20"/>
          <w:highlight w:val="none"/>
          <w:u w:val="single"/>
        </w:rPr>
        <w:t>：公开招标</w:t>
      </w:r>
    </w:p>
    <w:p>
      <w:pPr>
        <w:adjustRightInd w:val="0"/>
        <w:snapToGrid w:val="0"/>
        <w:spacing w:line="360" w:lineRule="auto"/>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根据《中华人民共和国政府采购法》、《中华人民共和国民法典》等法律法规的规定，甲乙双方按照</w:t>
      </w:r>
      <w:r>
        <w:rPr>
          <w:rFonts w:hint="eastAsia" w:ascii="宋体" w:hAnsi="宋体" w:cs="Arial"/>
          <w:color w:val="auto"/>
          <w:kern w:val="0"/>
          <w:sz w:val="20"/>
          <w:szCs w:val="20"/>
          <w:highlight w:val="none"/>
          <w:u w:val="single"/>
        </w:rPr>
        <w:t xml:space="preserve"> </w:t>
      </w:r>
      <w:r>
        <w:rPr>
          <w:rFonts w:hint="eastAsia" w:ascii="宋体" w:hAnsi="宋体"/>
          <w:color w:val="auto"/>
          <w:sz w:val="20"/>
          <w:szCs w:val="20"/>
          <w:highlight w:val="none"/>
          <w:u w:val="single"/>
        </w:rPr>
        <w:t xml:space="preserve"> </w:t>
      </w:r>
      <w:r>
        <w:rPr>
          <w:rFonts w:hint="eastAsia" w:ascii="宋体" w:hAnsi="宋体" w:cs="Arial"/>
          <w:color w:val="auto"/>
          <w:kern w:val="0"/>
          <w:sz w:val="20"/>
          <w:szCs w:val="20"/>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（2）采购文件与采购响应文件；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第二条 合同标的与相关属性</w:t>
      </w:r>
    </w:p>
    <w:p>
      <w:pPr>
        <w:spacing w:beforeLines="50"/>
        <w:ind w:firstLine="400" w:firstLineChars="200"/>
        <w:rPr>
          <w:rFonts w:hint="eastAsia" w:ascii="宋体" w:hAnsi="宋体" w:eastAsia="宋体"/>
          <w:color w:val="auto"/>
          <w:sz w:val="20"/>
          <w:szCs w:val="20"/>
          <w:highlight w:val="none"/>
          <w:u w:val="single"/>
          <w:lang w:eastAsia="zh-CN"/>
        </w:rPr>
      </w:pPr>
      <w:r>
        <w:rPr>
          <w:rFonts w:hint="eastAsia" w:ascii="宋体" w:hAnsi="宋体" w:cs="Arial"/>
          <w:color w:val="auto"/>
          <w:kern w:val="0"/>
          <w:sz w:val="20"/>
          <w:szCs w:val="20"/>
          <w:highlight w:val="none"/>
        </w:rPr>
        <w:t>1、本次采购的是</w:t>
      </w:r>
      <w:r>
        <w:rPr>
          <w:rFonts w:hint="eastAsia" w:ascii="宋体" w:hAnsi="宋体"/>
          <w:color w:val="auto"/>
          <w:sz w:val="20"/>
          <w:szCs w:val="20"/>
          <w:highlight w:val="none"/>
          <w:u w:val="single"/>
          <w:lang w:eastAsia="zh-CN"/>
        </w:rPr>
        <w:t>2023年度嘉兴港区道路、桥梁及雨水管线维修养护项目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1、本合同项下总价款为（大写）人民币，分项价款见“价格清单”（如有）。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3、本合同付款方式为以下第</w:t>
      </w:r>
      <w:r>
        <w:rPr>
          <w:rFonts w:hint="eastAsia" w:ascii="宋体" w:hAnsi="宋体" w:cs="Arial"/>
          <w:color w:val="auto"/>
          <w:kern w:val="0"/>
          <w:sz w:val="20"/>
          <w:szCs w:val="20"/>
          <w:highlight w:val="none"/>
          <w:u w:val="single"/>
        </w:rPr>
        <w:t xml:space="preserve">  （3）  </w:t>
      </w:r>
      <w:r>
        <w:rPr>
          <w:rFonts w:hint="eastAsia" w:ascii="宋体" w:hAnsi="宋体" w:cs="Arial"/>
          <w:color w:val="auto"/>
          <w:kern w:val="0"/>
          <w:sz w:val="20"/>
          <w:szCs w:val="20"/>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（1）本合同项下的采购资金系甲方自行支付，付款程序为</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（2）本合同项下的采购资金须财政直接支付，付款程序为</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（3）其他方式：</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以经审定后的工程造价乘以中标百分率再扣除季度考核后的罚款金额结算，结算方式如下：</w:t>
      </w:r>
    </w:p>
    <w:p>
      <w:pPr>
        <w:pStyle w:val="19"/>
        <w:snapToGrid w:val="0"/>
        <w:spacing w:line="360" w:lineRule="auto"/>
        <w:ind w:firstLine="400" w:firstLineChars="200"/>
        <w:rPr>
          <w:rFonts w:hAnsi="宋体"/>
          <w:color w:val="auto"/>
          <w:highlight w:val="none"/>
          <w:u w:val="none"/>
        </w:rPr>
      </w:pPr>
      <w:r>
        <w:rPr>
          <w:rFonts w:hint="eastAsia" w:hAnsi="宋体"/>
          <w:color w:val="auto"/>
          <w:highlight w:val="none"/>
          <w:u w:val="none"/>
        </w:rPr>
        <w:t>养护费结算价=经审定后的工程造价*投标百分率-季度考核后的罚款金额。</w:t>
      </w:r>
    </w:p>
    <w:p>
      <w:pPr>
        <w:pStyle w:val="19"/>
        <w:numPr>
          <w:ins w:id="1" w:author="钟伟" w:date="2012-05-28T14:12:00Z"/>
        </w:numPr>
        <w:snapToGrid w:val="0"/>
        <w:spacing w:line="360" w:lineRule="auto"/>
        <w:ind w:firstLine="400" w:firstLineChars="200"/>
        <w:rPr>
          <w:rFonts w:hAnsi="宋体" w:cs="Arial"/>
          <w:color w:val="auto"/>
          <w:highlight w:val="none"/>
        </w:rPr>
      </w:pPr>
      <w:r>
        <w:rPr>
          <w:rFonts w:hint="eastAsia" w:hAnsi="宋体"/>
          <w:color w:val="auto"/>
          <w:highlight w:val="none"/>
          <w:lang w:val="en-US" w:eastAsia="zh-CN"/>
        </w:rPr>
        <w:t>合同签订并具备实施条件后7个工作日内支付合同价的20%（合同价为预算价*中标百分率）作为预付款，今后养护费按实结算，以后每三个月结算一次，预付款在每季度支付款项时扣回，具体费用支付时间根据采购人资金到位情况另行商定。</w:t>
      </w:r>
      <w:r>
        <w:rPr>
          <w:rFonts w:hint="eastAsia" w:hAnsi="宋体"/>
          <w:color w:val="auto"/>
          <w:highlight w:val="none"/>
        </w:rPr>
        <w:t>乙方根据甲方核实后的工作内容及工程量按照</w:t>
      </w:r>
      <w:r>
        <w:rPr>
          <w:rFonts w:hint="eastAsia" w:hAnsi="宋体"/>
          <w:b/>
          <w:color w:val="auto"/>
          <w:highlight w:val="none"/>
        </w:rPr>
        <w:t>《浙江省市政设施养护维修预算定额》（2018版）</w:t>
      </w:r>
      <w:r>
        <w:rPr>
          <w:rFonts w:hint="eastAsia" w:hAnsi="宋体"/>
          <w:color w:val="auto"/>
          <w:highlight w:val="none"/>
        </w:rPr>
        <w:t>编制结算</w:t>
      </w:r>
      <w:r>
        <w:rPr>
          <w:rFonts w:hAnsi="宋体"/>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98" w:leftChars="285" w:hanging="900" w:hangingChars="45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4、本合同项下的采购资金付款进度按招投标文件规定，未规定时按以下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98" w:leftChars="285" w:hanging="900" w:hangingChars="45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第</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（1）一次性付款：乙方合同履行达到</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179" w:leftChars="228" w:hanging="700" w:hangingChars="35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（2）分期付款</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时</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支付；</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时支付</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179" w:leftChars="228" w:hanging="700" w:hangingChars="35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时支付</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rFonts w:ascii="宋体" w:hAnsi="宋体" w:cs="Arial"/>
          <w:b/>
          <w:color w:val="auto"/>
          <w:kern w:val="0"/>
          <w:sz w:val="20"/>
          <w:szCs w:val="20"/>
          <w:highlight w:val="none"/>
        </w:rPr>
      </w:pPr>
      <w:r>
        <w:rPr>
          <w:rFonts w:hint="eastAsia" w:ascii="宋体" w:hAnsi="宋体" w:cs="Arial"/>
          <w:color w:val="auto"/>
          <w:kern w:val="0"/>
          <w:sz w:val="20"/>
          <w:szCs w:val="20"/>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1、本项目设置履约保证金，乙方应于_________（时间）向甲方提交履约保证金_________元（不得高于本合同金额的</w:t>
      </w:r>
      <w:r>
        <w:rPr>
          <w:rFonts w:hint="eastAsia" w:ascii="宋体" w:hAnsi="宋体" w:cs="Arial"/>
          <w:color w:val="auto"/>
          <w:kern w:val="0"/>
          <w:sz w:val="20"/>
          <w:szCs w:val="20"/>
          <w:highlight w:val="none"/>
          <w:lang w:val="en-US" w:eastAsia="zh-CN"/>
        </w:rPr>
        <w:t>1</w:t>
      </w:r>
      <w:r>
        <w:rPr>
          <w:rFonts w:hint="eastAsia" w:ascii="宋体" w:hAnsi="宋体" w:cs="Arial"/>
          <w:color w:val="auto"/>
          <w:kern w:val="0"/>
          <w:sz w:val="20"/>
          <w:szCs w:val="20"/>
          <w:highlight w:val="none"/>
        </w:rPr>
        <w:t>%）。履约保证金在_________（时间）退还乙方。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1、因履行本合同引起的或与本合同有关的争议，甲、乙双方应首先通过友好协商解决，如果协商不能解决争议，则采取以下第  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（2）向仲裁委员申请仲裁。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2" w:firstLineChars="200"/>
        <w:jc w:val="left"/>
        <w:rPr>
          <w:rFonts w:ascii="宋体" w:hAnsi="宋体" w:cs="Arial"/>
          <w:b/>
          <w:color w:val="auto"/>
          <w:kern w:val="0"/>
          <w:sz w:val="20"/>
          <w:szCs w:val="20"/>
          <w:highlight w:val="none"/>
        </w:rPr>
      </w:pPr>
      <w:r>
        <w:rPr>
          <w:rFonts w:hint="eastAsia" w:ascii="宋体" w:hAnsi="宋体" w:cs="Arial"/>
          <w:b/>
          <w:color w:val="auto"/>
          <w:kern w:val="0"/>
          <w:sz w:val="20"/>
          <w:szCs w:val="20"/>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hAnsi="宋体" w:cs="Arial"/>
          <w:color w:val="auto"/>
          <w:kern w:val="0"/>
          <w:sz w:val="20"/>
          <w:szCs w:val="20"/>
          <w:highlight w:val="none"/>
        </w:rPr>
      </w:pPr>
      <w:r>
        <w:rPr>
          <w:rFonts w:hint="eastAsia" w:ascii="宋体" w:hAnsi="宋体" w:cs="Arial"/>
          <w:color w:val="auto"/>
          <w:kern w:val="0"/>
          <w:sz w:val="20"/>
          <w:szCs w:val="20"/>
          <w:highlight w:val="none"/>
        </w:rPr>
        <w:t>本合同一式</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份，甲乙双方各执</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份，1份报送政府采购监督管理部门备案，其余</w:t>
      </w:r>
      <w:r>
        <w:rPr>
          <w:rFonts w:hint="eastAsia" w:ascii="宋体" w:hAnsi="宋体" w:cs="Arial"/>
          <w:color w:val="auto"/>
          <w:kern w:val="0"/>
          <w:sz w:val="20"/>
          <w:szCs w:val="20"/>
          <w:highlight w:val="none"/>
          <w:u w:val="single"/>
        </w:rPr>
        <w:t xml:space="preserve">    </w:t>
      </w:r>
      <w:r>
        <w:rPr>
          <w:rFonts w:hint="eastAsia" w:ascii="宋体" w:hAnsi="宋体" w:cs="Arial"/>
          <w:color w:val="auto"/>
          <w:kern w:val="0"/>
          <w:sz w:val="20"/>
          <w:szCs w:val="20"/>
          <w:highlight w:val="none"/>
        </w:rPr>
        <w:t>。</w:t>
      </w:r>
    </w:p>
    <w:p>
      <w:pPr>
        <w:spacing w:line="360" w:lineRule="exact"/>
        <w:rPr>
          <w:rFonts w:ascii="黑体" w:hAnsi="宋体" w:eastAsia="黑体"/>
          <w:color w:val="auto"/>
          <w:sz w:val="20"/>
          <w:szCs w:val="20"/>
          <w:highlight w:val="none"/>
        </w:rPr>
      </w:pPr>
    </w:p>
    <w:p>
      <w:pPr>
        <w:spacing w:line="360" w:lineRule="exact"/>
        <w:ind w:firstLine="2100" w:firstLineChars="1050"/>
        <w:rPr>
          <w:rFonts w:ascii="黑体" w:hAnsi="宋体" w:eastAsia="黑体"/>
          <w:color w:val="auto"/>
          <w:sz w:val="20"/>
          <w:szCs w:val="20"/>
          <w:highlight w:val="none"/>
        </w:rPr>
      </w:pPr>
      <w:r>
        <w:rPr>
          <w:rFonts w:hint="eastAsia" w:ascii="黑体" w:hAnsi="宋体" w:eastAsia="黑体"/>
          <w:color w:val="auto"/>
          <w:sz w:val="20"/>
          <w:szCs w:val="20"/>
          <w:highlight w:val="none"/>
        </w:rPr>
        <w:t>二、特殊专用条款部分</w:t>
      </w:r>
    </w:p>
    <w:p>
      <w:pPr>
        <w:pStyle w:val="19"/>
        <w:numPr>
          <w:ilvl w:val="0"/>
          <w:numId w:val="4"/>
        </w:numPr>
        <w:snapToGrid w:val="0"/>
        <w:spacing w:before="120" w:after="120" w:line="360" w:lineRule="auto"/>
        <w:rPr>
          <w:rFonts w:hAnsi="宋体"/>
          <w:b/>
          <w:color w:val="auto"/>
          <w:highlight w:val="none"/>
        </w:rPr>
      </w:pPr>
      <w:r>
        <w:rPr>
          <w:rFonts w:hint="eastAsia" w:hAnsi="宋体"/>
          <w:b/>
          <w:color w:val="auto"/>
          <w:highlight w:val="none"/>
        </w:rPr>
        <w:t>定义</w:t>
      </w:r>
    </w:p>
    <w:p>
      <w:pPr>
        <w:spacing w:line="520" w:lineRule="exact"/>
        <w:ind w:firstLine="600"/>
        <w:rPr>
          <w:rFonts w:ascii="宋体" w:hAnsi="宋体"/>
          <w:color w:val="auto"/>
          <w:sz w:val="20"/>
          <w:szCs w:val="20"/>
          <w:highlight w:val="none"/>
        </w:rPr>
      </w:pPr>
      <w:r>
        <w:rPr>
          <w:rFonts w:hint="eastAsia" w:ascii="宋体" w:hAnsi="宋体"/>
          <w:color w:val="auto"/>
          <w:sz w:val="20"/>
          <w:szCs w:val="20"/>
          <w:highlight w:val="none"/>
        </w:rPr>
        <w:t>本合同中的下列术语应解释为：</w:t>
      </w:r>
    </w:p>
    <w:p>
      <w:pPr>
        <w:spacing w:line="520" w:lineRule="exact"/>
        <w:rPr>
          <w:rFonts w:ascii="宋体" w:hAnsi="宋体"/>
          <w:color w:val="auto"/>
          <w:sz w:val="20"/>
          <w:szCs w:val="20"/>
          <w:highlight w:val="none"/>
        </w:rPr>
      </w:pPr>
      <w:r>
        <w:rPr>
          <w:rFonts w:hint="eastAsia" w:ascii="宋体" w:hAnsi="宋体"/>
          <w:color w:val="auto"/>
          <w:sz w:val="20"/>
          <w:szCs w:val="20"/>
          <w:highlight w:val="none"/>
        </w:rPr>
        <w:t>（1）“甲方” 系指组织本次招标的招标人（</w:t>
      </w:r>
      <w:r>
        <w:rPr>
          <w:rFonts w:hint="eastAsia" w:ascii="宋体" w:hAnsi="宋体"/>
          <w:color w:val="auto"/>
          <w:sz w:val="20"/>
          <w:szCs w:val="20"/>
          <w:highlight w:val="none"/>
          <w:lang w:eastAsia="zh-CN"/>
        </w:rPr>
        <w:t>浙江乍浦经济开发区（嘉兴港区）管理委员会</w:t>
      </w:r>
      <w:r>
        <w:rPr>
          <w:rFonts w:hint="eastAsia" w:ascii="宋体" w:hAnsi="宋体"/>
          <w:color w:val="auto"/>
          <w:sz w:val="20"/>
          <w:szCs w:val="20"/>
          <w:highlight w:val="none"/>
        </w:rPr>
        <w:t>）。</w:t>
      </w:r>
    </w:p>
    <w:p>
      <w:pPr>
        <w:spacing w:line="520" w:lineRule="exact"/>
        <w:rPr>
          <w:rFonts w:ascii="宋体" w:hAnsi="宋体"/>
          <w:color w:val="auto"/>
          <w:sz w:val="20"/>
          <w:szCs w:val="20"/>
          <w:highlight w:val="none"/>
        </w:rPr>
      </w:pPr>
      <w:r>
        <w:rPr>
          <w:rFonts w:hint="eastAsia" w:ascii="宋体" w:hAnsi="宋体"/>
          <w:color w:val="auto"/>
          <w:sz w:val="20"/>
          <w:szCs w:val="20"/>
          <w:highlight w:val="none"/>
        </w:rPr>
        <w:t>（2） “乙方”系指有资格被授予承包管理权的单位。</w:t>
      </w:r>
    </w:p>
    <w:p>
      <w:pPr>
        <w:spacing w:line="360" w:lineRule="auto"/>
        <w:ind w:firstLine="300" w:firstLineChars="150"/>
        <w:rPr>
          <w:rFonts w:ascii="宋体" w:hAnsi="Courier New"/>
          <w:color w:val="auto"/>
          <w:sz w:val="20"/>
          <w:szCs w:val="20"/>
          <w:highlight w:val="none"/>
        </w:rPr>
      </w:pPr>
      <w:r>
        <w:rPr>
          <w:rFonts w:hint="eastAsia" w:ascii="宋体" w:hAnsi="宋体"/>
          <w:color w:val="auto"/>
          <w:sz w:val="20"/>
          <w:szCs w:val="20"/>
          <w:highlight w:val="none"/>
        </w:rPr>
        <w:t>“管理范围</w:t>
      </w:r>
      <w:r>
        <w:rPr>
          <w:rFonts w:ascii="宋体" w:hAnsi="宋体"/>
          <w:color w:val="auto"/>
          <w:sz w:val="20"/>
          <w:szCs w:val="20"/>
          <w:highlight w:val="none"/>
        </w:rPr>
        <w:t>”</w:t>
      </w:r>
      <w:r>
        <w:rPr>
          <w:rFonts w:hint="eastAsia" w:ascii="宋体" w:hAnsi="宋体"/>
          <w:color w:val="auto"/>
          <w:sz w:val="20"/>
          <w:szCs w:val="20"/>
          <w:highlight w:val="none"/>
        </w:rPr>
        <w:t>系指</w:t>
      </w:r>
      <w:r>
        <w:rPr>
          <w:rFonts w:hint="eastAsia" w:ascii="宋体" w:hAnsi="Courier New"/>
          <w:color w:val="auto"/>
          <w:sz w:val="20"/>
          <w:szCs w:val="20"/>
          <w:highlight w:val="none"/>
          <w:lang w:eastAsia="zh-CN"/>
        </w:rPr>
        <w:t>2023年度嘉兴港区道路、桥梁及雨水管线维修养护项目</w:t>
      </w:r>
      <w:r>
        <w:rPr>
          <w:rFonts w:hint="eastAsia" w:ascii="宋体" w:hAnsi="Courier New"/>
          <w:color w:val="auto"/>
          <w:sz w:val="20"/>
          <w:szCs w:val="20"/>
          <w:highlight w:val="none"/>
        </w:rPr>
        <w:t>，</w:t>
      </w:r>
      <w:r>
        <w:rPr>
          <w:rFonts w:hint="eastAsia" w:ascii="宋体" w:hAnsi="宋体"/>
          <w:color w:val="auto"/>
          <w:sz w:val="20"/>
          <w:szCs w:val="20"/>
          <w:highlight w:val="none"/>
        </w:rPr>
        <w:t>内容为港区道路、桥梁日常巡查与维修、更换破损的井圈、井盖整套、雨水管、雨水井疏通及日常维护等。</w:t>
      </w:r>
    </w:p>
    <w:p>
      <w:pPr>
        <w:spacing w:line="360" w:lineRule="auto"/>
        <w:ind w:firstLine="200" w:firstLineChars="100"/>
        <w:rPr>
          <w:rFonts w:ascii="宋体" w:hAnsi="宋体"/>
          <w:color w:val="auto"/>
          <w:sz w:val="20"/>
          <w:szCs w:val="20"/>
          <w:highlight w:val="none"/>
        </w:rPr>
      </w:pPr>
      <w:r>
        <w:rPr>
          <w:rFonts w:hint="eastAsia" w:ascii="宋体" w:hAnsi="宋体"/>
          <w:color w:val="auto"/>
          <w:sz w:val="20"/>
          <w:szCs w:val="20"/>
          <w:highlight w:val="none"/>
        </w:rPr>
        <w:t>“承包管理权”系指根据甲方的通知，依据本合同提供服务，收取管理维护费的权利。</w:t>
      </w:r>
    </w:p>
    <w:p>
      <w:pPr>
        <w:spacing w:line="520" w:lineRule="exact"/>
        <w:rPr>
          <w:rFonts w:ascii="宋体" w:hAnsi="宋体"/>
          <w:color w:val="auto"/>
          <w:sz w:val="20"/>
          <w:szCs w:val="20"/>
          <w:highlight w:val="none"/>
        </w:rPr>
      </w:pPr>
      <w:r>
        <w:rPr>
          <w:rFonts w:hint="eastAsia" w:ascii="宋体" w:hAnsi="宋体"/>
          <w:color w:val="auto"/>
          <w:sz w:val="20"/>
          <w:szCs w:val="20"/>
          <w:highlight w:val="none"/>
        </w:rPr>
        <w:t>（3）“协议”系指甲方与乙方签署的、协议格式中载明的甲方与乙方所达成的事项，包括所有的附件、附录和构成协议的所有文件。</w:t>
      </w:r>
    </w:p>
    <w:p>
      <w:pPr>
        <w:pStyle w:val="19"/>
        <w:snapToGrid w:val="0"/>
        <w:spacing w:before="120" w:after="120" w:line="360" w:lineRule="auto"/>
        <w:rPr>
          <w:rFonts w:hAnsi="宋体"/>
          <w:color w:val="auto"/>
          <w:highlight w:val="none"/>
        </w:rPr>
      </w:pPr>
      <w:r>
        <w:rPr>
          <w:rFonts w:hint="eastAsia" w:hAnsi="宋体"/>
          <w:color w:val="auto"/>
          <w:highlight w:val="none"/>
        </w:rPr>
        <w:t xml:space="preserve">    甲、乙双方根据甲方关于</w:t>
      </w:r>
      <w:r>
        <w:rPr>
          <w:rFonts w:hint="eastAsia"/>
          <w:color w:val="auto"/>
          <w:highlight w:val="none"/>
          <w:lang w:eastAsia="zh-CN"/>
        </w:rPr>
        <w:t>2023年度嘉兴港区道路、桥梁及雨水管线维修养护项目</w:t>
      </w:r>
      <w:r>
        <w:rPr>
          <w:rFonts w:hint="eastAsia" w:hAnsi="宋体"/>
          <w:color w:val="auto"/>
          <w:highlight w:val="none"/>
        </w:rPr>
        <w:t>公开招标的结果，签署本合同。</w:t>
      </w:r>
    </w:p>
    <w:p>
      <w:pPr>
        <w:pStyle w:val="19"/>
        <w:numPr>
          <w:ilvl w:val="0"/>
          <w:numId w:val="5"/>
        </w:numPr>
        <w:snapToGrid w:val="0"/>
        <w:spacing w:before="120" w:after="120" w:line="360" w:lineRule="auto"/>
        <w:rPr>
          <w:rFonts w:hAnsi="宋体"/>
          <w:b/>
          <w:color w:val="auto"/>
          <w:highlight w:val="none"/>
        </w:rPr>
      </w:pPr>
      <w:r>
        <w:rPr>
          <w:rFonts w:hint="eastAsia" w:hAnsi="宋体"/>
          <w:b/>
          <w:color w:val="auto"/>
          <w:highlight w:val="none"/>
        </w:rPr>
        <w:t>服务内容</w:t>
      </w:r>
    </w:p>
    <w:p>
      <w:pPr>
        <w:pStyle w:val="19"/>
        <w:snapToGrid w:val="0"/>
        <w:spacing w:line="360" w:lineRule="auto"/>
        <w:rPr>
          <w:rFonts w:hAnsi="宋体"/>
          <w:color w:val="auto"/>
          <w:highlight w:val="none"/>
        </w:rPr>
      </w:pPr>
      <w:r>
        <w:rPr>
          <w:rFonts w:hint="eastAsia" w:hAnsi="宋体"/>
          <w:color w:val="auto"/>
          <w:highlight w:val="none"/>
        </w:rPr>
        <w:t>a)养护范围内道路、桥梁及其附属设施的维修养护、标志标线的恢复及检查井的维修、改造等，保持道路功能和设施处于完好状态。</w:t>
      </w:r>
    </w:p>
    <w:p>
      <w:pPr>
        <w:pStyle w:val="19"/>
        <w:snapToGrid w:val="0"/>
        <w:spacing w:line="360" w:lineRule="auto"/>
        <w:rPr>
          <w:rFonts w:hAnsi="宋体"/>
          <w:color w:val="auto"/>
          <w:highlight w:val="none"/>
        </w:rPr>
      </w:pPr>
      <w:r>
        <w:rPr>
          <w:rFonts w:hint="eastAsia" w:hAnsi="宋体"/>
          <w:color w:val="auto"/>
          <w:highlight w:val="none"/>
        </w:rPr>
        <w:t>b)养护范围内桥梁的检查和维修。</w:t>
      </w:r>
    </w:p>
    <w:p>
      <w:pPr>
        <w:pStyle w:val="19"/>
        <w:snapToGrid w:val="0"/>
        <w:spacing w:line="360" w:lineRule="auto"/>
        <w:rPr>
          <w:rFonts w:hAnsi="宋体"/>
          <w:color w:val="auto"/>
          <w:highlight w:val="none"/>
        </w:rPr>
      </w:pPr>
      <w:r>
        <w:rPr>
          <w:rFonts w:hint="eastAsia" w:hAnsi="宋体"/>
          <w:color w:val="auto"/>
          <w:highlight w:val="none"/>
        </w:rPr>
        <w:t>c)养护范围内道路、桥梁桥面系的日常巡查工作。</w:t>
      </w:r>
    </w:p>
    <w:p>
      <w:pPr>
        <w:pStyle w:val="19"/>
        <w:snapToGrid w:val="0"/>
        <w:spacing w:line="360" w:lineRule="auto"/>
        <w:rPr>
          <w:rFonts w:hAnsi="宋体"/>
          <w:color w:val="auto"/>
          <w:highlight w:val="none"/>
        </w:rPr>
      </w:pPr>
      <w:r>
        <w:rPr>
          <w:rFonts w:hint="eastAsia" w:hAnsi="宋体"/>
          <w:color w:val="auto"/>
          <w:highlight w:val="none"/>
        </w:rPr>
        <w:t>d)养护范围内雨水管线的养护疏通及井盖的更换、维修，井座的升降、加固等。</w:t>
      </w:r>
    </w:p>
    <w:p>
      <w:pPr>
        <w:pStyle w:val="19"/>
        <w:snapToGrid w:val="0"/>
        <w:spacing w:line="360" w:lineRule="auto"/>
        <w:rPr>
          <w:rFonts w:hAnsi="宋体"/>
          <w:color w:val="auto"/>
          <w:highlight w:val="none"/>
        </w:rPr>
      </w:pPr>
      <w:r>
        <w:rPr>
          <w:rFonts w:hint="eastAsia" w:hAnsi="宋体"/>
          <w:color w:val="auto"/>
          <w:highlight w:val="none"/>
        </w:rPr>
        <w:t>e)台风、汛期防洪，冬季冰雪灾害及各种恶劣天气下的应急抢险（含人、材料或机械设备、物储备）工作。</w:t>
      </w:r>
    </w:p>
    <w:p>
      <w:pPr>
        <w:pStyle w:val="19"/>
        <w:snapToGrid w:val="0"/>
        <w:spacing w:line="360" w:lineRule="auto"/>
        <w:rPr>
          <w:rFonts w:hAnsi="宋体"/>
          <w:color w:val="auto"/>
          <w:highlight w:val="none"/>
        </w:rPr>
      </w:pPr>
      <w:r>
        <w:rPr>
          <w:rFonts w:hint="eastAsia" w:hAnsi="宋体"/>
          <w:color w:val="auto"/>
          <w:highlight w:val="none"/>
        </w:rPr>
        <w:t>f）路面两侧标识标牌等与市政道路相关的其他内容的日常巡查，并将巡查内容汇总后交给采购单位。</w:t>
      </w:r>
    </w:p>
    <w:p>
      <w:pPr>
        <w:pStyle w:val="19"/>
        <w:numPr>
          <w:ilvl w:val="0"/>
          <w:numId w:val="5"/>
        </w:numPr>
        <w:snapToGrid w:val="0"/>
        <w:spacing w:before="120" w:after="120" w:line="360" w:lineRule="auto"/>
        <w:rPr>
          <w:rFonts w:hAnsi="宋体"/>
          <w:b/>
          <w:color w:val="auto"/>
          <w:highlight w:val="none"/>
        </w:rPr>
      </w:pPr>
      <w:r>
        <w:rPr>
          <w:rFonts w:hint="eastAsia" w:hAnsi="宋体"/>
          <w:b/>
          <w:color w:val="auto"/>
          <w:highlight w:val="none"/>
        </w:rPr>
        <w:t>服务要求</w:t>
      </w:r>
    </w:p>
    <w:p>
      <w:pPr>
        <w:pStyle w:val="19"/>
        <w:numPr>
          <w:ilvl w:val="0"/>
          <w:numId w:val="6"/>
        </w:numPr>
        <w:snapToGrid w:val="0"/>
        <w:spacing w:line="360" w:lineRule="auto"/>
        <w:rPr>
          <w:rFonts w:hAnsi="宋体"/>
          <w:color w:val="auto"/>
          <w:highlight w:val="none"/>
        </w:rPr>
      </w:pPr>
      <w:r>
        <w:rPr>
          <w:rFonts w:hint="eastAsia" w:hAnsi="宋体"/>
          <w:color w:val="auto"/>
          <w:highlight w:val="none"/>
        </w:rPr>
        <w:t>乙方应在每月25日前上报下月养护计划，每月5日前上报上月维修完成统计月报。</w:t>
      </w:r>
    </w:p>
    <w:p>
      <w:pPr>
        <w:pStyle w:val="19"/>
        <w:snapToGrid w:val="0"/>
        <w:spacing w:line="360" w:lineRule="auto"/>
        <w:rPr>
          <w:rFonts w:hAnsi="宋体"/>
          <w:color w:val="auto"/>
          <w:highlight w:val="none"/>
        </w:rPr>
      </w:pPr>
      <w:r>
        <w:rPr>
          <w:rFonts w:hint="eastAsia" w:hAnsi="宋体"/>
          <w:color w:val="auto"/>
          <w:highlight w:val="none"/>
        </w:rPr>
        <w:t>2、乙方应按道路类别、级别、养护等级等建立经常性巡查制，填写《城镇道路巡查表》、《城市桥梁桥面系日常巡检周报表》，巡查记录应定期整理归档。乙方应及时发现道路、桥梁桥面系缺陷及设施破损等问题，根据甲方的《嘉兴港区市政道路维修工程任务单》进行维修改造等。</w:t>
      </w:r>
    </w:p>
    <w:p>
      <w:pPr>
        <w:pStyle w:val="19"/>
        <w:snapToGrid w:val="0"/>
        <w:spacing w:line="360" w:lineRule="auto"/>
        <w:rPr>
          <w:rFonts w:hAnsi="宋体"/>
          <w:color w:val="auto"/>
          <w:highlight w:val="none"/>
        </w:rPr>
      </w:pPr>
      <w:r>
        <w:rPr>
          <w:rFonts w:hint="eastAsia" w:hAnsi="宋体"/>
          <w:color w:val="auto"/>
          <w:highlight w:val="none"/>
        </w:rPr>
        <w:t>3、乙方应按养护规范进行巡查，在巡视中应及时排查道路、桥梁设施存在的安全问题，发现后在第一时间做好安全警示，设置围栏，并及时检修，消除隐患。</w:t>
      </w:r>
    </w:p>
    <w:p>
      <w:pPr>
        <w:pStyle w:val="19"/>
        <w:snapToGrid w:val="0"/>
        <w:spacing w:line="360" w:lineRule="auto"/>
        <w:rPr>
          <w:rFonts w:hAnsi="宋体"/>
          <w:color w:val="auto"/>
          <w:highlight w:val="none"/>
        </w:rPr>
      </w:pPr>
      <w:r>
        <w:rPr>
          <w:rFonts w:hint="eastAsia" w:hAnsi="宋体"/>
          <w:color w:val="auto"/>
          <w:highlight w:val="none"/>
        </w:rPr>
        <w:t>4、乙方应按时完成甲方交办的维修任务单，以及其它突击性任务和指令性任务并加强法定节假日的正常养护维修工作。</w:t>
      </w:r>
    </w:p>
    <w:p>
      <w:pPr>
        <w:pStyle w:val="19"/>
        <w:snapToGrid w:val="0"/>
        <w:spacing w:line="360" w:lineRule="auto"/>
        <w:rPr>
          <w:rFonts w:hAnsi="宋体"/>
          <w:color w:val="auto"/>
          <w:highlight w:val="none"/>
        </w:rPr>
      </w:pPr>
      <w:r>
        <w:rPr>
          <w:rFonts w:hint="eastAsia" w:hAnsi="宋体"/>
          <w:color w:val="auto"/>
          <w:highlight w:val="none"/>
        </w:rPr>
        <w:t>5、乙方应组建应急抢险队伍、建立应急预案处理机制，落实相应的人、机、物储备。</w:t>
      </w:r>
    </w:p>
    <w:p>
      <w:pPr>
        <w:pStyle w:val="19"/>
        <w:snapToGrid w:val="0"/>
        <w:spacing w:line="360" w:lineRule="auto"/>
        <w:rPr>
          <w:rFonts w:hAnsi="宋体"/>
          <w:color w:val="auto"/>
          <w:highlight w:val="none"/>
        </w:rPr>
      </w:pPr>
      <w:r>
        <w:rPr>
          <w:rFonts w:hint="eastAsia" w:hAnsi="宋体"/>
          <w:color w:val="auto"/>
          <w:highlight w:val="none"/>
        </w:rPr>
        <w:t>6、道路的日常养护管理，按照中华人民共和国行业标准《城镇道路养护技术规范》CJJ36-2006的相关条款执行；桥梁的日常养护管理，按照中华人民共和国行业标准《城市桥梁养护技术规范》CJJ99-2003和《城市桥梁检测和养护维修管理办法》、《</w:t>
      </w:r>
      <w:r>
        <w:rPr>
          <w:rFonts w:hAnsi="宋体"/>
          <w:color w:val="auto"/>
          <w:highlight w:val="none"/>
        </w:rPr>
        <w:t>CJJ 68—2007 城镇排水管渠与泵站维护技术规程</w:t>
      </w:r>
      <w:r>
        <w:rPr>
          <w:rFonts w:hint="eastAsia" w:hAnsi="宋体"/>
          <w:color w:val="auto"/>
          <w:highlight w:val="none"/>
        </w:rPr>
        <w:t>》的相关条款执行；雨水井盖日常养护管理按照相关规定执行。</w:t>
      </w:r>
    </w:p>
    <w:p>
      <w:pPr>
        <w:pStyle w:val="19"/>
        <w:snapToGrid w:val="0"/>
        <w:spacing w:line="360" w:lineRule="auto"/>
        <w:rPr>
          <w:rFonts w:hAnsi="宋体"/>
          <w:color w:val="auto"/>
          <w:highlight w:val="none"/>
        </w:rPr>
      </w:pPr>
      <w:r>
        <w:rPr>
          <w:rFonts w:hint="eastAsia" w:hAnsi="宋体"/>
          <w:color w:val="auto"/>
          <w:highlight w:val="none"/>
        </w:rPr>
        <w:t>7、乙方应建立日常巡查制度，包括人员、设备、应急物资，巡查周期为每日不少于一次，并且每周将巡查结果汇总后报甲方，将现场拍摄照片记录、巡查日志等存入资料备查。</w:t>
      </w:r>
    </w:p>
    <w:p>
      <w:pPr>
        <w:pStyle w:val="19"/>
        <w:snapToGrid w:val="0"/>
        <w:spacing w:line="360" w:lineRule="auto"/>
        <w:rPr>
          <w:rFonts w:hAnsi="宋体"/>
          <w:color w:val="auto"/>
          <w:highlight w:val="none"/>
        </w:rPr>
      </w:pPr>
      <w:r>
        <w:rPr>
          <w:rFonts w:hint="eastAsia" w:hAnsi="宋体"/>
          <w:color w:val="auto"/>
          <w:highlight w:val="none"/>
        </w:rPr>
        <w:t>8、乙方通过日常巡查发现的破损地点、破损需要更换的雨水井盖在通知甲方（监理方）确认后2小时之内及时进行维修更换或采取安全措施，并在第一时间设立警示装置及隔离措施。如果因乙方维修不及时或者未树立警示牌发生道路安全事故的，乙方负全部责任。</w:t>
      </w:r>
    </w:p>
    <w:p>
      <w:pPr>
        <w:pStyle w:val="19"/>
        <w:snapToGrid w:val="0"/>
        <w:spacing w:line="360" w:lineRule="auto"/>
        <w:rPr>
          <w:rFonts w:hAnsi="宋体"/>
          <w:color w:val="auto"/>
          <w:highlight w:val="none"/>
        </w:rPr>
      </w:pPr>
      <w:r>
        <w:rPr>
          <w:rFonts w:hint="eastAsia" w:hAnsi="宋体"/>
          <w:color w:val="auto"/>
          <w:highlight w:val="none"/>
        </w:rPr>
        <w:t>9、雨水管道应在雨天内加强巡查力度，遇到有积水的部位按照巡查制度要求，及时做好相关资料并在经过监理方（甲方）认可后抓紧进行疏通，疏通时间控制在24小时，并在第一时间内树立相关警示标志及隔离措施。如果因乙方维修不及时或者未树立警示牌发生道路安全事故的，乙方负全部责任。</w:t>
      </w:r>
    </w:p>
    <w:p>
      <w:pPr>
        <w:pStyle w:val="19"/>
        <w:snapToGrid w:val="0"/>
        <w:spacing w:line="360" w:lineRule="auto"/>
        <w:rPr>
          <w:rFonts w:hAnsi="宋体"/>
          <w:color w:val="auto"/>
          <w:highlight w:val="none"/>
        </w:rPr>
      </w:pPr>
      <w:r>
        <w:rPr>
          <w:rFonts w:hint="eastAsia" w:hAnsi="宋体"/>
          <w:color w:val="auto"/>
          <w:highlight w:val="none"/>
        </w:rPr>
        <w:t>10、乙方必须开通24小时抢修电话。接到抢修电话后，要求1小时内到达现场并做好防护措施。有特殊情况需报甲方书面同意后方可延长时间。乙方不按此要求养护，每发现一次处罚5000元。</w:t>
      </w:r>
    </w:p>
    <w:p>
      <w:pPr>
        <w:pStyle w:val="19"/>
        <w:snapToGrid w:val="0"/>
        <w:spacing w:line="360" w:lineRule="auto"/>
        <w:rPr>
          <w:rFonts w:hAnsi="宋体"/>
          <w:color w:val="auto"/>
          <w:highlight w:val="none"/>
        </w:rPr>
      </w:pPr>
      <w:r>
        <w:rPr>
          <w:rFonts w:hint="eastAsia" w:hAnsi="宋体"/>
          <w:color w:val="auto"/>
          <w:highlight w:val="none"/>
        </w:rPr>
        <w:t>11、及时处理对社会公众对涉及道路、桥梁养护的各种举报、投诉，并对提供线索者给予一定的奖励，每次50元，该费用经甲方确认后由乙方支付。</w:t>
      </w:r>
    </w:p>
    <w:p>
      <w:pPr>
        <w:pStyle w:val="19"/>
        <w:snapToGrid w:val="0"/>
        <w:spacing w:line="360" w:lineRule="auto"/>
        <w:rPr>
          <w:rFonts w:hAnsi="宋体"/>
          <w:color w:val="auto"/>
          <w:highlight w:val="none"/>
        </w:rPr>
      </w:pPr>
      <w:r>
        <w:rPr>
          <w:rFonts w:hint="eastAsia" w:hAnsi="宋体"/>
          <w:color w:val="auto"/>
          <w:highlight w:val="none"/>
        </w:rPr>
        <w:t>12、乙方中标后30日历天内必须在港区范围内设立办公场所及相应物资、养护工具等堆放场地。</w:t>
      </w:r>
      <w:r>
        <w:rPr>
          <w:rFonts w:hint="eastAsia" w:hAnsi="宋体"/>
          <w:b/>
          <w:color w:val="auto"/>
          <w:highlight w:val="none"/>
        </w:rPr>
        <w:t>（投标文件中提供相应承诺书）</w:t>
      </w:r>
    </w:p>
    <w:p>
      <w:pPr>
        <w:pStyle w:val="19"/>
        <w:snapToGrid w:val="0"/>
        <w:spacing w:line="360" w:lineRule="auto"/>
        <w:rPr>
          <w:rFonts w:hAnsi="宋体"/>
          <w:color w:val="auto"/>
          <w:highlight w:val="none"/>
        </w:rPr>
      </w:pPr>
      <w:r>
        <w:rPr>
          <w:rFonts w:hint="eastAsia" w:hAnsi="宋体"/>
          <w:color w:val="auto"/>
          <w:highlight w:val="none"/>
        </w:rPr>
        <w:t>13、对于影响交通安全、道路通行安全的情形，乙方未及时发现的，每发生一次，甲方将对乙方进行处罚。</w:t>
      </w:r>
    </w:p>
    <w:p>
      <w:pPr>
        <w:pStyle w:val="19"/>
        <w:snapToGrid w:val="0"/>
        <w:spacing w:line="360" w:lineRule="auto"/>
        <w:rPr>
          <w:rFonts w:hAnsi="宋体"/>
          <w:color w:val="auto"/>
          <w:highlight w:val="none"/>
        </w:rPr>
      </w:pPr>
      <w:r>
        <w:rPr>
          <w:rFonts w:hint="eastAsia" w:hAnsi="宋体"/>
          <w:color w:val="auto"/>
          <w:highlight w:val="none"/>
        </w:rPr>
        <w:t>14、应组建相对固定的养护班组，</w:t>
      </w:r>
      <w:r>
        <w:rPr>
          <w:rFonts w:hint="eastAsia" w:hAnsi="宋体"/>
          <w:color w:val="auto"/>
          <w:highlight w:val="none"/>
          <w:lang w:eastAsia="zh-CN"/>
        </w:rPr>
        <w:t>人员配备每个标段不少于20人（其中养护管理人员不少于5人）</w:t>
      </w:r>
      <w:r>
        <w:rPr>
          <w:rFonts w:hint="eastAsia" w:hAnsi="宋体"/>
          <w:color w:val="auto"/>
          <w:highlight w:val="none"/>
        </w:rPr>
        <w:t>，台风、汛期防洪，冬季冰雪灾害及各种恶劣天气下的应急抢险期间人员配备须翻倍。其他特殊情况应根据需要酌情增加并满足甲方要求。</w:t>
      </w:r>
    </w:p>
    <w:p>
      <w:pPr>
        <w:pStyle w:val="19"/>
        <w:snapToGrid w:val="0"/>
        <w:spacing w:line="360" w:lineRule="auto"/>
        <w:rPr>
          <w:rFonts w:hAnsi="宋体"/>
          <w:color w:val="auto"/>
          <w:highlight w:val="none"/>
        </w:rPr>
      </w:pPr>
      <w:r>
        <w:rPr>
          <w:rFonts w:hint="eastAsia" w:hAnsi="宋体"/>
          <w:color w:val="auto"/>
          <w:highlight w:val="none"/>
        </w:rPr>
        <w:t>15、发现维修及抢修任务，第一时间向交警、嘉兴市综合行政执法局港区分局及跟踪审计单位备案。</w:t>
      </w:r>
    </w:p>
    <w:p>
      <w:pPr>
        <w:pStyle w:val="19"/>
        <w:snapToGrid w:val="0"/>
        <w:spacing w:line="360" w:lineRule="auto"/>
        <w:rPr>
          <w:rFonts w:hAnsi="宋体"/>
          <w:color w:val="auto"/>
          <w:highlight w:val="none"/>
        </w:rPr>
      </w:pPr>
      <w:r>
        <w:rPr>
          <w:rFonts w:hint="eastAsia" w:hAnsi="宋体"/>
          <w:color w:val="auto"/>
          <w:highlight w:val="none"/>
        </w:rPr>
        <w:t>16、主要机械设备最低要求：乙方须配备</w:t>
      </w:r>
      <w:r>
        <w:rPr>
          <w:rFonts w:hint="eastAsia" w:ascii="新宋体" w:hAnsi="新宋体" w:eastAsia="新宋体"/>
          <w:color w:val="auto"/>
          <w:highlight w:val="none"/>
        </w:rPr>
        <w:t>压路机、动力切割机、铣刨机。</w:t>
      </w:r>
    </w:p>
    <w:p>
      <w:pPr>
        <w:pStyle w:val="19"/>
        <w:snapToGrid w:val="0"/>
        <w:spacing w:line="360" w:lineRule="auto"/>
        <w:rPr>
          <w:rFonts w:hAnsi="宋体"/>
          <w:color w:val="auto"/>
          <w:highlight w:val="none"/>
        </w:rPr>
      </w:pPr>
      <w:r>
        <w:rPr>
          <w:rFonts w:hint="eastAsia" w:hAnsi="宋体"/>
          <w:color w:val="auto"/>
          <w:highlight w:val="none"/>
        </w:rPr>
        <w:t>17、环境保护</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1）乙方要有环保意识，进场施工前必须到环保等有关部门办理好相关手续，注意施工噪音、灰尘、污水等污染对周围环境的影响，并尽量将影响降低到最低，合法合理的协调处理好这些事情，并且对此全部负责。</w:t>
      </w:r>
    </w:p>
    <w:p>
      <w:pPr>
        <w:pStyle w:val="19"/>
        <w:snapToGrid w:val="0"/>
        <w:spacing w:line="360" w:lineRule="auto"/>
        <w:rPr>
          <w:rFonts w:hAnsi="宋体"/>
          <w:color w:val="auto"/>
          <w:highlight w:val="none"/>
        </w:rPr>
      </w:pPr>
      <w:r>
        <w:rPr>
          <w:rFonts w:hint="eastAsia" w:hAnsi="宋体"/>
          <w:color w:val="auto"/>
          <w:highlight w:val="none"/>
        </w:rPr>
        <w:t>18、质量、安全与验收</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（1）质量、安全标准</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乙方应按现行的国家施工验收规范和质量评定标准及安全生产标准等法律、法规进行施工，甲方对本工程质量与安全文明的要求：1.质量合格；2.无安全事故。</w:t>
      </w:r>
    </w:p>
    <w:p>
      <w:pPr>
        <w:pStyle w:val="19"/>
        <w:snapToGrid w:val="0"/>
        <w:spacing w:line="360" w:lineRule="auto"/>
        <w:ind w:left="181" w:leftChars="86" w:firstLine="200" w:firstLineChars="100"/>
        <w:rPr>
          <w:rFonts w:hAnsi="宋体"/>
          <w:color w:val="auto"/>
          <w:highlight w:val="none"/>
        </w:rPr>
      </w:pPr>
      <w:r>
        <w:rPr>
          <w:rFonts w:hint="eastAsia" w:hAnsi="宋体"/>
          <w:color w:val="auto"/>
          <w:highlight w:val="none"/>
        </w:rPr>
        <w:t>（2）工程质量等级、安全目标</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工程质量要求：</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①道路维修，根据甲方维修任务单中要求进行维修。平整度、抗压强度、抗折强度达到相关要求。面层四角平整，与原路面接坡顺滑，表面不得有浮浆、脱皮、积水等现象，需要进行基层处理的，经甲方（监理）同意，进行基层处理。</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②使用周期要求：质保期一年。</w:t>
      </w:r>
    </w:p>
    <w:p>
      <w:pPr>
        <w:pStyle w:val="19"/>
        <w:snapToGrid w:val="0"/>
        <w:spacing w:line="360" w:lineRule="auto"/>
        <w:ind w:firstLine="400" w:firstLineChars="200"/>
        <w:rPr>
          <w:rFonts w:hAnsi="宋体"/>
          <w:color w:val="auto"/>
          <w:highlight w:val="none"/>
        </w:rPr>
      </w:pPr>
      <w:r>
        <w:rPr>
          <w:rFonts w:hint="eastAsia" w:hAnsi="宋体"/>
          <w:color w:val="auto"/>
          <w:highlight w:val="none"/>
        </w:rPr>
        <w:t>（3）安全生产</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①安全要求：维修地点必须设置安全标志、警示标志、围栏等安全设施，夜间设置夜间照明警示灯，如果因乙方维修不及时或者未树立警示牌、安全围栏发生道路安全事故的，乙方负全部责任。</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②乙方应按照工程建设安全生产有关管理规定，加强施工现场人员和机械的施工安全管理，采取严格的安全防护措施，保证本工程施工的安全，随时接受</w:t>
      </w:r>
      <w:r>
        <w:rPr>
          <w:rFonts w:hint="eastAsia" w:hAnsi="宋体"/>
          <w:color w:val="auto"/>
          <w:highlight w:val="none"/>
          <w:lang w:eastAsia="zh-CN"/>
        </w:rPr>
        <w:t>浙江乍浦经济开发区（嘉兴港区）管理委员会</w:t>
      </w:r>
      <w:r>
        <w:rPr>
          <w:rFonts w:hint="eastAsia" w:hAnsi="宋体"/>
          <w:color w:val="auto"/>
          <w:highlight w:val="none"/>
        </w:rPr>
        <w:t>的监督检查。</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③乙方应教育本单位职工文明施工、安全生产，并对他们的安全负责。</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④由于乙方安全防护措施不力，或因乙方职工过失，或因第三者的原因造成人身、设备、工程质量事故及其他人为事故，其全部责任由乙方承担，甲方既不承担任何责任，也不支付任何费用。</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⑤施工过程中，为了保证安全施工 ，保护工地周围建筑物和居民等的安全，乙方应采取必要的防护、安全措施，并承担所需费用。</w:t>
      </w:r>
    </w:p>
    <w:p>
      <w:pPr>
        <w:pStyle w:val="19"/>
        <w:snapToGrid w:val="0"/>
        <w:spacing w:line="360" w:lineRule="auto"/>
        <w:ind w:left="181" w:leftChars="86" w:firstLine="400" w:firstLineChars="200"/>
        <w:rPr>
          <w:rFonts w:hAnsi="宋体"/>
          <w:color w:val="auto"/>
          <w:highlight w:val="none"/>
        </w:rPr>
      </w:pPr>
      <w:r>
        <w:rPr>
          <w:rFonts w:hint="eastAsia" w:hAnsi="宋体"/>
          <w:color w:val="auto"/>
          <w:highlight w:val="none"/>
        </w:rPr>
        <w:t>⑥施工现场必须实行标化工地管理，材料堆放有序，办公区、居住区卫生整洁，施工人员服饰统一整齐，并且文明礼貌。</w:t>
      </w:r>
    </w:p>
    <w:p>
      <w:pPr>
        <w:pStyle w:val="17"/>
        <w:spacing w:line="420" w:lineRule="exact"/>
        <w:ind w:left="0" w:firstLine="570"/>
        <w:rPr>
          <w:rFonts w:ascii="宋体" w:eastAsia="宋体"/>
          <w:color w:val="auto"/>
          <w:sz w:val="20"/>
          <w:highlight w:val="none"/>
        </w:rPr>
      </w:pPr>
      <w:r>
        <w:rPr>
          <w:rFonts w:hint="eastAsia" w:ascii="宋体" w:eastAsia="宋体"/>
          <w:color w:val="auto"/>
          <w:sz w:val="20"/>
          <w:highlight w:val="none"/>
        </w:rPr>
        <w:t>⑦发生重大伤亡事故及其他安全事故，乙方应按有关规定立即上报有关部门并通知甲方，同时按政府有关部门要求及时处理，并承担相关责任及由此发生的费用。</w:t>
      </w:r>
    </w:p>
    <w:p>
      <w:pPr>
        <w:pStyle w:val="19"/>
        <w:snapToGrid w:val="0"/>
        <w:spacing w:before="120" w:after="120" w:line="360" w:lineRule="auto"/>
        <w:rPr>
          <w:rFonts w:hint="default" w:hAnsi="宋体" w:eastAsia="宋体"/>
          <w:b/>
          <w:color w:val="auto"/>
          <w:highlight w:val="none"/>
          <w:lang w:val="en-US" w:eastAsia="zh-CN"/>
        </w:rPr>
      </w:pPr>
      <w:r>
        <w:rPr>
          <w:rFonts w:hint="eastAsia" w:hAnsi="宋体"/>
          <w:color w:val="auto"/>
          <w:highlight w:val="none"/>
        </w:rPr>
        <w:t>19、</w:t>
      </w:r>
      <w:r>
        <w:rPr>
          <w:rFonts w:hint="eastAsia" w:ascii="宋体" w:hAnsi="宋体" w:eastAsia="宋体" w:cs="Times New Roman"/>
          <w:b/>
          <w:color w:val="auto"/>
          <w:highlight w:val="none"/>
        </w:rPr>
        <w:t>本项目</w:t>
      </w:r>
      <w:r>
        <w:rPr>
          <w:rFonts w:hint="eastAsia" w:hAnsi="宋体"/>
          <w:b/>
          <w:color w:val="auto"/>
          <w:highlight w:val="none"/>
        </w:rPr>
        <w:t>除按项目配置人员外，</w:t>
      </w:r>
      <w:r>
        <w:rPr>
          <w:rFonts w:hint="eastAsia" w:hAnsi="宋体"/>
          <w:b/>
          <w:color w:val="auto"/>
          <w:highlight w:val="none"/>
          <w:lang w:val="en-US" w:eastAsia="zh-CN"/>
        </w:rPr>
        <w:t>每个标段</w:t>
      </w:r>
      <w:r>
        <w:rPr>
          <w:rFonts w:hint="eastAsia" w:hAnsi="宋体"/>
          <w:b/>
          <w:color w:val="auto"/>
          <w:highlight w:val="none"/>
        </w:rPr>
        <w:t>还需另外提供</w:t>
      </w:r>
      <w:r>
        <w:rPr>
          <w:rFonts w:hint="eastAsia" w:hAnsi="宋体"/>
          <w:b/>
          <w:color w:val="auto"/>
          <w:highlight w:val="none"/>
          <w:lang w:val="en-US" w:eastAsia="zh-CN"/>
        </w:rPr>
        <w:t>1</w:t>
      </w:r>
      <w:r>
        <w:rPr>
          <w:rFonts w:hint="eastAsia" w:hAnsi="宋体"/>
          <w:b/>
          <w:color w:val="auto"/>
          <w:highlight w:val="none"/>
        </w:rPr>
        <w:t>名人员</w:t>
      </w:r>
      <w:r>
        <w:rPr>
          <w:rFonts w:hint="eastAsia"/>
          <w:b/>
          <w:color w:val="auto"/>
          <w:highlight w:val="none"/>
        </w:rPr>
        <w:t>在采购单位或采购单位指定办公场所办公，协助采购单位完成相关工作，要求在40周岁以下，大专及以上学历，建议男性，要求具有</w:t>
      </w:r>
      <w:r>
        <w:rPr>
          <w:rFonts w:hint="eastAsia"/>
          <w:b/>
          <w:color w:val="auto"/>
          <w:highlight w:val="none"/>
          <w:lang w:val="en-US" w:eastAsia="zh-CN"/>
        </w:rPr>
        <w:t>工程类</w:t>
      </w:r>
      <w:r>
        <w:rPr>
          <w:rFonts w:hint="eastAsia"/>
          <w:b/>
          <w:color w:val="auto"/>
          <w:highlight w:val="none"/>
        </w:rPr>
        <w:t>工程师及以上技术职称。由此产生的费用含在合同价中。</w:t>
      </w:r>
      <w:r>
        <w:rPr>
          <w:rFonts w:hint="eastAsia"/>
          <w:b/>
          <w:color w:val="auto"/>
          <w:highlight w:val="none"/>
          <w:lang w:val="en-US" w:eastAsia="zh-CN"/>
        </w:rPr>
        <w:t>如达不到采购人要求的，采购人有权更换。</w:t>
      </w:r>
    </w:p>
    <w:p>
      <w:pPr>
        <w:pStyle w:val="19"/>
        <w:snapToGrid w:val="0"/>
        <w:spacing w:before="120" w:after="120" w:line="360" w:lineRule="auto"/>
        <w:rPr>
          <w:b/>
          <w:color w:val="auto"/>
          <w:highlight w:val="none"/>
        </w:rPr>
      </w:pPr>
      <w:r>
        <w:rPr>
          <w:rFonts w:hint="eastAsia"/>
          <w:b/>
          <w:color w:val="auto"/>
          <w:highlight w:val="none"/>
        </w:rPr>
        <w:t>20、项目经理或现场负责人接受甲方考勤，当月考勤率不足80%，扣除当月养护款8000元。</w:t>
      </w:r>
    </w:p>
    <w:p>
      <w:pPr>
        <w:pStyle w:val="19"/>
        <w:snapToGrid w:val="0"/>
        <w:spacing w:before="120" w:after="120" w:line="360" w:lineRule="auto"/>
        <w:rPr>
          <w:b/>
          <w:color w:val="auto"/>
          <w:highlight w:val="none"/>
        </w:rPr>
      </w:pPr>
      <w:r>
        <w:rPr>
          <w:rFonts w:hint="eastAsia"/>
          <w:b/>
          <w:color w:val="auto"/>
          <w:highlight w:val="none"/>
        </w:rPr>
        <w:t>21、驻甲方单位办公人员接受甲方单位考勤，当月考勤率不足80%，扣除当月养护款8000元。</w:t>
      </w:r>
    </w:p>
    <w:p>
      <w:pPr>
        <w:pStyle w:val="19"/>
        <w:snapToGrid w:val="0"/>
        <w:spacing w:before="120" w:after="120" w:line="360" w:lineRule="auto"/>
        <w:rPr>
          <w:b/>
          <w:color w:val="auto"/>
          <w:highlight w:val="none"/>
        </w:rPr>
      </w:pPr>
      <w:r>
        <w:rPr>
          <w:rFonts w:hint="eastAsia"/>
          <w:b/>
          <w:color w:val="auto"/>
          <w:highlight w:val="none"/>
        </w:rPr>
        <w:t>22、乙方应配合甲方完成跟踪审计工作，维修前及隐蔽前应通知跟踪审计单位。</w:t>
      </w:r>
    </w:p>
    <w:p>
      <w:pPr>
        <w:pStyle w:val="19"/>
        <w:snapToGrid w:val="0"/>
        <w:spacing w:before="120" w:after="120" w:line="360" w:lineRule="auto"/>
        <w:rPr>
          <w:b/>
          <w:color w:val="auto"/>
          <w:highlight w:val="none"/>
        </w:rPr>
      </w:pPr>
      <w:r>
        <w:rPr>
          <w:rFonts w:hint="eastAsia"/>
          <w:b/>
          <w:color w:val="auto"/>
          <w:highlight w:val="none"/>
        </w:rPr>
        <w:t>23、甲方每季度将对乙方进行考核，如考核不合格，甲方有权终止合同，并取消下一期投标资格。考核办法详见附件《市政设施养护考评表》。</w:t>
      </w:r>
    </w:p>
    <w:p>
      <w:pPr>
        <w:pStyle w:val="19"/>
        <w:snapToGrid w:val="0"/>
        <w:spacing w:before="120" w:after="120" w:line="360" w:lineRule="auto"/>
        <w:rPr>
          <w:rFonts w:hAnsi="宋体"/>
          <w:b/>
          <w:color w:val="auto"/>
          <w:highlight w:val="none"/>
        </w:rPr>
      </w:pPr>
      <w:r>
        <w:rPr>
          <w:rFonts w:hint="eastAsia" w:hAnsi="宋体"/>
          <w:b/>
          <w:color w:val="auto"/>
          <w:highlight w:val="none"/>
        </w:rPr>
        <w:t>四、考核办法</w:t>
      </w:r>
    </w:p>
    <w:p>
      <w:pPr>
        <w:pStyle w:val="19"/>
        <w:snapToGrid w:val="0"/>
        <w:spacing w:before="120" w:after="120" w:line="360" w:lineRule="auto"/>
        <w:ind w:firstLine="400" w:firstLineChars="200"/>
        <w:rPr>
          <w:rFonts w:hAnsi="宋体"/>
          <w:color w:val="auto"/>
          <w:highlight w:val="none"/>
        </w:rPr>
      </w:pPr>
      <w:r>
        <w:rPr>
          <w:rFonts w:hint="eastAsia" w:hAnsi="宋体"/>
          <w:color w:val="auto"/>
          <w:highlight w:val="none"/>
        </w:rPr>
        <w:t>道路养护质量评定标准执行《道路养护规范》的相关条款；桥梁养护质量评定标准执行《桥梁养护规范》的相关条款，甲方按此标准对乙方的养护质量进行检查和考核，乙方对甲方的检查和考核提供便利条件。</w:t>
      </w:r>
    </w:p>
    <w:p>
      <w:pPr>
        <w:pStyle w:val="19"/>
        <w:snapToGrid w:val="0"/>
        <w:spacing w:before="120" w:after="120" w:line="360" w:lineRule="auto"/>
        <w:ind w:firstLine="400" w:firstLineChars="200"/>
        <w:rPr>
          <w:rFonts w:hAnsi="宋体"/>
          <w:color w:val="auto"/>
          <w:highlight w:val="none"/>
        </w:rPr>
      </w:pPr>
      <w:r>
        <w:rPr>
          <w:rFonts w:hint="eastAsia" w:hAnsi="宋体"/>
          <w:color w:val="auto"/>
          <w:highlight w:val="none"/>
        </w:rPr>
        <w:t>对于养护质量或施工工期不符合要求的，甲方先通知限期整改，乙方逾期不整改的或整改效果不符合要求的，由甲方派其他队伍整改，费用在乙方养护费用中扣除。</w:t>
      </w:r>
    </w:p>
    <w:p>
      <w:pPr>
        <w:pStyle w:val="19"/>
        <w:snapToGrid w:val="0"/>
        <w:spacing w:before="120" w:after="120" w:line="360" w:lineRule="auto"/>
        <w:ind w:firstLine="400" w:firstLineChars="200"/>
        <w:rPr>
          <w:rFonts w:hAnsi="宋体"/>
          <w:color w:val="auto"/>
          <w:highlight w:val="none"/>
        </w:rPr>
      </w:pPr>
      <w:r>
        <w:rPr>
          <w:rFonts w:hint="eastAsia" w:hAnsi="宋体"/>
          <w:color w:val="auto"/>
          <w:highlight w:val="none"/>
        </w:rPr>
        <w:t>对于数字城管等联动平台的处置情况，按相关部门反馈未达到要求的情况按件数进行扣分处理。</w:t>
      </w:r>
    </w:p>
    <w:p>
      <w:pPr>
        <w:spacing w:line="360" w:lineRule="auto"/>
        <w:ind w:left="360"/>
        <w:rPr>
          <w:rFonts w:ascii="宋体" w:hAnsi="宋体"/>
          <w:color w:val="auto"/>
          <w:sz w:val="20"/>
          <w:szCs w:val="20"/>
          <w:highlight w:val="none"/>
        </w:rPr>
      </w:pPr>
      <w:r>
        <w:rPr>
          <w:rFonts w:hint="eastAsia" w:ascii="宋体" w:hAnsi="宋体"/>
          <w:color w:val="auto"/>
          <w:sz w:val="20"/>
          <w:szCs w:val="20"/>
          <w:highlight w:val="none"/>
        </w:rPr>
        <w:t>乙方逾期上报下月维修工作计划表（附表一）、上月维修完成统计表（附表二）的将进</w:t>
      </w:r>
    </w:p>
    <w:p>
      <w:pPr>
        <w:spacing w:line="360" w:lineRule="auto"/>
        <w:rPr>
          <w:rFonts w:ascii="宋体" w:hAnsi="宋体"/>
          <w:color w:val="auto"/>
          <w:sz w:val="20"/>
          <w:szCs w:val="20"/>
          <w:highlight w:val="none"/>
        </w:rPr>
      </w:pPr>
      <w:r>
        <w:rPr>
          <w:rFonts w:hint="eastAsia" w:ascii="宋体" w:hAnsi="宋体"/>
          <w:color w:val="auto"/>
          <w:sz w:val="20"/>
          <w:szCs w:val="20"/>
          <w:highlight w:val="none"/>
        </w:rPr>
        <w:t>行扣分处理。</w:t>
      </w:r>
    </w:p>
    <w:p>
      <w:pPr>
        <w:pStyle w:val="19"/>
        <w:snapToGrid w:val="0"/>
        <w:spacing w:before="120" w:after="120" w:line="360" w:lineRule="auto"/>
        <w:rPr>
          <w:rFonts w:hAnsi="宋体"/>
          <w:b/>
          <w:color w:val="auto"/>
          <w:highlight w:val="none"/>
        </w:rPr>
      </w:pPr>
      <w:r>
        <w:rPr>
          <w:rFonts w:hint="eastAsia" w:hAnsi="宋体"/>
          <w:b/>
          <w:color w:val="auto"/>
          <w:highlight w:val="none"/>
        </w:rPr>
        <w:t>五、费用结算</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以经审定后的工程造价乘以中标百分率再扣除季度考核后的罚款金额结算，结算方式如下：</w:t>
      </w:r>
    </w:p>
    <w:p>
      <w:pPr>
        <w:pStyle w:val="19"/>
        <w:snapToGrid w:val="0"/>
        <w:spacing w:line="360" w:lineRule="auto"/>
        <w:ind w:firstLine="400" w:firstLineChars="200"/>
        <w:rPr>
          <w:rFonts w:hAnsi="宋体"/>
          <w:color w:val="auto"/>
          <w:highlight w:val="none"/>
          <w:u w:val="single"/>
        </w:rPr>
      </w:pPr>
      <w:r>
        <w:rPr>
          <w:rFonts w:hint="eastAsia" w:hAnsi="宋体"/>
          <w:color w:val="auto"/>
          <w:highlight w:val="none"/>
          <w:u w:val="single"/>
        </w:rPr>
        <w:t>养护费结算价=经审定后的工程造价*投标百分率-季度考核后的罚款金额。</w:t>
      </w:r>
    </w:p>
    <w:p>
      <w:pPr>
        <w:pStyle w:val="19"/>
        <w:numPr>
          <w:ins w:id="2" w:author="钟伟" w:date="2012-05-28T14:12:00Z"/>
        </w:numPr>
        <w:snapToGrid w:val="0"/>
        <w:spacing w:line="360" w:lineRule="auto"/>
        <w:ind w:firstLine="400" w:firstLineChars="200"/>
        <w:rPr>
          <w:rFonts w:hAnsi="宋体"/>
          <w:color w:val="auto"/>
          <w:highlight w:val="none"/>
        </w:rPr>
      </w:pPr>
      <w:r>
        <w:rPr>
          <w:rFonts w:hint="eastAsia" w:hAnsi="宋体"/>
          <w:color w:val="auto"/>
          <w:highlight w:val="none"/>
          <w:lang w:val="en-US" w:eastAsia="zh-CN"/>
        </w:rPr>
        <w:t>合同签订并具备实施条件后7个工作日内支付合同价的20%（合同价为预算价*中标百分率）作为预付款，今后养护费按实结算，以后每三个月结算一次，预付款在每季度支付款项时扣回，具体费用支付时间根据采购人资金到位情况另行商定。</w:t>
      </w:r>
      <w:r>
        <w:rPr>
          <w:rFonts w:hint="eastAsia" w:hAnsi="宋体"/>
          <w:color w:val="auto"/>
          <w:highlight w:val="none"/>
        </w:rPr>
        <w:t>乙方根据甲方核实后的工作内容及工程量按照</w:t>
      </w:r>
      <w:r>
        <w:rPr>
          <w:rFonts w:hint="eastAsia" w:hAnsi="宋体"/>
          <w:b/>
          <w:color w:val="auto"/>
          <w:highlight w:val="none"/>
        </w:rPr>
        <w:t>《浙江省市政设施养护维修预算定额》（2018版）</w:t>
      </w:r>
      <w:r>
        <w:rPr>
          <w:rFonts w:hint="eastAsia" w:hAnsi="宋体"/>
          <w:color w:val="auto"/>
          <w:highlight w:val="none"/>
        </w:rPr>
        <w:t>编制结算</w:t>
      </w:r>
      <w:r>
        <w:rPr>
          <w:rFonts w:hAnsi="宋体"/>
          <w:color w:val="auto"/>
          <w:highlight w:val="none"/>
        </w:rPr>
        <w:t>。</w:t>
      </w:r>
    </w:p>
    <w:p>
      <w:pPr>
        <w:pStyle w:val="19"/>
        <w:snapToGrid w:val="0"/>
        <w:spacing w:before="120" w:after="120" w:line="360" w:lineRule="auto"/>
        <w:rPr>
          <w:rFonts w:hAnsi="宋体"/>
          <w:b/>
          <w:color w:val="auto"/>
          <w:highlight w:val="none"/>
        </w:rPr>
      </w:pPr>
      <w:r>
        <w:rPr>
          <w:rFonts w:hint="eastAsia" w:hAnsi="宋体"/>
          <w:b/>
          <w:color w:val="auto"/>
          <w:highlight w:val="none"/>
        </w:rPr>
        <w:t>六、安全文明施工</w:t>
      </w:r>
    </w:p>
    <w:p>
      <w:pPr>
        <w:pStyle w:val="19"/>
        <w:snapToGrid w:val="0"/>
        <w:spacing w:before="120" w:after="120" w:line="360" w:lineRule="auto"/>
        <w:ind w:left="360"/>
        <w:rPr>
          <w:rFonts w:hAnsi="宋体"/>
          <w:color w:val="auto"/>
          <w:highlight w:val="none"/>
        </w:rPr>
      </w:pPr>
      <w:r>
        <w:rPr>
          <w:rFonts w:hint="eastAsia" w:hAnsi="宋体"/>
          <w:color w:val="auto"/>
          <w:highlight w:val="none"/>
        </w:rPr>
        <w:t>（1）乙方应遵循有关规定及行业规范，严格按照操作规程作业，并随时接受甲方或有关部门的监督检查和社会监督，施工及养护作业人员须配备必要的安全防护措施作业，消除事故隐患。</w:t>
      </w:r>
    </w:p>
    <w:p>
      <w:pPr>
        <w:pStyle w:val="19"/>
        <w:snapToGrid w:val="0"/>
        <w:spacing w:before="120" w:after="120" w:line="360" w:lineRule="auto"/>
        <w:ind w:left="360"/>
        <w:rPr>
          <w:rFonts w:hAnsi="宋体"/>
          <w:color w:val="auto"/>
          <w:highlight w:val="none"/>
        </w:rPr>
      </w:pPr>
      <w:r>
        <w:rPr>
          <w:rFonts w:hint="eastAsia" w:hAnsi="宋体"/>
          <w:color w:val="auto"/>
          <w:highlight w:val="none"/>
        </w:rPr>
        <w:t>（2）由于乙方管理不善，引起政府职能部门处罚和限期整改，或安全措施不力造成事故的责任和因此产生的费用，由乙方承担。</w:t>
      </w:r>
    </w:p>
    <w:p>
      <w:pPr>
        <w:pStyle w:val="19"/>
        <w:snapToGrid w:val="0"/>
        <w:spacing w:before="120" w:after="120" w:line="360" w:lineRule="auto"/>
        <w:ind w:left="360"/>
        <w:rPr>
          <w:rFonts w:hAnsi="宋体"/>
          <w:color w:val="auto"/>
          <w:highlight w:val="none"/>
        </w:rPr>
      </w:pPr>
      <w:r>
        <w:rPr>
          <w:rFonts w:hint="eastAsia" w:hAnsi="宋体"/>
          <w:color w:val="auto"/>
          <w:highlight w:val="none"/>
        </w:rPr>
        <w:t>（3）如发生重大伤亡及其他安全事故，乙方应就有关规定立即上报有关部门并通知甲方，同时按政府有关部门要求处理，由事故责任方承担发生的费用。</w:t>
      </w:r>
    </w:p>
    <w:p>
      <w:pPr>
        <w:pStyle w:val="19"/>
        <w:snapToGrid w:val="0"/>
        <w:spacing w:before="120" w:after="120" w:line="360" w:lineRule="auto"/>
        <w:rPr>
          <w:rFonts w:hAnsi="宋体"/>
          <w:b/>
          <w:color w:val="auto"/>
          <w:highlight w:val="none"/>
        </w:rPr>
      </w:pPr>
      <w:r>
        <w:rPr>
          <w:rFonts w:hint="eastAsia" w:hAnsi="宋体"/>
          <w:b/>
          <w:color w:val="auto"/>
          <w:highlight w:val="none"/>
        </w:rPr>
        <w:t>七、技术资料和知识产权</w:t>
      </w:r>
    </w:p>
    <w:p>
      <w:pPr>
        <w:pStyle w:val="19"/>
        <w:snapToGrid w:val="0"/>
        <w:spacing w:before="120" w:after="120" w:line="360" w:lineRule="auto"/>
        <w:ind w:left="360"/>
        <w:rPr>
          <w:rFonts w:hAnsi="宋体"/>
          <w:color w:val="auto"/>
          <w:highlight w:val="none"/>
        </w:rPr>
      </w:pPr>
      <w:r>
        <w:rPr>
          <w:rFonts w:hint="eastAsia" w:hAnsi="宋体"/>
          <w:color w:val="auto"/>
          <w:highlight w:val="none"/>
        </w:rPr>
        <w:t>（1）乙方应按招标文件规定的时间向甲方提供有关技术资料。</w:t>
      </w:r>
    </w:p>
    <w:p>
      <w:pPr>
        <w:pStyle w:val="19"/>
        <w:snapToGrid w:val="0"/>
        <w:spacing w:before="120" w:after="120" w:line="360" w:lineRule="auto"/>
        <w:ind w:left="360"/>
        <w:rPr>
          <w:rFonts w:hAnsi="宋体"/>
          <w:color w:val="auto"/>
          <w:highlight w:val="none"/>
        </w:rPr>
      </w:pPr>
      <w:r>
        <w:rPr>
          <w:rFonts w:hint="eastAsia" w:hAnsi="宋体"/>
          <w:color w:val="auto"/>
          <w:highlight w:val="none"/>
        </w:rPr>
        <w:t>（2）没有甲方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19"/>
        <w:snapToGrid w:val="0"/>
        <w:spacing w:before="120" w:after="120" w:line="360" w:lineRule="auto"/>
        <w:ind w:left="360"/>
        <w:rPr>
          <w:rFonts w:hAnsi="宋体"/>
          <w:bCs/>
          <w:color w:val="auto"/>
          <w:highlight w:val="none"/>
        </w:rPr>
      </w:pPr>
      <w:r>
        <w:rPr>
          <w:rFonts w:hint="eastAsia" w:hAnsi="宋体"/>
          <w:color w:val="auto"/>
          <w:highlight w:val="none"/>
        </w:rPr>
        <w:t>（3）乙方应保证提供服务过程中不会侵犯第三方的知识产权</w:t>
      </w:r>
      <w:r>
        <w:rPr>
          <w:rFonts w:hint="eastAsia" w:hAnsi="宋体"/>
          <w:bCs/>
          <w:color w:val="auto"/>
          <w:highlight w:val="none"/>
        </w:rPr>
        <w:t>。</w:t>
      </w:r>
    </w:p>
    <w:p>
      <w:pPr>
        <w:pStyle w:val="19"/>
        <w:snapToGrid w:val="0"/>
        <w:spacing w:before="120" w:after="120" w:line="360" w:lineRule="auto"/>
        <w:rPr>
          <w:rFonts w:hAnsi="宋体"/>
          <w:b/>
          <w:color w:val="auto"/>
          <w:highlight w:val="none"/>
        </w:rPr>
      </w:pPr>
      <w:r>
        <w:rPr>
          <w:rFonts w:hint="eastAsia" w:hAnsi="宋体"/>
          <w:b/>
          <w:color w:val="auto"/>
          <w:highlight w:val="none"/>
        </w:rPr>
        <w:t>八、转包或分包</w:t>
      </w:r>
    </w:p>
    <w:p>
      <w:pPr>
        <w:snapToGrid w:val="0"/>
        <w:spacing w:beforeLines="50" w:afterLines="50"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除非得到甲方的书面同意，乙方不得将本合同范围的服务全部或部分转包或分包给他人。</w:t>
      </w:r>
    </w:p>
    <w:p>
      <w:pPr>
        <w:pStyle w:val="19"/>
        <w:snapToGrid w:val="0"/>
        <w:spacing w:before="120" w:after="120" w:line="360" w:lineRule="auto"/>
        <w:rPr>
          <w:rFonts w:hAnsi="宋体"/>
          <w:b/>
          <w:color w:val="auto"/>
          <w:highlight w:val="none"/>
        </w:rPr>
      </w:pPr>
      <w:r>
        <w:rPr>
          <w:rFonts w:hint="eastAsia" w:hAnsi="宋体"/>
          <w:b/>
          <w:color w:val="auto"/>
          <w:highlight w:val="none"/>
        </w:rPr>
        <w:t>九、税费</w:t>
      </w:r>
    </w:p>
    <w:p>
      <w:pPr>
        <w:snapToGrid w:val="0"/>
        <w:spacing w:beforeLines="50" w:afterLines="50" w:line="360" w:lineRule="auto"/>
        <w:ind w:firstLine="400" w:firstLineChars="200"/>
        <w:rPr>
          <w:rFonts w:ascii="宋体" w:hAnsi="宋体"/>
          <w:color w:val="auto"/>
          <w:sz w:val="20"/>
          <w:szCs w:val="20"/>
          <w:highlight w:val="none"/>
        </w:rPr>
      </w:pPr>
      <w:r>
        <w:rPr>
          <w:rFonts w:hint="eastAsia" w:ascii="宋体" w:hAnsi="宋体" w:cs="宋体"/>
          <w:color w:val="auto"/>
          <w:sz w:val="20"/>
          <w:szCs w:val="20"/>
          <w:highlight w:val="none"/>
        </w:rPr>
        <w:t>本合同执行中的一切税费均由乙方负担。</w:t>
      </w:r>
    </w:p>
    <w:p>
      <w:pPr>
        <w:pStyle w:val="19"/>
        <w:snapToGrid w:val="0"/>
        <w:spacing w:before="120" w:after="120" w:line="360" w:lineRule="auto"/>
        <w:rPr>
          <w:rFonts w:hAnsi="宋体"/>
          <w:b/>
          <w:color w:val="auto"/>
          <w:highlight w:val="none"/>
        </w:rPr>
      </w:pPr>
      <w:r>
        <w:rPr>
          <w:rFonts w:hint="eastAsia" w:hAnsi="宋体"/>
          <w:b/>
          <w:color w:val="auto"/>
          <w:highlight w:val="none"/>
        </w:rPr>
        <w:t>十、违约责任</w:t>
      </w:r>
    </w:p>
    <w:p>
      <w:pPr>
        <w:spacing w:line="360" w:lineRule="auto"/>
        <w:ind w:left="360"/>
        <w:rPr>
          <w:rFonts w:ascii="宋体" w:hAnsi="宋体"/>
          <w:color w:val="auto"/>
          <w:sz w:val="20"/>
          <w:szCs w:val="20"/>
          <w:highlight w:val="none"/>
        </w:rPr>
      </w:pPr>
      <w:r>
        <w:rPr>
          <w:rFonts w:hint="eastAsia" w:ascii="宋体" w:hAnsi="宋体"/>
          <w:color w:val="auto"/>
          <w:sz w:val="20"/>
          <w:szCs w:val="20"/>
          <w:highlight w:val="none"/>
        </w:rPr>
        <w:t>（1）乙方违反本合同约定的，甲方可根据乙方的违约情况，有权选择：1）让乙方承担违约金；2）终止合同；3）取消其享有管理承包权的资格。因乙方的违约行为造成甲方损失的，乙方应承担全额赔偿责任。</w:t>
      </w:r>
    </w:p>
    <w:p>
      <w:pPr>
        <w:pStyle w:val="19"/>
        <w:snapToGrid w:val="0"/>
        <w:spacing w:before="120" w:after="120" w:line="360" w:lineRule="auto"/>
        <w:rPr>
          <w:rFonts w:hAnsi="宋体"/>
          <w:b/>
          <w:color w:val="auto"/>
          <w:highlight w:val="none"/>
        </w:rPr>
      </w:pPr>
      <w:r>
        <w:rPr>
          <w:rFonts w:hint="eastAsia" w:hAnsi="宋体"/>
          <w:b/>
          <w:color w:val="auto"/>
          <w:highlight w:val="none"/>
        </w:rPr>
        <w:t>十一、不可抗力</w:t>
      </w:r>
    </w:p>
    <w:p>
      <w:pPr>
        <w:pStyle w:val="19"/>
        <w:snapToGrid w:val="0"/>
        <w:spacing w:before="120" w:after="120" w:line="360" w:lineRule="auto"/>
        <w:ind w:left="360"/>
        <w:rPr>
          <w:rFonts w:hAnsi="宋体"/>
          <w:color w:val="auto"/>
          <w:highlight w:val="none"/>
        </w:rPr>
      </w:pPr>
      <w:r>
        <w:rPr>
          <w:rFonts w:hint="eastAsia" w:hAnsi="宋体"/>
          <w:color w:val="auto"/>
          <w:highlight w:val="none"/>
        </w:rPr>
        <w:t>（1）在合同有效期内，任何一方因不可抗力事件导致不能履行合同，则合同履行期可延长，其延长期与不可抗力影响期相同。</w:t>
      </w:r>
    </w:p>
    <w:p>
      <w:pPr>
        <w:pStyle w:val="19"/>
        <w:snapToGrid w:val="0"/>
        <w:spacing w:before="120" w:after="120" w:line="360" w:lineRule="auto"/>
        <w:ind w:left="360"/>
        <w:rPr>
          <w:rFonts w:hAnsi="宋体"/>
          <w:color w:val="auto"/>
          <w:highlight w:val="none"/>
        </w:rPr>
      </w:pPr>
      <w:r>
        <w:rPr>
          <w:rFonts w:hint="eastAsia" w:hAnsi="宋体"/>
          <w:color w:val="auto"/>
          <w:highlight w:val="none"/>
        </w:rPr>
        <w:t>（2）不可抗力事件发生后应立即通知对方，并寄送有关权威机构出具的证明。</w:t>
      </w:r>
    </w:p>
    <w:p>
      <w:pPr>
        <w:pStyle w:val="19"/>
        <w:snapToGrid w:val="0"/>
        <w:spacing w:before="120" w:after="120" w:line="360" w:lineRule="auto"/>
        <w:ind w:left="360"/>
        <w:rPr>
          <w:rFonts w:hAnsi="宋体"/>
          <w:color w:val="auto"/>
          <w:highlight w:val="none"/>
        </w:rPr>
      </w:pPr>
      <w:r>
        <w:rPr>
          <w:rFonts w:hint="eastAsia" w:hAnsi="宋体"/>
          <w:color w:val="auto"/>
          <w:highlight w:val="none"/>
        </w:rPr>
        <w:t>（3）不可抗力事件延续120天以上，双方应通过友好协商，确定是否继续履行合同。</w:t>
      </w:r>
    </w:p>
    <w:p>
      <w:pPr>
        <w:pStyle w:val="19"/>
        <w:snapToGrid w:val="0"/>
        <w:spacing w:before="120" w:after="120" w:line="360" w:lineRule="auto"/>
        <w:rPr>
          <w:rFonts w:hAnsi="宋体"/>
          <w:b/>
          <w:color w:val="auto"/>
          <w:highlight w:val="none"/>
        </w:rPr>
      </w:pPr>
      <w:r>
        <w:rPr>
          <w:rFonts w:hint="eastAsia" w:hAnsi="宋体"/>
          <w:b/>
          <w:color w:val="auto"/>
          <w:highlight w:val="none"/>
        </w:rPr>
        <w:t>十二、诉讼</w:t>
      </w:r>
    </w:p>
    <w:p>
      <w:pPr>
        <w:pStyle w:val="19"/>
        <w:snapToGrid w:val="0"/>
        <w:spacing w:before="120" w:after="120" w:line="360" w:lineRule="auto"/>
        <w:ind w:firstLine="400" w:firstLineChars="200"/>
        <w:rPr>
          <w:rFonts w:hAnsi="宋体"/>
          <w:color w:val="auto"/>
          <w:highlight w:val="none"/>
        </w:rPr>
      </w:pPr>
      <w:r>
        <w:rPr>
          <w:rFonts w:hint="eastAsia" w:hAnsi="宋体"/>
          <w:color w:val="auto"/>
          <w:highlight w:val="none"/>
        </w:rPr>
        <w:t xml:space="preserve"> 双方在执行合同中所发生的一切争议，应通过协商解决。如协商不成，可向甲方所在地法院起诉。</w:t>
      </w:r>
    </w:p>
    <w:p>
      <w:pPr>
        <w:pStyle w:val="19"/>
        <w:snapToGrid w:val="0"/>
        <w:spacing w:before="120" w:after="120" w:line="360" w:lineRule="auto"/>
        <w:rPr>
          <w:rFonts w:hAnsi="宋体"/>
          <w:b/>
          <w:color w:val="auto"/>
          <w:highlight w:val="none"/>
        </w:rPr>
      </w:pPr>
      <w:r>
        <w:rPr>
          <w:rFonts w:hint="eastAsia" w:hAnsi="宋体"/>
          <w:b/>
          <w:color w:val="auto"/>
          <w:highlight w:val="none"/>
        </w:rPr>
        <w:t>十三、其它</w:t>
      </w:r>
    </w:p>
    <w:p>
      <w:pPr>
        <w:pStyle w:val="19"/>
        <w:snapToGrid w:val="0"/>
        <w:spacing w:before="120" w:after="120" w:line="360" w:lineRule="auto"/>
        <w:ind w:left="360"/>
        <w:rPr>
          <w:rFonts w:hAnsi="宋体"/>
          <w:color w:val="auto"/>
          <w:highlight w:val="none"/>
        </w:rPr>
      </w:pPr>
      <w:r>
        <w:rPr>
          <w:rFonts w:hint="eastAsia" w:hAnsi="宋体"/>
          <w:color w:val="auto"/>
          <w:highlight w:val="none"/>
        </w:rPr>
        <w:t>（1）合同经双方法定代表人或授权代表签字并加盖单位公章后生效。</w:t>
      </w:r>
    </w:p>
    <w:p>
      <w:pPr>
        <w:pStyle w:val="19"/>
        <w:snapToGrid w:val="0"/>
        <w:spacing w:before="120" w:after="120" w:line="360" w:lineRule="auto"/>
        <w:ind w:left="360"/>
        <w:rPr>
          <w:color w:val="auto"/>
          <w:highlight w:val="none"/>
        </w:rPr>
      </w:pPr>
      <w:r>
        <w:rPr>
          <w:rFonts w:hint="eastAsia"/>
          <w:color w:val="auto"/>
          <w:highlight w:val="none"/>
        </w:rPr>
        <w:t>（2）招标文件及说明为本合同的附件，是本合同的补充，具有同等的法律效力。</w:t>
      </w:r>
      <w:r>
        <w:rPr>
          <w:rFonts w:hint="eastAsia" w:hAnsi="宋体"/>
          <w:color w:val="auto"/>
          <w:highlight w:val="none"/>
        </w:rPr>
        <w:t>本合同未尽事宜，由甲乙双方协商解决或遵照《民法典》有关条文执行。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 w:firstLineChars="200"/>
        <w:jc w:val="left"/>
        <w:rPr>
          <w:rFonts w:ascii="宋体" w:cs="Arial"/>
          <w:color w:val="auto"/>
          <w:kern w:val="0"/>
          <w:sz w:val="20"/>
          <w:szCs w:val="20"/>
          <w:highlight w:val="none"/>
        </w:rPr>
      </w:pPr>
      <w:r>
        <w:rPr>
          <w:rFonts w:hint="eastAsia"/>
          <w:color w:val="auto"/>
          <w:sz w:val="20"/>
          <w:szCs w:val="20"/>
          <w:highlight w:val="none"/>
        </w:rPr>
        <w:t>（3）</w:t>
      </w:r>
      <w:r>
        <w:rPr>
          <w:rFonts w:hint="eastAsia" w:ascii="宋体" w:cs="Arial"/>
          <w:color w:val="auto"/>
          <w:kern w:val="0"/>
          <w:sz w:val="20"/>
          <w:szCs w:val="20"/>
          <w:highlight w:val="none"/>
        </w:rPr>
        <w:t>本合同一式份，甲乙双方各执    份，1份报送政府采购监督管理部门备案，其余</w:t>
      </w:r>
      <w:r>
        <w:rPr>
          <w:rFonts w:hint="eastAsia" w:ascii="宋体" w:cs="Arial"/>
          <w:color w:val="auto"/>
          <w:kern w:val="0"/>
          <w:sz w:val="20"/>
          <w:szCs w:val="20"/>
          <w:highlight w:val="none"/>
          <w:u w:val="single"/>
        </w:rPr>
        <w:t xml:space="preserve">    </w:t>
      </w:r>
      <w:r>
        <w:rPr>
          <w:rFonts w:hint="eastAsia" w:ascii="宋体" w:cs="Arial"/>
          <w:color w:val="auto"/>
          <w:kern w:val="0"/>
          <w:sz w:val="20"/>
          <w:szCs w:val="20"/>
          <w:highlight w:val="none"/>
        </w:rPr>
        <w:t xml:space="preserve"> 。</w:t>
      </w:r>
    </w:p>
    <w:p>
      <w:pPr>
        <w:pStyle w:val="19"/>
        <w:snapToGrid w:val="0"/>
        <w:spacing w:before="120" w:after="120" w:line="360" w:lineRule="auto"/>
        <w:ind w:left="360"/>
        <w:rPr>
          <w:color w:val="auto"/>
          <w:highlight w:val="none"/>
        </w:rPr>
      </w:pPr>
      <w:r>
        <w:rPr>
          <w:rFonts w:hint="eastAsia"/>
          <w:color w:val="auto"/>
          <w:highlight w:val="none"/>
        </w:rPr>
        <w:t>（4）本合同自双方合同签订之日起算。</w:t>
      </w:r>
    </w:p>
    <w:p>
      <w:pPr>
        <w:pStyle w:val="19"/>
        <w:snapToGrid w:val="0"/>
        <w:spacing w:before="120" w:after="120" w:line="360" w:lineRule="auto"/>
        <w:ind w:left="400" w:hanging="400" w:hangingChars="200"/>
        <w:rPr>
          <w:rFonts w:hAnsi="宋体"/>
          <w:color w:val="auto"/>
          <w:highlight w:val="none"/>
        </w:rPr>
      </w:pPr>
      <w:r>
        <w:rPr>
          <w:rFonts w:hint="eastAsia" w:hAnsi="宋体"/>
          <w:color w:val="auto"/>
          <w:highlight w:val="none"/>
        </w:rPr>
        <w:t xml:space="preserve">  甲方：                                   乙方： </w:t>
      </w:r>
    </w:p>
    <w:p>
      <w:pPr>
        <w:pStyle w:val="19"/>
        <w:snapToGrid w:val="0"/>
        <w:spacing w:before="120" w:after="120" w:line="360" w:lineRule="auto"/>
        <w:rPr>
          <w:rFonts w:hAnsi="宋体"/>
          <w:color w:val="auto"/>
          <w:highlight w:val="none"/>
        </w:rPr>
      </w:pPr>
      <w:r>
        <w:rPr>
          <w:rFonts w:hint="eastAsia" w:hAnsi="宋体"/>
          <w:color w:val="auto"/>
          <w:highlight w:val="none"/>
        </w:rPr>
        <w:t xml:space="preserve">  地址：                                   地址： </w:t>
      </w:r>
    </w:p>
    <w:p>
      <w:pPr>
        <w:pStyle w:val="19"/>
        <w:snapToGrid w:val="0"/>
        <w:spacing w:before="120" w:after="120" w:line="360" w:lineRule="auto"/>
        <w:rPr>
          <w:rFonts w:hAnsi="宋体"/>
          <w:color w:val="auto"/>
          <w:highlight w:val="none"/>
        </w:rPr>
      </w:pPr>
      <w:r>
        <w:rPr>
          <w:rFonts w:hint="eastAsia" w:hAnsi="宋体"/>
          <w:color w:val="auto"/>
          <w:highlight w:val="none"/>
        </w:rPr>
        <w:t xml:space="preserve">  法定（授权）代表人：                     法定（授权）代表人：</w:t>
      </w:r>
    </w:p>
    <w:p>
      <w:pPr>
        <w:pStyle w:val="19"/>
        <w:snapToGrid w:val="0"/>
        <w:spacing w:before="120" w:after="120" w:line="360" w:lineRule="auto"/>
        <w:rPr>
          <w:rFonts w:hAnsi="宋体"/>
          <w:color w:val="auto"/>
          <w:highlight w:val="none"/>
        </w:rPr>
      </w:pPr>
      <w:r>
        <w:rPr>
          <w:rFonts w:hint="eastAsia" w:hAnsi="宋体"/>
          <w:color w:val="auto"/>
          <w:highlight w:val="none"/>
        </w:rPr>
        <w:t xml:space="preserve">  签字日期：      年  月  日           签字日期：      年  月  日</w:t>
      </w: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cs="Arial"/>
          <w:color w:val="auto"/>
          <w:highlight w:val="none"/>
        </w:rPr>
      </w:pPr>
      <w:r>
        <w:rPr>
          <w:rFonts w:hint="eastAsia" w:cs="Arial"/>
          <w:color w:val="auto"/>
          <w:highlight w:val="none"/>
        </w:rPr>
        <w:t>鉴证单位</w:t>
      </w:r>
      <w:r>
        <w:rPr>
          <w:rFonts w:cs="Arial"/>
          <w:color w:val="auto"/>
          <w:highlight w:val="none"/>
        </w:rPr>
        <w:t>:</w:t>
      </w:r>
      <w:r>
        <w:rPr>
          <w:rFonts w:hint="eastAsia" w:cs="Arial"/>
          <w:color w:val="auto"/>
          <w:highlight w:val="none"/>
        </w:rPr>
        <w:t>嘉兴市银建工程咨询评估有限公司</w:t>
      </w:r>
    </w:p>
    <w:p>
      <w:pPr>
        <w:pStyle w:val="19"/>
        <w:snapToGrid w:val="0"/>
        <w:spacing w:before="120" w:after="120" w:line="360" w:lineRule="auto"/>
        <w:rPr>
          <w:rFonts w:cs="Arial"/>
          <w:color w:val="auto"/>
          <w:highlight w:val="none"/>
        </w:rPr>
      </w:pPr>
      <w:r>
        <w:rPr>
          <w:rFonts w:cs="Arial"/>
          <w:color w:val="auto"/>
          <w:highlight w:val="none"/>
        </w:rPr>
        <w:t>法定代表人或主要负责人:</w:t>
      </w:r>
    </w:p>
    <w:p>
      <w:pPr>
        <w:pStyle w:val="19"/>
        <w:snapToGrid w:val="0"/>
        <w:spacing w:before="120" w:after="120" w:line="360" w:lineRule="auto"/>
        <w:rPr>
          <w:rFonts w:cs="Arial"/>
          <w:color w:val="auto"/>
          <w:highlight w:val="none"/>
        </w:rPr>
      </w:pPr>
      <w:r>
        <w:rPr>
          <w:rFonts w:cs="Arial"/>
          <w:color w:val="auto"/>
          <w:highlight w:val="none"/>
        </w:rPr>
        <w:t>鉴证日期:      年  月  日</w:t>
      </w: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pStyle w:val="19"/>
        <w:snapToGrid w:val="0"/>
        <w:spacing w:before="120" w:after="120" w:line="360" w:lineRule="auto"/>
        <w:rPr>
          <w:rFonts w:hAnsi="宋体"/>
          <w:color w:val="auto"/>
          <w:highlight w:val="none"/>
        </w:rPr>
      </w:pPr>
    </w:p>
    <w:p>
      <w:pPr>
        <w:rPr>
          <w:rFonts w:hAnsi="宋体"/>
          <w:color w:val="auto"/>
          <w:highlight w:val="none"/>
        </w:rPr>
      </w:pPr>
    </w:p>
    <w:p>
      <w:pPr>
        <w:rPr>
          <w:bCs/>
          <w:color w:val="auto"/>
          <w:sz w:val="28"/>
          <w:szCs w:val="28"/>
          <w:highlight w:val="none"/>
        </w:rPr>
      </w:pPr>
      <w:r>
        <w:rPr>
          <w:rFonts w:hint="eastAsia"/>
          <w:bCs/>
          <w:color w:val="auto"/>
          <w:sz w:val="28"/>
          <w:szCs w:val="28"/>
          <w:highlight w:val="none"/>
        </w:rPr>
        <w:t>附表一</w:t>
      </w:r>
    </w:p>
    <w:p>
      <w:pPr>
        <w:jc w:val="center"/>
        <w:rPr>
          <w:b/>
          <w:bCs/>
          <w:color w:val="auto"/>
          <w:sz w:val="28"/>
          <w:szCs w:val="28"/>
          <w:highlight w:val="none"/>
        </w:rPr>
      </w:pPr>
      <w:r>
        <w:rPr>
          <w:rFonts w:hint="eastAsia"/>
          <w:b/>
          <w:bCs/>
          <w:color w:val="auto"/>
          <w:sz w:val="28"/>
          <w:szCs w:val="28"/>
          <w:highlight w:val="none"/>
        </w:rPr>
        <w:t>道路、桥梁及其附属设施</w:t>
      </w:r>
    </w:p>
    <w:p>
      <w:pPr>
        <w:jc w:val="center"/>
        <w:rPr>
          <w:b/>
          <w:bCs/>
          <w:color w:val="auto"/>
          <w:sz w:val="28"/>
          <w:szCs w:val="28"/>
          <w:highlight w:val="none"/>
        </w:rPr>
      </w:pPr>
      <w:r>
        <w:rPr>
          <w:rFonts w:hint="eastAsia"/>
          <w:b/>
          <w:bCs/>
          <w:color w:val="auto"/>
          <w:sz w:val="28"/>
          <w:szCs w:val="28"/>
          <w:highlight w:val="none"/>
        </w:rPr>
        <w:t>维修工作月度计划表</w:t>
      </w:r>
    </w:p>
    <w:p>
      <w:pPr>
        <w:jc w:val="center"/>
        <w:rPr>
          <w:rFonts w:ascii="仿宋_GB2312" w:eastAsia="仿宋_GB2312"/>
          <w:color w:val="auto"/>
          <w:sz w:val="28"/>
          <w:szCs w:val="28"/>
          <w:highlight w:val="none"/>
        </w:rPr>
      </w:pPr>
      <w:r>
        <w:rPr>
          <w:rFonts w:hint="eastAsia"/>
          <w:b/>
          <w:bCs/>
          <w:color w:val="auto"/>
          <w:sz w:val="28"/>
          <w:szCs w:val="28"/>
          <w:highlight w:val="none"/>
        </w:rPr>
        <w:t>（</w:t>
      </w:r>
      <w:r>
        <w:rPr>
          <w:b/>
          <w:bCs/>
          <w:color w:val="auto"/>
          <w:sz w:val="28"/>
          <w:szCs w:val="28"/>
          <w:highlight w:val="none"/>
        </w:rPr>
        <w:t xml:space="preserve">  </w:t>
      </w:r>
      <w:r>
        <w:rPr>
          <w:rFonts w:hint="eastAsia"/>
          <w:b/>
          <w:bCs/>
          <w:color w:val="auto"/>
          <w:sz w:val="28"/>
          <w:szCs w:val="28"/>
          <w:highlight w:val="none"/>
        </w:rPr>
        <w:t>月</w:t>
      </w:r>
      <w:r>
        <w:rPr>
          <w:b/>
          <w:bCs/>
          <w:color w:val="auto"/>
          <w:sz w:val="28"/>
          <w:szCs w:val="28"/>
          <w:highlight w:val="none"/>
        </w:rPr>
        <w:t xml:space="preserve">  </w:t>
      </w:r>
      <w:r>
        <w:rPr>
          <w:rFonts w:hint="eastAsia"/>
          <w:b/>
          <w:bCs/>
          <w:color w:val="auto"/>
          <w:sz w:val="28"/>
          <w:szCs w:val="28"/>
          <w:highlight w:val="none"/>
        </w:rPr>
        <w:t>日——</w:t>
      </w:r>
      <w:r>
        <w:rPr>
          <w:b/>
          <w:bCs/>
          <w:color w:val="auto"/>
          <w:sz w:val="28"/>
          <w:szCs w:val="28"/>
          <w:highlight w:val="none"/>
        </w:rPr>
        <w:t xml:space="preserve">  </w:t>
      </w:r>
      <w:r>
        <w:rPr>
          <w:rFonts w:hint="eastAsia"/>
          <w:b/>
          <w:bCs/>
          <w:color w:val="auto"/>
          <w:sz w:val="28"/>
          <w:szCs w:val="28"/>
          <w:highlight w:val="none"/>
        </w:rPr>
        <w:t>月</w:t>
      </w:r>
      <w:r>
        <w:rPr>
          <w:b/>
          <w:bCs/>
          <w:color w:val="auto"/>
          <w:sz w:val="28"/>
          <w:szCs w:val="28"/>
          <w:highlight w:val="none"/>
        </w:rPr>
        <w:t xml:space="preserve">  </w:t>
      </w:r>
      <w:r>
        <w:rPr>
          <w:rFonts w:hint="eastAsia"/>
          <w:b/>
          <w:bCs/>
          <w:color w:val="auto"/>
          <w:sz w:val="28"/>
          <w:szCs w:val="28"/>
          <w:highlight w:val="none"/>
        </w:rPr>
        <w:t>日）</w:t>
      </w:r>
    </w:p>
    <w:tbl>
      <w:tblPr>
        <w:tblStyle w:val="33"/>
        <w:tblW w:w="8522"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30" w:type="dxa"/>
            <w:vAlign w:val="center"/>
          </w:tcPr>
          <w:p>
            <w:pPr>
              <w:jc w:val="center"/>
              <w:rPr>
                <w:rFonts w:ascii="宋体" w:hAnsi="宋体"/>
                <w:color w:val="auto"/>
                <w:sz w:val="24"/>
                <w:highlight w:val="none"/>
              </w:rPr>
            </w:pPr>
            <w:r>
              <w:rPr>
                <w:rFonts w:hint="eastAsia" w:ascii="宋体" w:hAnsi="宋体"/>
                <w:color w:val="auto"/>
                <w:sz w:val="24"/>
                <w:highlight w:val="none"/>
              </w:rPr>
              <w:t>维修地点</w:t>
            </w:r>
          </w:p>
        </w:tc>
        <w:tc>
          <w:tcPr>
            <w:tcW w:w="2130" w:type="dxa"/>
            <w:vAlign w:val="center"/>
          </w:tcPr>
          <w:p>
            <w:pPr>
              <w:jc w:val="center"/>
              <w:rPr>
                <w:rFonts w:ascii="宋体" w:hAnsi="宋体"/>
                <w:color w:val="auto"/>
                <w:sz w:val="24"/>
                <w:highlight w:val="none"/>
              </w:rPr>
            </w:pPr>
            <w:r>
              <w:rPr>
                <w:rFonts w:hint="eastAsia" w:ascii="宋体" w:hAnsi="宋体"/>
                <w:color w:val="auto"/>
                <w:sz w:val="24"/>
                <w:highlight w:val="none"/>
              </w:rPr>
              <w:t>维修内容</w:t>
            </w:r>
          </w:p>
        </w:tc>
        <w:tc>
          <w:tcPr>
            <w:tcW w:w="2131" w:type="dxa"/>
            <w:vAlign w:val="center"/>
          </w:tcPr>
          <w:p>
            <w:pPr>
              <w:jc w:val="center"/>
              <w:rPr>
                <w:rFonts w:ascii="宋体" w:hAnsi="宋体"/>
                <w:color w:val="auto"/>
                <w:sz w:val="24"/>
                <w:highlight w:val="none"/>
              </w:rPr>
            </w:pPr>
            <w:r>
              <w:rPr>
                <w:rFonts w:hint="eastAsia" w:ascii="宋体" w:hAnsi="宋体"/>
                <w:color w:val="auto"/>
                <w:sz w:val="24"/>
                <w:highlight w:val="none"/>
              </w:rPr>
              <w:t>维修方法</w:t>
            </w:r>
          </w:p>
        </w:tc>
        <w:tc>
          <w:tcPr>
            <w:tcW w:w="2131"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宋体" w:hAnsi="宋体"/>
                <w:color w:val="auto"/>
                <w:sz w:val="28"/>
                <w:szCs w:val="28"/>
                <w:highlight w:val="none"/>
              </w:rPr>
            </w:pPr>
          </w:p>
          <w:p>
            <w:pPr>
              <w:jc w:val="center"/>
              <w:rPr>
                <w:rFonts w:ascii="宋体" w:hAnsi="宋体"/>
                <w:color w:val="auto"/>
                <w:sz w:val="28"/>
                <w:szCs w:val="28"/>
                <w:highlight w:val="none"/>
              </w:rPr>
            </w:pPr>
          </w:p>
        </w:tc>
        <w:tc>
          <w:tcPr>
            <w:tcW w:w="2130"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c>
          <w:tcPr>
            <w:tcW w:w="2131" w:type="dxa"/>
            <w:vAlign w:val="center"/>
          </w:tcPr>
          <w:p>
            <w:pPr>
              <w:jc w:val="center"/>
              <w:rPr>
                <w:rFonts w:ascii="宋体" w:hAnsi="宋体"/>
                <w:color w:val="auto"/>
                <w:sz w:val="28"/>
                <w:szCs w:val="28"/>
                <w:highlight w:val="none"/>
              </w:rPr>
            </w:pPr>
          </w:p>
        </w:tc>
      </w:tr>
    </w:tbl>
    <w:p>
      <w:pPr>
        <w:rPr>
          <w:rFonts w:ascii="仿宋_GB2312" w:eastAsia="仿宋_GB2312"/>
          <w:color w:val="auto"/>
          <w:sz w:val="22"/>
          <w:szCs w:val="22"/>
          <w:highlight w:val="none"/>
        </w:rPr>
      </w:pPr>
      <w:r>
        <w:rPr>
          <w:rFonts w:hint="eastAsia" w:ascii="仿宋_GB2312" w:eastAsia="仿宋_GB2312"/>
          <w:color w:val="auto"/>
          <w:sz w:val="22"/>
          <w:szCs w:val="22"/>
          <w:highlight w:val="none"/>
        </w:rPr>
        <w:t>注：维修单位在每月25日前将下月维修情况传真至</w:t>
      </w:r>
      <w:r>
        <w:rPr>
          <w:rFonts w:hint="eastAsia" w:ascii="仿宋_GB2312" w:eastAsia="仿宋_GB2312"/>
          <w:color w:val="auto"/>
          <w:sz w:val="22"/>
          <w:szCs w:val="22"/>
          <w:highlight w:val="none"/>
          <w:lang w:eastAsia="zh-CN"/>
        </w:rPr>
        <w:t>浙江乍浦经济开发区（嘉兴港区）管理委员会</w:t>
      </w:r>
      <w:r>
        <w:rPr>
          <w:rFonts w:hint="eastAsia" w:ascii="仿宋_GB2312" w:eastAsia="仿宋_GB2312"/>
          <w:color w:val="auto"/>
          <w:sz w:val="22"/>
          <w:szCs w:val="22"/>
          <w:highlight w:val="none"/>
        </w:rPr>
        <w:t>园林市政科。</w:t>
      </w:r>
    </w:p>
    <w:p>
      <w:pPr>
        <w:rPr>
          <w:color w:val="auto"/>
          <w:sz w:val="22"/>
          <w:szCs w:val="22"/>
          <w:highlight w:val="none"/>
        </w:rPr>
      </w:pPr>
      <w:r>
        <w:rPr>
          <w:rFonts w:hint="eastAsia" w:ascii="仿宋_GB2312" w:eastAsia="仿宋_GB2312"/>
          <w:color w:val="auto"/>
          <w:sz w:val="22"/>
          <w:szCs w:val="22"/>
          <w:highlight w:val="none"/>
        </w:rPr>
        <w:t xml:space="preserve">联系电话：          </w:t>
      </w:r>
      <w:r>
        <w:rPr>
          <w:color w:val="auto"/>
          <w:sz w:val="22"/>
          <w:szCs w:val="22"/>
          <w:highlight w:val="none"/>
        </w:rPr>
        <w:t xml:space="preserve">   </w:t>
      </w:r>
      <w:r>
        <w:rPr>
          <w:rFonts w:hint="eastAsia" w:ascii="仿宋_GB2312" w:eastAsia="仿宋_GB2312"/>
          <w:color w:val="auto"/>
          <w:sz w:val="22"/>
          <w:szCs w:val="22"/>
          <w:highlight w:val="none"/>
        </w:rPr>
        <w:t xml:space="preserve">传真： </w:t>
      </w:r>
      <w:r>
        <w:rPr>
          <w:color w:val="auto"/>
          <w:sz w:val="22"/>
          <w:szCs w:val="22"/>
          <w:highlight w:val="none"/>
        </w:rPr>
        <w:t xml:space="preserve">   </w:t>
      </w:r>
    </w:p>
    <w:p>
      <w:pPr>
        <w:rPr>
          <w:rFonts w:hint="eastAsia"/>
          <w:color w:val="auto"/>
          <w:sz w:val="28"/>
          <w:szCs w:val="28"/>
          <w:highlight w:val="none"/>
        </w:rPr>
      </w:pPr>
    </w:p>
    <w:p>
      <w:pPr>
        <w:rPr>
          <w:rFonts w:hint="eastAsia"/>
          <w:color w:val="auto"/>
          <w:sz w:val="28"/>
          <w:szCs w:val="28"/>
          <w:highlight w:val="none"/>
        </w:rPr>
      </w:pPr>
    </w:p>
    <w:p>
      <w:pPr>
        <w:rPr>
          <w:color w:val="auto"/>
          <w:sz w:val="28"/>
          <w:szCs w:val="28"/>
          <w:highlight w:val="none"/>
        </w:rPr>
      </w:pPr>
      <w:r>
        <w:rPr>
          <w:rFonts w:hint="eastAsia"/>
          <w:color w:val="auto"/>
          <w:sz w:val="28"/>
          <w:szCs w:val="28"/>
          <w:highlight w:val="none"/>
        </w:rPr>
        <w:t>附表二</w:t>
      </w:r>
    </w:p>
    <w:p>
      <w:pPr>
        <w:jc w:val="center"/>
        <w:rPr>
          <w:b/>
          <w:bCs/>
          <w:color w:val="auto"/>
          <w:sz w:val="28"/>
          <w:szCs w:val="28"/>
          <w:highlight w:val="none"/>
        </w:rPr>
      </w:pPr>
      <w:r>
        <w:rPr>
          <w:rFonts w:hint="eastAsia"/>
          <w:b/>
          <w:bCs/>
          <w:color w:val="auto"/>
          <w:sz w:val="28"/>
          <w:szCs w:val="28"/>
          <w:highlight w:val="none"/>
        </w:rPr>
        <w:t>道路、桥梁及其附属设施</w:t>
      </w:r>
    </w:p>
    <w:p>
      <w:pPr>
        <w:jc w:val="center"/>
        <w:rPr>
          <w:b/>
          <w:bCs/>
          <w:color w:val="auto"/>
          <w:sz w:val="28"/>
          <w:szCs w:val="28"/>
          <w:highlight w:val="none"/>
        </w:rPr>
      </w:pPr>
      <w:r>
        <w:rPr>
          <w:rFonts w:hint="eastAsia"/>
          <w:b/>
          <w:bCs/>
          <w:color w:val="auto"/>
          <w:sz w:val="28"/>
          <w:szCs w:val="28"/>
          <w:highlight w:val="none"/>
        </w:rPr>
        <w:t>维修完成工作月度统计表</w:t>
      </w:r>
    </w:p>
    <w:p>
      <w:pPr>
        <w:jc w:val="center"/>
        <w:rPr>
          <w:rFonts w:ascii="仿宋_GB2312" w:eastAsia="仿宋_GB2312"/>
          <w:color w:val="auto"/>
          <w:sz w:val="28"/>
          <w:szCs w:val="28"/>
          <w:highlight w:val="none"/>
        </w:rPr>
      </w:pPr>
      <w:r>
        <w:rPr>
          <w:rFonts w:hint="eastAsia"/>
          <w:b/>
          <w:bCs/>
          <w:color w:val="auto"/>
          <w:sz w:val="28"/>
          <w:szCs w:val="28"/>
          <w:highlight w:val="none"/>
        </w:rPr>
        <w:t>（</w:t>
      </w:r>
      <w:r>
        <w:rPr>
          <w:b/>
          <w:bCs/>
          <w:color w:val="auto"/>
          <w:sz w:val="28"/>
          <w:szCs w:val="28"/>
          <w:highlight w:val="none"/>
        </w:rPr>
        <w:t xml:space="preserve">  </w:t>
      </w:r>
      <w:r>
        <w:rPr>
          <w:rFonts w:hint="eastAsia"/>
          <w:b/>
          <w:bCs/>
          <w:color w:val="auto"/>
          <w:sz w:val="28"/>
          <w:szCs w:val="28"/>
          <w:highlight w:val="none"/>
        </w:rPr>
        <w:t>月</w:t>
      </w:r>
      <w:r>
        <w:rPr>
          <w:b/>
          <w:bCs/>
          <w:color w:val="auto"/>
          <w:sz w:val="28"/>
          <w:szCs w:val="28"/>
          <w:highlight w:val="none"/>
        </w:rPr>
        <w:t xml:space="preserve">  </w:t>
      </w:r>
      <w:r>
        <w:rPr>
          <w:rFonts w:hint="eastAsia"/>
          <w:b/>
          <w:bCs/>
          <w:color w:val="auto"/>
          <w:sz w:val="28"/>
          <w:szCs w:val="28"/>
          <w:highlight w:val="none"/>
        </w:rPr>
        <w:t>日——</w:t>
      </w:r>
      <w:r>
        <w:rPr>
          <w:b/>
          <w:bCs/>
          <w:color w:val="auto"/>
          <w:sz w:val="28"/>
          <w:szCs w:val="28"/>
          <w:highlight w:val="none"/>
        </w:rPr>
        <w:t xml:space="preserve">  </w:t>
      </w:r>
      <w:r>
        <w:rPr>
          <w:rFonts w:hint="eastAsia"/>
          <w:b/>
          <w:bCs/>
          <w:color w:val="auto"/>
          <w:sz w:val="28"/>
          <w:szCs w:val="28"/>
          <w:highlight w:val="none"/>
        </w:rPr>
        <w:t>月</w:t>
      </w:r>
      <w:r>
        <w:rPr>
          <w:b/>
          <w:bCs/>
          <w:color w:val="auto"/>
          <w:sz w:val="28"/>
          <w:szCs w:val="28"/>
          <w:highlight w:val="none"/>
        </w:rPr>
        <w:t xml:space="preserve">  </w:t>
      </w:r>
      <w:r>
        <w:rPr>
          <w:rFonts w:hint="eastAsia"/>
          <w:b/>
          <w:bCs/>
          <w:color w:val="auto"/>
          <w:sz w:val="28"/>
          <w:szCs w:val="28"/>
          <w:highlight w:val="none"/>
        </w:rPr>
        <w:t>日）</w:t>
      </w:r>
    </w:p>
    <w:tbl>
      <w:tblPr>
        <w:tblStyle w:val="33"/>
        <w:tblW w:w="0" w:type="auto"/>
        <w:tblInd w:w="0" w:type="dxa"/>
        <w:tblLayout w:type="fixed"/>
        <w:tblCellMar>
          <w:top w:w="0" w:type="dxa"/>
          <w:left w:w="0" w:type="dxa"/>
          <w:bottom w:w="0" w:type="dxa"/>
          <w:right w:w="0" w:type="dxa"/>
        </w:tblCellMar>
      </w:tblPr>
      <w:tblGrid>
        <w:gridCol w:w="720"/>
        <w:gridCol w:w="1260"/>
        <w:gridCol w:w="720"/>
        <w:gridCol w:w="1260"/>
        <w:gridCol w:w="4140"/>
        <w:gridCol w:w="1620"/>
      </w:tblGrid>
      <w:tr>
        <w:tblPrEx>
          <w:tblCellMar>
            <w:top w:w="0" w:type="dxa"/>
            <w:left w:w="0" w:type="dxa"/>
            <w:bottom w:w="0" w:type="dxa"/>
            <w:right w:w="0" w:type="dxa"/>
          </w:tblCellMar>
        </w:tblPrEx>
        <w:trPr>
          <w:cantSplit/>
          <w:trHeight w:val="624" w:hRule="atLeast"/>
        </w:trPr>
        <w:tc>
          <w:tcPr>
            <w:tcW w:w="1980"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维修项目</w:t>
            </w:r>
          </w:p>
        </w:tc>
        <w:tc>
          <w:tcPr>
            <w:tcW w:w="72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单位</w:t>
            </w:r>
          </w:p>
        </w:tc>
        <w:tc>
          <w:tcPr>
            <w:tcW w:w="1260" w:type="dxa"/>
            <w:vMerge w:val="restart"/>
            <w:tcBorders>
              <w:top w:val="single" w:color="auto" w:sz="4" w:space="0"/>
              <w:left w:val="single" w:color="auto" w:sz="4" w:space="0"/>
              <w:bottom w:val="single" w:color="000000" w:sz="4" w:space="0"/>
              <w:right w:val="nil"/>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维修工程量</w:t>
            </w:r>
          </w:p>
        </w:tc>
        <w:tc>
          <w:tcPr>
            <w:tcW w:w="414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维修明细（主要）</w:t>
            </w:r>
          </w:p>
        </w:tc>
        <w:tc>
          <w:tcPr>
            <w:tcW w:w="162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资金额估算</w:t>
            </w:r>
          </w:p>
        </w:tc>
      </w:tr>
      <w:tr>
        <w:tblPrEx>
          <w:tblCellMar>
            <w:top w:w="0" w:type="dxa"/>
            <w:left w:w="0" w:type="dxa"/>
            <w:bottom w:w="0" w:type="dxa"/>
            <w:right w:w="0" w:type="dxa"/>
          </w:tblCellMar>
        </w:tblPrEx>
        <w:trPr>
          <w:cantSplit/>
          <w:trHeight w:val="624" w:hRule="atLeast"/>
        </w:trPr>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bCs/>
                <w:color w:val="auto"/>
                <w:sz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bCs/>
                <w:color w:val="auto"/>
                <w:sz w:val="24"/>
                <w:highlight w:val="none"/>
              </w:rPr>
            </w:pPr>
          </w:p>
        </w:tc>
        <w:tc>
          <w:tcPr>
            <w:tcW w:w="1260" w:type="dxa"/>
            <w:vMerge w:val="continue"/>
            <w:tcBorders>
              <w:top w:val="nil"/>
              <w:left w:val="single" w:color="auto" w:sz="4" w:space="0"/>
              <w:bottom w:val="single" w:color="000000" w:sz="4" w:space="0"/>
              <w:right w:val="nil"/>
            </w:tcBorders>
            <w:vAlign w:val="center"/>
          </w:tcPr>
          <w:p>
            <w:pPr>
              <w:jc w:val="center"/>
              <w:rPr>
                <w:rFonts w:ascii="宋体" w:hAnsi="宋体"/>
                <w:bCs/>
                <w:color w:val="auto"/>
                <w:sz w:val="24"/>
                <w:highlight w:val="none"/>
              </w:rPr>
            </w:pPr>
          </w:p>
        </w:tc>
        <w:tc>
          <w:tcPr>
            <w:tcW w:w="414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bCs/>
                <w:color w:val="auto"/>
                <w:sz w:val="24"/>
                <w:highlight w:val="none"/>
              </w:rPr>
            </w:pPr>
          </w:p>
        </w:tc>
        <w:tc>
          <w:tcPr>
            <w:tcW w:w="162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bCs/>
                <w:color w:val="auto"/>
                <w:sz w:val="24"/>
                <w:highlight w:val="none"/>
              </w:rPr>
            </w:pPr>
          </w:p>
        </w:tc>
      </w:tr>
      <w:tr>
        <w:tblPrEx>
          <w:tblCellMar>
            <w:top w:w="0" w:type="dxa"/>
            <w:left w:w="0" w:type="dxa"/>
            <w:bottom w:w="0" w:type="dxa"/>
            <w:right w:w="0" w:type="dxa"/>
          </w:tblCellMar>
        </w:tblPrEx>
        <w:trPr>
          <w:cantSplit/>
          <w:trHeight w:val="750" w:hRule="atLeast"/>
        </w:trPr>
        <w:tc>
          <w:tcPr>
            <w:tcW w:w="720" w:type="dxa"/>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道路维修</w:t>
            </w:r>
          </w:p>
        </w:tc>
        <w:tc>
          <w:tcPr>
            <w:tcW w:w="12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水泥面层</w:t>
            </w:r>
          </w:p>
        </w:tc>
        <w:tc>
          <w:tcPr>
            <w:tcW w:w="72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平方米</w:t>
            </w: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cantSplit/>
          <w:trHeight w:val="750" w:hRule="atLeast"/>
        </w:trPr>
        <w:tc>
          <w:tcPr>
            <w:tcW w:w="720"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bCs/>
                <w:color w:val="auto"/>
                <w:sz w:val="24"/>
                <w:highlight w:val="none"/>
              </w:rPr>
            </w:pPr>
          </w:p>
        </w:tc>
        <w:tc>
          <w:tcPr>
            <w:tcW w:w="12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沥青面层</w:t>
            </w:r>
          </w:p>
        </w:tc>
        <w:tc>
          <w:tcPr>
            <w:tcW w:w="72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cantSplit/>
          <w:trHeight w:val="540" w:hRule="atLeast"/>
        </w:trPr>
        <w:tc>
          <w:tcPr>
            <w:tcW w:w="720"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bCs/>
                <w:color w:val="auto"/>
                <w:sz w:val="24"/>
                <w:highlight w:val="none"/>
              </w:rPr>
            </w:pPr>
          </w:p>
        </w:tc>
        <w:tc>
          <w:tcPr>
            <w:tcW w:w="12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其他</w:t>
            </w:r>
          </w:p>
        </w:tc>
        <w:tc>
          <w:tcPr>
            <w:tcW w:w="7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810" w:hRule="atLeast"/>
        </w:trPr>
        <w:tc>
          <w:tcPr>
            <w:tcW w:w="198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井的升降</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座</w:t>
            </w: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735" w:hRule="atLeast"/>
        </w:trPr>
        <w:tc>
          <w:tcPr>
            <w:tcW w:w="1980"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违规的基础、广告牌、栏的拆除</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处</w:t>
            </w: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vanish/>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vanish/>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vanish/>
                <w:color w:val="auto"/>
                <w:sz w:val="24"/>
                <w:highlight w:val="none"/>
              </w:rPr>
            </w:pPr>
          </w:p>
        </w:tc>
      </w:tr>
      <w:tr>
        <w:tblPrEx>
          <w:tblCellMar>
            <w:top w:w="0" w:type="dxa"/>
            <w:left w:w="0" w:type="dxa"/>
            <w:bottom w:w="0" w:type="dxa"/>
            <w:right w:w="0" w:type="dxa"/>
          </w:tblCellMar>
        </w:tblPrEx>
        <w:trPr>
          <w:trHeight w:val="668" w:hRule="atLeast"/>
        </w:trPr>
        <w:tc>
          <w:tcPr>
            <w:tcW w:w="1980"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其他</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645" w:hRule="atLeast"/>
        </w:trPr>
        <w:tc>
          <w:tcPr>
            <w:tcW w:w="1980" w:type="dxa"/>
            <w:gridSpan w:val="2"/>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7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nil"/>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645" w:hRule="atLeast"/>
        </w:trPr>
        <w:tc>
          <w:tcPr>
            <w:tcW w:w="1980" w:type="dxa"/>
            <w:gridSpan w:val="2"/>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7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nil"/>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645" w:hRule="atLeast"/>
        </w:trPr>
        <w:tc>
          <w:tcPr>
            <w:tcW w:w="1980"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7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nil"/>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r>
        <w:tblPrEx>
          <w:tblCellMar>
            <w:top w:w="0" w:type="dxa"/>
            <w:left w:w="0" w:type="dxa"/>
            <w:bottom w:w="0" w:type="dxa"/>
            <w:right w:w="0" w:type="dxa"/>
          </w:tblCellMar>
        </w:tblPrEx>
        <w:trPr>
          <w:trHeight w:val="570" w:hRule="atLeast"/>
        </w:trPr>
        <w:tc>
          <w:tcPr>
            <w:tcW w:w="1980"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合计</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1260" w:type="dxa"/>
            <w:tcBorders>
              <w:top w:val="nil"/>
              <w:left w:val="nil"/>
              <w:bottom w:val="single" w:color="auto" w:sz="4" w:space="0"/>
              <w:right w:val="nil"/>
            </w:tcBorders>
            <w:tcMar>
              <w:top w:w="15" w:type="dxa"/>
              <w:left w:w="15" w:type="dxa"/>
              <w:bottom w:w="0" w:type="dxa"/>
              <w:right w:w="15" w:type="dxa"/>
            </w:tcMar>
            <w:vAlign w:val="center"/>
          </w:tcPr>
          <w:p>
            <w:pPr>
              <w:jc w:val="center"/>
              <w:rPr>
                <w:rFonts w:ascii="宋体" w:hAnsi="宋体"/>
                <w:bCs/>
                <w:color w:val="auto"/>
                <w:sz w:val="24"/>
                <w:highlight w:val="none"/>
              </w:rPr>
            </w:pPr>
          </w:p>
        </w:tc>
        <w:tc>
          <w:tcPr>
            <w:tcW w:w="41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c>
          <w:tcPr>
            <w:tcW w:w="16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p>
        </w:tc>
      </w:tr>
    </w:tbl>
    <w:p>
      <w:pPr>
        <w:rPr>
          <w:rFonts w:ascii="仿宋_GB2312" w:eastAsia="仿宋_GB2312"/>
          <w:color w:val="auto"/>
          <w:sz w:val="22"/>
          <w:szCs w:val="22"/>
          <w:highlight w:val="none"/>
        </w:rPr>
      </w:pPr>
      <w:r>
        <w:rPr>
          <w:rFonts w:hint="eastAsia" w:ascii="仿宋_GB2312" w:eastAsia="仿宋_GB2312"/>
          <w:color w:val="auto"/>
          <w:sz w:val="22"/>
          <w:szCs w:val="22"/>
          <w:highlight w:val="none"/>
        </w:rPr>
        <w:t>注：维修单位在每月5日前将上月维修工作完成情况传真至</w:t>
      </w:r>
      <w:r>
        <w:rPr>
          <w:rFonts w:hint="eastAsia" w:ascii="仿宋_GB2312" w:eastAsia="仿宋_GB2312"/>
          <w:b/>
          <w:color w:val="auto"/>
          <w:sz w:val="22"/>
          <w:szCs w:val="22"/>
          <w:highlight w:val="none"/>
          <w:lang w:eastAsia="zh-CN"/>
        </w:rPr>
        <w:t>浙江乍浦经济开发区（嘉兴港区）管理委员会</w:t>
      </w:r>
      <w:r>
        <w:rPr>
          <w:rFonts w:hint="eastAsia" w:ascii="仿宋_GB2312" w:eastAsia="仿宋_GB2312"/>
          <w:color w:val="auto"/>
          <w:sz w:val="22"/>
          <w:szCs w:val="22"/>
          <w:highlight w:val="none"/>
        </w:rPr>
        <w:t>园林市政科。</w:t>
      </w:r>
    </w:p>
    <w:p>
      <w:pPr>
        <w:rPr>
          <w:color w:val="auto"/>
          <w:sz w:val="22"/>
          <w:szCs w:val="22"/>
          <w:highlight w:val="none"/>
        </w:rPr>
      </w:pPr>
      <w:r>
        <w:rPr>
          <w:rFonts w:hint="eastAsia" w:ascii="仿宋_GB2312" w:eastAsia="仿宋_GB2312"/>
          <w:color w:val="auto"/>
          <w:sz w:val="22"/>
          <w:szCs w:val="22"/>
          <w:highlight w:val="none"/>
        </w:rPr>
        <w:t xml:space="preserve">联系电话：        </w:t>
      </w:r>
      <w:r>
        <w:rPr>
          <w:color w:val="auto"/>
          <w:sz w:val="22"/>
          <w:szCs w:val="22"/>
          <w:highlight w:val="none"/>
        </w:rPr>
        <w:t xml:space="preserve">   </w:t>
      </w:r>
      <w:r>
        <w:rPr>
          <w:rFonts w:hint="eastAsia" w:ascii="仿宋_GB2312" w:eastAsia="仿宋_GB2312"/>
          <w:color w:val="auto"/>
          <w:sz w:val="22"/>
          <w:szCs w:val="22"/>
          <w:highlight w:val="none"/>
        </w:rPr>
        <w:t xml:space="preserve">传真：  </w:t>
      </w:r>
      <w:r>
        <w:rPr>
          <w:color w:val="auto"/>
          <w:sz w:val="22"/>
          <w:szCs w:val="22"/>
          <w:highlight w:val="none"/>
        </w:rPr>
        <w:t xml:space="preserve">   </w:t>
      </w:r>
    </w:p>
    <w:p>
      <w:pPr>
        <w:rPr>
          <w:bCs/>
          <w:color w:val="auto"/>
          <w:sz w:val="28"/>
          <w:szCs w:val="28"/>
          <w:highlight w:val="none"/>
        </w:rPr>
      </w:pPr>
    </w:p>
    <w:p>
      <w:pPr>
        <w:rPr>
          <w:bCs/>
          <w:color w:val="auto"/>
          <w:sz w:val="28"/>
          <w:szCs w:val="28"/>
          <w:highlight w:val="none"/>
        </w:rPr>
      </w:pPr>
    </w:p>
    <w:p>
      <w:pPr>
        <w:rPr>
          <w:bCs/>
          <w:color w:val="auto"/>
          <w:sz w:val="28"/>
          <w:szCs w:val="28"/>
          <w:highlight w:val="none"/>
        </w:rPr>
      </w:pPr>
    </w:p>
    <w:p>
      <w:pPr>
        <w:rPr>
          <w:bCs/>
          <w:color w:val="auto"/>
          <w:sz w:val="28"/>
          <w:szCs w:val="28"/>
          <w:highlight w:val="none"/>
        </w:rPr>
      </w:pPr>
    </w:p>
    <w:p>
      <w:pPr>
        <w:rPr>
          <w:bCs/>
          <w:color w:val="auto"/>
          <w:sz w:val="28"/>
          <w:szCs w:val="28"/>
          <w:highlight w:val="none"/>
        </w:rPr>
      </w:pPr>
      <w:r>
        <w:rPr>
          <w:rFonts w:hint="eastAsia"/>
          <w:bCs/>
          <w:color w:val="auto"/>
          <w:sz w:val="28"/>
          <w:szCs w:val="28"/>
          <w:highlight w:val="none"/>
        </w:rPr>
        <w:t>附表三</w:t>
      </w:r>
    </w:p>
    <w:p>
      <w:pPr>
        <w:jc w:val="center"/>
        <w:rPr>
          <w:color w:val="auto"/>
          <w:sz w:val="48"/>
          <w:highlight w:val="none"/>
        </w:rPr>
      </w:pPr>
      <w:r>
        <w:rPr>
          <w:rFonts w:hint="eastAsia"/>
          <w:b/>
          <w:bCs/>
          <w:color w:val="auto"/>
          <w:sz w:val="36"/>
          <w:szCs w:val="36"/>
          <w:highlight w:val="none"/>
        </w:rPr>
        <w:t>城</w:t>
      </w:r>
      <w:r>
        <w:rPr>
          <w:rFonts w:hint="eastAsia"/>
          <w:b/>
          <w:bCs/>
          <w:color w:val="auto"/>
          <w:sz w:val="36"/>
          <w:szCs w:val="36"/>
          <w:highlight w:val="none"/>
          <w:lang w:val="en-US" w:eastAsia="zh-CN"/>
        </w:rPr>
        <w:t>市</w:t>
      </w:r>
      <w:r>
        <w:rPr>
          <w:rFonts w:hint="eastAsia"/>
          <w:b/>
          <w:bCs/>
          <w:color w:val="auto"/>
          <w:sz w:val="36"/>
          <w:szCs w:val="36"/>
          <w:highlight w:val="none"/>
        </w:rPr>
        <w:t>道路巡查表</w:t>
      </w:r>
    </w:p>
    <w:p>
      <w:pPr>
        <w:rPr>
          <w:color w:val="auto"/>
          <w:highlight w:val="none"/>
        </w:rPr>
      </w:pPr>
    </w:p>
    <w:p>
      <w:pPr>
        <w:ind w:firstLine="6000" w:firstLineChars="2500"/>
        <w:rPr>
          <w:color w:val="auto"/>
          <w:sz w:val="24"/>
          <w:highlight w:val="none"/>
        </w:rPr>
      </w:pP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3420"/>
        <w:gridCol w:w="720"/>
        <w:gridCol w:w="1620"/>
        <w:gridCol w:w="720"/>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巡视路线</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时间</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公里</w:t>
            </w:r>
          </w:p>
        </w:tc>
        <w:tc>
          <w:tcPr>
            <w:tcW w:w="1574" w:type="dxa"/>
            <w:tcBorders>
              <w:top w:val="single" w:color="auto" w:sz="4" w:space="0"/>
              <w:left w:val="single" w:color="auto" w:sz="4" w:space="0"/>
              <w:bottom w:val="single" w:color="auto" w:sz="4" w:space="0"/>
              <w:right w:val="single" w:color="auto" w:sz="4" w:space="0"/>
            </w:tcBorders>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时间</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公里</w:t>
            </w:r>
          </w:p>
        </w:tc>
        <w:tc>
          <w:tcPr>
            <w:tcW w:w="1574" w:type="dxa"/>
            <w:tcBorders>
              <w:top w:val="single" w:color="auto" w:sz="4" w:space="0"/>
              <w:left w:val="single" w:color="auto" w:sz="4" w:space="0"/>
              <w:bottom w:val="single" w:color="auto" w:sz="4" w:space="0"/>
              <w:right w:val="single" w:color="auto" w:sz="4" w:space="0"/>
            </w:tcBorders>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时间</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公里</w:t>
            </w:r>
          </w:p>
        </w:tc>
        <w:tc>
          <w:tcPr>
            <w:tcW w:w="1574" w:type="dxa"/>
            <w:tcBorders>
              <w:top w:val="single" w:color="auto" w:sz="4" w:space="0"/>
              <w:left w:val="single" w:color="auto" w:sz="4" w:space="0"/>
              <w:bottom w:val="single" w:color="auto" w:sz="4" w:space="0"/>
              <w:right w:val="single" w:color="auto" w:sz="4" w:space="0"/>
            </w:tcBorders>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时间</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公里</w:t>
            </w:r>
          </w:p>
        </w:tc>
        <w:tc>
          <w:tcPr>
            <w:tcW w:w="1574" w:type="dxa"/>
            <w:tcBorders>
              <w:top w:val="single" w:color="auto" w:sz="4" w:space="0"/>
              <w:left w:val="single" w:color="auto" w:sz="4" w:space="0"/>
              <w:bottom w:val="single" w:color="auto" w:sz="4" w:space="0"/>
              <w:right w:val="single" w:color="auto" w:sz="4" w:space="0"/>
            </w:tcBorders>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2" w:hRule="atLeast"/>
        </w:trPr>
        <w:tc>
          <w:tcPr>
            <w:tcW w:w="8522" w:type="dxa"/>
            <w:gridSpan w:val="6"/>
            <w:tcBorders>
              <w:top w:val="single" w:color="auto" w:sz="4" w:space="0"/>
              <w:left w:val="single" w:color="auto" w:sz="4" w:space="0"/>
              <w:bottom w:val="single" w:color="auto" w:sz="4" w:space="0"/>
              <w:right w:val="single" w:color="auto" w:sz="4" w:space="0"/>
            </w:tcBorders>
          </w:tcPr>
          <w:p>
            <w:pPr>
              <w:rPr>
                <w:color w:val="auto"/>
                <w:sz w:val="24"/>
                <w:highlight w:val="none"/>
              </w:rPr>
            </w:pPr>
            <w:r>
              <w:rPr>
                <w:rFonts w:hint="eastAsia"/>
                <w:color w:val="auto"/>
                <w:sz w:val="24"/>
                <w:highlight w:val="none"/>
              </w:rPr>
              <w:t>发现存在问题（可附照片）</w:t>
            </w:r>
          </w:p>
        </w:tc>
      </w:tr>
    </w:tbl>
    <w:p>
      <w:pPr>
        <w:rPr>
          <w:color w:val="auto"/>
          <w:highlight w:val="none"/>
        </w:rPr>
      </w:pPr>
    </w:p>
    <w:p>
      <w:pPr>
        <w:ind w:firstLine="3570" w:firstLineChars="1700"/>
        <w:rPr>
          <w:color w:val="auto"/>
          <w:highlight w:val="none"/>
        </w:rPr>
      </w:pPr>
      <w:r>
        <w:rPr>
          <w:rFonts w:hint="eastAsia"/>
          <w:color w:val="auto"/>
          <w:highlight w:val="none"/>
        </w:rPr>
        <w:t>负责人：</w:t>
      </w:r>
      <w:r>
        <w:rPr>
          <w:color w:val="auto"/>
          <w:highlight w:val="none"/>
        </w:rPr>
        <w:t xml:space="preserve">             </w:t>
      </w:r>
      <w:r>
        <w:rPr>
          <w:rFonts w:hint="eastAsia"/>
          <w:color w:val="auto"/>
          <w:highlight w:val="none"/>
        </w:rPr>
        <w:t>填报人：</w:t>
      </w:r>
    </w:p>
    <w:p>
      <w:pPr>
        <w:ind w:firstLine="3570" w:firstLineChars="1700"/>
        <w:rPr>
          <w:color w:val="auto"/>
          <w:highlight w:val="none"/>
        </w:rPr>
      </w:pPr>
    </w:p>
    <w:p>
      <w:pPr>
        <w:ind w:firstLine="3570" w:firstLineChars="1700"/>
        <w:rPr>
          <w:color w:val="auto"/>
          <w:highlight w:val="none"/>
        </w:rPr>
      </w:pPr>
    </w:p>
    <w:p>
      <w:pPr>
        <w:rPr>
          <w:color w:val="auto"/>
          <w:sz w:val="28"/>
          <w:szCs w:val="28"/>
          <w:highlight w:val="none"/>
        </w:rPr>
      </w:pPr>
      <w:r>
        <w:rPr>
          <w:rFonts w:hint="eastAsia"/>
          <w:color w:val="auto"/>
          <w:sz w:val="28"/>
          <w:szCs w:val="28"/>
          <w:highlight w:val="none"/>
        </w:rPr>
        <w:t>附表四</w:t>
      </w:r>
    </w:p>
    <w:p>
      <w:pPr>
        <w:jc w:val="center"/>
        <w:rPr>
          <w:b/>
          <w:color w:val="auto"/>
          <w:sz w:val="36"/>
          <w:highlight w:val="none"/>
        </w:rPr>
      </w:pPr>
      <w:r>
        <w:rPr>
          <w:rFonts w:hint="eastAsia"/>
          <w:b/>
          <w:color w:val="auto"/>
          <w:sz w:val="36"/>
          <w:highlight w:val="none"/>
        </w:rPr>
        <w:t>城市桥梁桥面系日常巡检报表</w:t>
      </w:r>
    </w:p>
    <w:p>
      <w:pPr>
        <w:rPr>
          <w:color w:val="auto"/>
          <w:highlight w:val="none"/>
        </w:rPr>
      </w:pPr>
    </w:p>
    <w:p>
      <w:pPr>
        <w:rPr>
          <w:rFonts w:ascii="宋体" w:hAnsi="宋体"/>
          <w:color w:val="auto"/>
          <w:sz w:val="24"/>
          <w:highlight w:val="none"/>
        </w:rPr>
      </w:pPr>
      <w:r>
        <w:rPr>
          <w:rFonts w:hint="eastAsia" w:ascii="宋体" w:hAnsi="宋体"/>
          <w:color w:val="auto"/>
          <w:sz w:val="24"/>
          <w:highlight w:val="none"/>
        </w:rPr>
        <w:t xml:space="preserve">桥名：                          巡视日期：20    年    月    日    午  </w:t>
      </w:r>
    </w:p>
    <w:p>
      <w:pPr>
        <w:rPr>
          <w:rFonts w:ascii="宋体" w:hAnsi="宋体"/>
          <w:color w:val="auto"/>
          <w:sz w:val="24"/>
          <w:highlight w:val="none"/>
        </w:rPr>
      </w:pPr>
      <w:r>
        <w:rPr>
          <w:rFonts w:hint="eastAsia" w:ascii="宋体" w:hAnsi="宋体"/>
          <w:color w:val="auto"/>
          <w:sz w:val="24"/>
          <w:highlight w:val="none"/>
        </w:rPr>
        <w:t xml:space="preserve">                                               星期     天气</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79"/>
        <w:gridCol w:w="1025"/>
        <w:gridCol w:w="1218"/>
        <w:gridCol w:w="1220"/>
        <w:gridCol w:w="122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4"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检查项目</w:t>
            </w:r>
          </w:p>
        </w:tc>
        <w:tc>
          <w:tcPr>
            <w:tcW w:w="2104"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状况</w:t>
            </w:r>
          </w:p>
        </w:tc>
        <w:tc>
          <w:tcPr>
            <w:tcW w:w="2438" w:type="dxa"/>
            <w:gridSpan w:val="2"/>
            <w:vAlign w:val="center"/>
          </w:tcPr>
          <w:p>
            <w:pPr>
              <w:jc w:val="center"/>
              <w:rPr>
                <w:rFonts w:ascii="宋体" w:hAnsi="宋体"/>
                <w:color w:val="auto"/>
                <w:sz w:val="24"/>
                <w:highlight w:val="none"/>
                <w:u w:val="single"/>
              </w:rPr>
            </w:pPr>
            <w:r>
              <w:rPr>
                <w:rFonts w:hint="eastAsia" w:ascii="宋体" w:hAnsi="宋体"/>
                <w:color w:val="auto"/>
                <w:sz w:val="24"/>
                <w:highlight w:val="none"/>
              </w:rPr>
              <w:t>病害</w:t>
            </w:r>
          </w:p>
        </w:tc>
        <w:tc>
          <w:tcPr>
            <w:tcW w:w="2438"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病害说明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桥名</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缺损（块）</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限载牌</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缺损（块）</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栏杆</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缺损（m）</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端柱</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平整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缺损（只）</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人行道</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平整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坑塘（m</w:t>
            </w:r>
            <w:r>
              <w:rPr>
                <w:rFonts w:hint="eastAsia" w:ascii="宋体" w:hAnsi="宋体"/>
                <w:color w:val="auto"/>
                <w:sz w:val="24"/>
                <w:highlight w:val="none"/>
                <w:vertAlign w:val="superscript"/>
              </w:rPr>
              <w:t>2</w:t>
            </w:r>
            <w:r>
              <w:rPr>
                <w:rFonts w:hint="eastAsia" w:ascii="宋体" w:hAnsi="宋体"/>
                <w:color w:val="auto"/>
                <w:sz w:val="24"/>
                <w:highlight w:val="none"/>
              </w:rPr>
              <w:t>）</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车行道</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平整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坑塘（m</w:t>
            </w:r>
            <w:r>
              <w:rPr>
                <w:rFonts w:hint="eastAsia" w:ascii="宋体" w:hAnsi="宋体"/>
                <w:color w:val="auto"/>
                <w:sz w:val="24"/>
                <w:highlight w:val="none"/>
                <w:vertAlign w:val="superscript"/>
              </w:rPr>
              <w:t>2</w:t>
            </w:r>
            <w:r>
              <w:rPr>
                <w:rFonts w:hint="eastAsia" w:ascii="宋体" w:hAnsi="宋体"/>
                <w:color w:val="auto"/>
                <w:sz w:val="24"/>
                <w:highlight w:val="none"/>
              </w:rPr>
              <w:t>）</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机非隔离栏</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缺损（m）</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伸缩缝</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缺损（m）</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泄水孔</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畅通</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堵塞（只）</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扶梯</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完整</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缺损（m</w:t>
            </w:r>
            <w:r>
              <w:rPr>
                <w:rFonts w:hint="eastAsia" w:ascii="宋体" w:hAnsi="宋体"/>
                <w:color w:val="auto"/>
                <w:sz w:val="24"/>
                <w:highlight w:val="none"/>
                <w:vertAlign w:val="superscript"/>
              </w:rPr>
              <w:t>2</w:t>
            </w:r>
            <w:r>
              <w:rPr>
                <w:rFonts w:hint="eastAsia" w:ascii="宋体" w:hAnsi="宋体"/>
                <w:color w:val="auto"/>
                <w:sz w:val="24"/>
                <w:highlight w:val="none"/>
              </w:rPr>
              <w:t>）</w:t>
            </w:r>
          </w:p>
        </w:tc>
        <w:tc>
          <w:tcPr>
            <w:tcW w:w="1220" w:type="dxa"/>
            <w:vAlign w:val="center"/>
          </w:tcPr>
          <w:p>
            <w:pPr>
              <w:jc w:val="center"/>
              <w:rPr>
                <w:rFonts w:ascii="宋体" w:hAnsi="宋体"/>
                <w:color w:val="auto"/>
                <w:sz w:val="24"/>
                <w:highlight w:val="none"/>
              </w:rPr>
            </w:pPr>
          </w:p>
        </w:tc>
        <w:tc>
          <w:tcPr>
            <w:tcW w:w="2438"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结构变异</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有、无</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部位</w:t>
            </w:r>
          </w:p>
        </w:tc>
        <w:tc>
          <w:tcPr>
            <w:tcW w:w="1220" w:type="dxa"/>
            <w:vAlign w:val="center"/>
          </w:tcPr>
          <w:p>
            <w:pPr>
              <w:jc w:val="center"/>
              <w:rPr>
                <w:rFonts w:ascii="宋体" w:hAnsi="宋体"/>
                <w:color w:val="auto"/>
                <w:sz w:val="24"/>
                <w:highlight w:val="none"/>
              </w:rPr>
            </w:pPr>
          </w:p>
        </w:tc>
        <w:tc>
          <w:tcPr>
            <w:tcW w:w="1220" w:type="dxa"/>
            <w:vAlign w:val="center"/>
          </w:tcPr>
          <w:p>
            <w:pPr>
              <w:jc w:val="center"/>
              <w:rPr>
                <w:rFonts w:ascii="宋体" w:hAnsi="宋体"/>
                <w:color w:val="auto"/>
                <w:sz w:val="24"/>
                <w:highlight w:val="none"/>
              </w:rPr>
            </w:pPr>
            <w:r>
              <w:rPr>
                <w:rFonts w:hint="eastAsia" w:ascii="宋体" w:hAnsi="宋体"/>
                <w:color w:val="auto"/>
                <w:sz w:val="24"/>
                <w:highlight w:val="none"/>
              </w:rPr>
              <w:t>变异情况</w:t>
            </w:r>
          </w:p>
        </w:tc>
        <w:tc>
          <w:tcPr>
            <w:tcW w:w="1218"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548" w:type="dxa"/>
            <w:vAlign w:val="center"/>
          </w:tcPr>
          <w:p>
            <w:pPr>
              <w:jc w:val="center"/>
              <w:rPr>
                <w:rFonts w:ascii="宋体" w:hAnsi="宋体"/>
                <w:color w:val="auto"/>
                <w:sz w:val="24"/>
                <w:highlight w:val="none"/>
              </w:rPr>
            </w:pPr>
            <w:r>
              <w:rPr>
                <w:rFonts w:hint="eastAsia" w:ascii="宋体" w:hAnsi="宋体"/>
                <w:color w:val="auto"/>
                <w:sz w:val="24"/>
                <w:highlight w:val="none"/>
              </w:rPr>
              <w:t>桥、桥区施工</w:t>
            </w:r>
          </w:p>
        </w:tc>
        <w:tc>
          <w:tcPr>
            <w:tcW w:w="1079" w:type="dxa"/>
            <w:vAlign w:val="center"/>
          </w:tcPr>
          <w:p>
            <w:pPr>
              <w:jc w:val="center"/>
              <w:rPr>
                <w:rFonts w:ascii="宋体" w:hAnsi="宋体"/>
                <w:color w:val="auto"/>
                <w:sz w:val="24"/>
                <w:highlight w:val="none"/>
              </w:rPr>
            </w:pPr>
            <w:r>
              <w:rPr>
                <w:rFonts w:hint="eastAsia" w:ascii="宋体" w:hAnsi="宋体"/>
                <w:color w:val="auto"/>
                <w:sz w:val="24"/>
                <w:highlight w:val="none"/>
              </w:rPr>
              <w:t>有、无</w:t>
            </w:r>
          </w:p>
        </w:tc>
        <w:tc>
          <w:tcPr>
            <w:tcW w:w="1025" w:type="dxa"/>
            <w:vAlign w:val="center"/>
          </w:tcPr>
          <w:p>
            <w:pPr>
              <w:jc w:val="center"/>
              <w:rPr>
                <w:rFonts w:ascii="宋体" w:hAnsi="宋体"/>
                <w:color w:val="auto"/>
                <w:sz w:val="24"/>
                <w:highlight w:val="none"/>
              </w:rPr>
            </w:pPr>
          </w:p>
        </w:tc>
        <w:tc>
          <w:tcPr>
            <w:tcW w:w="1218" w:type="dxa"/>
            <w:vAlign w:val="center"/>
          </w:tcPr>
          <w:p>
            <w:pPr>
              <w:jc w:val="center"/>
              <w:rPr>
                <w:rFonts w:ascii="宋体" w:hAnsi="宋体"/>
                <w:color w:val="auto"/>
                <w:sz w:val="24"/>
                <w:highlight w:val="none"/>
              </w:rPr>
            </w:pPr>
            <w:r>
              <w:rPr>
                <w:rFonts w:hint="eastAsia" w:ascii="宋体" w:hAnsi="宋体"/>
                <w:color w:val="auto"/>
                <w:sz w:val="24"/>
                <w:highlight w:val="none"/>
              </w:rPr>
              <w:t>是否违章</w:t>
            </w:r>
          </w:p>
        </w:tc>
        <w:tc>
          <w:tcPr>
            <w:tcW w:w="1220" w:type="dxa"/>
            <w:vAlign w:val="center"/>
          </w:tcPr>
          <w:p>
            <w:pPr>
              <w:jc w:val="center"/>
              <w:rPr>
                <w:rFonts w:ascii="宋体" w:hAnsi="宋体"/>
                <w:color w:val="auto"/>
                <w:sz w:val="24"/>
                <w:highlight w:val="none"/>
              </w:rPr>
            </w:pPr>
          </w:p>
        </w:tc>
        <w:tc>
          <w:tcPr>
            <w:tcW w:w="1220" w:type="dxa"/>
            <w:vAlign w:val="center"/>
          </w:tcPr>
          <w:p>
            <w:pPr>
              <w:jc w:val="center"/>
              <w:rPr>
                <w:rFonts w:ascii="宋体" w:hAnsi="宋体"/>
                <w:color w:val="auto"/>
                <w:sz w:val="24"/>
                <w:highlight w:val="none"/>
              </w:rPr>
            </w:pPr>
            <w:r>
              <w:rPr>
                <w:rFonts w:hint="eastAsia" w:ascii="宋体" w:hAnsi="宋体"/>
                <w:color w:val="auto"/>
                <w:sz w:val="24"/>
                <w:highlight w:val="none"/>
              </w:rPr>
              <w:t>基本情况</w:t>
            </w:r>
          </w:p>
        </w:tc>
        <w:tc>
          <w:tcPr>
            <w:tcW w:w="1218"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652"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其他危及行车、行船、</w:t>
            </w:r>
          </w:p>
          <w:p>
            <w:pPr>
              <w:jc w:val="center"/>
              <w:rPr>
                <w:rFonts w:ascii="宋体" w:hAnsi="宋体"/>
                <w:color w:val="auto"/>
                <w:sz w:val="24"/>
                <w:highlight w:val="none"/>
              </w:rPr>
            </w:pPr>
            <w:r>
              <w:rPr>
                <w:rFonts w:hint="eastAsia" w:ascii="宋体" w:hAnsi="宋体"/>
                <w:color w:val="auto"/>
                <w:sz w:val="24"/>
                <w:highlight w:val="none"/>
              </w:rPr>
              <w:t>行人安全的病害</w:t>
            </w:r>
          </w:p>
        </w:tc>
        <w:tc>
          <w:tcPr>
            <w:tcW w:w="4876" w:type="dxa"/>
            <w:gridSpan w:val="4"/>
            <w:vAlign w:val="center"/>
          </w:tcPr>
          <w:p>
            <w:pPr>
              <w:rPr>
                <w:rFonts w:ascii="宋体" w:hAnsi="宋体"/>
                <w:color w:val="auto"/>
                <w:sz w:val="24"/>
                <w:highlight w:val="none"/>
              </w:rPr>
            </w:pPr>
          </w:p>
        </w:tc>
      </w:tr>
    </w:tbl>
    <w:p>
      <w:pPr>
        <w:ind w:firstLine="3570" w:firstLineChars="1700"/>
        <w:rPr>
          <w:color w:val="auto"/>
          <w:highlight w:val="none"/>
        </w:rPr>
      </w:pPr>
    </w:p>
    <w:p>
      <w:pPr>
        <w:ind w:firstLine="3570" w:firstLineChars="1700"/>
        <w:rPr>
          <w:color w:val="auto"/>
          <w:highlight w:val="none"/>
        </w:rPr>
      </w:pPr>
    </w:p>
    <w:p>
      <w:pPr>
        <w:ind w:firstLine="3570" w:firstLineChars="1700"/>
        <w:rPr>
          <w:color w:val="auto"/>
          <w:highlight w:val="none"/>
        </w:rPr>
      </w:pPr>
    </w:p>
    <w:p>
      <w:pPr>
        <w:ind w:firstLine="3570" w:firstLineChars="1700"/>
        <w:rPr>
          <w:color w:val="auto"/>
          <w:highlight w:val="none"/>
        </w:rPr>
      </w:pPr>
    </w:p>
    <w:p>
      <w:pPr>
        <w:ind w:firstLine="3570" w:firstLineChars="1700"/>
        <w:rPr>
          <w:color w:val="auto"/>
          <w:highlight w:val="none"/>
        </w:rPr>
      </w:pPr>
    </w:p>
    <w:p>
      <w:pPr>
        <w:pStyle w:val="2"/>
      </w:pPr>
    </w:p>
    <w:p>
      <w:pPr>
        <w:ind w:firstLine="3570" w:firstLineChars="1700"/>
        <w:rPr>
          <w:color w:val="auto"/>
          <w:highlight w:val="none"/>
        </w:rPr>
      </w:pPr>
    </w:p>
    <w:p>
      <w:pPr>
        <w:rPr>
          <w:bCs/>
          <w:color w:val="auto"/>
          <w:sz w:val="28"/>
          <w:szCs w:val="28"/>
          <w:highlight w:val="none"/>
        </w:rPr>
      </w:pPr>
      <w:r>
        <w:rPr>
          <w:rFonts w:hint="eastAsia"/>
          <w:bCs/>
          <w:color w:val="auto"/>
          <w:sz w:val="28"/>
          <w:szCs w:val="28"/>
          <w:highlight w:val="none"/>
        </w:rPr>
        <w:t>附表五</w:t>
      </w:r>
    </w:p>
    <w:p>
      <w:pPr>
        <w:wordWrap w:val="0"/>
        <w:ind w:right="420"/>
        <w:jc w:val="right"/>
        <w:rPr>
          <w:color w:val="auto"/>
          <w:highlight w:val="none"/>
        </w:rPr>
      </w:pPr>
      <w:r>
        <w:rPr>
          <w:rFonts w:hint="eastAsia"/>
          <w:b/>
          <w:color w:val="auto"/>
          <w:sz w:val="36"/>
          <w:highlight w:val="none"/>
        </w:rPr>
        <w:t>嘉兴港区道路维修工程任务单</w:t>
      </w:r>
      <w:r>
        <w:rPr>
          <w:rFonts w:hint="eastAsia"/>
          <w:color w:val="auto"/>
          <w:highlight w:val="none"/>
        </w:rPr>
        <w:t xml:space="preserve">编号 </w:t>
      </w:r>
    </w:p>
    <w:p>
      <w:pPr>
        <w:jc w:val="center"/>
        <w:rPr>
          <w:color w:val="auto"/>
          <w:sz w:val="28"/>
          <w:highlight w:val="none"/>
        </w:rPr>
      </w:pPr>
    </w:p>
    <w:p>
      <w:pPr>
        <w:ind w:right="420"/>
        <w:jc w:val="right"/>
        <w:rPr>
          <w:color w:val="auto"/>
          <w:highlight w:val="none"/>
        </w:rPr>
      </w:pPr>
    </w:p>
    <w:tbl>
      <w:tblPr>
        <w:tblStyle w:val="33"/>
        <w:tblpPr w:leftFromText="180" w:rightFromText="180" w:vertAnchor="page" w:horzAnchor="page" w:tblpXSpec="center" w:tblpY="277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494"/>
        <w:gridCol w:w="4013"/>
        <w:gridCol w:w="397"/>
        <w:gridCol w:w="77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工程名称</w:t>
            </w:r>
          </w:p>
        </w:tc>
        <w:tc>
          <w:tcPr>
            <w:tcW w:w="450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日期</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维修地点</w:t>
            </w:r>
          </w:p>
        </w:tc>
        <w:tc>
          <w:tcPr>
            <w:tcW w:w="7489" w:type="dxa"/>
            <w:gridSpan w:val="5"/>
            <w:tcBorders>
              <w:top w:val="single" w:color="auto" w:sz="4" w:space="0"/>
              <w:left w:val="single" w:color="auto" w:sz="4" w:space="0"/>
              <w:bottom w:val="single" w:color="auto" w:sz="4" w:space="0"/>
              <w:right w:val="single" w:color="auto" w:sz="4" w:space="0"/>
            </w:tcBorders>
            <w:vAlign w:val="center"/>
          </w:tcPr>
          <w:p>
            <w:pP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确认维修工程量和内容</w:t>
            </w:r>
          </w:p>
        </w:tc>
        <w:tc>
          <w:tcPr>
            <w:tcW w:w="7489" w:type="dxa"/>
            <w:gridSpan w:val="5"/>
            <w:tcBorders>
              <w:top w:val="single" w:color="auto" w:sz="4" w:space="0"/>
              <w:left w:val="single" w:color="auto" w:sz="4" w:space="0"/>
              <w:bottom w:val="single" w:color="auto" w:sz="4" w:space="0"/>
              <w:right w:val="single" w:color="auto" w:sz="4" w:space="0"/>
            </w:tcBorders>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299" w:type="dxa"/>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确认单位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30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维修单位</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rPr>
                <w:color w:val="auto"/>
                <w:sz w:val="28"/>
                <w:highlight w:val="none"/>
              </w:rPr>
            </w:pPr>
          </w:p>
        </w:tc>
        <w:tc>
          <w:tcPr>
            <w:tcW w:w="25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0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监理单位</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rPr>
                <w:color w:val="auto"/>
                <w:sz w:val="28"/>
                <w:highlight w:val="none"/>
              </w:rPr>
            </w:pPr>
          </w:p>
        </w:tc>
        <w:tc>
          <w:tcPr>
            <w:tcW w:w="25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0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r>
              <w:rPr>
                <w:rFonts w:hint="eastAsia"/>
                <w:color w:val="auto"/>
                <w:sz w:val="28"/>
                <w:highlight w:val="none"/>
              </w:rPr>
              <w:t>确认部门</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p>
        </w:tc>
        <w:tc>
          <w:tcPr>
            <w:tcW w:w="25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8"/>
                <w:highlight w:val="none"/>
              </w:rPr>
            </w:pPr>
          </w:p>
        </w:tc>
      </w:tr>
    </w:tbl>
    <w:p>
      <w:pPr>
        <w:ind w:right="420"/>
        <w:rPr>
          <w:color w:val="auto"/>
          <w:highlight w:val="none"/>
        </w:rPr>
      </w:pPr>
      <w:r>
        <w:rPr>
          <w:rFonts w:hint="eastAsia"/>
          <w:color w:val="auto"/>
          <w:highlight w:val="none"/>
        </w:rPr>
        <w:t>附施工现场照片</w:t>
      </w:r>
    </w:p>
    <w:p>
      <w:pPr>
        <w:jc w:val="righ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rPr>
          <w:color w:val="auto"/>
          <w:sz w:val="28"/>
          <w:szCs w:val="28"/>
          <w:highlight w:val="none"/>
        </w:rPr>
      </w:pPr>
      <w:r>
        <w:rPr>
          <w:rFonts w:hint="eastAsia"/>
          <w:color w:val="auto"/>
          <w:sz w:val="28"/>
          <w:szCs w:val="28"/>
          <w:highlight w:val="none"/>
        </w:rPr>
        <w:t>附表六</w:t>
      </w:r>
    </w:p>
    <w:p>
      <w:pPr>
        <w:jc w:val="center"/>
        <w:rPr>
          <w:rFonts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0"/>
          <w:szCs w:val="30"/>
          <w:highlight w:val="none"/>
        </w:rPr>
        <w:t>嘉兴港区道路、桥梁及雨水管线维修养护工程</w:t>
      </w:r>
    </w:p>
    <w:p>
      <w:pPr>
        <w:spacing w:afterLines="40"/>
        <w:jc w:val="center"/>
        <w:rPr>
          <w:b/>
          <w:color w:val="auto"/>
          <w:sz w:val="36"/>
          <w:szCs w:val="36"/>
          <w:highlight w:val="none"/>
        </w:rPr>
      </w:pPr>
      <w:r>
        <w:rPr>
          <w:rFonts w:hint="eastAsia"/>
          <w:b/>
          <w:color w:val="auto"/>
          <w:sz w:val="36"/>
          <w:szCs w:val="36"/>
          <w:highlight w:val="none"/>
        </w:rPr>
        <w:t>工程验收单</w:t>
      </w:r>
    </w:p>
    <w:tbl>
      <w:tblPr>
        <w:tblStyle w:val="33"/>
        <w:tblpPr w:leftFromText="180" w:rightFromText="180" w:vertAnchor="text" w:horzAnchor="page" w:tblpX="139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5"/>
        <w:gridCol w:w="2850"/>
        <w:gridCol w:w="581"/>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53" w:type="dxa"/>
            <w:gridSpan w:val="2"/>
            <w:vAlign w:val="center"/>
          </w:tcPr>
          <w:p>
            <w:pPr>
              <w:tabs>
                <w:tab w:val="left" w:pos="7051"/>
              </w:tabs>
              <w:spacing w:afterLines="20"/>
              <w:jc w:val="center"/>
              <w:rPr>
                <w:color w:val="auto"/>
                <w:sz w:val="24"/>
                <w:highlight w:val="none"/>
              </w:rPr>
            </w:pPr>
            <w:r>
              <w:rPr>
                <w:rFonts w:hint="eastAsia"/>
                <w:color w:val="auto"/>
                <w:sz w:val="24"/>
                <w:highlight w:val="none"/>
              </w:rPr>
              <w:t xml:space="preserve"> 验收路段</w:t>
            </w:r>
            <w:r>
              <w:rPr>
                <w:rFonts w:hint="eastAsia"/>
                <w:color w:val="auto"/>
                <w:sz w:val="24"/>
                <w:highlight w:val="none"/>
              </w:rPr>
              <w:tab/>
            </w:r>
            <w:r>
              <w:rPr>
                <w:rFonts w:hint="eastAsia"/>
                <w:color w:val="auto"/>
                <w:sz w:val="24"/>
                <w:highlight w:val="none"/>
              </w:rPr>
              <w:t>验收路段</w:t>
            </w:r>
          </w:p>
        </w:tc>
        <w:tc>
          <w:tcPr>
            <w:tcW w:w="7912" w:type="dxa"/>
            <w:gridSpan w:val="3"/>
            <w:vAlign w:val="center"/>
          </w:tcPr>
          <w:p>
            <w:pPr>
              <w:jc w:val="center"/>
              <w:rPr>
                <w:color w:val="auto"/>
                <w:sz w:val="24"/>
                <w:highlight w:val="none"/>
              </w:rPr>
            </w:pPr>
            <w:r>
              <w:rPr>
                <w:rFonts w:hint="eastAsia" w:ascii="华文仿宋" w:hAnsi="华文仿宋" w:eastAsia="华文仿宋" w:cs="华文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3" w:type="dxa"/>
            <w:gridSpan w:val="2"/>
            <w:vAlign w:val="center"/>
          </w:tcPr>
          <w:p>
            <w:pPr>
              <w:jc w:val="center"/>
              <w:rPr>
                <w:color w:val="auto"/>
                <w:sz w:val="24"/>
                <w:highlight w:val="none"/>
              </w:rPr>
            </w:pPr>
            <w:r>
              <w:rPr>
                <w:rFonts w:hint="eastAsia"/>
                <w:color w:val="auto"/>
                <w:sz w:val="24"/>
                <w:highlight w:val="none"/>
              </w:rPr>
              <w:t>验收时间</w:t>
            </w:r>
          </w:p>
        </w:tc>
        <w:tc>
          <w:tcPr>
            <w:tcW w:w="7912" w:type="dxa"/>
            <w:gridSpan w:val="3"/>
            <w:vAlign w:val="center"/>
          </w:tcPr>
          <w:p>
            <w:pPr>
              <w:jc w:val="center"/>
              <w:rPr>
                <w:color w:val="auto"/>
                <w:sz w:val="24"/>
                <w:highlight w:val="none"/>
              </w:rPr>
            </w:pPr>
            <w:r>
              <w:rPr>
                <w:rFonts w:hint="eastAsia"/>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9465" w:type="dxa"/>
            <w:gridSpan w:val="5"/>
          </w:tcPr>
          <w:p>
            <w:pPr>
              <w:spacing w:beforeLines="50"/>
              <w:rPr>
                <w:bCs/>
                <w:color w:val="auto"/>
                <w:sz w:val="24"/>
                <w:highlight w:val="none"/>
              </w:rPr>
            </w:pPr>
            <w:r>
              <w:rPr>
                <w:rFonts w:hint="eastAsia"/>
                <w:bCs/>
                <w:color w:val="auto"/>
                <w:sz w:val="24"/>
                <w:highlight w:val="none"/>
              </w:rPr>
              <w:t>验收范围：</w:t>
            </w:r>
          </w:p>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465" w:type="dxa"/>
            <w:gridSpan w:val="5"/>
          </w:tcPr>
          <w:p>
            <w:pPr>
              <w:spacing w:beforeLines="50"/>
              <w:rPr>
                <w:bCs/>
                <w:color w:val="auto"/>
                <w:sz w:val="24"/>
                <w:highlight w:val="none"/>
              </w:rPr>
            </w:pPr>
            <w:r>
              <w:rPr>
                <w:rFonts w:hint="eastAsia"/>
                <w:bCs/>
                <w:color w:val="auto"/>
                <w:sz w:val="24"/>
                <w:highlight w:val="none"/>
              </w:rPr>
              <w:t>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465" w:type="dxa"/>
            <w:gridSpan w:val="5"/>
          </w:tcPr>
          <w:p>
            <w:pPr>
              <w:spacing w:beforeLines="50"/>
              <w:rPr>
                <w:rFonts w:ascii="华文仿宋" w:hAnsi="华文仿宋" w:eastAsia="华文仿宋" w:cs="华文仿宋"/>
                <w:color w:val="auto"/>
                <w:sz w:val="24"/>
                <w:highlight w:val="none"/>
              </w:rPr>
            </w:pPr>
            <w:r>
              <w:rPr>
                <w:rFonts w:hint="eastAsia"/>
                <w:bCs/>
                <w:color w:val="auto"/>
                <w:sz w:val="24"/>
                <w:highlight w:val="none"/>
              </w:rPr>
              <w:t>存在问题及处理意见：</w:t>
            </w:r>
          </w:p>
          <w:p>
            <w:pPr>
              <w:spacing w:beforeLines="50"/>
              <w:rPr>
                <w:bCs/>
                <w:color w:val="auto"/>
                <w:sz w:val="24"/>
                <w:highlight w:val="none"/>
              </w:rPr>
            </w:pPr>
            <w:r>
              <w:rPr>
                <w:rFonts w:hint="eastAsia" w:ascii="华文仿宋" w:hAnsi="华文仿宋" w:eastAsia="华文仿宋" w:cs="华文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65" w:type="dxa"/>
            <w:gridSpan w:val="5"/>
          </w:tcPr>
          <w:p>
            <w:pPr>
              <w:rPr>
                <w:color w:val="auto"/>
                <w:sz w:val="24"/>
                <w:highlight w:val="none"/>
              </w:rPr>
            </w:pPr>
            <w:r>
              <w:rPr>
                <w:rFonts w:hint="eastAsia"/>
                <w:color w:val="auto"/>
                <w:sz w:val="24"/>
                <w:highlight w:val="none"/>
              </w:rPr>
              <w:t>参加验收单位意见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48" w:type="dxa"/>
            <w:vAlign w:val="center"/>
          </w:tcPr>
          <w:p>
            <w:pPr>
              <w:jc w:val="center"/>
              <w:rPr>
                <w:color w:val="auto"/>
                <w:sz w:val="24"/>
                <w:highlight w:val="none"/>
              </w:rPr>
            </w:pPr>
            <w:r>
              <w:rPr>
                <w:rFonts w:hint="eastAsia"/>
                <w:bCs/>
                <w:color w:val="auto"/>
                <w:sz w:val="24"/>
                <w:highlight w:val="none"/>
              </w:rPr>
              <w:t>施工单位</w:t>
            </w:r>
          </w:p>
        </w:tc>
        <w:tc>
          <w:tcPr>
            <w:tcW w:w="8817" w:type="dxa"/>
            <w:gridSpan w:val="4"/>
            <w:vAlign w:val="center"/>
          </w:tcPr>
          <w:p>
            <w:pPr>
              <w:spacing w:afterLines="50"/>
              <w:jc w:val="center"/>
              <w:rPr>
                <w:color w:val="auto"/>
                <w:sz w:val="24"/>
                <w:highlight w:val="none"/>
              </w:rPr>
            </w:pPr>
            <w:r>
              <w:rPr>
                <w:bCs/>
                <w:color w:val="auto"/>
                <w:sz w:val="24"/>
                <w:highlight w:val="none"/>
              </w:rPr>
              <w:t xml:space="preserve">           </w:t>
            </w:r>
            <w:r>
              <w:rPr>
                <w:rFonts w:hint="eastAsia"/>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48" w:type="dxa"/>
            <w:vAlign w:val="center"/>
          </w:tcPr>
          <w:p>
            <w:pPr>
              <w:jc w:val="center"/>
              <w:rPr>
                <w:color w:val="auto"/>
                <w:sz w:val="24"/>
                <w:highlight w:val="none"/>
              </w:rPr>
            </w:pPr>
            <w:r>
              <w:rPr>
                <w:rFonts w:hint="eastAsia"/>
                <w:color w:val="auto"/>
                <w:sz w:val="24"/>
                <w:highlight w:val="none"/>
              </w:rPr>
              <w:t>监理单位</w:t>
            </w:r>
            <w:r>
              <w:rPr>
                <w:bCs/>
                <w:color w:val="auto"/>
                <w:sz w:val="24"/>
                <w:highlight w:val="none"/>
              </w:rPr>
              <w:t xml:space="preserve">     </w:t>
            </w:r>
          </w:p>
        </w:tc>
        <w:tc>
          <w:tcPr>
            <w:tcW w:w="3755" w:type="dxa"/>
            <w:gridSpan w:val="2"/>
            <w:vAlign w:val="center"/>
          </w:tcPr>
          <w:p>
            <w:pPr>
              <w:spacing w:afterLines="50"/>
              <w:jc w:val="center"/>
              <w:rPr>
                <w:color w:val="auto"/>
                <w:sz w:val="24"/>
                <w:highlight w:val="none"/>
              </w:rPr>
            </w:pPr>
            <w:r>
              <w:rPr>
                <w:bCs/>
                <w:color w:val="auto"/>
                <w:sz w:val="24"/>
                <w:highlight w:val="none"/>
              </w:rPr>
              <w:t xml:space="preserve">    </w:t>
            </w:r>
          </w:p>
        </w:tc>
        <w:tc>
          <w:tcPr>
            <w:tcW w:w="581" w:type="dxa"/>
            <w:vAlign w:val="center"/>
          </w:tcPr>
          <w:p>
            <w:pPr>
              <w:jc w:val="center"/>
              <w:rPr>
                <w:bCs/>
                <w:color w:val="auto"/>
                <w:sz w:val="24"/>
                <w:highlight w:val="none"/>
              </w:rPr>
            </w:pPr>
            <w:r>
              <w:rPr>
                <w:rFonts w:hint="eastAsia"/>
                <w:bCs/>
                <w:color w:val="auto"/>
                <w:sz w:val="24"/>
                <w:highlight w:val="none"/>
              </w:rPr>
              <w:t>建设</w:t>
            </w:r>
          </w:p>
          <w:p>
            <w:pPr>
              <w:jc w:val="center"/>
              <w:rPr>
                <w:bCs/>
                <w:color w:val="auto"/>
                <w:sz w:val="24"/>
                <w:highlight w:val="none"/>
              </w:rPr>
            </w:pPr>
            <w:r>
              <w:rPr>
                <w:rFonts w:hint="eastAsia"/>
                <w:bCs/>
                <w:color w:val="auto"/>
                <w:sz w:val="24"/>
                <w:highlight w:val="none"/>
              </w:rPr>
              <w:t>单</w:t>
            </w:r>
          </w:p>
          <w:p>
            <w:pPr>
              <w:jc w:val="center"/>
              <w:rPr>
                <w:color w:val="auto"/>
                <w:sz w:val="24"/>
                <w:highlight w:val="none"/>
              </w:rPr>
            </w:pPr>
            <w:r>
              <w:rPr>
                <w:rFonts w:hint="eastAsia"/>
                <w:bCs/>
                <w:color w:val="auto"/>
                <w:sz w:val="24"/>
                <w:highlight w:val="none"/>
              </w:rPr>
              <w:t>位</w:t>
            </w:r>
          </w:p>
        </w:tc>
        <w:tc>
          <w:tcPr>
            <w:tcW w:w="4481" w:type="dxa"/>
          </w:tcPr>
          <w:p>
            <w:pPr>
              <w:spacing w:afterLines="50"/>
              <w:rPr>
                <w:color w:val="auto"/>
                <w:sz w:val="24"/>
                <w:highlight w:val="none"/>
              </w:rPr>
            </w:pPr>
            <w:r>
              <w:rPr>
                <w:bCs/>
                <w:color w:val="auto"/>
                <w:sz w:val="24"/>
                <w:highlight w:val="none"/>
              </w:rPr>
              <w:t xml:space="preserve">        </w:t>
            </w:r>
            <w:r>
              <w:rPr>
                <w:rFonts w:hint="eastAsia"/>
                <w:bCs/>
                <w:color w:val="auto"/>
                <w:sz w:val="24"/>
                <w:highlight w:val="none"/>
              </w:rPr>
              <w:t xml:space="preserve">     </w:t>
            </w:r>
          </w:p>
        </w:tc>
      </w:tr>
    </w:tbl>
    <w:p>
      <w:pPr>
        <w:spacing w:beforeLines="30"/>
        <w:rPr>
          <w:bCs/>
          <w:color w:val="auto"/>
          <w:szCs w:val="21"/>
          <w:highlight w:val="none"/>
        </w:rPr>
      </w:pPr>
      <w:r>
        <w:rPr>
          <w:rFonts w:hint="eastAsia"/>
          <w:bCs/>
          <w:color w:val="auto"/>
          <w:szCs w:val="21"/>
          <w:highlight w:val="none"/>
        </w:rPr>
        <w:t>本验收单一式三份，建设、施工、监理单位各一份。</w:t>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r>
        <w:rPr>
          <w:rFonts w:hint="eastAsia"/>
          <w:color w:val="auto"/>
          <w:sz w:val="28"/>
          <w:szCs w:val="28"/>
          <w:highlight w:val="none"/>
        </w:rPr>
        <w:t>附表七</w:t>
      </w:r>
    </w:p>
    <w:p>
      <w:pPr>
        <w:spacing w:afterLines="50"/>
        <w:jc w:val="center"/>
        <w:rPr>
          <w:rFonts w:ascii="黑体" w:hAnsi="黑体" w:eastAsia="黑体" w:cs="黑体"/>
          <w:b/>
          <w:color w:val="auto"/>
          <w:sz w:val="32"/>
          <w:szCs w:val="32"/>
          <w:highlight w:val="none"/>
        </w:rPr>
      </w:pPr>
    </w:p>
    <w:p>
      <w:pPr>
        <w:spacing w:afterLines="50"/>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嘉兴港区道路维修工程验收单</w:t>
      </w:r>
    </w:p>
    <w:p>
      <w:pPr>
        <w:spacing w:afterLines="50"/>
        <w:jc w:val="center"/>
        <w:rPr>
          <w:rFonts w:ascii="宋体" w:hAnsi="宋体" w:cs="宋体"/>
          <w:color w:val="auto"/>
          <w:sz w:val="28"/>
          <w:szCs w:val="28"/>
          <w:highlight w:val="none"/>
        </w:rPr>
      </w:pPr>
      <w:r>
        <w:rPr>
          <w:rFonts w:hint="eastAsia" w:ascii="宋体" w:hAnsi="宋体" w:cs="宋体"/>
          <w:b/>
          <w:color w:val="auto"/>
          <w:sz w:val="28"/>
          <w:szCs w:val="28"/>
          <w:highlight w:val="none"/>
        </w:rPr>
        <w:t>工程量验收单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7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2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工程名称</w:t>
            </w:r>
          </w:p>
        </w:tc>
        <w:tc>
          <w:tcPr>
            <w:tcW w:w="7146" w:type="dxa"/>
            <w:gridSpan w:val="2"/>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地 点</w:t>
            </w:r>
          </w:p>
        </w:tc>
        <w:tc>
          <w:tcPr>
            <w:tcW w:w="7146" w:type="dxa"/>
            <w:gridSpan w:val="2"/>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172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工程量</w:t>
            </w: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与施工方案</w:t>
            </w:r>
          </w:p>
        </w:tc>
        <w:tc>
          <w:tcPr>
            <w:tcW w:w="7146" w:type="dxa"/>
            <w:gridSpan w:val="2"/>
          </w:tcPr>
          <w:p>
            <w:pPr>
              <w:rPr>
                <w:rFonts w:ascii="仿宋" w:hAnsi="仿宋" w:eastAsia="仿宋" w:cs="仿宋"/>
                <w:color w:val="auto"/>
                <w:sz w:val="24"/>
                <w:highlight w:val="none"/>
                <w:vertAlign w:val="superscript"/>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tabs>
                <w:tab w:val="left" w:pos="855"/>
              </w:tabs>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2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施工单位</w:t>
            </w:r>
          </w:p>
        </w:tc>
        <w:tc>
          <w:tcPr>
            <w:tcW w:w="3276" w:type="dxa"/>
            <w:vAlign w:val="center"/>
          </w:tcPr>
          <w:p>
            <w:pPr>
              <w:jc w:val="center"/>
              <w:rPr>
                <w:rFonts w:ascii="仿宋" w:hAnsi="仿宋" w:eastAsia="仿宋" w:cs="仿宋"/>
                <w:color w:val="auto"/>
                <w:sz w:val="24"/>
                <w:highlight w:val="none"/>
              </w:rPr>
            </w:pPr>
          </w:p>
        </w:tc>
        <w:tc>
          <w:tcPr>
            <w:tcW w:w="387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2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监理单位</w:t>
            </w:r>
          </w:p>
        </w:tc>
        <w:tc>
          <w:tcPr>
            <w:tcW w:w="3276" w:type="dxa"/>
            <w:vAlign w:val="center"/>
          </w:tcPr>
          <w:p>
            <w:pPr>
              <w:jc w:val="center"/>
              <w:rPr>
                <w:rFonts w:ascii="仿宋" w:hAnsi="仿宋" w:eastAsia="仿宋" w:cs="仿宋"/>
                <w:color w:val="auto"/>
                <w:sz w:val="24"/>
                <w:highlight w:val="none"/>
              </w:rPr>
            </w:pPr>
          </w:p>
        </w:tc>
        <w:tc>
          <w:tcPr>
            <w:tcW w:w="3870" w:type="dxa"/>
            <w:vAlign w:val="center"/>
          </w:tcPr>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p>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28" w:type="dxa"/>
            <w:vMerge w:val="restart"/>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w:t>
            </w: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收</w:t>
            </w: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w:t>
            </w: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位</w:t>
            </w:r>
          </w:p>
        </w:tc>
        <w:tc>
          <w:tcPr>
            <w:tcW w:w="3276" w:type="dxa"/>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浙江乍浦经济开发区（嘉兴港区）管理委员会</w:t>
            </w:r>
          </w:p>
        </w:tc>
        <w:tc>
          <w:tcPr>
            <w:tcW w:w="387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8" w:type="dxa"/>
            <w:vMerge w:val="continue"/>
            <w:vAlign w:val="center"/>
          </w:tcPr>
          <w:p>
            <w:pPr>
              <w:rPr>
                <w:rFonts w:ascii="仿宋" w:hAnsi="仿宋" w:eastAsia="仿宋" w:cs="仿宋"/>
                <w:color w:val="auto"/>
                <w:sz w:val="24"/>
                <w:highlight w:val="none"/>
              </w:rPr>
            </w:pPr>
          </w:p>
        </w:tc>
        <w:tc>
          <w:tcPr>
            <w:tcW w:w="327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嘉兴市财政局港区分局</w:t>
            </w:r>
          </w:p>
        </w:tc>
        <w:tc>
          <w:tcPr>
            <w:tcW w:w="387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28" w:type="dxa"/>
            <w:vMerge w:val="continue"/>
            <w:vAlign w:val="center"/>
          </w:tcPr>
          <w:p>
            <w:pPr>
              <w:rPr>
                <w:rFonts w:ascii="仿宋" w:hAnsi="仿宋" w:eastAsia="仿宋" w:cs="仿宋"/>
                <w:color w:val="auto"/>
                <w:highlight w:val="none"/>
              </w:rPr>
            </w:pPr>
          </w:p>
        </w:tc>
        <w:tc>
          <w:tcPr>
            <w:tcW w:w="327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嘉兴市综合行政执法局港区分局</w:t>
            </w:r>
          </w:p>
        </w:tc>
        <w:tc>
          <w:tcPr>
            <w:tcW w:w="3870" w:type="dxa"/>
            <w:vAlign w:val="center"/>
          </w:tcPr>
          <w:p>
            <w:pPr>
              <w:rPr>
                <w:rFonts w:ascii="仿宋" w:hAnsi="仿宋" w:eastAsia="仿宋" w:cs="仿宋"/>
                <w:color w:val="auto"/>
                <w:sz w:val="24"/>
                <w:highlight w:val="none"/>
              </w:rPr>
            </w:pPr>
          </w:p>
        </w:tc>
      </w:tr>
    </w:tbl>
    <w:p>
      <w:pPr>
        <w:rPr>
          <w:color w:val="auto"/>
          <w:highlight w:val="none"/>
        </w:rPr>
      </w:pPr>
    </w:p>
    <w:p>
      <w:pPr>
        <w:spacing w:beforeLines="30"/>
        <w:rPr>
          <w:color w:val="auto"/>
          <w:highlight w:val="none"/>
        </w:rPr>
      </w:pPr>
    </w:p>
    <w:p>
      <w:pPr>
        <w:spacing w:beforeLines="30"/>
        <w:rPr>
          <w:color w:val="auto"/>
          <w:highlight w:val="none"/>
        </w:rPr>
      </w:pPr>
    </w:p>
    <w:p>
      <w:pPr>
        <w:spacing w:beforeLines="30"/>
        <w:rPr>
          <w:color w:val="auto"/>
          <w:highlight w:val="none"/>
        </w:rPr>
      </w:pPr>
    </w:p>
    <w:p>
      <w:pPr>
        <w:spacing w:beforeLines="30"/>
        <w:rPr>
          <w:color w:val="auto"/>
          <w:highlight w:val="none"/>
        </w:rPr>
      </w:pPr>
    </w:p>
    <w:p>
      <w:pPr>
        <w:spacing w:beforeLines="30"/>
        <w:rPr>
          <w:color w:val="auto"/>
          <w:highlight w:val="none"/>
        </w:rPr>
      </w:pPr>
    </w:p>
    <w:p>
      <w:pPr>
        <w:rPr>
          <w:color w:val="auto"/>
          <w:sz w:val="28"/>
          <w:szCs w:val="28"/>
          <w:highlight w:val="none"/>
        </w:rPr>
      </w:pPr>
      <w:r>
        <w:rPr>
          <w:rFonts w:hint="eastAsia"/>
          <w:color w:val="auto"/>
          <w:sz w:val="28"/>
          <w:szCs w:val="28"/>
          <w:highlight w:val="none"/>
        </w:rPr>
        <w:t>附件</w:t>
      </w:r>
    </w:p>
    <w:p>
      <w:pPr>
        <w:ind w:firstLine="3200" w:firstLineChars="1000"/>
        <w:rPr>
          <w:color w:val="auto"/>
          <w:sz w:val="32"/>
          <w:highlight w:val="none"/>
        </w:rPr>
      </w:pPr>
      <w:r>
        <w:rPr>
          <w:rFonts w:hint="eastAsia"/>
          <w:color w:val="auto"/>
          <w:sz w:val="32"/>
          <w:highlight w:val="none"/>
        </w:rPr>
        <w:t>市政设施养护考评表</w:t>
      </w:r>
    </w:p>
    <w:p>
      <w:pPr>
        <w:pStyle w:val="19"/>
        <w:tabs>
          <w:tab w:val="left" w:pos="2472"/>
        </w:tabs>
        <w:snapToGrid w:val="0"/>
        <w:rPr>
          <w:rFonts w:ascii="黑体" w:hAnsi="宋体" w:eastAsia="黑体"/>
          <w:color w:val="auto"/>
          <w:highlight w:val="none"/>
        </w:rPr>
      </w:pPr>
    </w:p>
    <w:tbl>
      <w:tblPr>
        <w:tblStyle w:val="33"/>
        <w:tblW w:w="95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12"/>
        <w:gridCol w:w="3417"/>
        <w:gridCol w:w="2454"/>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日常巡查情况</w:t>
            </w:r>
          </w:p>
        </w:tc>
        <w:tc>
          <w:tcPr>
            <w:tcW w:w="812"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分值</w:t>
            </w:r>
          </w:p>
        </w:tc>
        <w:tc>
          <w:tcPr>
            <w:tcW w:w="341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检查标准</w:t>
            </w:r>
          </w:p>
        </w:tc>
        <w:tc>
          <w:tcPr>
            <w:tcW w:w="245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扣分标准</w:t>
            </w:r>
          </w:p>
        </w:tc>
        <w:tc>
          <w:tcPr>
            <w:tcW w:w="89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扣分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restart"/>
            <w:tcBorders>
              <w:top w:val="single" w:color="auto" w:sz="4" w:space="0"/>
              <w:left w:val="nil"/>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25分</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配制专职巡查人员2人，每人责任范围明确，接受甲方监督和考核。</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巡查人员无故旷工或工作不配合，每天/次扣1分。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建立巡查和责任制度，巡查责任必须落实到个人，中心城区及重要路段必须进行步行巡查，要求做到定人、定路段、定时间进行巡查。</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未达到本条要求者，每处扣1分；常规问题未发现，每处扣0.5分；接市民举报投诉，存在井盖缺失、路面严重下沉等高危隐患问题，情况属实，每次扣1分。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巡查工作每日有记载，内容准确，应做到项目、位置、数量准确无误，发现问题要及时上报，并有记录。处理完毕后，记录处理结果，由相关负责人审核签字。</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养护维修范围内的城市道路，在巡查过程中发现设施明显损坏，影响车辆和行人安全等安全隐患、危急情况，及时采取相应的维护措施，并做好记录。</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94" w:type="dxa"/>
            <w:vMerge w:val="continue"/>
            <w:tcBorders>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bottom w:val="single" w:color="auto" w:sz="4" w:space="0"/>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汛期防汛巡查遇大、暴雨半小时后巡查员应将管养区域内的基本状况报知市政管理部门相关负责人。</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维护及时情况</w:t>
            </w:r>
          </w:p>
        </w:tc>
        <w:tc>
          <w:tcPr>
            <w:tcW w:w="812" w:type="dxa"/>
            <w:vMerge w:val="restart"/>
            <w:tcBorders>
              <w:top w:val="single" w:color="auto" w:sz="4" w:space="0"/>
              <w:left w:val="nil"/>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25分</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对车行道明显沉陷、网裂、松散、裂缝、烂边、井座沉陷、唧泥、拥包、错台、缝料散失、砼板块松动的，接到信息通知起，6-8日内修复完毕。（如遇客观因素无法实施修复的征得甲方同意可顺延，但必须采取临时处理措施）。</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凡未达到本条要求，一处每超期一天，每处扣1分。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人行道铺装无松动、缺块、烂边、路沿石或嵌边石缺失等问题。发现上述问题，甲方予以安排维修的，必须在5-8日内进行修复。</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未达到本条要求，一处每超一天，每处扣1分。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雨水口、检查井产生断裂、沉陷、倾斜、局部塌陷或井盖、箅子残缺等损坏要求在发现之时起2小时内维修更换或采取安全防护措施。</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未达到本条要求，一处每超期一天，每处扣1分。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桥梁设施根据工作量、技术要求、季节限制等确定维修时间，影响安全的1日内采取措施。</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未达到本条要求，一处每超期一天，每处扣1分。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94" w:type="dxa"/>
            <w:vMerge w:val="continue"/>
            <w:tcBorders>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bottom w:val="single" w:color="auto" w:sz="4" w:space="0"/>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为及时处置造成市政雨水管网堵塞、路面积水</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94" w:type="dxa"/>
            <w:vMerge w:val="restart"/>
            <w:tcBorders>
              <w:top w:val="single" w:color="auto" w:sz="4" w:space="0"/>
              <w:left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设施完好情况</w:t>
            </w:r>
          </w:p>
          <w:p>
            <w:pPr>
              <w:jc w:val="center"/>
              <w:rPr>
                <w:rFonts w:ascii="宋体" w:hAnsi="宋体"/>
                <w:color w:val="auto"/>
                <w:sz w:val="20"/>
                <w:szCs w:val="20"/>
                <w:highlight w:val="none"/>
              </w:rPr>
            </w:pPr>
            <w:r>
              <w:rPr>
                <w:rFonts w:hint="eastAsia"/>
                <w:color w:val="auto"/>
                <w:sz w:val="20"/>
                <w:szCs w:val="20"/>
                <w:highlight w:val="none"/>
              </w:rPr>
              <w:t> </w:t>
            </w:r>
          </w:p>
        </w:tc>
        <w:tc>
          <w:tcPr>
            <w:tcW w:w="812" w:type="dxa"/>
            <w:vMerge w:val="restart"/>
            <w:tcBorders>
              <w:top w:val="single" w:color="auto" w:sz="4" w:space="0"/>
              <w:left w:val="nil"/>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15分</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车行道设施修补形状应规则，边线应平行或垂直于道路中线，接头平顺；铺筑平整、密实，路面平整、无明显沉陷、网裂、松散、错台、拥包、裂缝、烂边、唧泥、缝料散失、砼板块松动等现象；井框高差不明显，路面不积水。</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每处扣1分。出现严重质量问题予以返修，否则，维修单元费用不予支付。</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94" w:type="dxa"/>
            <w:vMerge w:val="continue"/>
            <w:tcBorders>
              <w:left w:val="single" w:color="auto" w:sz="4" w:space="0"/>
              <w:right w:val="single" w:color="auto" w:sz="4" w:space="0"/>
            </w:tcBorders>
            <w:vAlign w:val="center"/>
          </w:tcPr>
          <w:p>
            <w:pPr>
              <w:jc w:val="cente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人行道侧、平石表面接头平整、线型直顺、接缝均匀、勾缝饱满、安砌稳固。道面平整、安砌牢固、纵横缝均匀、直顺、灌缝饱满、无残缺。</w:t>
            </w:r>
          </w:p>
        </w:tc>
        <w:tc>
          <w:tcPr>
            <w:tcW w:w="2454"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每米或每处扣0.5分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94" w:type="dxa"/>
            <w:vMerge w:val="continue"/>
            <w:tcBorders>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bottom w:val="single" w:color="auto" w:sz="4" w:space="0"/>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桥梁设施存在安全隐患及时采取安全维护措施及维修质量应达到技术规范要求。</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每处扣1分。出现严重质量问题予以返修，否则，维修单元费用不予支付。</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4" w:type="dxa"/>
            <w:vMerge w:val="restart"/>
            <w:tcBorders>
              <w:top w:val="single" w:color="auto" w:sz="4" w:space="0"/>
              <w:left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安全与文明施工情况</w:t>
            </w:r>
          </w:p>
        </w:tc>
        <w:tc>
          <w:tcPr>
            <w:tcW w:w="812" w:type="dxa"/>
            <w:vMerge w:val="restart"/>
            <w:tcBorders>
              <w:top w:val="single" w:color="auto" w:sz="4" w:space="0"/>
              <w:left w:val="nil"/>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20分</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施工现场必须设置安全标志、警示标志、围栏等安全设施，夜间设置夜间照明警示灯</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未达到本条要求者，每次扣1分。因安全设施未完善造成交通安全事故，每次扣2分。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94" w:type="dxa"/>
            <w:vMerge w:val="continue"/>
            <w:tcBorders>
              <w:left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right w:val="single" w:color="auto" w:sz="4" w:space="0"/>
            </w:tcBorders>
            <w:vAlign w:val="center"/>
          </w:tcPr>
          <w:p>
            <w:pP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养护管理、作业人员施工时必须穿戴统一制作的具有反光功能的安全标志服和安全帽。</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未达到本条要求者，每次扣1分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094" w:type="dxa"/>
            <w:vMerge w:val="continue"/>
            <w:tcBorders>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c>
          <w:tcPr>
            <w:tcW w:w="812" w:type="dxa"/>
            <w:vMerge w:val="continue"/>
            <w:tcBorders>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施工单位开工前需要办理建筑工程一切险（包括建设工程施工人员人身意外伤害险）、第三者责任险</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未达到本条要求者，没存在一项扣3分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考勤情况</w:t>
            </w:r>
          </w:p>
        </w:tc>
        <w:tc>
          <w:tcPr>
            <w:tcW w:w="81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15分</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项目经理或现场负责人及驻业主单位办公人员出勤率每季度不低于80%（72天）</w:t>
            </w:r>
          </w:p>
        </w:tc>
        <w:tc>
          <w:tcPr>
            <w:tcW w:w="2454"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未达到本条要求者，每少1天扣1分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加分项</w:t>
            </w:r>
          </w:p>
        </w:tc>
        <w:tc>
          <w:tcPr>
            <w:tcW w:w="81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p>
        </w:tc>
        <w:tc>
          <w:tcPr>
            <w:tcW w:w="3417" w:type="dxa"/>
            <w:tcBorders>
              <w:top w:val="single" w:color="auto" w:sz="4" w:space="0"/>
              <w:left w:val="nil"/>
              <w:bottom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台风、雨雪等恶劣天气突发事件处置，及业主交办应急任务</w:t>
            </w:r>
          </w:p>
        </w:tc>
        <w:tc>
          <w:tcPr>
            <w:tcW w:w="2454" w:type="dxa"/>
            <w:tcBorders>
              <w:top w:val="single" w:color="auto" w:sz="4" w:space="0"/>
              <w:left w:val="nil"/>
              <w:bottom w:val="single" w:color="auto" w:sz="4" w:space="0"/>
              <w:right w:val="single" w:color="auto" w:sz="4" w:space="0"/>
            </w:tcBorders>
            <w:vAlign w:val="center"/>
          </w:tcPr>
          <w:p>
            <w:pPr>
              <w:rPr>
                <w:rFonts w:ascii="宋体" w:hAnsi="宋体"/>
                <w:color w:val="auto"/>
                <w:sz w:val="20"/>
                <w:szCs w:val="20"/>
                <w:highlight w:val="none"/>
              </w:rPr>
            </w:pPr>
            <w:r>
              <w:rPr>
                <w:rFonts w:hint="eastAsia" w:ascii="宋体" w:hAnsi="宋体"/>
                <w:color w:val="auto"/>
                <w:sz w:val="20"/>
                <w:szCs w:val="20"/>
                <w:highlight w:val="none"/>
              </w:rPr>
              <w:t>每有一项加2分</w:t>
            </w: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c>
          <w:tcPr>
            <w:tcW w:w="81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总分100分</w:t>
            </w:r>
          </w:p>
        </w:tc>
        <w:tc>
          <w:tcPr>
            <w:tcW w:w="3417" w:type="dxa"/>
            <w:tcBorders>
              <w:top w:val="single" w:color="auto" w:sz="4" w:space="0"/>
              <w:left w:val="nil"/>
              <w:bottom w:val="single" w:color="auto" w:sz="4" w:space="0"/>
              <w:right w:val="single" w:color="auto" w:sz="4" w:space="0"/>
            </w:tcBorders>
            <w:vAlign w:val="center"/>
          </w:tcPr>
          <w:p>
            <w:pPr>
              <w:rPr>
                <w:rFonts w:ascii="宋体" w:hAnsi="宋体"/>
                <w:color w:val="auto"/>
                <w:sz w:val="20"/>
                <w:szCs w:val="20"/>
                <w:highlight w:val="none"/>
              </w:rPr>
            </w:pPr>
          </w:p>
        </w:tc>
        <w:tc>
          <w:tcPr>
            <w:tcW w:w="2454" w:type="dxa"/>
            <w:tcBorders>
              <w:top w:val="single" w:color="auto" w:sz="4" w:space="0"/>
              <w:left w:val="nil"/>
              <w:bottom w:val="single" w:color="auto" w:sz="4" w:space="0"/>
              <w:right w:val="single" w:color="auto" w:sz="4" w:space="0"/>
            </w:tcBorders>
            <w:vAlign w:val="center"/>
          </w:tcPr>
          <w:p>
            <w:pPr>
              <w:rPr>
                <w:rFonts w:ascii="宋体" w:hAnsi="宋体"/>
                <w:color w:val="auto"/>
                <w:sz w:val="20"/>
                <w:szCs w:val="20"/>
                <w:highlight w:val="none"/>
              </w:rPr>
            </w:pPr>
          </w:p>
        </w:tc>
        <w:tc>
          <w:tcPr>
            <w:tcW w:w="894" w:type="dxa"/>
            <w:tcBorders>
              <w:top w:val="single" w:color="auto" w:sz="4" w:space="0"/>
              <w:left w:val="nil"/>
              <w:bottom w:val="single" w:color="auto" w:sz="4" w:space="0"/>
              <w:right w:val="single" w:color="auto" w:sz="4" w:space="0"/>
            </w:tcBorders>
          </w:tcPr>
          <w:p>
            <w:pPr>
              <w:rPr>
                <w:rFonts w:ascii="宋体" w:hAnsi="宋体"/>
                <w:color w:val="auto"/>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0"/>
                <w:szCs w:val="20"/>
                <w:highlight w:val="none"/>
              </w:rPr>
            </w:pPr>
          </w:p>
        </w:tc>
      </w:tr>
    </w:tbl>
    <w:p>
      <w:pPr>
        <w:numPr>
          <w:ilvl w:val="0"/>
          <w:numId w:val="7"/>
        </w:numPr>
        <w:rPr>
          <w:rFonts w:ascii="宋体"/>
          <w:b/>
          <w:bCs/>
          <w:color w:val="auto"/>
          <w:sz w:val="24"/>
          <w:highlight w:val="none"/>
        </w:rPr>
      </w:pPr>
      <w:r>
        <w:rPr>
          <w:rFonts w:hint="eastAsia" w:ascii="宋体" w:hAnsi="宋体"/>
          <w:color w:val="auto"/>
          <w:sz w:val="24"/>
          <w:highlight w:val="none"/>
        </w:rPr>
        <w:t>本考核办法以日常巡查、维护及时情况、设施完好情况、安全与文明施工情况、考勤情况及加分项结合的方法得出</w:t>
      </w:r>
      <w:r>
        <w:rPr>
          <w:rFonts w:hint="eastAsia" w:ascii="宋体" w:hAnsi="宋体"/>
          <w:b/>
          <w:bCs/>
          <w:color w:val="auto"/>
          <w:sz w:val="24"/>
          <w:highlight w:val="none"/>
        </w:rPr>
        <w:t>季度考核分数</w:t>
      </w:r>
      <w:r>
        <w:rPr>
          <w:rFonts w:hint="eastAsia" w:ascii="宋体" w:hAnsi="宋体"/>
          <w:color w:val="auto"/>
          <w:sz w:val="24"/>
          <w:highlight w:val="none"/>
        </w:rPr>
        <w:t>。</w:t>
      </w:r>
    </w:p>
    <w:p>
      <w:pPr>
        <w:spacing w:line="360" w:lineRule="auto"/>
        <w:rPr>
          <w:rFonts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季度养护费结算价</w:t>
      </w:r>
      <w:r>
        <w:rPr>
          <w:rFonts w:ascii="宋体" w:hAnsi="宋体"/>
          <w:b/>
          <w:bCs/>
          <w:color w:val="auto"/>
          <w:sz w:val="24"/>
          <w:highlight w:val="none"/>
        </w:rPr>
        <w:t>=</w:t>
      </w:r>
      <w:r>
        <w:rPr>
          <w:rFonts w:hint="eastAsia" w:ascii="宋体" w:hAnsi="宋体"/>
          <w:b/>
          <w:bCs/>
          <w:color w:val="auto"/>
          <w:sz w:val="24"/>
          <w:highlight w:val="none"/>
        </w:rPr>
        <w:t>以经审定后的工程造价乘以中标百分率再扣除季度考核后的罚款金额金额结算。</w:t>
      </w:r>
    </w:p>
    <w:p>
      <w:pPr>
        <w:rPr>
          <w:rFonts w:ascii="宋体"/>
          <w:color w:val="auto"/>
          <w:sz w:val="24"/>
          <w:highlight w:val="none"/>
        </w:rPr>
      </w:pPr>
      <w:r>
        <w:rPr>
          <w:rFonts w:ascii="宋体" w:hAnsi="宋体"/>
          <w:bCs/>
          <w:color w:val="auto"/>
          <w:sz w:val="24"/>
          <w:highlight w:val="none"/>
        </w:rPr>
        <w:t xml:space="preserve">               </w:t>
      </w:r>
      <w:r>
        <w:rPr>
          <w:rFonts w:hint="eastAsia" w:ascii="宋体" w:hAnsi="宋体"/>
          <w:color w:val="auto"/>
          <w:sz w:val="24"/>
          <w:highlight w:val="none"/>
        </w:rPr>
        <w:t>季度考核分数</w:t>
      </w:r>
      <w:r>
        <w:rPr>
          <w:rFonts w:ascii="宋体" w:hAnsi="宋体"/>
          <w:color w:val="auto"/>
          <w:sz w:val="24"/>
          <w:highlight w:val="none"/>
        </w:rPr>
        <w:t xml:space="preserve">        </w:t>
      </w:r>
      <w:r>
        <w:rPr>
          <w:rFonts w:hint="eastAsia" w:ascii="宋体" w:hAnsi="宋体"/>
          <w:color w:val="auto"/>
          <w:sz w:val="24"/>
          <w:highlight w:val="none"/>
        </w:rPr>
        <w:t>季度考核后的罚款金额</w:t>
      </w:r>
    </w:p>
    <w:p>
      <w:pPr>
        <w:rPr>
          <w:rFonts w:ascii="宋体"/>
          <w:color w:val="auto"/>
          <w:sz w:val="24"/>
          <w:highlight w:val="none"/>
        </w:rPr>
      </w:pPr>
      <w:r>
        <w:rPr>
          <w:rFonts w:ascii="宋体" w:hAnsi="宋体"/>
          <w:color w:val="auto"/>
          <w:sz w:val="24"/>
          <w:highlight w:val="none"/>
        </w:rPr>
        <w:t xml:space="preserve">                   90</w:t>
      </w:r>
      <w:r>
        <w:rPr>
          <w:rFonts w:hint="eastAsia" w:ascii="宋体" w:hAnsi="宋体"/>
          <w:color w:val="auto"/>
          <w:sz w:val="24"/>
          <w:highlight w:val="none"/>
        </w:rPr>
        <w:t>分以上</w:t>
      </w:r>
      <w:r>
        <w:rPr>
          <w:rFonts w:ascii="宋体" w:hAnsi="宋体"/>
          <w:color w:val="auto"/>
          <w:sz w:val="24"/>
          <w:highlight w:val="none"/>
        </w:rPr>
        <w:t xml:space="preserve">             </w:t>
      </w:r>
      <w:r>
        <w:rPr>
          <w:rFonts w:hint="eastAsia" w:ascii="宋体" w:hAnsi="宋体"/>
          <w:color w:val="auto"/>
          <w:sz w:val="24"/>
          <w:highlight w:val="none"/>
        </w:rPr>
        <w:t>不扣款</w:t>
      </w:r>
    </w:p>
    <w:p>
      <w:pPr>
        <w:rPr>
          <w:rFonts w:ascii="宋体"/>
          <w:color w:val="auto"/>
          <w:sz w:val="24"/>
          <w:highlight w:val="none"/>
        </w:rPr>
      </w:pPr>
      <w:r>
        <w:rPr>
          <w:rFonts w:ascii="宋体" w:hAnsi="宋体"/>
          <w:color w:val="auto"/>
          <w:sz w:val="24"/>
          <w:highlight w:val="none"/>
        </w:rPr>
        <w:t xml:space="preserve">                   80</w:t>
      </w:r>
      <w:r>
        <w:rPr>
          <w:rFonts w:hint="eastAsia" w:ascii="宋体" w:hAnsi="宋体"/>
          <w:color w:val="auto"/>
          <w:sz w:val="24"/>
          <w:highlight w:val="none"/>
        </w:rPr>
        <w:t>分</w:t>
      </w:r>
      <w:r>
        <w:rPr>
          <w:rFonts w:ascii="宋体" w:hAnsi="宋体"/>
          <w:color w:val="auto"/>
          <w:sz w:val="24"/>
          <w:highlight w:val="none"/>
        </w:rPr>
        <w:t>-89</w:t>
      </w:r>
      <w:r>
        <w:rPr>
          <w:rFonts w:hint="eastAsia" w:ascii="宋体" w:hAnsi="宋体"/>
          <w:color w:val="auto"/>
          <w:sz w:val="24"/>
          <w:highlight w:val="none"/>
        </w:rPr>
        <w:t>分</w:t>
      </w:r>
      <w:r>
        <w:rPr>
          <w:rFonts w:ascii="宋体" w:hAnsi="宋体"/>
          <w:color w:val="auto"/>
          <w:sz w:val="24"/>
          <w:highlight w:val="none"/>
        </w:rPr>
        <w:t xml:space="preserve">           </w:t>
      </w:r>
      <w:r>
        <w:rPr>
          <w:rFonts w:hint="eastAsia" w:ascii="宋体" w:hAnsi="宋体"/>
          <w:color w:val="auto"/>
          <w:sz w:val="24"/>
          <w:highlight w:val="none"/>
          <w:lang w:val="en-US" w:eastAsia="zh-CN"/>
        </w:rPr>
        <w:t>2</w:t>
      </w:r>
      <w:r>
        <w:rPr>
          <w:rFonts w:hint="eastAsia" w:ascii="宋体" w:hAnsi="宋体"/>
          <w:color w:val="auto"/>
          <w:sz w:val="24"/>
          <w:highlight w:val="none"/>
        </w:rPr>
        <w:t>0000元</w:t>
      </w:r>
    </w:p>
    <w:p>
      <w:pPr>
        <w:rPr>
          <w:rFonts w:ascii="宋体"/>
          <w:color w:val="auto"/>
          <w:sz w:val="24"/>
          <w:highlight w:val="none"/>
        </w:rPr>
      </w:pPr>
      <w:r>
        <w:rPr>
          <w:rFonts w:ascii="宋体" w:hAnsi="宋体"/>
          <w:color w:val="auto"/>
          <w:sz w:val="24"/>
          <w:highlight w:val="none"/>
        </w:rPr>
        <w:t xml:space="preserve">                   70</w:t>
      </w:r>
      <w:r>
        <w:rPr>
          <w:rFonts w:hint="eastAsia" w:ascii="宋体" w:hAnsi="宋体"/>
          <w:color w:val="auto"/>
          <w:sz w:val="24"/>
          <w:highlight w:val="none"/>
        </w:rPr>
        <w:t>分</w:t>
      </w:r>
      <w:r>
        <w:rPr>
          <w:rFonts w:ascii="宋体" w:hAnsi="宋体"/>
          <w:color w:val="auto"/>
          <w:sz w:val="24"/>
          <w:highlight w:val="none"/>
        </w:rPr>
        <w:t>-79</w:t>
      </w:r>
      <w:r>
        <w:rPr>
          <w:rFonts w:hint="eastAsia" w:ascii="宋体" w:hAnsi="宋体"/>
          <w:color w:val="auto"/>
          <w:sz w:val="24"/>
          <w:highlight w:val="none"/>
        </w:rPr>
        <w:t>分</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5</w:t>
      </w:r>
      <w:r>
        <w:rPr>
          <w:rFonts w:hint="eastAsia" w:ascii="宋体" w:hAnsi="宋体"/>
          <w:color w:val="auto"/>
          <w:sz w:val="24"/>
          <w:highlight w:val="none"/>
        </w:rPr>
        <w:t>0000元</w:t>
      </w:r>
    </w:p>
    <w:p>
      <w:pPr>
        <w:rPr>
          <w:rFonts w:ascii="宋体"/>
          <w:color w:val="auto"/>
          <w:sz w:val="24"/>
          <w:highlight w:val="none"/>
        </w:rPr>
      </w:pPr>
      <w:r>
        <w:rPr>
          <w:rFonts w:ascii="宋体" w:hAnsi="宋体"/>
          <w:color w:val="auto"/>
          <w:sz w:val="24"/>
          <w:highlight w:val="none"/>
        </w:rPr>
        <w:t xml:space="preserve">                   69</w:t>
      </w:r>
      <w:r>
        <w:rPr>
          <w:rFonts w:hint="eastAsia" w:ascii="宋体" w:hAnsi="宋体"/>
          <w:color w:val="auto"/>
          <w:sz w:val="24"/>
          <w:highlight w:val="none"/>
        </w:rPr>
        <w:t>分及以下</w:t>
      </w:r>
      <w:r>
        <w:rPr>
          <w:rFonts w:ascii="宋体" w:hAnsi="宋体"/>
          <w:color w:val="auto"/>
          <w:sz w:val="24"/>
          <w:highlight w:val="none"/>
        </w:rPr>
        <w:t xml:space="preserve">          </w:t>
      </w:r>
      <w:r>
        <w:rPr>
          <w:rFonts w:hint="eastAsia" w:ascii="宋体" w:hAnsi="宋体"/>
          <w:color w:val="auto"/>
          <w:sz w:val="24"/>
          <w:highlight w:val="none"/>
          <w:lang w:val="en-US" w:eastAsia="zh-CN"/>
        </w:rPr>
        <w:t>10</w:t>
      </w:r>
      <w:r>
        <w:rPr>
          <w:rFonts w:hint="eastAsia" w:ascii="宋体" w:hAnsi="宋体"/>
          <w:color w:val="auto"/>
          <w:sz w:val="24"/>
          <w:highlight w:val="none"/>
        </w:rPr>
        <w:t>0000元</w:t>
      </w:r>
    </w:p>
    <w:p>
      <w:pPr>
        <w:rPr>
          <w:rFonts w:ascii="宋体"/>
          <w:bCs/>
          <w:color w:val="auto"/>
          <w:sz w:val="24"/>
          <w:highlight w:val="none"/>
        </w:rPr>
      </w:pPr>
      <w:r>
        <w:rPr>
          <w:rFonts w:ascii="宋体" w:hAnsi="宋体"/>
          <w:color w:val="auto"/>
          <w:sz w:val="24"/>
          <w:highlight w:val="none"/>
        </w:rPr>
        <w:t>3.</w:t>
      </w:r>
      <w:r>
        <w:rPr>
          <w:rFonts w:hint="eastAsia" w:ascii="宋体" w:hAnsi="宋体"/>
          <w:color w:val="auto"/>
          <w:sz w:val="24"/>
          <w:highlight w:val="none"/>
        </w:rPr>
        <w:t>季度考核分数在</w:t>
      </w:r>
      <w:r>
        <w:rPr>
          <w:rFonts w:ascii="宋体" w:hAnsi="宋体"/>
          <w:color w:val="auto"/>
          <w:sz w:val="24"/>
          <w:highlight w:val="none"/>
        </w:rPr>
        <w:t>69</w:t>
      </w:r>
      <w:r>
        <w:rPr>
          <w:rFonts w:hint="eastAsia" w:ascii="宋体" w:hAnsi="宋体"/>
          <w:color w:val="auto"/>
          <w:sz w:val="24"/>
          <w:highlight w:val="none"/>
        </w:rPr>
        <w:t>分及以下的为不合格，</w:t>
      </w:r>
      <w:r>
        <w:rPr>
          <w:rFonts w:hint="eastAsia" w:ascii="宋体" w:hAnsi="宋体"/>
          <w:bCs/>
          <w:color w:val="auto"/>
          <w:sz w:val="24"/>
          <w:highlight w:val="none"/>
        </w:rPr>
        <w:t>甲方有权提前终止合同，并取消下一期投标资格。</w:t>
      </w:r>
    </w:p>
    <w:p>
      <w:pPr>
        <w:pStyle w:val="19"/>
        <w:spacing w:line="360" w:lineRule="auto"/>
        <w:outlineLvl w:val="0"/>
        <w:rPr>
          <w:b/>
          <w:color w:val="auto"/>
          <w:sz w:val="32"/>
          <w:szCs w:val="32"/>
          <w:highlight w:val="none"/>
        </w:rPr>
        <w:sectPr>
          <w:footerReference r:id="rId7" w:type="default"/>
          <w:footerReference r:id="rId8" w:type="even"/>
          <w:pgSz w:w="11906" w:h="16838"/>
          <w:pgMar w:top="1440" w:right="1797" w:bottom="1202" w:left="1797" w:header="851" w:footer="992" w:gutter="0"/>
          <w:pgNumType w:fmt="decimal"/>
          <w:cols w:space="720" w:num="1"/>
          <w:docGrid w:type="lines" w:linePitch="312" w:charSpace="0"/>
        </w:sectPr>
      </w:pPr>
      <w:r>
        <w:rPr>
          <w:rFonts w:hint="eastAsia" w:ascii="黑体" w:hAnsi="宋体" w:eastAsia="黑体"/>
          <w:color w:val="auto"/>
          <w:sz w:val="30"/>
          <w:szCs w:val="30"/>
          <w:highlight w:val="none"/>
        </w:rPr>
        <w:t>备注：第一次考核罚款金额按上述规定执行，第二次考核罚款金额按上述规定的两倍扣罚，第三次考核罚款金额按上述规定的三倍扣罚，以此类推。</w:t>
      </w:r>
    </w:p>
    <w:tbl>
      <w:tblPr>
        <w:tblStyle w:val="33"/>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ign w:val="center"/>
          </w:tcPr>
          <w:p>
            <w:pPr>
              <w:widowControl/>
              <w:jc w:val="center"/>
              <w:rPr>
                <w:rFonts w:ascii="宋体" w:cs="宋体"/>
                <w:b/>
                <w:bCs/>
                <w:color w:val="auto"/>
                <w:kern w:val="0"/>
                <w:sz w:val="48"/>
                <w:szCs w:val="48"/>
                <w:highlight w:val="none"/>
              </w:rPr>
            </w:pPr>
            <w:r>
              <w:rPr>
                <w:rFonts w:hint="eastAsia" w:ascii="宋体" w:cs="宋体"/>
                <w:b/>
                <w:bCs/>
                <w:color w:val="auto"/>
                <w:kern w:val="0"/>
                <w:sz w:val="48"/>
                <w:szCs w:val="48"/>
                <w:highlight w:val="none"/>
              </w:rPr>
              <w:t>政 府 采 购 项 目 验 收 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按照《政府采购委托汇总确认书》第临[2023]1077号，采购编号：</w:t>
            </w:r>
            <w:r>
              <w:rPr>
                <w:rFonts w:hint="eastAsia" w:ascii="宋体" w:cs="宋体"/>
                <w:color w:val="auto"/>
                <w:kern w:val="0"/>
                <w:sz w:val="24"/>
                <w:highlight w:val="none"/>
                <w:lang w:eastAsia="zh-CN"/>
              </w:rPr>
              <w:t>JXYJZFCG-202</w:t>
            </w:r>
            <w:r>
              <w:rPr>
                <w:rFonts w:hint="eastAsia" w:ascii="宋体" w:cs="宋体"/>
                <w:color w:val="auto"/>
                <w:kern w:val="0"/>
                <w:sz w:val="24"/>
                <w:highlight w:val="none"/>
                <w:lang w:val="en-US" w:eastAsia="zh-CN"/>
              </w:rPr>
              <w:t>3</w:t>
            </w:r>
            <w:r>
              <w:rPr>
                <w:rFonts w:hint="eastAsia" w:ascii="宋体" w:cs="宋体"/>
                <w:color w:val="auto"/>
                <w:kern w:val="0"/>
                <w:sz w:val="24"/>
                <w:highlight w:val="none"/>
                <w:lang w:eastAsia="zh-CN"/>
              </w:rPr>
              <w:t>-</w:t>
            </w:r>
            <w:r>
              <w:rPr>
                <w:rFonts w:hint="eastAsia" w:ascii="宋体" w:cs="宋体"/>
                <w:color w:val="auto"/>
                <w:kern w:val="0"/>
                <w:sz w:val="24"/>
                <w:highlight w:val="none"/>
                <w:lang w:val="en-US" w:eastAsia="zh-CN"/>
              </w:rPr>
              <w:t>05</w:t>
            </w:r>
            <w:r>
              <w:rPr>
                <w:rFonts w:hint="eastAsia" w:ascii="宋体" w:cs="宋体"/>
                <w:color w:val="auto"/>
                <w:kern w:val="0"/>
                <w:sz w:val="24"/>
                <w:highlight w:val="none"/>
              </w:rPr>
              <w:t>,合同号：</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采购货物（服务，工程）名称</w:t>
            </w:r>
          </w:p>
        </w:tc>
        <w:tc>
          <w:tcPr>
            <w:tcW w:w="484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规格、型号</w:t>
            </w:r>
          </w:p>
        </w:tc>
        <w:tc>
          <w:tcPr>
            <w:tcW w:w="128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数量</w:t>
            </w:r>
          </w:p>
        </w:tc>
        <w:tc>
          <w:tcPr>
            <w:tcW w:w="160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采购人</w:t>
            </w:r>
            <w:r>
              <w:rPr>
                <w:rFonts w:hint="eastAsia" w:ascii="宋体" w:cs="宋体"/>
                <w:color w:val="auto"/>
                <w:kern w:val="0"/>
                <w:sz w:val="28"/>
                <w:szCs w:val="28"/>
                <w:highlight w:val="none"/>
              </w:rPr>
              <w:br w:type="textWrapping"/>
            </w:r>
            <w:r>
              <w:rPr>
                <w:rFonts w:hint="eastAsia" w:ascii="宋体" w:cs="宋体"/>
                <w:color w:val="auto"/>
                <w:kern w:val="0"/>
                <w:sz w:val="28"/>
                <w:szCs w:val="28"/>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　</w:t>
            </w:r>
          </w:p>
        </w:tc>
        <w:tc>
          <w:tcPr>
            <w:tcW w:w="48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6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740" w:type="dxa"/>
            <w:tcBorders>
              <w:top w:val="nil"/>
              <w:left w:val="nil"/>
              <w:bottom w:val="single" w:color="auto" w:sz="4" w:space="0"/>
              <w:right w:val="single" w:color="auto" w:sz="4" w:space="0"/>
            </w:tcBorders>
            <w:noWrap/>
            <w:vAlign w:val="bottom"/>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供货单位（盖章）：</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采购人（盖章）:</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经办项目负责人：</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项目验收组组长：</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开户银行：</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项目验收组成员（签名）：</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银行帐号：</w:t>
            </w:r>
          </w:p>
        </w:tc>
        <w:tc>
          <w:tcPr>
            <w:tcW w:w="4840" w:type="dxa"/>
            <w:tcBorders>
              <w:top w:val="nil"/>
              <w:left w:val="nil"/>
              <w:bottom w:val="single" w:color="auto" w:sz="4" w:space="0"/>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ign w:val="center"/>
          </w:tcPr>
          <w:p>
            <w:pPr>
              <w:widowControl/>
              <w:jc w:val="center"/>
              <w:rPr>
                <w:rFonts w:ascii="宋体" w:cs="宋体"/>
                <w:color w:val="auto"/>
                <w:kern w:val="0"/>
                <w:sz w:val="22"/>
                <w:szCs w:val="22"/>
                <w:highlight w:val="none"/>
              </w:rPr>
            </w:pPr>
            <w:r>
              <w:rPr>
                <w:rFonts w:hint="eastAsia" w:ascii="宋体" w:cs="宋体"/>
                <w:color w:val="auto"/>
                <w:kern w:val="0"/>
                <w:sz w:val="22"/>
                <w:szCs w:val="22"/>
                <w:highlight w:val="none"/>
              </w:rPr>
              <w:t>本单一式四联：第一联采购人留存，第二联作为财政支付凭证，第三联供货单位留存，第四联采购办存档备查。</w:t>
            </w:r>
          </w:p>
        </w:tc>
      </w:tr>
    </w:tbl>
    <w:p>
      <w:pPr>
        <w:pStyle w:val="19"/>
        <w:spacing w:line="360" w:lineRule="auto"/>
        <w:ind w:left="281" w:hanging="281" w:hangingChars="100"/>
        <w:jc w:val="center"/>
        <w:outlineLvl w:val="0"/>
        <w:rPr>
          <w:b/>
          <w:color w:val="auto"/>
          <w:sz w:val="28"/>
          <w:szCs w:val="28"/>
          <w:highlight w:val="none"/>
        </w:rPr>
      </w:pPr>
    </w:p>
    <w:p>
      <w:pPr>
        <w:pStyle w:val="19"/>
        <w:spacing w:line="360" w:lineRule="auto"/>
        <w:ind w:left="281" w:hanging="281" w:hangingChars="100"/>
        <w:jc w:val="center"/>
        <w:outlineLvl w:val="0"/>
        <w:rPr>
          <w:b/>
          <w:color w:val="auto"/>
          <w:sz w:val="28"/>
          <w:szCs w:val="28"/>
          <w:highlight w:val="none"/>
        </w:rPr>
        <w:sectPr>
          <w:footerReference r:id="rId9" w:type="default"/>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9"/>
        <w:spacing w:line="360" w:lineRule="auto"/>
        <w:ind w:left="281" w:hanging="281" w:hangingChars="100"/>
        <w:jc w:val="center"/>
        <w:outlineLvl w:val="0"/>
        <w:rPr>
          <w:b/>
          <w:color w:val="auto"/>
          <w:sz w:val="28"/>
          <w:szCs w:val="28"/>
          <w:highlight w:val="none"/>
        </w:rPr>
      </w:pPr>
      <w:r>
        <w:rPr>
          <w:rFonts w:hint="eastAsia"/>
          <w:b/>
          <w:color w:val="auto"/>
          <w:sz w:val="28"/>
          <w:szCs w:val="28"/>
          <w:highlight w:val="none"/>
        </w:rPr>
        <w:t>第五章评标</w:t>
      </w:r>
      <w:bookmarkEnd w:id="11"/>
      <w:r>
        <w:rPr>
          <w:rFonts w:hint="eastAsia"/>
          <w:b/>
          <w:color w:val="auto"/>
          <w:sz w:val="28"/>
          <w:szCs w:val="28"/>
          <w:highlight w:val="none"/>
        </w:rPr>
        <w:t>办法</w:t>
      </w:r>
      <w:bookmarkEnd w:id="12"/>
      <w:r>
        <w:rPr>
          <w:rFonts w:hint="eastAsia"/>
          <w:b/>
          <w:color w:val="auto"/>
          <w:sz w:val="28"/>
          <w:szCs w:val="28"/>
          <w:highlight w:val="none"/>
          <w:lang w:eastAsia="zh-CN"/>
        </w:rPr>
        <w:t>（</w:t>
      </w:r>
      <w:r>
        <w:rPr>
          <w:rFonts w:hint="eastAsia" w:ascii="仿宋" w:hAnsi="仿宋" w:eastAsia="仿宋" w:cs="仿宋"/>
          <w:b/>
          <w:bCs/>
          <w:i w:val="0"/>
          <w:iCs w:val="0"/>
          <w:caps w:val="0"/>
          <w:color w:val="auto"/>
          <w:spacing w:val="0"/>
          <w:sz w:val="27"/>
          <w:szCs w:val="27"/>
          <w:highlight w:val="none"/>
        </w:rPr>
        <w:t>标</w:t>
      </w:r>
      <w:r>
        <w:rPr>
          <w:rFonts w:hint="eastAsia" w:ascii="仿宋" w:hAnsi="仿宋" w:eastAsia="仿宋" w:cs="仿宋"/>
          <w:b/>
          <w:bCs/>
          <w:i w:val="0"/>
          <w:iCs w:val="0"/>
          <w:caps w:val="0"/>
          <w:color w:val="auto"/>
          <w:spacing w:val="0"/>
          <w:sz w:val="27"/>
          <w:szCs w:val="27"/>
          <w:highlight w:val="none"/>
          <w:lang w:val="en-US" w:eastAsia="zh-CN"/>
        </w:rPr>
        <w:t>段</w:t>
      </w:r>
      <w:r>
        <w:rPr>
          <w:rFonts w:hint="eastAsia" w:ascii="仿宋" w:hAnsi="仿宋" w:eastAsia="仿宋" w:cs="仿宋"/>
          <w:b/>
          <w:bCs/>
          <w:i w:val="0"/>
          <w:iCs w:val="0"/>
          <w:caps w:val="0"/>
          <w:color w:val="auto"/>
          <w:spacing w:val="0"/>
          <w:sz w:val="27"/>
          <w:szCs w:val="27"/>
          <w:highlight w:val="none"/>
        </w:rPr>
        <w:t>一、标</w:t>
      </w:r>
      <w:r>
        <w:rPr>
          <w:rFonts w:hint="eastAsia" w:ascii="仿宋" w:hAnsi="仿宋" w:eastAsia="仿宋" w:cs="仿宋"/>
          <w:b/>
          <w:bCs/>
          <w:i w:val="0"/>
          <w:iCs w:val="0"/>
          <w:caps w:val="0"/>
          <w:color w:val="auto"/>
          <w:spacing w:val="0"/>
          <w:sz w:val="27"/>
          <w:szCs w:val="27"/>
          <w:highlight w:val="none"/>
          <w:lang w:val="en-US" w:eastAsia="zh-CN"/>
        </w:rPr>
        <w:t>段</w:t>
      </w:r>
      <w:r>
        <w:rPr>
          <w:rFonts w:hint="eastAsia" w:ascii="仿宋" w:hAnsi="仿宋" w:eastAsia="仿宋" w:cs="仿宋"/>
          <w:b/>
          <w:bCs/>
          <w:i w:val="0"/>
          <w:iCs w:val="0"/>
          <w:caps w:val="0"/>
          <w:color w:val="auto"/>
          <w:spacing w:val="0"/>
          <w:sz w:val="27"/>
          <w:szCs w:val="27"/>
          <w:highlight w:val="none"/>
        </w:rPr>
        <w:t>二</w:t>
      </w:r>
      <w:r>
        <w:rPr>
          <w:rFonts w:hint="eastAsia"/>
          <w:b/>
          <w:color w:val="auto"/>
          <w:sz w:val="28"/>
          <w:szCs w:val="28"/>
          <w:highlight w:val="none"/>
          <w:lang w:eastAsia="zh-CN"/>
        </w:rPr>
        <w:t>）</w:t>
      </w:r>
    </w:p>
    <w:p>
      <w:pPr>
        <w:spacing w:line="440" w:lineRule="exact"/>
        <w:ind w:firstLine="420" w:firstLineChars="200"/>
        <w:rPr>
          <w:rFonts w:ascii="宋体" w:hAnsi="宋体"/>
          <w:color w:val="auto"/>
          <w:szCs w:val="21"/>
          <w:highlight w:val="none"/>
        </w:rPr>
      </w:pPr>
      <w:bookmarkStart w:id="19" w:name="_Toc170792802"/>
      <w:bookmarkStart w:id="20" w:name="_Toc177870560"/>
      <w:r>
        <w:rPr>
          <w:rFonts w:ascii="宋体" w:hAnsi="宋体"/>
          <w:color w:val="auto"/>
          <w:szCs w:val="21"/>
          <w:highlight w:val="none"/>
        </w:rPr>
        <w:t>为公正、公平、科学地选择中标人，根据《中华人民共和国政府采购法》等有关法律法规的规定，并结合本项目的实际，制定本办法。</w:t>
      </w:r>
    </w:p>
    <w:p>
      <w:pPr>
        <w:spacing w:line="44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本办法适用于2023年度嘉兴港区道路、桥梁及雨水管线维修养护项目（标</w:t>
      </w:r>
      <w:r>
        <w:rPr>
          <w:rFonts w:hint="eastAsia" w:ascii="宋体" w:hAnsi="宋体"/>
          <w:color w:val="auto"/>
          <w:szCs w:val="21"/>
          <w:highlight w:val="none"/>
          <w:lang w:val="en-US" w:eastAsia="zh-CN"/>
        </w:rPr>
        <w:t>段</w:t>
      </w:r>
      <w:r>
        <w:rPr>
          <w:rFonts w:hint="eastAsia" w:ascii="宋体" w:hAnsi="宋体"/>
          <w:color w:val="auto"/>
          <w:szCs w:val="21"/>
          <w:highlight w:val="none"/>
          <w:lang w:eastAsia="zh-CN"/>
        </w:rPr>
        <w:t>一、标</w:t>
      </w:r>
      <w:r>
        <w:rPr>
          <w:rFonts w:hint="eastAsia" w:ascii="宋体" w:hAnsi="宋体"/>
          <w:color w:val="auto"/>
          <w:szCs w:val="21"/>
          <w:highlight w:val="none"/>
          <w:lang w:val="en-US" w:eastAsia="zh-CN"/>
        </w:rPr>
        <w:t>段</w:t>
      </w:r>
      <w:r>
        <w:rPr>
          <w:rFonts w:hint="eastAsia" w:ascii="宋体" w:hAnsi="宋体"/>
          <w:color w:val="auto"/>
          <w:szCs w:val="21"/>
          <w:highlight w:val="none"/>
          <w:lang w:eastAsia="zh-CN"/>
        </w:rPr>
        <w:t>二）的评标。</w:t>
      </w:r>
    </w:p>
    <w:p>
      <w:pPr>
        <w:spacing w:line="440" w:lineRule="exact"/>
        <w:ind w:firstLine="413" w:firstLineChars="196"/>
        <w:rPr>
          <w:rFonts w:ascii="宋体" w:hAnsi="宋体"/>
          <w:b/>
          <w:color w:val="auto"/>
          <w:szCs w:val="21"/>
          <w:highlight w:val="none"/>
        </w:rPr>
      </w:pPr>
      <w:r>
        <w:rPr>
          <w:rFonts w:ascii="宋体" w:hAnsi="宋体"/>
          <w:b/>
          <w:color w:val="auto"/>
          <w:szCs w:val="21"/>
          <w:highlight w:val="none"/>
        </w:rPr>
        <w:t>一、总则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 xml:space="preserve"> 本次评标采用综合评分法，总分为100分，其中价格分</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分，资信商务及技术分</w:t>
      </w:r>
      <w:r>
        <w:rPr>
          <w:rFonts w:hint="eastAsia" w:ascii="宋体" w:hAnsi="宋体"/>
          <w:color w:val="auto"/>
          <w:szCs w:val="21"/>
          <w:highlight w:val="none"/>
          <w:lang w:val="en-US" w:eastAsia="zh-CN"/>
        </w:rPr>
        <w:t>70</w:t>
      </w:r>
      <w:r>
        <w:rPr>
          <w:rFonts w:hint="eastAsia" w:ascii="宋体" w:hAnsi="宋体"/>
          <w:color w:val="auto"/>
          <w:szCs w:val="21"/>
          <w:highlight w:val="none"/>
        </w:rPr>
        <w:t>分组成。合格投标人的评标得分为各项目汇总得分，中标候选资格按评标得分由高到低顺序排列</w:t>
      </w:r>
      <w:r>
        <w:rPr>
          <w:rFonts w:hint="eastAsia" w:ascii="宋体" w:hAnsi="宋体"/>
          <w:color w:val="auto"/>
          <w:szCs w:val="21"/>
          <w:highlight w:val="none"/>
          <w:lang w:val="en-US" w:eastAsia="zh-CN"/>
        </w:rPr>
        <w:t>推荐1名中标候选人</w:t>
      </w:r>
      <w:r>
        <w:rPr>
          <w:rFonts w:hint="eastAsia" w:ascii="宋体" w:hAnsi="宋体"/>
          <w:color w:val="auto"/>
          <w:szCs w:val="21"/>
          <w:highlight w:val="none"/>
        </w:rPr>
        <w:t>，得分相同的，按投标报价由低到高顺序排列；得分且投标报价相同的，按资信及商务技术得分由高到低顺序排列；如按照上述条件依然无法确定投标人排序先后的，则由获取采购文件的时间先后顺序决定排名。评分过程中采用四舍五入法，并保留小数2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排名第一的中标候选人放弃中标、因不可抗力不能履行合同、不按照招标文件要求提交履约保证金，或者被查实存在影响中标结果的违法行为等情形，不符合中标条件的，采购人可以按照评审报告推荐的成交候选人名单顺序，确定下一候选人为成交供应商，也可以重新开展政府采购活动。</w:t>
      </w:r>
    </w:p>
    <w:p>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2.投标人的投标报价不得超过采购人设定的上限价。价格是评标的重要因素之一，但最低报价不是中标的唯一依据</w:t>
      </w:r>
      <w:r>
        <w:rPr>
          <w:rFonts w:hint="eastAsia" w:ascii="宋体" w:hAnsi="宋体"/>
          <w:b/>
          <w:bCs/>
          <w:color w:val="auto"/>
          <w:szCs w:val="21"/>
          <w:highlight w:val="none"/>
        </w:rPr>
        <w:t>。</w:t>
      </w:r>
      <w:r>
        <w:rPr>
          <w:rFonts w:hint="eastAsia"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3.投标人评标综合得分=价格分+资信商务及技术分。</w:t>
      </w:r>
    </w:p>
    <w:p>
      <w:pPr>
        <w:spacing w:line="440" w:lineRule="exact"/>
        <w:ind w:firstLine="482" w:firstLineChars="20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rPr>
        <w:t>.根据标项一、标项二的顺序依次进行开评标，如投标单位已中先开评标标项，</w:t>
      </w:r>
      <w:r>
        <w:rPr>
          <w:rFonts w:hint="eastAsia" w:ascii="新宋体" w:hAnsi="新宋体" w:eastAsia="新宋体" w:cs="新宋体"/>
          <w:b/>
          <w:bCs/>
          <w:color w:val="auto"/>
          <w:sz w:val="24"/>
          <w:highlight w:val="none"/>
          <w:lang w:val="en-US" w:eastAsia="zh-CN"/>
        </w:rPr>
        <w:t>仍参与</w:t>
      </w:r>
      <w:r>
        <w:rPr>
          <w:rFonts w:hint="eastAsia" w:ascii="新宋体" w:hAnsi="新宋体" w:eastAsia="新宋体" w:cs="新宋体"/>
          <w:b/>
          <w:bCs/>
          <w:color w:val="auto"/>
          <w:sz w:val="24"/>
          <w:highlight w:val="none"/>
        </w:rPr>
        <w:t>后续标项的评标，但自动失去后续标项的中标、中标候选推荐资格。</w:t>
      </w:r>
    </w:p>
    <w:p>
      <w:pPr>
        <w:spacing w:line="440" w:lineRule="exact"/>
        <w:ind w:firstLine="422" w:firstLineChars="200"/>
        <w:rPr>
          <w:rFonts w:ascii="宋体" w:hAnsi="宋体"/>
          <w:b/>
          <w:color w:val="auto"/>
          <w:szCs w:val="21"/>
          <w:highlight w:val="none"/>
        </w:rPr>
      </w:pPr>
      <w:r>
        <w:rPr>
          <w:rFonts w:ascii="宋体" w:hAnsi="宋体"/>
          <w:b/>
          <w:color w:val="auto"/>
          <w:szCs w:val="21"/>
          <w:highlight w:val="none"/>
        </w:rPr>
        <w:t>二、评标内容及标准</w:t>
      </w:r>
    </w:p>
    <w:p>
      <w:pPr>
        <w:pStyle w:val="3"/>
        <w:spacing w:beforeLines="50" w:afterLines="50" w:line="440" w:lineRule="exact"/>
        <w:ind w:firstLine="406" w:firstLineChars="200"/>
        <w:rPr>
          <w:rFonts w:hAnsi="宋体"/>
          <w:b/>
          <w:bCs/>
          <w:color w:val="auto"/>
          <w:sz w:val="21"/>
          <w:szCs w:val="21"/>
          <w:highlight w:val="none"/>
        </w:rPr>
      </w:pPr>
      <w:r>
        <w:rPr>
          <w:rFonts w:hAnsi="宋体"/>
          <w:b/>
          <w:bCs/>
          <w:color w:val="auto"/>
          <w:sz w:val="21"/>
          <w:szCs w:val="21"/>
          <w:highlight w:val="none"/>
        </w:rPr>
        <w:t>（一）价格分</w:t>
      </w:r>
      <w:r>
        <w:rPr>
          <w:rFonts w:hint="eastAsia" w:hAnsi="宋体"/>
          <w:b/>
          <w:bCs/>
          <w:color w:val="auto"/>
          <w:sz w:val="21"/>
          <w:szCs w:val="21"/>
          <w:highlight w:val="none"/>
        </w:rPr>
        <w:t>（</w:t>
      </w:r>
      <w:r>
        <w:rPr>
          <w:rFonts w:hint="eastAsia" w:hAnsi="宋体"/>
          <w:b/>
          <w:bCs/>
          <w:color w:val="auto"/>
          <w:sz w:val="21"/>
          <w:szCs w:val="21"/>
          <w:highlight w:val="none"/>
          <w:lang w:val="en-US" w:eastAsia="zh-CN"/>
        </w:rPr>
        <w:t>30</w:t>
      </w:r>
      <w:r>
        <w:rPr>
          <w:rFonts w:hint="eastAsia" w:hAnsi="宋体"/>
          <w:b/>
          <w:bCs/>
          <w:color w:val="auto"/>
          <w:sz w:val="21"/>
          <w:szCs w:val="21"/>
          <w:highlight w:val="none"/>
        </w:rPr>
        <w:t>分）</w:t>
      </w:r>
    </w:p>
    <w:p>
      <w:pPr>
        <w:tabs>
          <w:tab w:val="left" w:pos="6264"/>
        </w:tabs>
        <w:snapToGrid w:val="0"/>
        <w:spacing w:line="44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pStyle w:val="6"/>
        <w:ind w:firstLine="210" w:firstLineChars="100"/>
        <w:jc w:val="both"/>
        <w:rPr>
          <w:rFonts w:hint="eastAsia" w:ascii="新宋体" w:hAnsi="新宋体" w:eastAsia="新宋体" w:cs="Times New Roman"/>
          <w:b w:val="0"/>
          <w:color w:val="auto"/>
          <w:kern w:val="2"/>
          <w:sz w:val="21"/>
          <w:szCs w:val="21"/>
          <w:highlight w:val="none"/>
          <w:lang w:val="en-US" w:eastAsia="zh-CN" w:bidi="ar-SA"/>
        </w:rPr>
      </w:pPr>
      <w:r>
        <w:rPr>
          <w:rFonts w:hint="eastAsia" w:ascii="新宋体" w:hAnsi="新宋体" w:eastAsia="新宋体" w:cs="Times New Roman"/>
          <w:b w:val="0"/>
          <w:color w:val="auto"/>
          <w:kern w:val="2"/>
          <w:sz w:val="21"/>
          <w:szCs w:val="21"/>
          <w:highlight w:val="none"/>
          <w:lang w:val="en-US" w:eastAsia="zh-CN" w:bidi="ar-SA"/>
        </w:rPr>
        <w:t>投标报价得分=(评标基准价/投标百分率)×30%×100</w:t>
      </w:r>
    </w:p>
    <w:p>
      <w:pPr>
        <w:pStyle w:val="6"/>
        <w:ind w:firstLine="211" w:firstLineChars="100"/>
        <w:jc w:val="both"/>
        <w:rPr>
          <w:rFonts w:hint="default" w:ascii="新宋体" w:hAnsi="新宋体" w:eastAsia="新宋体" w:cs="Times New Roman"/>
          <w:b/>
          <w:bCs/>
          <w:color w:val="auto"/>
          <w:kern w:val="2"/>
          <w:sz w:val="21"/>
          <w:szCs w:val="21"/>
          <w:highlight w:val="none"/>
          <w:lang w:val="en-US" w:eastAsia="zh-CN" w:bidi="ar-SA"/>
        </w:rPr>
      </w:pPr>
      <w:r>
        <w:rPr>
          <w:rFonts w:hint="eastAsia" w:ascii="新宋体" w:hAnsi="新宋体" w:eastAsia="新宋体" w:cs="Times New Roman"/>
          <w:b/>
          <w:bCs/>
          <w:color w:val="auto"/>
          <w:kern w:val="2"/>
          <w:sz w:val="21"/>
          <w:szCs w:val="21"/>
          <w:highlight w:val="none"/>
          <w:lang w:val="en-US" w:eastAsia="zh-CN" w:bidi="ar-SA"/>
        </w:rPr>
        <w:t>本项目属于预留份额专门面向中小微企业采购的项目，不再重复享受价格扣除的优惠政策。</w:t>
      </w:r>
    </w:p>
    <w:p>
      <w:pPr>
        <w:numPr>
          <w:ilvl w:val="0"/>
          <w:numId w:val="8"/>
        </w:numPr>
        <w:spacing w:line="44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资信商务及技术分（</w:t>
      </w:r>
      <w:r>
        <w:rPr>
          <w:rFonts w:hint="eastAsia" w:ascii="宋体" w:hAnsi="宋体"/>
          <w:b/>
          <w:color w:val="auto"/>
          <w:szCs w:val="21"/>
          <w:highlight w:val="none"/>
          <w:lang w:val="en-US" w:eastAsia="zh-CN"/>
        </w:rPr>
        <w:t>70</w:t>
      </w:r>
      <w:r>
        <w:rPr>
          <w:rFonts w:hint="eastAsia" w:ascii="宋体" w:hAnsi="宋体"/>
          <w:b/>
          <w:color w:val="auto"/>
          <w:szCs w:val="21"/>
          <w:highlight w:val="none"/>
        </w:rPr>
        <w:t>分）</w:t>
      </w:r>
    </w:p>
    <w:p>
      <w:pPr>
        <w:spacing w:line="460" w:lineRule="exact"/>
        <w:ind w:firstLine="480" w:firstLineChars="200"/>
        <w:outlineLvl w:val="0"/>
        <w:rPr>
          <w:rFonts w:ascii="新宋体" w:hAnsi="新宋体" w:eastAsia="新宋体"/>
          <w:color w:val="auto"/>
          <w:szCs w:val="21"/>
          <w:highlight w:val="none"/>
        </w:rPr>
      </w:pPr>
      <w:r>
        <w:rPr>
          <w:rFonts w:hint="eastAsia" w:ascii="宋体" w:hAnsi="宋体"/>
          <w:color w:val="auto"/>
          <w:sz w:val="24"/>
          <w:highlight w:val="none"/>
        </w:rPr>
        <w:t>1</w:t>
      </w:r>
      <w:r>
        <w:rPr>
          <w:rFonts w:hint="eastAsia" w:ascii="新宋体" w:hAnsi="新宋体" w:eastAsia="新宋体"/>
          <w:color w:val="auto"/>
          <w:szCs w:val="21"/>
          <w:highlight w:val="none"/>
        </w:rPr>
        <w:t>、</w:t>
      </w:r>
      <w:r>
        <w:rPr>
          <w:rFonts w:ascii="新宋体" w:hAnsi="新宋体" w:eastAsia="新宋体"/>
          <w:color w:val="auto"/>
          <w:szCs w:val="21"/>
          <w:highlight w:val="none"/>
        </w:rPr>
        <w:t>对投标人的综合评价</w:t>
      </w:r>
      <w:r>
        <w:rPr>
          <w:rFonts w:hint="eastAsia" w:ascii="新宋体" w:hAnsi="新宋体" w:eastAsia="新宋体"/>
          <w:color w:val="auto"/>
          <w:szCs w:val="21"/>
          <w:highlight w:val="none"/>
        </w:rPr>
        <w:t>，包括投标人近两年以来工程安全生产、文明施工状况和经营、履约情况等信用档案，包括建设市场不良行为状况、工程质量返工情况、拖欠民工工资款等问题。（2-4分）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2、养护技术措施（10分）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①养护技术方案</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计划安排；（</w:t>
      </w:r>
      <w:r>
        <w:rPr>
          <w:rFonts w:hint="eastAsia" w:ascii="新宋体" w:hAnsi="新宋体" w:eastAsia="新宋体"/>
          <w:color w:val="auto"/>
          <w:szCs w:val="21"/>
          <w:highlight w:val="none"/>
          <w:lang w:val="en-US" w:eastAsia="zh-CN"/>
        </w:rPr>
        <w:t>3</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7</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②养护质量保证措施及体系。（1-3分）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3、劳动力、机械设备投入及管理人员配备（18分）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①项目班子及项目经理明确</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术管理力量配置合理、网络清晰；（</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5</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②劳动力</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机械设备配置合理、到位；（</w:t>
      </w:r>
      <w:r>
        <w:rPr>
          <w:rFonts w:hint="eastAsia" w:ascii="新宋体" w:hAnsi="新宋体" w:eastAsia="新宋体"/>
          <w:color w:val="auto"/>
          <w:szCs w:val="21"/>
          <w:highlight w:val="none"/>
          <w:lang w:val="en-US" w:eastAsia="zh-CN"/>
        </w:rPr>
        <w:t>6</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10</w:t>
      </w:r>
      <w:r>
        <w:rPr>
          <w:rFonts w:hint="eastAsia" w:ascii="新宋体" w:hAnsi="新宋体" w:eastAsia="新宋体"/>
          <w:color w:val="auto"/>
          <w:szCs w:val="21"/>
          <w:highlight w:val="none"/>
        </w:rPr>
        <w:t>分</w:t>
      </w:r>
      <w:r>
        <w:rPr>
          <w:rFonts w:ascii="新宋体" w:hAnsi="新宋体" w:eastAsia="新宋体"/>
          <w:color w:val="auto"/>
          <w:szCs w:val="21"/>
          <w:highlight w:val="none"/>
        </w:rPr>
        <w:t>）</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③驻采购单位办公人员配备（0-3分）：投标文件中已明确驻采购单位办公人员花名册，并承诺中标后人员与投标时人员一致的得3分，其他得0-1分。本项最高3分。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4、文明安全作业措施（</w:t>
      </w:r>
      <w:r>
        <w:rPr>
          <w:rFonts w:hint="eastAsia" w:ascii="新宋体" w:hAnsi="新宋体" w:eastAsia="新宋体"/>
          <w:color w:val="auto"/>
          <w:szCs w:val="21"/>
          <w:highlight w:val="none"/>
          <w:lang w:val="en-US" w:eastAsia="zh-CN"/>
        </w:rPr>
        <w:t>8</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①齐全的安全保证、文明施工管理体系；（</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②对操作人员有文明、安全教育制度；（</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5、应急措施（</w:t>
      </w:r>
      <w:r>
        <w:rPr>
          <w:rFonts w:hint="eastAsia" w:ascii="新宋体" w:hAnsi="新宋体" w:eastAsia="新宋体"/>
          <w:color w:val="auto"/>
          <w:szCs w:val="21"/>
          <w:highlight w:val="none"/>
          <w:lang w:val="en-US" w:eastAsia="zh-CN"/>
        </w:rPr>
        <w:t>12</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①对突发性事件处理时的承诺程度；（</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②对突发性事件应急措施得力的程度；（</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分</w:t>
      </w:r>
      <w:r>
        <w:rPr>
          <w:rFonts w:ascii="新宋体" w:hAnsi="新宋体" w:eastAsia="新宋体"/>
          <w:color w:val="auto"/>
          <w:szCs w:val="21"/>
          <w:highlight w:val="none"/>
        </w:rPr>
        <w:t>）</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③对临时布置工作任务网络清晰、分工明确、责任到位。（</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分</w:t>
      </w:r>
      <w:r>
        <w:rPr>
          <w:rFonts w:ascii="新宋体" w:hAnsi="新宋体" w:eastAsia="新宋体"/>
          <w:color w:val="auto"/>
          <w:szCs w:val="21"/>
          <w:highlight w:val="none"/>
        </w:rPr>
        <w:t>）</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6、中标后服务承诺（1-</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分</w:t>
      </w:r>
      <w:r>
        <w:rPr>
          <w:rFonts w:ascii="新宋体" w:hAnsi="新宋体" w:eastAsia="新宋体"/>
          <w:color w:val="auto"/>
          <w:szCs w:val="21"/>
          <w:highlight w:val="none"/>
        </w:rPr>
        <w:t>）</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7、投标人自20</w:t>
      </w:r>
      <w:r>
        <w:rPr>
          <w:rFonts w:hint="eastAsia" w:ascii="新宋体" w:hAnsi="新宋体" w:eastAsia="新宋体"/>
          <w:color w:val="auto"/>
          <w:szCs w:val="21"/>
          <w:highlight w:val="none"/>
          <w:lang w:val="en-US" w:eastAsia="zh-CN"/>
        </w:rPr>
        <w:t>19</w:t>
      </w:r>
      <w:r>
        <w:rPr>
          <w:rFonts w:hint="eastAsia" w:ascii="新宋体" w:hAnsi="新宋体" w:eastAsia="新宋体"/>
          <w:color w:val="auto"/>
          <w:szCs w:val="21"/>
          <w:highlight w:val="none"/>
        </w:rPr>
        <w:t>年1月1日以来，具有从事道路维修养护项目或道路应急抢修工程或桥梁维修养护项目或桥梁应急抢修工程，每个得</w:t>
      </w:r>
      <w:r>
        <w:rPr>
          <w:rFonts w:hint="eastAsia" w:ascii="新宋体" w:hAnsi="新宋体" w:eastAsia="新宋体"/>
          <w:color w:val="auto"/>
          <w:szCs w:val="21"/>
          <w:highlight w:val="none"/>
          <w:lang w:val="en-US" w:eastAsia="zh-CN"/>
        </w:rPr>
        <w:t>0.5</w:t>
      </w:r>
      <w:r>
        <w:rPr>
          <w:rFonts w:hint="eastAsia" w:ascii="新宋体" w:hAnsi="新宋体" w:eastAsia="新宋体"/>
          <w:color w:val="auto"/>
          <w:szCs w:val="21"/>
          <w:highlight w:val="none"/>
        </w:rPr>
        <w:t>分，最高得</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分。（0-</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分）（提供中标通知书及合同复印件或扫描件，不提供不得分）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8、投标人自20</w:t>
      </w:r>
      <w:r>
        <w:rPr>
          <w:rFonts w:hint="eastAsia" w:ascii="新宋体" w:hAnsi="新宋体" w:eastAsia="新宋体"/>
          <w:color w:val="auto"/>
          <w:szCs w:val="21"/>
          <w:highlight w:val="none"/>
          <w:lang w:val="en-US" w:eastAsia="zh-CN"/>
        </w:rPr>
        <w:t>19</w:t>
      </w:r>
      <w:r>
        <w:rPr>
          <w:rFonts w:hint="eastAsia" w:ascii="新宋体" w:hAnsi="新宋体" w:eastAsia="新宋体"/>
          <w:color w:val="auto"/>
          <w:szCs w:val="21"/>
          <w:highlight w:val="none"/>
        </w:rPr>
        <w:t>年1月1日以来，具有</w:t>
      </w:r>
      <w:r>
        <w:rPr>
          <w:rFonts w:hint="eastAsia" w:ascii="新宋体" w:hAnsi="新宋体" w:eastAsia="新宋体"/>
          <w:color w:val="auto"/>
          <w:szCs w:val="21"/>
          <w:highlight w:val="none"/>
          <w:lang w:val="en-US" w:eastAsia="zh-CN"/>
        </w:rPr>
        <w:t>雨污水</w:t>
      </w:r>
      <w:r>
        <w:rPr>
          <w:rFonts w:hint="eastAsia" w:ascii="新宋体" w:hAnsi="新宋体" w:eastAsia="新宋体"/>
          <w:color w:val="auto"/>
          <w:szCs w:val="21"/>
          <w:highlight w:val="none"/>
        </w:rPr>
        <w:t>管道疏通项目的，每个得</w:t>
      </w:r>
      <w:r>
        <w:rPr>
          <w:rFonts w:hint="eastAsia" w:ascii="新宋体" w:hAnsi="新宋体" w:eastAsia="新宋体"/>
          <w:color w:val="auto"/>
          <w:szCs w:val="21"/>
          <w:highlight w:val="none"/>
          <w:lang w:val="en-US" w:eastAsia="zh-CN"/>
        </w:rPr>
        <w:t>0.5</w:t>
      </w:r>
      <w:r>
        <w:rPr>
          <w:rFonts w:hint="eastAsia" w:ascii="新宋体" w:hAnsi="新宋体" w:eastAsia="新宋体"/>
          <w:color w:val="auto"/>
          <w:szCs w:val="21"/>
          <w:highlight w:val="none"/>
        </w:rPr>
        <w:t>分，最高得</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分。（0-</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分）（提供中标通知书及合同复印件或扫描件，不提供不得分）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9、投标人自有</w:t>
      </w:r>
      <w:r>
        <w:rPr>
          <w:rFonts w:hint="eastAsia" w:ascii="新宋体" w:hAnsi="新宋体" w:eastAsia="新宋体"/>
          <w:color w:val="auto"/>
          <w:szCs w:val="21"/>
          <w:highlight w:val="none"/>
          <w:lang w:val="en-US" w:eastAsia="zh-CN"/>
        </w:rPr>
        <w:t>抽水泵（不少于6台，总排水能力不低于500m³/h）</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自有压路机</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自有动力切割机</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自有灌缝机</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自有专业管道疏通作业车</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自有CCTV管道检测设备</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自有铣刨机</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lang w:val="en-US" w:eastAsia="zh-CN"/>
        </w:rPr>
        <w:t>养护用车不少于3辆（皮卡车、运输车等非私人用车）</w:t>
      </w:r>
      <w:r>
        <w:rPr>
          <w:rFonts w:hint="eastAsia" w:ascii="新宋体" w:hAnsi="新宋体" w:eastAsia="新宋体"/>
          <w:color w:val="auto"/>
          <w:szCs w:val="21"/>
          <w:highlight w:val="none"/>
        </w:rPr>
        <w:t>，有一项设备得1分，最多得8分（0-8分）（提供设备或工具的发票复印件或扫描件，</w:t>
      </w:r>
      <w:r>
        <w:rPr>
          <w:rFonts w:hint="eastAsia" w:ascii="新宋体" w:hAnsi="新宋体" w:eastAsia="新宋体"/>
          <w:color w:val="auto"/>
          <w:szCs w:val="21"/>
          <w:highlight w:val="none"/>
          <w:lang w:val="en-US" w:eastAsia="zh-CN"/>
        </w:rPr>
        <w:t>养护用车还须提供车辆行驶证复印件或扫描件，</w:t>
      </w:r>
      <w:r>
        <w:rPr>
          <w:rFonts w:hint="eastAsia" w:ascii="新宋体" w:hAnsi="新宋体" w:eastAsia="新宋体"/>
          <w:color w:val="auto"/>
          <w:szCs w:val="21"/>
          <w:highlight w:val="none"/>
        </w:rPr>
        <w:t>不提供不得分，明确租用与借用均不得分，同种设备不重复得分）。</w:t>
      </w:r>
    </w:p>
    <w:p>
      <w:pPr>
        <w:spacing w:line="460" w:lineRule="exact"/>
        <w:ind w:firstLine="420" w:firstLineChars="200"/>
        <w:outlineLvl w:val="0"/>
        <w:rPr>
          <w:rFonts w:ascii="新宋体" w:hAnsi="新宋体" w:eastAsia="新宋体"/>
          <w:color w:val="auto"/>
          <w:szCs w:val="21"/>
          <w:highlight w:val="none"/>
        </w:rPr>
      </w:pPr>
      <w:r>
        <w:rPr>
          <w:rFonts w:hint="eastAsia" w:ascii="新宋体" w:hAnsi="新宋体" w:eastAsia="新宋体"/>
          <w:color w:val="auto"/>
          <w:szCs w:val="21"/>
          <w:highlight w:val="none"/>
        </w:rPr>
        <w:t>10、投标人自有或租赁沥青拌合站的加3分，租赁的须提供自202</w:t>
      </w:r>
      <w:r>
        <w:rPr>
          <w:rFonts w:hint="eastAsia" w:ascii="新宋体" w:hAnsi="新宋体" w:eastAsia="新宋体"/>
          <w:color w:val="auto"/>
          <w:szCs w:val="21"/>
          <w:highlight w:val="none"/>
          <w:lang w:val="en-US" w:eastAsia="zh-CN"/>
        </w:rPr>
        <w:t>3</w:t>
      </w:r>
      <w:r>
        <w:rPr>
          <w:rFonts w:hint="eastAsia" w:ascii="新宋体" w:hAnsi="新宋体" w:eastAsia="新宋体"/>
          <w:color w:val="auto"/>
          <w:szCs w:val="21"/>
          <w:highlight w:val="none"/>
        </w:rPr>
        <w:t>年签订的</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年（含</w:t>
      </w:r>
      <w:r>
        <w:rPr>
          <w:rFonts w:hint="eastAsia" w:ascii="新宋体" w:hAnsi="新宋体" w:eastAsia="新宋体"/>
          <w:color w:val="auto"/>
          <w:szCs w:val="21"/>
          <w:highlight w:val="none"/>
          <w:lang w:val="en-US" w:eastAsia="zh-CN"/>
        </w:rPr>
        <w:t>2</w:t>
      </w:r>
      <w:r>
        <w:rPr>
          <w:rFonts w:hint="eastAsia" w:ascii="新宋体" w:hAnsi="新宋体" w:eastAsia="新宋体"/>
          <w:color w:val="auto"/>
          <w:szCs w:val="21"/>
          <w:highlight w:val="none"/>
        </w:rPr>
        <w:t>年）以上有效期的租赁合同。（评标时提供相关证明材料复印件或扫描件）</w:t>
      </w:r>
    </w:p>
    <w:p>
      <w:pPr>
        <w:keepNext/>
        <w:adjustRightInd w:val="0"/>
        <w:snapToGrid w:val="0"/>
        <w:spacing w:before="120" w:after="120" w:line="440" w:lineRule="exact"/>
        <w:ind w:firstLine="411" w:firstLineChars="196"/>
        <w:textAlignment w:val="baseline"/>
        <w:outlineLvl w:val="1"/>
        <w:rPr>
          <w:rFonts w:ascii="宋体" w:hAnsi="宋体"/>
          <w:color w:val="auto"/>
          <w:szCs w:val="21"/>
          <w:highlight w:val="none"/>
        </w:rPr>
      </w:pPr>
      <w:r>
        <w:rPr>
          <w:rFonts w:hint="eastAsia" w:ascii="新宋体" w:hAnsi="新宋体" w:eastAsia="新宋体"/>
          <w:color w:val="auto"/>
          <w:szCs w:val="21"/>
          <w:highlight w:val="none"/>
        </w:rPr>
        <w:t>11、项目经理具有市政（道路）桥梁工程师及以上技术职称的加1分，具有给排水工程师及以上技术职称的加1分。本项最高2分。</w:t>
      </w:r>
      <w:r>
        <w:rPr>
          <w:rFonts w:ascii="宋体" w:hAnsi="宋体"/>
          <w:color w:val="auto"/>
          <w:szCs w:val="21"/>
          <w:highlight w:val="none"/>
        </w:rPr>
        <w:t>（</w:t>
      </w:r>
      <w:r>
        <w:rPr>
          <w:rFonts w:hint="eastAsia" w:ascii="宋体" w:hAnsi="宋体"/>
          <w:color w:val="auto"/>
          <w:szCs w:val="21"/>
          <w:highlight w:val="none"/>
        </w:rPr>
        <w:t>提供职称证书复印件或扫描件，</w:t>
      </w:r>
      <w:r>
        <w:rPr>
          <w:rFonts w:ascii="宋体" w:hAnsi="宋体"/>
          <w:color w:val="auto"/>
          <w:szCs w:val="21"/>
          <w:highlight w:val="none"/>
        </w:rPr>
        <w:t>若职称证书未注明专业的，需提供相应的学历证书</w:t>
      </w:r>
      <w:r>
        <w:rPr>
          <w:rFonts w:hint="eastAsia" w:ascii="宋体" w:hAnsi="宋体"/>
          <w:color w:val="auto"/>
          <w:szCs w:val="21"/>
          <w:highlight w:val="none"/>
        </w:rPr>
        <w:t>复印件或扫描件</w:t>
      </w:r>
      <w:r>
        <w:rPr>
          <w:rFonts w:ascii="宋体" w:hAnsi="宋体"/>
          <w:color w:val="auto"/>
          <w:szCs w:val="21"/>
          <w:highlight w:val="none"/>
        </w:rPr>
        <w:t>）</w:t>
      </w:r>
    </w:p>
    <w:p>
      <w:pPr>
        <w:keepNext/>
        <w:adjustRightInd w:val="0"/>
        <w:snapToGrid w:val="0"/>
        <w:spacing w:before="120" w:after="120" w:line="440" w:lineRule="exact"/>
        <w:ind w:firstLine="413" w:firstLineChars="196"/>
        <w:textAlignment w:val="baseline"/>
        <w:outlineLvl w:val="1"/>
        <w:rPr>
          <w:rFonts w:ascii="宋体" w:hAnsi="宋体" w:cs="宋体"/>
          <w:b/>
          <w:color w:val="auto"/>
          <w:kern w:val="0"/>
          <w:szCs w:val="21"/>
          <w:highlight w:val="none"/>
        </w:rPr>
      </w:pPr>
      <w:r>
        <w:rPr>
          <w:rFonts w:hint="eastAsia" w:ascii="宋体" w:hAnsi="宋体" w:cs="宋体"/>
          <w:b/>
          <w:color w:val="auto"/>
          <w:kern w:val="0"/>
          <w:szCs w:val="21"/>
          <w:highlight w:val="none"/>
        </w:rPr>
        <w:t>备注：（1）以上评审内容若缺项则</w:t>
      </w:r>
      <w:r>
        <w:rPr>
          <w:rFonts w:hint="eastAsia" w:ascii="宋体" w:hAnsi="宋体" w:cs="宋体"/>
          <w:b/>
          <w:color w:val="auto"/>
          <w:kern w:val="0"/>
          <w:szCs w:val="21"/>
          <w:highlight w:val="none"/>
          <w:lang w:val="en-US" w:eastAsia="zh-CN"/>
        </w:rPr>
        <w:t>该项</w:t>
      </w:r>
      <w:r>
        <w:rPr>
          <w:rFonts w:hint="eastAsia" w:ascii="宋体" w:hAnsi="宋体" w:cs="宋体"/>
          <w:b/>
          <w:color w:val="auto"/>
          <w:kern w:val="0"/>
          <w:szCs w:val="21"/>
          <w:highlight w:val="none"/>
        </w:rPr>
        <w:t>为0分。</w:t>
      </w:r>
    </w:p>
    <w:p>
      <w:pPr>
        <w:spacing w:line="360" w:lineRule="auto"/>
        <w:ind w:firstLine="1050" w:firstLineChars="500"/>
        <w:rPr>
          <w:rFonts w:ascii="仿宋_GB2312" w:eastAsia="仿宋_GB2312"/>
          <w:color w:val="auto"/>
          <w:kern w:val="0"/>
          <w:szCs w:val="21"/>
          <w:highlight w:val="none"/>
        </w:rPr>
      </w:pPr>
      <w:r>
        <w:rPr>
          <w:rFonts w:hint="eastAsia" w:ascii="宋体"/>
          <w:color w:val="auto"/>
          <w:kern w:val="0"/>
          <w:szCs w:val="21"/>
          <w:highlight w:val="none"/>
        </w:rPr>
        <w:t>（2）以上所涉及项目，若附件格式未提供，请自行设计格式</w:t>
      </w:r>
      <w:r>
        <w:rPr>
          <w:rFonts w:hint="eastAsia" w:ascii="宋体"/>
          <w:color w:val="auto"/>
          <w:kern w:val="0"/>
          <w:szCs w:val="21"/>
          <w:highlight w:val="none"/>
          <w:lang w:val="en-US" w:eastAsia="zh-CN"/>
        </w:rPr>
        <w:t>制作</w:t>
      </w:r>
      <w:r>
        <w:rPr>
          <w:rFonts w:hint="eastAsia" w:ascii="宋体"/>
          <w:color w:val="auto"/>
          <w:kern w:val="0"/>
          <w:szCs w:val="21"/>
          <w:highlight w:val="none"/>
        </w:rPr>
        <w:t>于投标文件中。</w:t>
      </w:r>
    </w:p>
    <w:p>
      <w:pPr>
        <w:spacing w:line="360" w:lineRule="auto"/>
        <w:ind w:firstLine="422" w:firstLineChars="200"/>
        <w:rPr>
          <w:b/>
          <w:color w:val="auto"/>
          <w:szCs w:val="21"/>
          <w:highlight w:val="none"/>
        </w:rPr>
      </w:pPr>
    </w:p>
    <w:p>
      <w:pPr>
        <w:spacing w:line="360" w:lineRule="auto"/>
        <w:ind w:firstLine="482" w:firstLineChars="200"/>
        <w:rPr>
          <w:b/>
          <w:color w:val="auto"/>
          <w:sz w:val="24"/>
          <w:highlight w:val="none"/>
        </w:rPr>
      </w:pPr>
    </w:p>
    <w:p>
      <w:pPr>
        <w:spacing w:line="360" w:lineRule="auto"/>
        <w:ind w:firstLine="482" w:firstLineChars="200"/>
        <w:rPr>
          <w:b/>
          <w:color w:val="auto"/>
          <w:sz w:val="24"/>
          <w:highlight w:val="none"/>
        </w:rPr>
      </w:pPr>
    </w:p>
    <w:p>
      <w:pPr>
        <w:spacing w:line="360" w:lineRule="auto"/>
        <w:ind w:firstLine="482" w:firstLineChars="200"/>
        <w:rPr>
          <w:b/>
          <w:color w:val="auto"/>
          <w:sz w:val="24"/>
          <w:highlight w:val="none"/>
        </w:rPr>
      </w:pPr>
    </w:p>
    <w:p>
      <w:pPr>
        <w:pStyle w:val="6"/>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pStyle w:val="7"/>
        <w:rPr>
          <w:b/>
          <w:color w:val="auto"/>
          <w:sz w:val="24"/>
          <w:highlight w:val="none"/>
        </w:rPr>
      </w:pPr>
    </w:p>
    <w:p>
      <w:pPr>
        <w:spacing w:line="360" w:lineRule="auto"/>
        <w:ind w:firstLine="482" w:firstLineChars="200"/>
        <w:rPr>
          <w:b/>
          <w:color w:val="auto"/>
          <w:sz w:val="24"/>
          <w:highlight w:val="none"/>
        </w:rPr>
      </w:pPr>
    </w:p>
    <w:p>
      <w:pPr>
        <w:pStyle w:val="19"/>
        <w:tabs>
          <w:tab w:val="left" w:pos="2472"/>
        </w:tabs>
        <w:spacing w:line="360" w:lineRule="auto"/>
        <w:jc w:val="center"/>
        <w:rPr>
          <w:b/>
          <w:color w:val="auto"/>
          <w:sz w:val="48"/>
          <w:szCs w:val="48"/>
          <w:highlight w:val="none"/>
        </w:rPr>
      </w:pPr>
      <w:r>
        <w:rPr>
          <w:rFonts w:hint="eastAsia"/>
          <w:b/>
          <w:color w:val="auto"/>
          <w:sz w:val="48"/>
          <w:szCs w:val="48"/>
          <w:highlight w:val="none"/>
        </w:rPr>
        <w:t>第六章  投标相关文件格式</w:t>
      </w:r>
      <w:bookmarkEnd w:id="19"/>
      <w:bookmarkEnd w:id="20"/>
      <w:bookmarkStart w:id="21" w:name="_Toc47756041"/>
      <w:bookmarkStart w:id="22" w:name="_Toc15805942"/>
      <w:bookmarkStart w:id="23" w:name="_Toc45506740"/>
      <w:bookmarkStart w:id="24" w:name="_Toc15813259"/>
    </w:p>
    <w:p>
      <w:pPr>
        <w:spacing w:line="360" w:lineRule="auto"/>
        <w:outlineLvl w:val="1"/>
        <w:rPr>
          <w:color w:val="auto"/>
          <w:highlight w:val="none"/>
        </w:rPr>
      </w:pPr>
    </w:p>
    <w:p>
      <w:pPr>
        <w:spacing w:line="360" w:lineRule="auto"/>
        <w:outlineLvl w:val="1"/>
        <w:rPr>
          <w:color w:val="auto"/>
          <w:highlight w:val="none"/>
        </w:rPr>
      </w:pPr>
    </w:p>
    <w:p>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 xml:space="preserve">投标文件封面 </w:t>
      </w:r>
    </w:p>
    <w:p>
      <w:pPr>
        <w:autoSpaceDE w:val="0"/>
        <w:autoSpaceDN w:val="0"/>
        <w:adjustRightInd w:val="0"/>
        <w:rPr>
          <w:rFonts w:ascii="宋体" w:hAnsi="宋体"/>
          <w:bCs/>
          <w:color w:val="auto"/>
          <w:highlight w:val="none"/>
        </w:rPr>
      </w:pPr>
    </w:p>
    <w:p>
      <w:pPr>
        <w:autoSpaceDE w:val="0"/>
        <w:autoSpaceDN w:val="0"/>
        <w:adjustRightInd w:val="0"/>
        <w:spacing w:line="360" w:lineRule="auto"/>
        <w:jc w:val="center"/>
        <w:rPr>
          <w:rFonts w:ascii="宋体" w:hAnsi="宋体" w:cs="Angsana New"/>
          <w:color w:val="auto"/>
          <w:w w:val="90"/>
          <w:sz w:val="44"/>
          <w:szCs w:val="44"/>
          <w:highlight w:val="none"/>
          <w:u w:val="single"/>
          <w:lang w:bidi="th-TH"/>
        </w:rPr>
      </w:pPr>
      <w:r>
        <w:rPr>
          <w:rFonts w:hint="eastAsia" w:ascii="宋体" w:hAnsi="宋体" w:cs="Angsana New"/>
          <w:color w:val="auto"/>
          <w:w w:val="90"/>
          <w:sz w:val="44"/>
          <w:szCs w:val="44"/>
          <w:highlight w:val="none"/>
          <w:u w:val="single"/>
          <w:lang w:bidi="th-TH"/>
        </w:rPr>
        <w:t xml:space="preserve">                     （项目名称）</w:t>
      </w:r>
    </w:p>
    <w:p>
      <w:pPr>
        <w:autoSpaceDE w:val="0"/>
        <w:autoSpaceDN w:val="0"/>
        <w:adjustRightInd w:val="0"/>
        <w:spacing w:line="360" w:lineRule="auto"/>
        <w:jc w:val="center"/>
        <w:rPr>
          <w:rFonts w:ascii="宋体" w:hAnsi="宋体"/>
          <w:b/>
          <w:color w:val="auto"/>
          <w:sz w:val="32"/>
          <w:szCs w:val="32"/>
          <w:highlight w:val="none"/>
        </w:rPr>
      </w:pPr>
    </w:p>
    <w:p>
      <w:pPr>
        <w:spacing w:line="360" w:lineRule="auto"/>
        <w:jc w:val="center"/>
        <w:rPr>
          <w:rFonts w:ascii="宋体" w:hAnsi="宋体" w:cs="Angsana New"/>
          <w:color w:val="auto"/>
          <w:spacing w:val="40"/>
          <w:w w:val="90"/>
          <w:sz w:val="72"/>
          <w:szCs w:val="72"/>
          <w:highlight w:val="none"/>
          <w:lang w:bidi="th-TH"/>
        </w:rPr>
      </w:pPr>
    </w:p>
    <w:p>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（资格文件/资信商务及技术文件/报价文件）</w:t>
      </w:r>
    </w:p>
    <w:p>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项目编号：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t>1.资格文件部分格式</w:t>
      </w:r>
    </w:p>
    <w:p>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资格文件</w:t>
      </w:r>
    </w:p>
    <w:p>
      <w:pPr>
        <w:snapToGrid w:val="0"/>
        <w:spacing w:line="440" w:lineRule="exact"/>
        <w:ind w:firstLine="1240" w:firstLineChars="588"/>
        <w:rPr>
          <w:rFonts w:ascii="宋体" w:hAnsi="宋体"/>
          <w:b/>
          <w:color w:val="auto"/>
          <w:szCs w:val="21"/>
          <w:highlight w:val="none"/>
        </w:rPr>
      </w:pPr>
      <w:r>
        <w:rPr>
          <w:rFonts w:hint="eastAsia" w:ascii="宋体" w:cs="宋体"/>
          <w:b/>
          <w:bCs/>
          <w:color w:val="auto"/>
          <w:szCs w:val="21"/>
          <w:highlight w:val="none"/>
        </w:rPr>
        <w:t xml:space="preserve"> 各供应商须按投标人须知要求出具全部资格证明材料。</w:t>
      </w:r>
    </w:p>
    <w:p>
      <w:pPr>
        <w:pStyle w:val="19"/>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中小企业声明函</w:t>
      </w:r>
    </w:p>
    <w:p>
      <w:pPr>
        <w:pStyle w:val="105"/>
        <w:spacing w:beforeLines="200" w:afterLines="200"/>
        <w:jc w:val="center"/>
        <w:rPr>
          <w:rFonts w:hint="default" w:ascii="宋体" w:eastAsia="宋体"/>
          <w:b/>
          <w:color w:val="auto"/>
          <w:sz w:val="36"/>
          <w:highlight w:val="none"/>
        </w:rPr>
      </w:pPr>
      <w:r>
        <w:rPr>
          <w:rFonts w:ascii="宋体" w:eastAsia="宋体"/>
          <w:b/>
          <w:color w:val="auto"/>
          <w:sz w:val="36"/>
          <w:highlight w:val="none"/>
        </w:rPr>
        <w:t>中小企业声明函（服务）</w:t>
      </w:r>
    </w:p>
    <w:p>
      <w:pPr>
        <w:pStyle w:val="104"/>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ascii="宋体" w:hAnsi="宋体" w:eastAsia="宋体"/>
          <w:color w:val="auto"/>
          <w:sz w:val="21"/>
          <w:szCs w:val="21"/>
          <w:highlight w:val="none"/>
          <w:u w:val="single"/>
        </w:rPr>
        <w:t>（单位名称）</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pPr>
        <w:pStyle w:val="76"/>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，从业人员人，营业收入为万元，资产总额为万元</w:t>
      </w:r>
      <w:r>
        <w:rPr>
          <w:rStyle w:val="48"/>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76"/>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，从业人员人，营业收入为万元，资产总额为万元，属于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107"/>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pPr>
        <w:pStyle w:val="104"/>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pPr>
        <w:pStyle w:val="107"/>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pPr>
        <w:pStyle w:val="106"/>
        <w:spacing w:line="360" w:lineRule="auto"/>
        <w:rPr>
          <w:rFonts w:hint="default"/>
          <w:color w:val="auto"/>
          <w:sz w:val="21"/>
          <w:szCs w:val="21"/>
          <w:highlight w:val="none"/>
        </w:rPr>
      </w:pPr>
    </w:p>
    <w:p>
      <w:pPr>
        <w:pStyle w:val="106"/>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pPr>
        <w:pStyle w:val="106"/>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pPr>
        <w:pStyle w:val="6"/>
        <w:numPr>
          <w:ilvl w:val="0"/>
          <w:numId w:val="0"/>
        </w:numPr>
        <w:spacing w:line="240" w:lineRule="auto"/>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1.投标人应当对其出具的《中小企业声明函》真实性负责，投标人出具的《中小企业声明函》内容不实的，属于提供虚假材料谋取中标。依照《中华人民共和国政府采购法》等国家有关规定追究相应责任。</w:t>
      </w:r>
    </w:p>
    <w:p>
      <w:pPr>
        <w:numPr>
          <w:ilvl w:val="0"/>
          <w:numId w:val="0"/>
        </w:num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2.本项目</w:t>
      </w:r>
      <w:r>
        <w:rPr>
          <w:rFonts w:hint="eastAsia" w:ascii="仿宋" w:hAnsi="仿宋" w:eastAsia="仿宋" w:cs="仿宋"/>
          <w:b/>
          <w:bCs/>
          <w:color w:val="auto"/>
          <w:sz w:val="28"/>
          <w:szCs w:val="28"/>
          <w:highlight w:val="none"/>
        </w:rPr>
        <w:t>属于预留份额专门面向中小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本项目采购标的对应的中小企业计划分标准所属行业为：</w:t>
      </w:r>
      <w:r>
        <w:rPr>
          <w:rFonts w:hint="eastAsia" w:ascii="仿宋" w:hAnsi="仿宋" w:eastAsia="仿宋" w:cs="仿宋"/>
          <w:b/>
          <w:bCs/>
          <w:color w:val="auto"/>
          <w:sz w:val="28"/>
          <w:szCs w:val="28"/>
          <w:highlight w:val="none"/>
          <w:u w:val="double"/>
          <w:lang w:val="en-US" w:eastAsia="zh-CN"/>
        </w:rPr>
        <w:t>建筑</w:t>
      </w:r>
      <w:r>
        <w:rPr>
          <w:rFonts w:hint="eastAsia" w:ascii="仿宋" w:hAnsi="仿宋" w:eastAsia="仿宋" w:cs="仿宋"/>
          <w:b/>
          <w:bCs/>
          <w:color w:val="auto"/>
          <w:sz w:val="28"/>
          <w:szCs w:val="28"/>
          <w:highlight w:val="none"/>
          <w:u w:val="double"/>
        </w:rPr>
        <w:t>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供应商提供的</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上填写的行业与采购文件明确的行业不一致的，中小企业声明函无效，资格审查不通过。</w:t>
      </w:r>
    </w:p>
    <w:p>
      <w:pPr>
        <w:snapToGrid w:val="0"/>
        <w:spacing w:before="50" w:after="50" w:line="440" w:lineRule="exact"/>
        <w:rPr>
          <w:color w:val="auto"/>
          <w:szCs w:val="21"/>
          <w:highlight w:val="none"/>
        </w:rPr>
      </w:pPr>
    </w:p>
    <w:p>
      <w:pPr>
        <w:pStyle w:val="19"/>
        <w:snapToGrid w:val="0"/>
        <w:spacing w:beforeLines="10" w:afterLines="10"/>
        <w:rPr>
          <w:rFonts w:hAnsi="宋体"/>
          <w:b/>
          <w:color w:val="auto"/>
          <w:kern w:val="2"/>
          <w:sz w:val="24"/>
          <w:szCs w:val="24"/>
          <w:highlight w:val="none"/>
        </w:rPr>
      </w:pPr>
    </w:p>
    <w:p>
      <w:pPr>
        <w:pStyle w:val="19"/>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2.残疾人福利性单位声明函</w:t>
      </w:r>
    </w:p>
    <w:p>
      <w:pPr>
        <w:widowControl/>
        <w:wordWrap w:val="0"/>
        <w:spacing w:line="23" w:lineRule="atLeast"/>
        <w:jc w:val="left"/>
        <w:textAlignment w:val="top"/>
        <w:rPr>
          <w:color w:val="auto"/>
          <w:sz w:val="24"/>
          <w:highlight w:val="none"/>
        </w:rPr>
      </w:pPr>
    </w:p>
    <w:p>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t>日 期：</w:t>
      </w:r>
    </w:p>
    <w:p>
      <w:pPr>
        <w:pStyle w:val="2"/>
        <w:rPr>
          <w:rFonts w:hAnsi="宋体"/>
          <w:color w:val="auto"/>
          <w:szCs w:val="21"/>
          <w:highlight w:val="none"/>
        </w:rPr>
      </w:pPr>
    </w:p>
    <w:p>
      <w:pPr>
        <w:rPr>
          <w:rFonts w:hAnsi="宋体"/>
          <w:color w:val="auto"/>
          <w:szCs w:val="21"/>
          <w:highlight w:val="none"/>
        </w:rPr>
      </w:pPr>
    </w:p>
    <w:p>
      <w:pPr>
        <w:rPr>
          <w:rFonts w:ascii="宋体" w:hAnsi="宋体"/>
          <w:color w:val="auto"/>
          <w:kern w:val="0"/>
          <w:szCs w:val="21"/>
          <w:highlight w:val="none"/>
        </w:rPr>
      </w:pPr>
    </w:p>
    <w:p>
      <w:pPr>
        <w:pStyle w:val="2"/>
        <w:rPr>
          <w:rFonts w:hAnsi="宋体"/>
          <w:color w:val="auto"/>
          <w:szCs w:val="21"/>
          <w:highlight w:val="none"/>
        </w:rPr>
      </w:pPr>
    </w:p>
    <w:p>
      <w:pPr>
        <w:rPr>
          <w:color w:val="auto"/>
          <w:highlight w:val="none"/>
        </w:rPr>
      </w:pPr>
      <w:r>
        <w:rPr>
          <w:rFonts w:hint="eastAsia" w:hAnsi="宋体"/>
          <w:b/>
          <w:color w:val="auto"/>
          <w:sz w:val="24"/>
          <w:highlight w:val="none"/>
        </w:rPr>
        <w:t>3.供应商为监狱企业的证明文件：省级以上监狱管理局、戒毒管理局（含新疆生产建设兵团）出具。（如有）</w:t>
      </w:r>
    </w:p>
    <w:p>
      <w:pPr>
        <w:snapToGrid w:val="0"/>
        <w:spacing w:line="460" w:lineRule="exact"/>
        <w:rPr>
          <w:rFonts w:ascii="宋体" w:hAnsi="宋体"/>
          <w:color w:val="auto"/>
          <w:kern w:val="0"/>
          <w:szCs w:val="21"/>
          <w:highlight w:val="none"/>
        </w:rPr>
        <w:sectPr>
          <w:pgSz w:w="11906" w:h="16838"/>
          <w:pgMar w:top="1440" w:right="1797" w:bottom="1440" w:left="1797" w:header="851" w:footer="851" w:gutter="0"/>
          <w:pgNumType w:fmt="decimal"/>
          <w:cols w:space="720" w:num="1"/>
          <w:docGrid w:linePitch="312" w:charSpace="0"/>
        </w:sectPr>
      </w:pPr>
    </w:p>
    <w:p>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pPr>
        <w:shd w:val="clear" w:color="auto" w:fill="FFFFFF"/>
        <w:spacing w:line="440" w:lineRule="atLeast"/>
        <w:ind w:firstLine="422" w:firstLineChars="200"/>
        <w:jc w:val="center"/>
        <w:rPr>
          <w:rFonts w:ascii="宋体" w:hAnsi="宋体" w:cs="宋体"/>
          <w:b/>
          <w:color w:val="auto"/>
          <w:szCs w:val="21"/>
          <w:highlight w:val="none"/>
        </w:rPr>
      </w:pPr>
    </w:p>
    <w:p>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r>
        <w:rPr>
          <w:rFonts w:hint="eastAsia" w:ascii="宋体" w:hAnsi="宋体" w:cs="宋体"/>
          <w:b/>
          <w:color w:val="auto"/>
          <w:szCs w:val="21"/>
          <w:highlight w:val="none"/>
        </w:rPr>
        <w:t>统计上大中小微型企业划分标准</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1315"/>
        <w:gridCol w:w="778"/>
        <w:gridCol w:w="1020"/>
        <w:gridCol w:w="1531"/>
        <w:gridCol w:w="13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58" w:type="dxa"/>
            <w:tcMar>
              <w:top w:w="0" w:type="dxa"/>
              <w:left w:w="108" w:type="dxa"/>
              <w:bottom w:w="0" w:type="dxa"/>
              <w:right w:w="108" w:type="dxa"/>
            </w:tcMar>
            <w:vAlign w:val="center"/>
          </w:tcPr>
          <w:p>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租赁和商务服务业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outlineLvl w:val="1"/>
        <w:rPr>
          <w:color w:val="auto"/>
          <w:highlight w:val="none"/>
        </w:rPr>
      </w:pPr>
    </w:p>
    <w:p>
      <w:pPr>
        <w:snapToGrid w:val="0"/>
        <w:spacing w:line="440" w:lineRule="exact"/>
        <w:rPr>
          <w:rFonts w:ascii="宋体" w:hAnsi="宋体"/>
          <w:b/>
          <w:color w:val="auto"/>
          <w:szCs w:val="21"/>
          <w:highlight w:val="none"/>
        </w:rPr>
      </w:pPr>
    </w:p>
    <w:p>
      <w:pPr>
        <w:spacing w:line="360" w:lineRule="auto"/>
        <w:outlineLvl w:val="1"/>
        <w:rPr>
          <w:color w:val="auto"/>
          <w:highlight w:val="none"/>
        </w:rPr>
      </w:pPr>
    </w:p>
    <w:p>
      <w:pPr>
        <w:snapToGrid w:val="0"/>
        <w:spacing w:line="440" w:lineRule="exact"/>
        <w:rPr>
          <w:rFonts w:ascii="宋体" w:hAnsi="宋体"/>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资信商务及技术文件、报价文件目录</w:t>
      </w:r>
      <w:r>
        <w:rPr>
          <w:rFonts w:hint="eastAsia" w:ascii="宋体" w:hAnsi="宋体"/>
          <w:b/>
          <w:bCs/>
          <w:color w:val="auto"/>
          <w:szCs w:val="21"/>
          <w:highlight w:val="none"/>
        </w:rPr>
        <w:t>（请按照“第二章投标人须知，</w:t>
      </w:r>
      <w:r>
        <w:rPr>
          <w:rFonts w:ascii="宋体" w:hAnsi="宋体"/>
          <w:b/>
          <w:bCs/>
          <w:color w:val="auto"/>
          <w:szCs w:val="21"/>
          <w:highlight w:val="none"/>
        </w:rPr>
        <w:t>三、投标文件的编制</w:t>
      </w:r>
      <w:r>
        <w:rPr>
          <w:rFonts w:hint="eastAsia" w:ascii="宋体" w:hAnsi="宋体"/>
          <w:b/>
          <w:bCs/>
          <w:color w:val="auto"/>
          <w:szCs w:val="21"/>
          <w:highlight w:val="none"/>
        </w:rPr>
        <w:t>”的顺序，结合评标办法自行编制目录）</w:t>
      </w:r>
    </w:p>
    <w:p>
      <w:pPr>
        <w:snapToGrid w:val="0"/>
        <w:spacing w:line="440" w:lineRule="exact"/>
        <w:rPr>
          <w:rFonts w:ascii="宋体" w:hAnsi="宋体"/>
          <w:b/>
          <w:bCs/>
          <w:color w:val="auto"/>
          <w:szCs w:val="21"/>
          <w:highlight w:val="none"/>
        </w:rPr>
      </w:pPr>
      <w:r>
        <w:rPr>
          <w:rFonts w:hint="eastAsia" w:ascii="宋体" w:hAnsi="宋体"/>
          <w:b/>
          <w:bCs/>
          <w:color w:val="auto"/>
          <w:szCs w:val="21"/>
          <w:highlight w:val="none"/>
        </w:rPr>
        <w:t>例如：</w:t>
      </w:r>
    </w:p>
    <w:p>
      <w:pPr>
        <w:snapToGrid w:val="0"/>
        <w:spacing w:before="50" w:after="50"/>
        <w:rPr>
          <w:rFonts w:ascii="宋体" w:hAnsi="宋体"/>
          <w:color w:val="auto"/>
          <w:sz w:val="24"/>
          <w:szCs w:val="20"/>
          <w:highlight w:val="none"/>
        </w:rPr>
      </w:pPr>
      <w:r>
        <w:rPr>
          <w:rFonts w:hint="eastAsia" w:ascii="宋体" w:hAnsi="宋体"/>
          <w:b/>
          <w:bCs/>
          <w:color w:val="auto"/>
          <w:sz w:val="24"/>
          <w:highlight w:val="none"/>
        </w:rPr>
        <w:t>资信商务及技术文件：</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投标声明书</w:t>
      </w:r>
      <w:r>
        <w:rPr>
          <w:rFonts w:ascii="宋体" w:hAnsi="宋体"/>
          <w:color w:val="auto"/>
          <w:szCs w:val="21"/>
          <w:highlight w:val="none"/>
        </w:rPr>
        <w:t xml:space="preserve"> (格式见附件) </w:t>
      </w:r>
      <w:r>
        <w:rPr>
          <w:rFonts w:hint="eastAsia" w:ascii="宋体" w:hAnsi="宋体"/>
          <w:color w:val="auto"/>
          <w:szCs w:val="21"/>
          <w:highlight w:val="none"/>
        </w:rPr>
        <w:t>————————————————（页码）</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）法定代表人授权委托书(格式见附件)</w:t>
      </w:r>
      <w:r>
        <w:rPr>
          <w:rFonts w:hint="eastAsia" w:ascii="宋体" w:hAnsi="宋体"/>
          <w:color w:val="auto"/>
          <w:szCs w:val="21"/>
          <w:highlight w:val="none"/>
        </w:rPr>
        <w:t xml:space="preserve"> ————————————（页码）</w:t>
      </w: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pStyle w:val="10"/>
        <w:spacing w:line="360" w:lineRule="auto"/>
        <w:ind w:firstLine="0"/>
        <w:rPr>
          <w:b/>
          <w:color w:val="auto"/>
          <w:kern w:val="2"/>
          <w:sz w:val="21"/>
          <w:szCs w:val="21"/>
          <w:highlight w:val="none"/>
        </w:rPr>
      </w:pPr>
      <w:r>
        <w:rPr>
          <w:rFonts w:hint="eastAsia"/>
          <w:b/>
          <w:color w:val="auto"/>
          <w:kern w:val="2"/>
          <w:sz w:val="21"/>
          <w:szCs w:val="21"/>
          <w:highlight w:val="none"/>
        </w:rPr>
        <w:t>3.投标声明书</w:t>
      </w:r>
    </w:p>
    <w:p>
      <w:pPr>
        <w:adjustRightInd w:val="0"/>
        <w:snapToGrid w:val="0"/>
        <w:spacing w:line="360" w:lineRule="auto"/>
        <w:rPr>
          <w:color w:val="auto"/>
          <w:sz w:val="24"/>
          <w:highlight w:val="none"/>
        </w:rPr>
      </w:pPr>
    </w:p>
    <w:p>
      <w:pPr>
        <w:adjustRightInd w:val="0"/>
        <w:snapToGrid w:val="0"/>
        <w:spacing w:line="440" w:lineRule="exact"/>
        <w:ind w:firstLine="420" w:firstLineChars="200"/>
        <w:rPr>
          <w:color w:val="auto"/>
          <w:szCs w:val="21"/>
          <w:highlight w:val="none"/>
        </w:rPr>
      </w:pPr>
      <w:r>
        <w:rPr>
          <w:rFonts w:hint="eastAsia"/>
          <w:color w:val="auto"/>
          <w:szCs w:val="21"/>
          <w:highlight w:val="none"/>
        </w:rPr>
        <w:t>致：</w:t>
      </w:r>
      <w:r>
        <w:rPr>
          <w:rFonts w:hint="eastAsia"/>
          <w:b/>
          <w:color w:val="auto"/>
          <w:szCs w:val="21"/>
          <w:highlight w:val="none"/>
          <w:u w:val="single"/>
          <w:lang w:eastAsia="zh-CN"/>
        </w:rPr>
        <w:t xml:space="preserve">浙江乍浦经济开发区（嘉兴港区）管理委员会 </w:t>
      </w:r>
      <w:r>
        <w:rPr>
          <w:rFonts w:hint="eastAsia"/>
          <w:b/>
          <w:color w:val="auto"/>
          <w:szCs w:val="21"/>
          <w:highlight w:val="none"/>
        </w:rPr>
        <w:t>（采购方）</w:t>
      </w:r>
      <w:r>
        <w:rPr>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（投标人名称）系中华人民共和国合法单位，经营地址</w:t>
      </w:r>
      <w:r>
        <w:rPr>
          <w:rFonts w:hint="eastAsia"/>
          <w:color w:val="auto"/>
          <w:szCs w:val="21"/>
          <w:highlight w:val="none"/>
          <w:u w:val="single"/>
        </w:rPr>
        <w:t xml:space="preserve">              </w:t>
      </w:r>
      <w:r>
        <w:rPr>
          <w:rFonts w:hint="eastAsia"/>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我（姓名）系（投标人名称）的法定代表人，我方愿意参加贵方组织的的投</w:t>
      </w:r>
      <w:r>
        <w:rPr>
          <w:color w:val="auto"/>
          <w:szCs w:val="21"/>
          <w:highlight w:val="none"/>
        </w:rPr>
        <w:t>标，</w:t>
      </w:r>
      <w:r>
        <w:rPr>
          <w:rFonts w:hint="eastAsia"/>
          <w:color w:val="auto"/>
          <w:szCs w:val="21"/>
          <w:highlight w:val="none"/>
        </w:rPr>
        <w:t>为便于贵方公正、择优地确定中标人及其投标项目的服务，我方就本次投标有关事项郑重声明如下：</w:t>
      </w:r>
    </w:p>
    <w:p>
      <w:pPr>
        <w:adjustRightInd w:val="0"/>
        <w:snapToGrid w:val="0"/>
        <w:spacing w:line="440" w:lineRule="exact"/>
        <w:ind w:firstLine="420" w:firstLineChars="200"/>
        <w:rPr>
          <w:color w:val="auto"/>
          <w:szCs w:val="21"/>
          <w:highlight w:val="none"/>
        </w:rPr>
      </w:pPr>
      <w:r>
        <w:rPr>
          <w:rFonts w:hint="eastAsia"/>
          <w:color w:val="auto"/>
          <w:szCs w:val="21"/>
          <w:highlight w:val="none"/>
        </w:rPr>
        <w:t>1、我方向贵方</w:t>
      </w:r>
      <w:r>
        <w:rPr>
          <w:color w:val="auto"/>
          <w:szCs w:val="21"/>
          <w:highlight w:val="none"/>
        </w:rPr>
        <w:t>提交</w:t>
      </w:r>
      <w:r>
        <w:rPr>
          <w:rFonts w:hint="eastAsia"/>
          <w:color w:val="auto"/>
          <w:szCs w:val="21"/>
          <w:highlight w:val="none"/>
        </w:rPr>
        <w:t>的所有投标</w:t>
      </w:r>
      <w:r>
        <w:rPr>
          <w:color w:val="auto"/>
          <w:szCs w:val="21"/>
          <w:highlight w:val="none"/>
        </w:rPr>
        <w:t>文件</w:t>
      </w:r>
      <w:r>
        <w:rPr>
          <w:rFonts w:hint="eastAsia"/>
          <w:color w:val="auto"/>
          <w:szCs w:val="21"/>
          <w:highlight w:val="none"/>
        </w:rPr>
        <w:t>、资料都</w:t>
      </w:r>
      <w:r>
        <w:rPr>
          <w:color w:val="auto"/>
          <w:szCs w:val="21"/>
          <w:highlight w:val="none"/>
        </w:rPr>
        <w:t>是准确的和真实的</w:t>
      </w:r>
      <w:r>
        <w:rPr>
          <w:rFonts w:hint="eastAsia"/>
          <w:color w:val="auto"/>
          <w:szCs w:val="21"/>
          <w:highlight w:val="none"/>
        </w:rPr>
        <w:t>；</w:t>
      </w:r>
    </w:p>
    <w:p>
      <w:pPr>
        <w:adjustRightInd w:val="0"/>
        <w:snapToGrid w:val="0"/>
        <w:spacing w:line="440" w:lineRule="exact"/>
        <w:ind w:firstLine="420" w:firstLineChars="200"/>
        <w:rPr>
          <w:color w:val="auto"/>
          <w:szCs w:val="21"/>
          <w:highlight w:val="none"/>
        </w:rPr>
      </w:pPr>
      <w:r>
        <w:rPr>
          <w:rFonts w:hint="eastAsia"/>
          <w:color w:val="auto"/>
          <w:szCs w:val="21"/>
          <w:highlight w:val="none"/>
        </w:rPr>
        <w:t>2、我方不是采购人的附属机构；在获知本项目采购信息后，与采购人聘请的为此项目提供咨询服务的公司及其附属机构没有任何联系。</w:t>
      </w:r>
    </w:p>
    <w:p>
      <w:pPr>
        <w:adjustRightInd w:val="0"/>
        <w:snapToGrid w:val="0"/>
        <w:spacing w:line="440" w:lineRule="exact"/>
        <w:ind w:firstLine="420" w:firstLineChars="200"/>
        <w:rPr>
          <w:color w:val="auto"/>
          <w:szCs w:val="21"/>
          <w:highlight w:val="none"/>
        </w:rPr>
      </w:pPr>
      <w:r>
        <w:rPr>
          <w:rFonts w:hint="eastAsia"/>
          <w:color w:val="auto"/>
          <w:szCs w:val="21"/>
          <w:highlight w:val="none"/>
        </w:rPr>
        <w:t>3、我方此次向贵方提供的项目名称为：</w:t>
      </w:r>
      <w:r>
        <w:rPr>
          <w:rFonts w:hint="eastAsia"/>
          <w:color w:val="auto"/>
          <w:szCs w:val="21"/>
          <w:highlight w:val="none"/>
          <w:u w:val="single"/>
        </w:rPr>
        <w:t xml:space="preserve">              </w:t>
      </w:r>
      <w:r>
        <w:rPr>
          <w:rFonts w:hint="eastAsia"/>
          <w:color w:val="auto"/>
          <w:szCs w:val="21"/>
          <w:highlight w:val="none"/>
        </w:rPr>
        <w:t>；项目内容：</w:t>
      </w:r>
      <w:r>
        <w:rPr>
          <w:rFonts w:hint="eastAsia"/>
          <w:color w:val="auto"/>
          <w:szCs w:val="21"/>
          <w:highlight w:val="none"/>
          <w:u w:val="single"/>
        </w:rPr>
        <w:t>详见投标报价明细表</w:t>
      </w:r>
      <w:r>
        <w:rPr>
          <w:rFonts w:hint="eastAsia"/>
          <w:color w:val="auto"/>
          <w:szCs w:val="21"/>
          <w:highlight w:val="none"/>
        </w:rPr>
        <w:t>；</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4、我方最近三年内的被公开披露或查处的违法违规行为有：</w:t>
      </w:r>
      <w:r>
        <w:rPr>
          <w:rFonts w:hint="eastAsia"/>
          <w:color w:val="auto"/>
          <w:szCs w:val="21"/>
          <w:highlight w:val="none"/>
          <w:u w:val="single"/>
        </w:rPr>
        <w:t xml:space="preserve">　             </w:t>
      </w:r>
    </w:p>
    <w:p>
      <w:pPr>
        <w:adjustRightInd w:val="0"/>
        <w:snapToGrid w:val="0"/>
        <w:spacing w:line="440" w:lineRule="exact"/>
        <w:ind w:firstLine="420" w:firstLineChars="200"/>
        <w:rPr>
          <w:color w:val="auto"/>
          <w:szCs w:val="21"/>
          <w:highlight w:val="none"/>
          <w:u w:val="single"/>
        </w:rPr>
      </w:pP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5、以上事项如有虚假或隐瞒，我方愿意承担一切后果和责任。</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法定代表人（签字或盖章）：</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投标人</w:t>
      </w:r>
      <w:r>
        <w:rPr>
          <w:color w:val="auto"/>
          <w:szCs w:val="21"/>
          <w:highlight w:val="none"/>
        </w:rPr>
        <w:t>盖</w:t>
      </w:r>
      <w:r>
        <w:rPr>
          <w:rFonts w:hint="eastAsia"/>
          <w:color w:val="auto"/>
          <w:szCs w:val="21"/>
          <w:highlight w:val="none"/>
        </w:rPr>
        <w:t>公章：</w:t>
      </w:r>
    </w:p>
    <w:p>
      <w:pPr>
        <w:adjustRightInd w:val="0"/>
        <w:snapToGrid w:val="0"/>
        <w:spacing w:line="440" w:lineRule="exact"/>
        <w:ind w:firstLine="420" w:firstLineChars="200"/>
        <w:jc w:val="right"/>
        <w:rPr>
          <w:color w:val="auto"/>
          <w:szCs w:val="21"/>
          <w:highlight w:val="none"/>
        </w:rPr>
      </w:pPr>
      <w:r>
        <w:rPr>
          <w:rFonts w:hint="eastAsia"/>
          <w:color w:val="auto"/>
          <w:szCs w:val="21"/>
          <w:highlight w:val="none"/>
        </w:rPr>
        <w:t>年    月    日</w:t>
      </w:r>
    </w:p>
    <w:p>
      <w:pPr>
        <w:spacing w:line="440" w:lineRule="exact"/>
        <w:ind w:firstLine="422" w:firstLineChars="200"/>
        <w:jc w:val="left"/>
        <w:rPr>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4.</w:t>
      </w:r>
      <w:r>
        <w:rPr>
          <w:rFonts w:hint="eastAsia" w:ascii="宋体"/>
          <w:b/>
          <w:bCs/>
          <w:color w:val="auto"/>
          <w:szCs w:val="21"/>
          <w:highlight w:val="none"/>
        </w:rPr>
        <w:t>法定代表人授权委托书</w:t>
      </w:r>
    </w:p>
    <w:p>
      <w:pPr>
        <w:pStyle w:val="10"/>
        <w:spacing w:line="440" w:lineRule="exact"/>
        <w:ind w:firstLine="417" w:firstLineChars="199"/>
        <w:rPr>
          <w:rFonts w:ascii="宋体"/>
          <w:color w:val="auto"/>
          <w:sz w:val="21"/>
          <w:szCs w:val="21"/>
          <w:highlight w:val="none"/>
        </w:rPr>
      </w:pPr>
    </w:p>
    <w:p>
      <w:pPr>
        <w:pStyle w:val="10"/>
        <w:spacing w:line="440" w:lineRule="exact"/>
        <w:ind w:firstLine="417" w:firstLineChars="199"/>
        <w:rPr>
          <w:rFonts w:ascii="宋体"/>
          <w:color w:val="auto"/>
          <w:sz w:val="21"/>
          <w:szCs w:val="21"/>
          <w:highlight w:val="none"/>
        </w:rPr>
      </w:pPr>
      <w:r>
        <w:rPr>
          <w:rFonts w:hint="eastAsia" w:ascii="宋体"/>
          <w:color w:val="auto"/>
          <w:sz w:val="21"/>
          <w:szCs w:val="21"/>
          <w:highlight w:val="none"/>
        </w:rPr>
        <w:t>本授权委托书声明：我</w:t>
      </w:r>
      <w:r>
        <w:rPr>
          <w:rFonts w:hint="eastAsia" w:ascii="宋体"/>
          <w:color w:val="auto"/>
          <w:sz w:val="21"/>
          <w:szCs w:val="21"/>
          <w:highlight w:val="none"/>
          <w:u w:val="single"/>
        </w:rPr>
        <w:t xml:space="preserve">   （姓名）   </w:t>
      </w:r>
      <w:r>
        <w:rPr>
          <w:rFonts w:hint="eastAsia" w:ascii="宋体"/>
          <w:color w:val="auto"/>
          <w:sz w:val="21"/>
          <w:szCs w:val="21"/>
          <w:highlight w:val="none"/>
        </w:rPr>
        <w:t>系</w:t>
      </w:r>
      <w:r>
        <w:rPr>
          <w:rFonts w:hint="eastAsia" w:ascii="宋体"/>
          <w:color w:val="auto"/>
          <w:sz w:val="21"/>
          <w:szCs w:val="21"/>
          <w:highlight w:val="none"/>
          <w:u w:val="single"/>
        </w:rPr>
        <w:t xml:space="preserve">   （投标人名称）   </w:t>
      </w:r>
      <w:r>
        <w:rPr>
          <w:rFonts w:hint="eastAsia" w:ascii="宋体"/>
          <w:color w:val="auto"/>
          <w:sz w:val="21"/>
          <w:szCs w:val="21"/>
          <w:highlight w:val="none"/>
        </w:rPr>
        <w:t>的法定代表人，现授权委托我单位</w:t>
      </w:r>
      <w:r>
        <w:rPr>
          <w:rFonts w:hint="eastAsia" w:ascii="宋体"/>
          <w:color w:val="auto"/>
          <w:sz w:val="21"/>
          <w:szCs w:val="21"/>
          <w:highlight w:val="none"/>
          <w:u w:val="single"/>
        </w:rPr>
        <w:t xml:space="preserve">  （姓名）  </w:t>
      </w:r>
      <w:r>
        <w:rPr>
          <w:rFonts w:hint="eastAsia" w:ascii="宋体"/>
          <w:color w:val="auto"/>
          <w:sz w:val="21"/>
          <w:szCs w:val="21"/>
          <w:highlight w:val="none"/>
        </w:rPr>
        <w:t>为我公司全权代表，以本公司的名义参加</w:t>
      </w:r>
      <w:r>
        <w:rPr>
          <w:rFonts w:hint="eastAsia" w:ascii="宋体"/>
          <w:color w:val="auto"/>
          <w:sz w:val="21"/>
          <w:szCs w:val="21"/>
          <w:highlight w:val="none"/>
          <w:u w:val="single"/>
          <w:lang w:val="en-US" w:eastAsia="zh-CN"/>
        </w:rPr>
        <w:t xml:space="preserve">  （项目名称）   </w:t>
      </w:r>
      <w:r>
        <w:rPr>
          <w:rFonts w:hint="eastAsia" w:ascii="宋体"/>
          <w:color w:val="auto"/>
          <w:sz w:val="21"/>
          <w:szCs w:val="21"/>
          <w:highlight w:val="none"/>
        </w:rPr>
        <w:t>采购招标（招标编号：</w:t>
      </w:r>
      <w:r>
        <w:rPr>
          <w:rFonts w:hint="eastAsia" w:ascii="宋体"/>
          <w:color w:val="auto"/>
          <w:sz w:val="21"/>
          <w:szCs w:val="21"/>
          <w:highlight w:val="none"/>
          <w:u w:val="single"/>
        </w:rPr>
        <w:t xml:space="preserve">     </w:t>
      </w:r>
      <w:r>
        <w:rPr>
          <w:rFonts w:hint="eastAsia" w:ascii="宋体"/>
          <w:color w:val="auto"/>
          <w:sz w:val="21"/>
          <w:szCs w:val="21"/>
          <w:highlight w:val="none"/>
        </w:rPr>
        <w:t>）的投标活动。全权代表所提供、签署的一切文书和处理与之有关的一切事务，我均予以承认并为其投标行为承担全部责任。</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全权代表无转委权。</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特此委托。</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szCs w:val="21"/>
          <w:highlight w:val="none"/>
        </w:rPr>
        <w:t>全权代表</w:t>
      </w:r>
      <w:r>
        <w:rPr>
          <w:rFonts w:hint="eastAsia" w:ascii="宋体"/>
          <w:color w:val="auto"/>
          <w:kern w:val="0"/>
          <w:szCs w:val="21"/>
          <w:highlight w:val="none"/>
        </w:rPr>
        <w:t>：性别：年龄：</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单位：部门：职务：</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联系电话：</w:t>
      </w:r>
    </w:p>
    <w:p>
      <w:pPr>
        <w:autoSpaceDE w:val="0"/>
        <w:autoSpaceDN w:val="0"/>
        <w:adjustRightInd w:val="0"/>
        <w:spacing w:line="440" w:lineRule="exact"/>
        <w:ind w:firstLine="200"/>
        <w:rPr>
          <w:rFonts w:ascii="宋体"/>
          <w:color w:val="auto"/>
          <w:kern w:val="0"/>
          <w:szCs w:val="21"/>
          <w:highlight w:val="none"/>
        </w:rPr>
      </w:pP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投标人：</w:t>
      </w:r>
      <w:r>
        <w:rPr>
          <w:rFonts w:hint="eastAsia" w:ascii="宋体"/>
          <w:color w:val="auto"/>
          <w:kern w:val="0"/>
          <w:szCs w:val="21"/>
          <w:highlight w:val="none"/>
          <w:u w:val="single"/>
        </w:rPr>
        <w:t xml:space="preserve">     （</w:t>
      </w:r>
      <w:r>
        <w:rPr>
          <w:rFonts w:hint="eastAsia" w:ascii="宋体"/>
          <w:color w:val="auto"/>
          <w:szCs w:val="21"/>
          <w:highlight w:val="none"/>
          <w:u w:val="single"/>
        </w:rPr>
        <w:t>加盖公章</w:t>
      </w:r>
      <w:r>
        <w:rPr>
          <w:rFonts w:hint="eastAsia" w:ascii="宋体"/>
          <w:color w:val="auto"/>
          <w:kern w:val="0"/>
          <w:szCs w:val="21"/>
          <w:highlight w:val="none"/>
          <w:u w:val="single"/>
        </w:rPr>
        <w:t xml:space="preserve">）               </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法定代表人（签字）：</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全权代表（签字）：</w:t>
      </w:r>
    </w:p>
    <w:p>
      <w:pPr>
        <w:autoSpaceDE w:val="0"/>
        <w:autoSpaceDN w:val="0"/>
        <w:adjustRightInd w:val="0"/>
        <w:spacing w:line="440" w:lineRule="exact"/>
        <w:ind w:firstLine="420" w:firstLineChars="200"/>
        <w:rPr>
          <w:rFonts w:ascii="宋体"/>
          <w:color w:val="auto"/>
          <w:szCs w:val="21"/>
          <w:highlight w:val="none"/>
        </w:rPr>
      </w:pPr>
      <w:r>
        <w:rPr>
          <w:rFonts w:hint="eastAsia" w:ascii="宋体"/>
          <w:color w:val="auto"/>
          <w:szCs w:val="21"/>
          <w:highlight w:val="none"/>
        </w:rPr>
        <w:t>本授权书于年月日签字生效。</w:t>
      </w: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rPr>
          <w:color w:val="auto"/>
          <w:highlight w:val="none"/>
        </w:rPr>
      </w:pPr>
    </w:p>
    <w:p>
      <w:pPr>
        <w:pStyle w:val="10"/>
        <w:spacing w:line="360" w:lineRule="auto"/>
        <w:ind w:firstLine="0"/>
        <w:rPr>
          <w:rFonts w:ascii="宋体"/>
          <w:b/>
          <w:bCs/>
          <w:color w:val="auto"/>
          <w:kern w:val="2"/>
          <w:sz w:val="21"/>
          <w:szCs w:val="21"/>
          <w:highlight w:val="none"/>
        </w:rPr>
      </w:pPr>
      <w:r>
        <w:rPr>
          <w:rFonts w:hint="eastAsia" w:ascii="宋体"/>
          <w:b/>
          <w:bCs/>
          <w:color w:val="auto"/>
          <w:kern w:val="2"/>
          <w:sz w:val="21"/>
          <w:szCs w:val="21"/>
          <w:highlight w:val="none"/>
        </w:rPr>
        <w:t>5.关于资格的声明函</w:t>
      </w:r>
    </w:p>
    <w:p>
      <w:pPr>
        <w:spacing w:line="360" w:lineRule="auto"/>
        <w:rPr>
          <w:rFonts w:ascii="宋体"/>
          <w:color w:val="auto"/>
          <w:sz w:val="24"/>
          <w:highlight w:val="none"/>
        </w:rPr>
      </w:pPr>
    </w:p>
    <w:p>
      <w:pPr>
        <w:spacing w:line="440" w:lineRule="exact"/>
        <w:ind w:firstLine="420" w:firstLineChars="200"/>
        <w:rPr>
          <w:rFonts w:ascii="宋体"/>
          <w:color w:val="auto"/>
          <w:szCs w:val="21"/>
          <w:highlight w:val="none"/>
        </w:rPr>
      </w:pPr>
      <w:r>
        <w:rPr>
          <w:rFonts w:hint="eastAsia" w:ascii="宋体"/>
          <w:color w:val="auto"/>
          <w:szCs w:val="21"/>
          <w:highlight w:val="none"/>
        </w:rPr>
        <w:t>致：______</w:t>
      </w:r>
      <w:r>
        <w:rPr>
          <w:rFonts w:hint="eastAsia" w:ascii="宋体"/>
          <w:color w:val="auto"/>
          <w:szCs w:val="21"/>
          <w:highlight w:val="none"/>
          <w:u w:val="single"/>
        </w:rPr>
        <w:t>_     _</w:t>
      </w:r>
      <w:r>
        <w:rPr>
          <w:rFonts w:hint="eastAsia" w:ascii="宋体"/>
          <w:color w:val="auto"/>
          <w:szCs w:val="21"/>
          <w:highlight w:val="none"/>
        </w:rPr>
        <w:t>_：</w:t>
      </w:r>
      <w:r>
        <w:rPr>
          <w:rFonts w:hint="eastAsia"/>
          <w:b/>
          <w:color w:val="auto"/>
          <w:szCs w:val="21"/>
          <w:highlight w:val="none"/>
        </w:rPr>
        <w:t>（采购方）</w:t>
      </w:r>
    </w:p>
    <w:p>
      <w:pPr>
        <w:spacing w:line="440" w:lineRule="exact"/>
        <w:ind w:firstLine="420" w:firstLineChars="200"/>
        <w:rPr>
          <w:rFonts w:ascii="宋体"/>
          <w:color w:val="auto"/>
          <w:szCs w:val="21"/>
          <w:highlight w:val="none"/>
        </w:rPr>
      </w:pPr>
      <w:r>
        <w:rPr>
          <w:rFonts w:hint="eastAsia" w:ascii="宋体"/>
          <w:color w:val="auto"/>
          <w:szCs w:val="21"/>
          <w:highlight w:val="none"/>
        </w:rPr>
        <w:t>关于贵方______</w:t>
      </w:r>
      <w:r>
        <w:rPr>
          <w:rFonts w:hint="eastAsia" w:ascii="宋体"/>
          <w:color w:val="auto"/>
          <w:szCs w:val="21"/>
          <w:highlight w:val="none"/>
          <w:u w:val="single"/>
        </w:rPr>
        <w:t>_     _</w:t>
      </w:r>
      <w:r>
        <w:rPr>
          <w:rFonts w:hint="eastAsia" w:ascii="宋体"/>
          <w:color w:val="auto"/>
          <w:szCs w:val="21"/>
          <w:highlight w:val="none"/>
        </w:rPr>
        <w:t>_招标项目，本签字人愿意参加投标，提供招标文件规定的要求及服务，并证实提交的下列文件和说明是准确的和真实的：</w:t>
      </w:r>
    </w:p>
    <w:p>
      <w:pPr>
        <w:spacing w:line="440" w:lineRule="exact"/>
        <w:ind w:firstLine="420" w:firstLineChars="200"/>
        <w:rPr>
          <w:rFonts w:ascii="宋体"/>
          <w:color w:val="auto"/>
          <w:szCs w:val="21"/>
          <w:highlight w:val="none"/>
        </w:rPr>
      </w:pPr>
      <w:r>
        <w:rPr>
          <w:rFonts w:hint="eastAsia" w:ascii="宋体"/>
          <w:color w:val="auto"/>
          <w:szCs w:val="21"/>
          <w:highlight w:val="none"/>
        </w:rPr>
        <w:t>1、投标人概况。</w:t>
      </w:r>
    </w:p>
    <w:p>
      <w:pPr>
        <w:spacing w:line="440" w:lineRule="exact"/>
        <w:ind w:firstLine="420" w:firstLineChars="200"/>
        <w:rPr>
          <w:rFonts w:ascii="宋体"/>
          <w:color w:val="auto"/>
          <w:szCs w:val="21"/>
          <w:highlight w:val="none"/>
        </w:rPr>
      </w:pPr>
      <w:r>
        <w:rPr>
          <w:rFonts w:hint="eastAsia" w:ascii="宋体"/>
          <w:color w:val="auto"/>
          <w:szCs w:val="21"/>
          <w:highlight w:val="none"/>
        </w:rPr>
        <w:t>2、有效期内的事业单位法人证书副本复印件或企业法人营业执照副本复印件（加盖公章）。</w:t>
      </w:r>
    </w:p>
    <w:p>
      <w:pPr>
        <w:spacing w:line="440" w:lineRule="exact"/>
        <w:ind w:firstLine="420" w:firstLineChars="200"/>
        <w:rPr>
          <w:rFonts w:ascii="宋体"/>
          <w:color w:val="auto"/>
          <w:szCs w:val="21"/>
          <w:highlight w:val="none"/>
        </w:rPr>
      </w:pPr>
      <w:r>
        <w:rPr>
          <w:rFonts w:hint="eastAsia" w:ascii="宋体"/>
          <w:color w:val="auto"/>
          <w:szCs w:val="21"/>
          <w:highlight w:val="none"/>
        </w:rPr>
        <w:t>4、招标文件要求的相关资格资质证明文件及附件资料复印件（加盖公章）。</w:t>
      </w:r>
    </w:p>
    <w:p>
      <w:pPr>
        <w:spacing w:line="440" w:lineRule="exact"/>
        <w:ind w:firstLine="420" w:firstLineChars="200"/>
        <w:rPr>
          <w:rFonts w:ascii="宋体"/>
          <w:color w:val="auto"/>
          <w:szCs w:val="21"/>
          <w:highlight w:val="none"/>
        </w:rPr>
      </w:pPr>
      <w:r>
        <w:rPr>
          <w:rFonts w:hint="eastAsia" w:ascii="宋体"/>
          <w:color w:val="auto"/>
          <w:szCs w:val="21"/>
          <w:highlight w:val="none"/>
        </w:rPr>
        <w:t>5、投标人认为有必要提供的声明及文件资料。</w:t>
      </w:r>
    </w:p>
    <w:p>
      <w:pPr>
        <w:spacing w:line="440" w:lineRule="exact"/>
        <w:ind w:firstLine="420" w:firstLineChars="200"/>
        <w:rPr>
          <w:rFonts w:ascii="宋体"/>
          <w:color w:val="auto"/>
          <w:szCs w:val="21"/>
          <w:highlight w:val="none"/>
        </w:rPr>
      </w:pPr>
      <w:r>
        <w:rPr>
          <w:rFonts w:hint="eastAsia" w:ascii="宋体"/>
          <w:color w:val="auto"/>
          <w:szCs w:val="21"/>
          <w:highlight w:val="none"/>
        </w:rPr>
        <w:t>N、……</w:t>
      </w:r>
    </w:p>
    <w:p>
      <w:pPr>
        <w:spacing w:line="440" w:lineRule="exact"/>
        <w:ind w:firstLine="422" w:firstLineChars="200"/>
        <w:rPr>
          <w:rFonts w:ascii="宋体"/>
          <w:b/>
          <w:bCs/>
          <w:color w:val="auto"/>
          <w:szCs w:val="21"/>
          <w:highlight w:val="none"/>
        </w:rPr>
      </w:pPr>
    </w:p>
    <w:p>
      <w:pPr>
        <w:spacing w:line="440" w:lineRule="exact"/>
        <w:ind w:firstLine="422" w:firstLineChars="200"/>
        <w:rPr>
          <w:rFonts w:ascii="宋体"/>
          <w:b/>
          <w:color w:val="auto"/>
          <w:szCs w:val="21"/>
          <w:highlight w:val="none"/>
        </w:rPr>
      </w:pPr>
    </w:p>
    <w:p>
      <w:pPr>
        <w:pStyle w:val="10"/>
        <w:spacing w:line="440" w:lineRule="exact"/>
        <w:ind w:firstLine="3150" w:firstLineChars="1500"/>
        <w:rPr>
          <w:rFonts w:ascii="宋体"/>
          <w:color w:val="auto"/>
          <w:sz w:val="21"/>
          <w:szCs w:val="21"/>
          <w:highlight w:val="none"/>
        </w:rPr>
      </w:pPr>
      <w:r>
        <w:rPr>
          <w:rFonts w:hint="eastAsia" w:ascii="宋体"/>
          <w:color w:val="auto"/>
          <w:sz w:val="21"/>
          <w:szCs w:val="21"/>
          <w:highlight w:val="none"/>
        </w:rPr>
        <w:t>投标人（盖公章）：</w:t>
      </w:r>
    </w:p>
    <w:p>
      <w:pPr>
        <w:pStyle w:val="10"/>
        <w:spacing w:line="440" w:lineRule="exact"/>
        <w:ind w:firstLineChars="200"/>
        <w:rPr>
          <w:rFonts w:ascii="宋体"/>
          <w:color w:val="auto"/>
          <w:sz w:val="21"/>
          <w:szCs w:val="21"/>
          <w:highlight w:val="none"/>
        </w:rPr>
      </w:pPr>
    </w:p>
    <w:p>
      <w:pPr>
        <w:pStyle w:val="10"/>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10"/>
        <w:spacing w:line="440" w:lineRule="exact"/>
        <w:ind w:firstLineChars="200"/>
        <w:rPr>
          <w:rFonts w:ascii="宋体"/>
          <w:color w:val="auto"/>
          <w:sz w:val="21"/>
          <w:szCs w:val="21"/>
          <w:highlight w:val="none"/>
        </w:rPr>
      </w:pPr>
    </w:p>
    <w:p>
      <w:pPr>
        <w:pStyle w:val="10"/>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年   月    日</w:t>
      </w: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spacing w:line="360" w:lineRule="auto"/>
        <w:rPr>
          <w:rFonts w:ascii="宋体"/>
          <w:b/>
          <w:bCs/>
          <w:color w:val="auto"/>
          <w:szCs w:val="21"/>
          <w:highlight w:val="none"/>
        </w:rPr>
      </w:pPr>
      <w:r>
        <w:rPr>
          <w:rFonts w:hint="eastAsia" w:ascii="宋体"/>
          <w:b/>
          <w:bCs/>
          <w:color w:val="auto"/>
          <w:szCs w:val="21"/>
          <w:highlight w:val="none"/>
        </w:rPr>
        <w:t>6. 类似案例成功的业绩一览表</w:t>
      </w:r>
    </w:p>
    <w:p>
      <w:pPr>
        <w:pStyle w:val="58"/>
        <w:spacing w:line="360" w:lineRule="auto"/>
        <w:jc w:val="center"/>
        <w:rPr>
          <w:rFonts w:hAnsi="宋体" w:eastAsia="宋体"/>
          <w:b/>
          <w:color w:val="auto"/>
          <w:sz w:val="24"/>
          <w:szCs w:val="24"/>
          <w:highlight w:val="none"/>
        </w:rPr>
      </w:pPr>
    </w:p>
    <w:p>
      <w:pPr>
        <w:pStyle w:val="58"/>
        <w:spacing w:line="360" w:lineRule="auto"/>
        <w:jc w:val="center"/>
        <w:rPr>
          <w:rFonts w:hAnsi="宋体" w:eastAsia="宋体"/>
          <w:b/>
          <w:color w:val="auto"/>
          <w:sz w:val="24"/>
          <w:szCs w:val="24"/>
          <w:highlight w:val="none"/>
        </w:rPr>
      </w:pPr>
      <w:r>
        <w:rPr>
          <w:rFonts w:hint="eastAsia" w:hAnsi="宋体" w:eastAsia="宋体"/>
          <w:b/>
          <w:color w:val="auto"/>
          <w:sz w:val="24"/>
          <w:szCs w:val="24"/>
          <w:highlight w:val="none"/>
        </w:rPr>
        <w:t>成功案例业绩一览表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330"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项目起止时间</w:t>
            </w:r>
          </w:p>
        </w:tc>
        <w:tc>
          <w:tcPr>
            <w:tcW w:w="1259"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项目名称</w:t>
            </w:r>
          </w:p>
        </w:tc>
        <w:tc>
          <w:tcPr>
            <w:tcW w:w="943"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33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合同金额</w:t>
            </w:r>
          </w:p>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（万元）</w:t>
            </w:r>
          </w:p>
        </w:tc>
        <w:tc>
          <w:tcPr>
            <w:tcW w:w="1850"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bl>
    <w:p>
      <w:pPr>
        <w:spacing w:line="360" w:lineRule="auto"/>
        <w:ind w:left="168" w:leftChars="80" w:firstLine="420" w:firstLineChars="200"/>
        <w:rPr>
          <w:rFonts w:ascii="宋体"/>
          <w:color w:val="auto"/>
          <w:szCs w:val="21"/>
          <w:highlight w:val="none"/>
        </w:rPr>
      </w:pPr>
    </w:p>
    <w:p>
      <w:pPr>
        <w:spacing w:line="360" w:lineRule="auto"/>
        <w:ind w:firstLine="703" w:firstLineChars="335"/>
        <w:rPr>
          <w:rFonts w:ascii="宋体"/>
          <w:color w:val="auto"/>
          <w:szCs w:val="21"/>
          <w:highlight w:val="none"/>
        </w:rPr>
      </w:pPr>
      <w:r>
        <w:rPr>
          <w:rFonts w:hint="eastAsia" w:ascii="宋体"/>
          <w:color w:val="auto"/>
          <w:szCs w:val="21"/>
          <w:highlight w:val="none"/>
        </w:rPr>
        <w:t>注：需提供</w:t>
      </w:r>
      <w:r>
        <w:rPr>
          <w:rFonts w:hint="eastAsia" w:ascii="宋体" w:hAnsi="宋体" w:cs="宋体"/>
          <w:color w:val="auto"/>
          <w:highlight w:val="none"/>
        </w:rPr>
        <w:t>中标通知书及合同</w:t>
      </w:r>
      <w:r>
        <w:rPr>
          <w:rFonts w:hint="eastAsia" w:ascii="宋体" w:hAnsi="宋体" w:cs="宋体"/>
          <w:color w:val="auto"/>
          <w:highlight w:val="none"/>
          <w:lang w:eastAsia="zh-CN"/>
        </w:rPr>
        <w:t>扫描</w:t>
      </w:r>
      <w:r>
        <w:rPr>
          <w:rFonts w:hint="eastAsia" w:ascii="宋体" w:hAnsi="宋体" w:cs="宋体"/>
          <w:color w:val="auto"/>
          <w:highlight w:val="none"/>
        </w:rPr>
        <w:t>件</w:t>
      </w:r>
      <w:r>
        <w:rPr>
          <w:rFonts w:hint="eastAsia" w:ascii="宋体"/>
          <w:color w:val="auto"/>
          <w:szCs w:val="21"/>
          <w:highlight w:val="none"/>
        </w:rPr>
        <w:t>（加盖公章）。</w:t>
      </w:r>
    </w:p>
    <w:p>
      <w:pPr>
        <w:spacing w:line="360" w:lineRule="auto"/>
        <w:ind w:firstLine="600"/>
        <w:rPr>
          <w:rFonts w:ascii="宋体"/>
          <w:color w:val="auto"/>
          <w:szCs w:val="21"/>
          <w:highlight w:val="none"/>
        </w:rPr>
      </w:pPr>
    </w:p>
    <w:p>
      <w:pPr>
        <w:pStyle w:val="10"/>
        <w:spacing w:line="360" w:lineRule="auto"/>
        <w:ind w:firstLine="3990" w:firstLineChars="1900"/>
        <w:rPr>
          <w:rFonts w:ascii="宋体"/>
          <w:color w:val="auto"/>
          <w:sz w:val="21"/>
          <w:szCs w:val="21"/>
          <w:highlight w:val="none"/>
        </w:rPr>
      </w:pPr>
    </w:p>
    <w:p>
      <w:pPr>
        <w:pStyle w:val="10"/>
        <w:spacing w:line="360" w:lineRule="auto"/>
        <w:ind w:firstLine="3990" w:firstLineChars="1900"/>
        <w:rPr>
          <w:rFonts w:ascii="宋体"/>
          <w:color w:val="auto"/>
          <w:sz w:val="21"/>
          <w:szCs w:val="21"/>
          <w:highlight w:val="none"/>
        </w:rPr>
      </w:pPr>
    </w:p>
    <w:p>
      <w:pPr>
        <w:pStyle w:val="10"/>
        <w:spacing w:line="360" w:lineRule="auto"/>
        <w:ind w:firstLine="3990" w:firstLineChars="1900"/>
        <w:rPr>
          <w:rFonts w:ascii="宋体"/>
          <w:color w:val="auto"/>
          <w:sz w:val="21"/>
          <w:szCs w:val="21"/>
          <w:highlight w:val="none"/>
        </w:rPr>
      </w:pPr>
    </w:p>
    <w:p>
      <w:pPr>
        <w:pStyle w:val="10"/>
        <w:spacing w:line="360" w:lineRule="auto"/>
        <w:ind w:firstLine="5145" w:firstLineChars="2450"/>
        <w:rPr>
          <w:rFonts w:ascii="宋体"/>
          <w:color w:val="auto"/>
          <w:sz w:val="21"/>
          <w:szCs w:val="21"/>
          <w:highlight w:val="none"/>
        </w:rPr>
      </w:pPr>
      <w:r>
        <w:rPr>
          <w:rFonts w:hint="eastAsia" w:ascii="宋体"/>
          <w:color w:val="auto"/>
          <w:sz w:val="21"/>
          <w:szCs w:val="21"/>
          <w:highlight w:val="none"/>
        </w:rPr>
        <w:t>投标人（加盖公章）：</w:t>
      </w:r>
    </w:p>
    <w:p>
      <w:pPr>
        <w:pStyle w:val="10"/>
        <w:spacing w:line="360" w:lineRule="auto"/>
        <w:rPr>
          <w:rFonts w:ascii="宋体"/>
          <w:color w:val="auto"/>
          <w:sz w:val="21"/>
          <w:szCs w:val="21"/>
          <w:highlight w:val="none"/>
        </w:rPr>
      </w:pPr>
    </w:p>
    <w:p>
      <w:pPr>
        <w:spacing w:line="360" w:lineRule="auto"/>
        <w:jc w:val="right"/>
        <w:rPr>
          <w:rFonts w:ascii="宋体"/>
          <w:color w:val="auto"/>
          <w:szCs w:val="21"/>
          <w:highlight w:val="none"/>
        </w:rPr>
      </w:pPr>
      <w:r>
        <w:rPr>
          <w:rFonts w:hint="eastAsia" w:ascii="宋体"/>
          <w:color w:val="auto"/>
          <w:szCs w:val="21"/>
          <w:highlight w:val="none"/>
        </w:rPr>
        <w:t xml:space="preserve"> 法定代表人或全权代表（签字或盖章）：</w:t>
      </w:r>
    </w:p>
    <w:p>
      <w:pPr>
        <w:pStyle w:val="10"/>
        <w:spacing w:line="360" w:lineRule="auto"/>
        <w:rPr>
          <w:rFonts w:ascii="宋体"/>
          <w:color w:val="auto"/>
          <w:sz w:val="21"/>
          <w:szCs w:val="21"/>
          <w:highlight w:val="none"/>
        </w:rPr>
      </w:pPr>
    </w:p>
    <w:p>
      <w:pPr>
        <w:pStyle w:val="10"/>
        <w:spacing w:line="360" w:lineRule="auto"/>
        <w:rPr>
          <w:rFonts w:ascii="宋体"/>
          <w:color w:val="auto"/>
          <w:sz w:val="21"/>
          <w:szCs w:val="21"/>
          <w:highlight w:val="none"/>
        </w:rPr>
      </w:pPr>
      <w:r>
        <w:rPr>
          <w:rFonts w:hint="eastAsia" w:ascii="宋体"/>
          <w:color w:val="auto"/>
          <w:sz w:val="21"/>
          <w:szCs w:val="21"/>
          <w:highlight w:val="none"/>
        </w:rPr>
        <w:t xml:space="preserve">                                                年   月    日      </w:t>
      </w: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10"/>
        <w:spacing w:line="360" w:lineRule="auto"/>
        <w:rPr>
          <w:rFonts w:ascii="宋体"/>
          <w:color w:val="auto"/>
          <w:sz w:val="24"/>
          <w:szCs w:val="24"/>
          <w:highlight w:val="none"/>
        </w:rPr>
      </w:pPr>
    </w:p>
    <w:p>
      <w:pPr>
        <w:pStyle w:val="58"/>
        <w:spacing w:line="360" w:lineRule="auto"/>
        <w:rPr>
          <w:rFonts w:hAnsi="宋体" w:eastAsia="宋体"/>
          <w:b/>
          <w:color w:val="auto"/>
          <w:sz w:val="24"/>
          <w:szCs w:val="24"/>
          <w:highlight w:val="none"/>
        </w:rPr>
      </w:pPr>
      <w:r>
        <w:rPr>
          <w:rFonts w:hint="eastAsia" w:hAnsi="宋体" w:eastAsia="宋体"/>
          <w:b/>
          <w:color w:val="auto"/>
          <w:sz w:val="24"/>
          <w:szCs w:val="24"/>
          <w:highlight w:val="none"/>
        </w:rPr>
        <w:t>7.商务响应表</w:t>
      </w:r>
    </w:p>
    <w:p>
      <w:pPr>
        <w:pStyle w:val="58"/>
        <w:spacing w:line="360" w:lineRule="auto"/>
        <w:jc w:val="center"/>
        <w:rPr>
          <w:rFonts w:hAnsi="宋体" w:eastAsia="宋体"/>
          <w:b/>
          <w:color w:val="auto"/>
          <w:sz w:val="28"/>
          <w:szCs w:val="28"/>
          <w:highlight w:val="none"/>
        </w:rPr>
      </w:pPr>
      <w:r>
        <w:rPr>
          <w:rFonts w:hint="eastAsia" w:hAnsi="宋体" w:eastAsia="宋体"/>
          <w:b/>
          <w:color w:val="auto"/>
          <w:sz w:val="28"/>
          <w:szCs w:val="28"/>
          <w:highlight w:val="none"/>
        </w:rPr>
        <w:t>商务响应表</w:t>
      </w:r>
    </w:p>
    <w:tbl>
      <w:tblPr>
        <w:tblStyle w:val="33"/>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序号</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投标文件的相应</w:t>
            </w:r>
          </w:p>
        </w:tc>
        <w:tc>
          <w:tcPr>
            <w:tcW w:w="1411"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注：投标人的投标文件与招标文件之规定存在偏离的，应在此表中如实说明。未在上表中说明的，将被认为完全响应招标文件的规定。</w:t>
      </w:r>
    </w:p>
    <w:p>
      <w:pPr>
        <w:pStyle w:val="10"/>
        <w:spacing w:line="360" w:lineRule="auto"/>
        <w:ind w:firstLine="4830" w:firstLineChars="2300"/>
        <w:rPr>
          <w:rFonts w:ascii="宋体"/>
          <w:color w:val="auto"/>
          <w:sz w:val="21"/>
          <w:szCs w:val="21"/>
          <w:highlight w:val="none"/>
        </w:rPr>
      </w:pPr>
    </w:p>
    <w:p>
      <w:pPr>
        <w:pStyle w:val="10"/>
        <w:spacing w:line="360" w:lineRule="auto"/>
        <w:ind w:firstLine="4830" w:firstLineChars="2300"/>
        <w:rPr>
          <w:rFonts w:ascii="宋体"/>
          <w:color w:val="auto"/>
          <w:sz w:val="21"/>
          <w:szCs w:val="21"/>
          <w:highlight w:val="none"/>
        </w:rPr>
      </w:pPr>
    </w:p>
    <w:p>
      <w:pPr>
        <w:pStyle w:val="10"/>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10"/>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10"/>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pStyle w:val="10"/>
        <w:spacing w:line="360" w:lineRule="auto"/>
        <w:rPr>
          <w:rFonts w:ascii="宋体"/>
          <w:color w:val="auto"/>
          <w:sz w:val="24"/>
          <w:szCs w:val="24"/>
          <w:highlight w:val="none"/>
        </w:rPr>
      </w:pPr>
    </w:p>
    <w:p>
      <w:pPr>
        <w:pStyle w:val="19"/>
        <w:snapToGrid w:val="0"/>
        <w:spacing w:beforeLines="10" w:afterLines="10"/>
        <w:rPr>
          <w:color w:val="auto"/>
          <w:sz w:val="24"/>
          <w:szCs w:val="24"/>
          <w:highlight w:val="none"/>
        </w:rPr>
      </w:pPr>
      <w:r>
        <w:rPr>
          <w:rFonts w:hint="eastAsia"/>
          <w:color w:val="auto"/>
          <w:sz w:val="24"/>
          <w:szCs w:val="24"/>
          <w:highlight w:val="none"/>
        </w:rPr>
        <w:br w:type="page"/>
      </w:r>
    </w:p>
    <w:p>
      <w:pPr>
        <w:jc w:val="left"/>
        <w:rPr>
          <w:rFonts w:ascii="宋体" w:hAnsi="宋体" w:cs="宋体"/>
          <w:b/>
          <w:bCs/>
          <w:color w:val="auto"/>
          <w:sz w:val="32"/>
          <w:szCs w:val="28"/>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 主要施工机械设备表</w:t>
      </w:r>
    </w:p>
    <w:p>
      <w:pPr>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主要施工机械设备表</w:t>
      </w:r>
    </w:p>
    <w:tbl>
      <w:tblPr>
        <w:tblStyle w:val="3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1260"/>
        <w:gridCol w:w="540"/>
        <w:gridCol w:w="1260"/>
        <w:gridCol w:w="1260"/>
        <w:gridCol w:w="72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序号</w:t>
            </w:r>
          </w:p>
        </w:tc>
        <w:tc>
          <w:tcPr>
            <w:tcW w:w="126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机械或</w:t>
            </w:r>
          </w:p>
          <w:p>
            <w:pPr>
              <w:pStyle w:val="19"/>
              <w:spacing w:before="120" w:after="120"/>
              <w:jc w:val="center"/>
              <w:rPr>
                <w:color w:val="auto"/>
                <w:highlight w:val="none"/>
                <w:lang w:val="en-US" w:eastAsia="zh-CN"/>
              </w:rPr>
            </w:pPr>
            <w:r>
              <w:rPr>
                <w:rFonts w:hint="eastAsia"/>
                <w:color w:val="auto"/>
                <w:highlight w:val="none"/>
                <w:lang w:val="en-US" w:eastAsia="zh-CN"/>
              </w:rPr>
              <w:t>设备名称</w:t>
            </w:r>
          </w:p>
        </w:tc>
        <w:tc>
          <w:tcPr>
            <w:tcW w:w="126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型号规格</w:t>
            </w:r>
          </w:p>
        </w:tc>
        <w:tc>
          <w:tcPr>
            <w:tcW w:w="54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数量</w:t>
            </w:r>
          </w:p>
        </w:tc>
        <w:tc>
          <w:tcPr>
            <w:tcW w:w="126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国别产地</w:t>
            </w:r>
          </w:p>
        </w:tc>
        <w:tc>
          <w:tcPr>
            <w:tcW w:w="126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制造年份</w:t>
            </w:r>
          </w:p>
        </w:tc>
        <w:tc>
          <w:tcPr>
            <w:tcW w:w="72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额定</w:t>
            </w:r>
          </w:p>
          <w:p>
            <w:pPr>
              <w:pStyle w:val="19"/>
              <w:spacing w:before="120" w:after="120"/>
              <w:jc w:val="center"/>
              <w:rPr>
                <w:color w:val="auto"/>
                <w:highlight w:val="none"/>
                <w:lang w:val="en-US" w:eastAsia="zh-CN"/>
              </w:rPr>
            </w:pPr>
            <w:r>
              <w:rPr>
                <w:rFonts w:hint="eastAsia"/>
                <w:color w:val="auto"/>
                <w:highlight w:val="none"/>
                <w:lang w:val="en-US" w:eastAsia="zh-CN"/>
              </w:rPr>
              <w:t>功率kw</w:t>
            </w:r>
          </w:p>
        </w:tc>
        <w:tc>
          <w:tcPr>
            <w:tcW w:w="1080"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生产能力</w:t>
            </w:r>
          </w:p>
        </w:tc>
        <w:tc>
          <w:tcPr>
            <w:tcW w:w="765" w:type="dxa"/>
            <w:vAlign w:val="center"/>
          </w:tcPr>
          <w:p>
            <w:pPr>
              <w:pStyle w:val="19"/>
              <w:spacing w:before="120" w:after="120"/>
              <w:jc w:val="center"/>
              <w:rPr>
                <w:color w:val="auto"/>
                <w:highlight w:val="none"/>
                <w:lang w:val="en-US" w:eastAsia="zh-CN"/>
              </w:rPr>
            </w:pPr>
            <w:r>
              <w:rPr>
                <w:rFonts w:hint="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54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1260" w:type="dxa"/>
            <w:vAlign w:val="center"/>
          </w:tcPr>
          <w:p>
            <w:pPr>
              <w:pStyle w:val="19"/>
              <w:spacing w:before="120" w:after="120"/>
              <w:jc w:val="center"/>
              <w:rPr>
                <w:color w:val="auto"/>
                <w:sz w:val="30"/>
                <w:highlight w:val="none"/>
                <w:lang w:val="en-US" w:eastAsia="zh-CN"/>
              </w:rPr>
            </w:pPr>
          </w:p>
        </w:tc>
        <w:tc>
          <w:tcPr>
            <w:tcW w:w="720" w:type="dxa"/>
            <w:vAlign w:val="center"/>
          </w:tcPr>
          <w:p>
            <w:pPr>
              <w:pStyle w:val="19"/>
              <w:spacing w:before="120" w:after="120"/>
              <w:jc w:val="center"/>
              <w:rPr>
                <w:color w:val="auto"/>
                <w:sz w:val="30"/>
                <w:highlight w:val="none"/>
                <w:lang w:val="en-US" w:eastAsia="zh-CN"/>
              </w:rPr>
            </w:pPr>
          </w:p>
        </w:tc>
        <w:tc>
          <w:tcPr>
            <w:tcW w:w="1080" w:type="dxa"/>
            <w:vAlign w:val="center"/>
          </w:tcPr>
          <w:p>
            <w:pPr>
              <w:pStyle w:val="19"/>
              <w:spacing w:before="120" w:after="120"/>
              <w:jc w:val="center"/>
              <w:rPr>
                <w:color w:val="auto"/>
                <w:sz w:val="30"/>
                <w:highlight w:val="none"/>
                <w:lang w:val="en-US" w:eastAsia="zh-CN"/>
              </w:rPr>
            </w:pPr>
          </w:p>
        </w:tc>
        <w:tc>
          <w:tcPr>
            <w:tcW w:w="765" w:type="dxa"/>
            <w:vAlign w:val="center"/>
          </w:tcPr>
          <w:p>
            <w:pPr>
              <w:pStyle w:val="19"/>
              <w:spacing w:before="120" w:after="120"/>
              <w:jc w:val="center"/>
              <w:rPr>
                <w:color w:val="auto"/>
                <w:sz w:val="30"/>
                <w:highlight w:val="none"/>
                <w:lang w:val="en-US" w:eastAsia="zh-CN"/>
              </w:rPr>
            </w:pPr>
          </w:p>
        </w:tc>
      </w:tr>
    </w:tbl>
    <w:p>
      <w:pPr>
        <w:autoSpaceDE w:val="0"/>
        <w:autoSpaceDN w:val="0"/>
        <w:adjustRightInd w:val="0"/>
        <w:snapToGrid w:val="0"/>
        <w:spacing w:line="360" w:lineRule="auto"/>
        <w:rPr>
          <w:color w:val="auto"/>
          <w:spacing w:val="15"/>
          <w:kern w:val="0"/>
          <w:sz w:val="24"/>
          <w:highlight w:val="none"/>
        </w:rPr>
      </w:pPr>
      <w:r>
        <w:rPr>
          <w:rFonts w:hint="eastAsia"/>
          <w:color w:val="auto"/>
          <w:spacing w:val="15"/>
          <w:kern w:val="0"/>
          <w:sz w:val="24"/>
          <w:highlight w:val="none"/>
        </w:rPr>
        <w:t>注：</w:t>
      </w:r>
      <w:r>
        <w:rPr>
          <w:rFonts w:hint="eastAsia" w:ascii="宋体" w:hAnsi="宋体"/>
          <w:color w:val="auto"/>
          <w:sz w:val="24"/>
          <w:highlight w:val="none"/>
        </w:rPr>
        <w:t>附设备或工具购买发票或租赁合同的复印件。</w:t>
      </w:r>
    </w:p>
    <w:p>
      <w:pPr>
        <w:autoSpaceDE w:val="0"/>
        <w:autoSpaceDN w:val="0"/>
        <w:adjustRightInd w:val="0"/>
        <w:snapToGrid w:val="0"/>
        <w:spacing w:line="360" w:lineRule="auto"/>
        <w:rPr>
          <w:color w:val="auto"/>
          <w:spacing w:val="15"/>
          <w:kern w:val="0"/>
          <w:sz w:val="24"/>
          <w:highlight w:val="none"/>
        </w:rPr>
      </w:pPr>
    </w:p>
    <w:p>
      <w:pPr>
        <w:autoSpaceDE w:val="0"/>
        <w:autoSpaceDN w:val="0"/>
        <w:adjustRightInd w:val="0"/>
        <w:snapToGrid w:val="0"/>
        <w:spacing w:line="360" w:lineRule="auto"/>
        <w:rPr>
          <w:color w:val="auto"/>
          <w:spacing w:val="15"/>
          <w:kern w:val="0"/>
          <w:sz w:val="24"/>
          <w:highlight w:val="none"/>
        </w:rPr>
      </w:pPr>
    </w:p>
    <w:p>
      <w:pPr>
        <w:autoSpaceDE w:val="0"/>
        <w:autoSpaceDN w:val="0"/>
        <w:adjustRightInd w:val="0"/>
        <w:snapToGrid w:val="0"/>
        <w:spacing w:line="360" w:lineRule="auto"/>
        <w:rPr>
          <w:color w:val="auto"/>
          <w:spacing w:val="15"/>
          <w:kern w:val="0"/>
          <w:sz w:val="24"/>
          <w:highlight w:val="none"/>
        </w:rPr>
      </w:pPr>
    </w:p>
    <w:p>
      <w:pPr>
        <w:autoSpaceDE w:val="0"/>
        <w:autoSpaceDN w:val="0"/>
        <w:adjustRightInd w:val="0"/>
        <w:snapToGrid w:val="0"/>
        <w:spacing w:line="360" w:lineRule="auto"/>
        <w:rPr>
          <w:color w:val="auto"/>
          <w:spacing w:val="15"/>
          <w:kern w:val="0"/>
          <w:sz w:val="24"/>
          <w:highlight w:val="none"/>
        </w:rPr>
      </w:pPr>
    </w:p>
    <w:p>
      <w:pPr>
        <w:rPr>
          <w:rFonts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 养护作业主要管理人员表</w:t>
      </w:r>
    </w:p>
    <w:p>
      <w:pPr>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养护作业主要管理人员表</w:t>
      </w:r>
    </w:p>
    <w:p>
      <w:pPr>
        <w:pStyle w:val="19"/>
        <w:spacing w:before="120" w:after="120"/>
        <w:jc w:val="center"/>
        <w:rPr>
          <w:color w:val="auto"/>
          <w:highlight w:val="none"/>
        </w:rPr>
      </w:pPr>
      <w:r>
        <w:rPr>
          <w:rFonts w:hint="eastAsia"/>
          <w:color w:val="auto"/>
          <w:highlight w:val="non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0"/>
        <w:gridCol w:w="1080"/>
        <w:gridCol w:w="1080"/>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bottom"/>
          </w:tcPr>
          <w:p>
            <w:pPr>
              <w:pStyle w:val="19"/>
              <w:spacing w:before="120" w:after="120" w:line="360" w:lineRule="auto"/>
              <w:jc w:val="center"/>
              <w:rPr>
                <w:color w:val="auto"/>
                <w:highlight w:val="none"/>
                <w:lang w:val="en-US" w:eastAsia="zh-CN"/>
              </w:rPr>
            </w:pPr>
            <w:r>
              <w:rPr>
                <w:rFonts w:hint="eastAsia"/>
                <w:color w:val="auto"/>
                <w:highlight w:val="none"/>
                <w:lang w:val="en-US" w:eastAsia="zh-CN"/>
              </w:rPr>
              <w:t>名称</w:t>
            </w:r>
          </w:p>
        </w:tc>
        <w:tc>
          <w:tcPr>
            <w:tcW w:w="1080" w:type="dxa"/>
            <w:vAlign w:val="bottom"/>
          </w:tcPr>
          <w:p>
            <w:pPr>
              <w:pStyle w:val="19"/>
              <w:spacing w:before="120" w:after="120" w:line="360" w:lineRule="auto"/>
              <w:jc w:val="center"/>
              <w:rPr>
                <w:color w:val="auto"/>
                <w:highlight w:val="none"/>
                <w:lang w:val="en-US" w:eastAsia="zh-CN"/>
              </w:rPr>
            </w:pPr>
            <w:r>
              <w:rPr>
                <w:rFonts w:hint="eastAsia"/>
                <w:color w:val="auto"/>
                <w:highlight w:val="none"/>
                <w:lang w:val="en-US" w:eastAsia="zh-CN"/>
              </w:rPr>
              <w:t>姓名</w:t>
            </w:r>
          </w:p>
        </w:tc>
        <w:tc>
          <w:tcPr>
            <w:tcW w:w="1080" w:type="dxa"/>
            <w:vAlign w:val="bottom"/>
          </w:tcPr>
          <w:p>
            <w:pPr>
              <w:pStyle w:val="19"/>
              <w:spacing w:before="120" w:after="120" w:line="360" w:lineRule="auto"/>
              <w:jc w:val="center"/>
              <w:rPr>
                <w:color w:val="auto"/>
                <w:highlight w:val="none"/>
                <w:lang w:val="en-US" w:eastAsia="zh-CN"/>
              </w:rPr>
            </w:pPr>
            <w:r>
              <w:rPr>
                <w:rFonts w:hint="eastAsia"/>
                <w:color w:val="auto"/>
                <w:highlight w:val="none"/>
                <w:lang w:val="en-US" w:eastAsia="zh-CN"/>
              </w:rPr>
              <w:t>职务</w:t>
            </w:r>
          </w:p>
        </w:tc>
        <w:tc>
          <w:tcPr>
            <w:tcW w:w="1080" w:type="dxa"/>
            <w:vAlign w:val="bottom"/>
          </w:tcPr>
          <w:p>
            <w:pPr>
              <w:pStyle w:val="19"/>
              <w:spacing w:before="120" w:after="120" w:line="360" w:lineRule="auto"/>
              <w:jc w:val="center"/>
              <w:rPr>
                <w:color w:val="auto"/>
                <w:highlight w:val="none"/>
                <w:lang w:val="en-US" w:eastAsia="zh-CN"/>
              </w:rPr>
            </w:pPr>
            <w:r>
              <w:rPr>
                <w:rFonts w:hint="eastAsia"/>
                <w:color w:val="auto"/>
                <w:highlight w:val="none"/>
                <w:lang w:val="en-US" w:eastAsia="zh-CN"/>
              </w:rPr>
              <w:t>职称</w:t>
            </w:r>
          </w:p>
        </w:tc>
        <w:tc>
          <w:tcPr>
            <w:tcW w:w="3467" w:type="dxa"/>
            <w:vAlign w:val="bottom"/>
          </w:tcPr>
          <w:p>
            <w:pPr>
              <w:pStyle w:val="19"/>
              <w:spacing w:before="120" w:after="120" w:line="360" w:lineRule="auto"/>
              <w:jc w:val="center"/>
              <w:rPr>
                <w:color w:val="auto"/>
                <w:highlight w:val="none"/>
                <w:lang w:val="en-US" w:eastAsia="zh-CN"/>
              </w:rPr>
            </w:pPr>
            <w:r>
              <w:rPr>
                <w:rFonts w:hint="eastAsia"/>
                <w:color w:val="auto"/>
                <w:highlight w:val="none"/>
                <w:lang w:val="en-US" w:eastAsia="zh-CN"/>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pStyle w:val="19"/>
              <w:spacing w:before="120" w:after="120" w:line="360" w:lineRule="auto"/>
              <w:rPr>
                <w:color w:val="auto"/>
                <w:highlight w:val="none"/>
                <w:lang w:val="en-US" w:eastAsia="zh-CN"/>
              </w:rPr>
            </w:pPr>
            <w:r>
              <w:rPr>
                <w:rFonts w:hint="eastAsia"/>
                <w:color w:val="auto"/>
                <w:highlight w:val="none"/>
                <w:lang w:val="en-US" w:eastAsia="zh-CN"/>
              </w:rPr>
              <w:t>1.项目经理</w:t>
            </w:r>
          </w:p>
          <w:p>
            <w:pPr>
              <w:pStyle w:val="19"/>
              <w:spacing w:before="120" w:after="120" w:line="360" w:lineRule="auto"/>
              <w:rPr>
                <w:color w:val="auto"/>
                <w:highlight w:val="none"/>
                <w:lang w:val="en-US" w:eastAsia="zh-CN"/>
              </w:rPr>
            </w:pPr>
            <w:r>
              <w:rPr>
                <w:rFonts w:hint="eastAsia"/>
                <w:color w:val="auto"/>
                <w:highlight w:val="none"/>
                <w:lang w:val="en-US" w:eastAsia="zh-CN"/>
              </w:rPr>
              <w:t>2.项目副经理</w:t>
            </w:r>
          </w:p>
          <w:p>
            <w:pPr>
              <w:pStyle w:val="19"/>
              <w:spacing w:before="120" w:after="120" w:line="360" w:lineRule="auto"/>
              <w:rPr>
                <w:color w:val="auto"/>
                <w:highlight w:val="none"/>
                <w:lang w:val="en-US" w:eastAsia="zh-CN"/>
              </w:rPr>
            </w:pPr>
            <w:r>
              <w:rPr>
                <w:rFonts w:hint="eastAsia"/>
                <w:color w:val="auto"/>
                <w:highlight w:val="none"/>
                <w:lang w:val="en-US" w:eastAsia="zh-CN"/>
              </w:rPr>
              <w:t>3.质量管理</w:t>
            </w:r>
          </w:p>
          <w:p>
            <w:pPr>
              <w:pStyle w:val="19"/>
              <w:spacing w:before="120" w:after="120" w:line="360" w:lineRule="auto"/>
              <w:rPr>
                <w:color w:val="auto"/>
                <w:highlight w:val="none"/>
                <w:lang w:val="en-US" w:eastAsia="zh-CN"/>
              </w:rPr>
            </w:pPr>
            <w:r>
              <w:rPr>
                <w:rFonts w:hint="eastAsia"/>
                <w:color w:val="auto"/>
                <w:highlight w:val="none"/>
                <w:lang w:val="en-US" w:eastAsia="zh-CN"/>
              </w:rPr>
              <w:t>4.材料管理</w:t>
            </w:r>
          </w:p>
          <w:p>
            <w:pPr>
              <w:pStyle w:val="19"/>
              <w:spacing w:before="120" w:after="120" w:line="360" w:lineRule="auto"/>
              <w:rPr>
                <w:color w:val="auto"/>
                <w:highlight w:val="none"/>
                <w:lang w:val="en-US" w:eastAsia="zh-CN"/>
              </w:rPr>
            </w:pPr>
            <w:r>
              <w:rPr>
                <w:rFonts w:hint="eastAsia"/>
                <w:color w:val="auto"/>
                <w:highlight w:val="none"/>
                <w:lang w:val="en-US" w:eastAsia="zh-CN"/>
              </w:rPr>
              <w:t>5.计划管理</w:t>
            </w:r>
          </w:p>
          <w:p>
            <w:pPr>
              <w:pStyle w:val="19"/>
              <w:spacing w:before="120" w:after="120" w:line="360" w:lineRule="auto"/>
              <w:rPr>
                <w:color w:val="auto"/>
                <w:highlight w:val="none"/>
                <w:lang w:val="en-US" w:eastAsia="zh-CN"/>
              </w:rPr>
            </w:pPr>
            <w:r>
              <w:rPr>
                <w:rFonts w:hint="eastAsia"/>
                <w:color w:val="auto"/>
                <w:highlight w:val="none"/>
                <w:lang w:val="en-US" w:eastAsia="zh-CN"/>
              </w:rPr>
              <w:t>6.安全管理</w:t>
            </w:r>
          </w:p>
          <w:p>
            <w:pPr>
              <w:pStyle w:val="19"/>
              <w:spacing w:before="120" w:after="120" w:line="360" w:lineRule="auto"/>
              <w:rPr>
                <w:color w:val="auto"/>
                <w:highlight w:val="none"/>
                <w:lang w:val="en-US" w:eastAsia="zh-CN"/>
              </w:rPr>
            </w:pPr>
            <w:r>
              <w:rPr>
                <w:rFonts w:hint="eastAsia"/>
                <w:color w:val="auto"/>
                <w:highlight w:val="none"/>
                <w:lang w:val="en-US" w:eastAsia="zh-CN"/>
              </w:rPr>
              <w:t>7.文明施工管理</w:t>
            </w:r>
          </w:p>
          <w:p>
            <w:pPr>
              <w:pStyle w:val="19"/>
              <w:spacing w:before="120" w:after="120" w:line="360" w:lineRule="auto"/>
              <w:rPr>
                <w:color w:val="auto"/>
                <w:highlight w:val="none"/>
                <w:lang w:val="en-US" w:eastAsia="zh-CN"/>
              </w:rPr>
            </w:pPr>
            <w:r>
              <w:rPr>
                <w:rFonts w:hint="eastAsia"/>
                <w:color w:val="auto"/>
                <w:highlight w:val="none"/>
                <w:lang w:val="en-US" w:eastAsia="zh-CN"/>
              </w:rPr>
              <w:t>…</w:t>
            </w:r>
          </w:p>
          <w:p>
            <w:pPr>
              <w:pStyle w:val="19"/>
              <w:spacing w:before="120" w:after="120" w:line="360" w:lineRule="auto"/>
              <w:rPr>
                <w:color w:val="auto"/>
                <w:highlight w:val="none"/>
                <w:lang w:val="en-US" w:eastAsia="zh-CN"/>
              </w:rPr>
            </w:pPr>
          </w:p>
        </w:tc>
        <w:tc>
          <w:tcPr>
            <w:tcW w:w="1080" w:type="dxa"/>
            <w:vAlign w:val="center"/>
          </w:tcPr>
          <w:p>
            <w:pPr>
              <w:pStyle w:val="19"/>
              <w:spacing w:before="120" w:after="120" w:line="360" w:lineRule="auto"/>
              <w:rPr>
                <w:color w:val="auto"/>
                <w:highlight w:val="none"/>
                <w:lang w:val="en-US" w:eastAsia="zh-CN"/>
              </w:rPr>
            </w:pPr>
          </w:p>
        </w:tc>
        <w:tc>
          <w:tcPr>
            <w:tcW w:w="1080" w:type="dxa"/>
            <w:vAlign w:val="center"/>
          </w:tcPr>
          <w:p>
            <w:pPr>
              <w:pStyle w:val="19"/>
              <w:spacing w:before="120" w:after="120" w:line="360" w:lineRule="auto"/>
              <w:rPr>
                <w:color w:val="auto"/>
                <w:highlight w:val="none"/>
                <w:lang w:val="en-US" w:eastAsia="zh-CN"/>
              </w:rPr>
            </w:pPr>
          </w:p>
        </w:tc>
        <w:tc>
          <w:tcPr>
            <w:tcW w:w="1080" w:type="dxa"/>
            <w:vAlign w:val="center"/>
          </w:tcPr>
          <w:p>
            <w:pPr>
              <w:pStyle w:val="19"/>
              <w:spacing w:before="120" w:after="120" w:line="360" w:lineRule="auto"/>
              <w:rPr>
                <w:color w:val="auto"/>
                <w:highlight w:val="none"/>
                <w:lang w:val="en-US" w:eastAsia="zh-CN"/>
              </w:rPr>
            </w:pPr>
          </w:p>
        </w:tc>
        <w:tc>
          <w:tcPr>
            <w:tcW w:w="3467" w:type="dxa"/>
            <w:vAlign w:val="center"/>
          </w:tcPr>
          <w:p>
            <w:pPr>
              <w:pStyle w:val="19"/>
              <w:spacing w:before="120" w:after="120" w:line="360" w:lineRule="auto"/>
              <w:rPr>
                <w:color w:val="auto"/>
                <w:highlight w:val="none"/>
                <w:lang w:val="en-US" w:eastAsia="zh-CN"/>
              </w:rPr>
            </w:pPr>
          </w:p>
          <w:p>
            <w:pPr>
              <w:pStyle w:val="19"/>
              <w:spacing w:before="120" w:after="120" w:line="360" w:lineRule="auto"/>
              <w:rPr>
                <w:color w:val="auto"/>
                <w:highlight w:val="none"/>
                <w:lang w:val="en-US" w:eastAsia="zh-CN"/>
              </w:rPr>
            </w:pPr>
          </w:p>
          <w:p>
            <w:pPr>
              <w:pStyle w:val="19"/>
              <w:spacing w:before="120" w:after="120" w:line="360" w:lineRule="auto"/>
              <w:rPr>
                <w:color w:val="auto"/>
                <w:highlight w:val="none"/>
                <w:lang w:val="en-US" w:eastAsia="zh-CN"/>
              </w:rPr>
            </w:pPr>
          </w:p>
        </w:tc>
      </w:tr>
    </w:tbl>
    <w:p>
      <w:pPr>
        <w:spacing w:line="360" w:lineRule="auto"/>
        <w:outlineLvl w:val="0"/>
        <w:rPr>
          <w:color w:val="auto"/>
          <w:sz w:val="24"/>
          <w:highlight w:val="none"/>
        </w:rPr>
      </w:pPr>
      <w:r>
        <w:rPr>
          <w:rFonts w:hint="eastAsia"/>
          <w:color w:val="auto"/>
          <w:sz w:val="24"/>
          <w:highlight w:val="none"/>
        </w:rPr>
        <w:t>注：1、附有关管理人员的学历证书、职称证书、注册资格证书等材料复印件；</w:t>
      </w:r>
    </w:p>
    <w:p>
      <w:pPr>
        <w:spacing w:line="360" w:lineRule="auto"/>
        <w:jc w:val="left"/>
        <w:outlineLvl w:val="0"/>
        <w:rPr>
          <w:rFonts w:ascii="宋体" w:hAnsi="宋体"/>
          <w:b/>
          <w:color w:val="auto"/>
          <w:sz w:val="24"/>
          <w:highlight w:val="none"/>
        </w:rPr>
      </w:pPr>
    </w:p>
    <w:p>
      <w:pPr>
        <w:pStyle w:val="2"/>
        <w:rPr>
          <w:rFonts w:ascii="宋体" w:hAnsi="宋体"/>
          <w:b/>
          <w:color w:val="auto"/>
          <w:sz w:val="24"/>
          <w:highlight w:val="none"/>
        </w:rPr>
      </w:pPr>
    </w:p>
    <w:p>
      <w:pPr>
        <w:rPr>
          <w:rFonts w:ascii="宋体" w:hAnsi="宋体"/>
          <w:b/>
          <w:color w:val="auto"/>
          <w:sz w:val="24"/>
          <w:highlight w:val="none"/>
        </w:rPr>
      </w:pPr>
    </w:p>
    <w:p>
      <w:pPr>
        <w:pStyle w:val="2"/>
        <w:rPr>
          <w:color w:val="auto"/>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p>
    <w:p>
      <w:pPr>
        <w:spacing w:line="360" w:lineRule="auto"/>
        <w:jc w:val="left"/>
        <w:outlineLvl w:val="0"/>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 劳动力计划表</w:t>
      </w:r>
    </w:p>
    <w:p>
      <w:pPr>
        <w:spacing w:line="360" w:lineRule="auto"/>
        <w:jc w:val="center"/>
        <w:outlineLvl w:val="0"/>
        <w:rPr>
          <w:b/>
          <w:color w:val="auto"/>
          <w:sz w:val="32"/>
          <w:highlight w:val="none"/>
        </w:rPr>
      </w:pPr>
      <w:r>
        <w:rPr>
          <w:rFonts w:hint="eastAsia"/>
          <w:b/>
          <w:color w:val="auto"/>
          <w:sz w:val="32"/>
          <w:highlight w:val="none"/>
        </w:rPr>
        <w:t>劳动力计划表</w:t>
      </w:r>
    </w:p>
    <w:p>
      <w:pPr>
        <w:spacing w:line="360" w:lineRule="auto"/>
        <w:jc w:val="center"/>
        <w:outlineLvl w:val="0"/>
        <w:rPr>
          <w:color w:val="auto"/>
          <w:sz w:val="24"/>
          <w:highlight w:val="none"/>
        </w:rPr>
      </w:pPr>
      <w:r>
        <w:rPr>
          <w:rFonts w:hint="eastAsia"/>
          <w:b/>
          <w:color w:val="auto"/>
          <w:sz w:val="28"/>
          <w:highlight w:val="none"/>
        </w:rPr>
        <w:t xml:space="preserve">                                                  </w:t>
      </w:r>
      <w:r>
        <w:rPr>
          <w:rFonts w:hint="eastAsia"/>
          <w:color w:val="auto"/>
          <w:sz w:val="24"/>
          <w:highlight w:val="none"/>
        </w:rPr>
        <w:t>单位：人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1440"/>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vAlign w:val="center"/>
          </w:tcPr>
          <w:p>
            <w:pPr>
              <w:pStyle w:val="123"/>
              <w:adjustRightInd/>
              <w:spacing w:after="0" w:line="360" w:lineRule="auto"/>
              <w:textAlignment w:val="auto"/>
              <w:outlineLvl w:val="0"/>
              <w:rPr>
                <w:color w:val="auto"/>
                <w:kern w:val="2"/>
                <w:highlight w:val="none"/>
              </w:rPr>
            </w:pPr>
            <w:r>
              <w:rPr>
                <w:rFonts w:hint="eastAsia"/>
                <w:color w:val="auto"/>
                <w:kern w:val="2"/>
                <w:highlight w:val="none"/>
              </w:rPr>
              <w:t>工程、级别</w:t>
            </w:r>
          </w:p>
        </w:tc>
        <w:tc>
          <w:tcPr>
            <w:tcW w:w="7202" w:type="dxa"/>
            <w:gridSpan w:val="5"/>
            <w:vAlign w:val="center"/>
          </w:tcPr>
          <w:p>
            <w:pPr>
              <w:pStyle w:val="123"/>
              <w:adjustRightInd/>
              <w:spacing w:after="0" w:line="360" w:lineRule="auto"/>
              <w:textAlignment w:val="auto"/>
              <w:outlineLvl w:val="0"/>
              <w:rPr>
                <w:color w:val="auto"/>
                <w:kern w:val="2"/>
                <w:highlight w:val="none"/>
              </w:rPr>
            </w:pPr>
            <w:r>
              <w:rPr>
                <w:rFonts w:hint="eastAsia"/>
                <w:color w:val="auto"/>
                <w:kern w:val="2"/>
                <w:highlight w:val="none"/>
              </w:rPr>
              <w:t>按养护内容投入劳动力情况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0"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c>
          <w:tcPr>
            <w:tcW w:w="1441" w:type="dxa"/>
          </w:tcPr>
          <w:p>
            <w:pPr>
              <w:spacing w:line="360" w:lineRule="auto"/>
              <w:jc w:val="center"/>
              <w:outlineLvl w:val="0"/>
              <w:rPr>
                <w:color w:val="auto"/>
                <w:highlight w:val="none"/>
              </w:rPr>
            </w:pPr>
          </w:p>
        </w:tc>
      </w:tr>
    </w:tbl>
    <w:p>
      <w:pPr>
        <w:spacing w:line="360" w:lineRule="auto"/>
        <w:jc w:val="left"/>
        <w:outlineLvl w:val="0"/>
        <w:rPr>
          <w:color w:val="auto"/>
          <w:highlight w:val="none"/>
        </w:rPr>
      </w:pPr>
      <w:r>
        <w:rPr>
          <w:rFonts w:hint="eastAsia"/>
          <w:color w:val="auto"/>
          <w:highlight w:val="none"/>
        </w:rPr>
        <w:t>注：投标人应按所列格式提交估计的劳动力计划表。本计划表是以每班八小时工作制为基础。特殊项目的养护按行业的有关作业规定处理。</w:t>
      </w:r>
    </w:p>
    <w:p>
      <w:pPr>
        <w:spacing w:line="360" w:lineRule="auto"/>
        <w:jc w:val="left"/>
        <w:rPr>
          <w:color w:val="auto"/>
          <w:sz w:val="24"/>
          <w:highlight w:val="none"/>
        </w:rPr>
      </w:pPr>
    </w:p>
    <w:p>
      <w:pPr>
        <w:spacing w:line="360" w:lineRule="auto"/>
        <w:jc w:val="left"/>
        <w:rPr>
          <w:color w:val="auto"/>
          <w:sz w:val="36"/>
          <w:highlight w:val="none"/>
          <w:u w:val="double"/>
        </w:rPr>
      </w:pPr>
    </w:p>
    <w:p>
      <w:pPr>
        <w:tabs>
          <w:tab w:val="left" w:pos="1418"/>
        </w:tabs>
        <w:spacing w:line="400" w:lineRule="exact"/>
        <w:ind w:firstLine="6825" w:firstLineChars="3250"/>
        <w:rPr>
          <w:rFonts w:ascii="宋体" w:hAnsi="宋体"/>
          <w:bCs/>
          <w:color w:val="auto"/>
          <w:szCs w:val="21"/>
          <w:highlight w:val="none"/>
        </w:rPr>
      </w:pPr>
    </w:p>
    <w:p>
      <w:pPr>
        <w:pStyle w:val="58"/>
        <w:snapToGrid w:val="0"/>
        <w:spacing w:line="400" w:lineRule="exact"/>
        <w:jc w:val="center"/>
        <w:rPr>
          <w:rFonts w:hint="eastAsia" w:ascii="方正小标宋简体" w:hAnsi="方正小标宋简体" w:eastAsia="方正小标宋简体" w:cs="方正小标宋简体"/>
          <w:b/>
          <w:color w:val="auto"/>
          <w:sz w:val="32"/>
          <w:szCs w:val="32"/>
          <w:highlight w:val="none"/>
        </w:rPr>
      </w:pPr>
    </w:p>
    <w:p>
      <w:pPr>
        <w:spacing w:line="360" w:lineRule="auto"/>
        <w:rPr>
          <w:rFonts w:ascii="宋体"/>
          <w:b/>
          <w:bCs/>
          <w:color w:val="auto"/>
          <w:sz w:val="28"/>
          <w:highlight w:val="none"/>
        </w:rPr>
      </w:pPr>
      <w:r>
        <w:rPr>
          <w:rFonts w:hint="eastAsia" w:ascii="宋体"/>
          <w:b/>
          <w:color w:val="auto"/>
          <w:sz w:val="24"/>
          <w:highlight w:val="none"/>
          <w:lang w:val="en-US" w:eastAsia="zh-CN"/>
        </w:rPr>
        <w:t>11</w:t>
      </w:r>
      <w:r>
        <w:rPr>
          <w:rFonts w:hint="eastAsia" w:ascii="宋体"/>
          <w:b/>
          <w:color w:val="auto"/>
          <w:sz w:val="24"/>
          <w:highlight w:val="none"/>
        </w:rPr>
        <w:t>.投标函</w:t>
      </w:r>
    </w:p>
    <w:bookmarkEnd w:id="21"/>
    <w:bookmarkEnd w:id="22"/>
    <w:bookmarkEnd w:id="23"/>
    <w:bookmarkEnd w:id="24"/>
    <w:p>
      <w:pPr>
        <w:pStyle w:val="10"/>
        <w:spacing w:line="360" w:lineRule="auto"/>
        <w:ind w:firstLine="0"/>
        <w:jc w:val="center"/>
        <w:rPr>
          <w:rFonts w:ascii="宋体"/>
          <w:bCs/>
          <w:color w:val="auto"/>
          <w:sz w:val="28"/>
          <w:szCs w:val="28"/>
          <w:highlight w:val="none"/>
        </w:rPr>
      </w:pPr>
      <w:r>
        <w:rPr>
          <w:rFonts w:hint="eastAsia" w:ascii="宋体"/>
          <w:color w:val="auto"/>
          <w:sz w:val="28"/>
          <w:szCs w:val="28"/>
          <w:highlight w:val="none"/>
        </w:rPr>
        <w:t>投标函</w:t>
      </w:r>
    </w:p>
    <w:p>
      <w:pPr>
        <w:pStyle w:val="10"/>
        <w:spacing w:line="440" w:lineRule="exact"/>
        <w:ind w:firstLine="0"/>
        <w:rPr>
          <w:rFonts w:ascii="宋体"/>
          <w:color w:val="auto"/>
          <w:kern w:val="2"/>
          <w:sz w:val="21"/>
          <w:szCs w:val="21"/>
          <w:highlight w:val="none"/>
          <w:u w:val="single"/>
        </w:rPr>
      </w:pPr>
      <w:r>
        <w:rPr>
          <w:rFonts w:hint="eastAsia" w:ascii="宋体"/>
          <w:color w:val="auto"/>
          <w:kern w:val="2"/>
          <w:sz w:val="21"/>
          <w:szCs w:val="21"/>
          <w:highlight w:val="none"/>
        </w:rPr>
        <w:t xml:space="preserve">致： </w:t>
      </w:r>
      <w:r>
        <w:rPr>
          <w:rFonts w:hint="eastAsia" w:ascii="宋体"/>
          <w:b/>
          <w:color w:val="auto"/>
          <w:kern w:val="2"/>
          <w:sz w:val="21"/>
          <w:szCs w:val="21"/>
          <w:highlight w:val="none"/>
          <w:u w:val="single"/>
          <w:lang w:eastAsia="zh-CN"/>
        </w:rPr>
        <w:t xml:space="preserve">浙江乍浦经济开发区（嘉兴港区）管理委员会 </w:t>
      </w:r>
      <w:r>
        <w:rPr>
          <w:rFonts w:hint="eastAsia" w:ascii="宋体"/>
          <w:color w:val="auto"/>
          <w:kern w:val="2"/>
          <w:sz w:val="21"/>
          <w:szCs w:val="21"/>
          <w:highlight w:val="none"/>
        </w:rPr>
        <w:t>（采购方）</w:t>
      </w:r>
    </w:p>
    <w:p>
      <w:pPr>
        <w:snapToGrid w:val="0"/>
        <w:spacing w:line="440" w:lineRule="exact"/>
        <w:ind w:firstLine="315" w:firstLineChars="150"/>
        <w:rPr>
          <w:rFonts w:ascii="宋体"/>
          <w:color w:val="auto"/>
          <w:szCs w:val="21"/>
          <w:highlight w:val="none"/>
        </w:rPr>
      </w:pPr>
      <w:r>
        <w:rPr>
          <w:rFonts w:hint="eastAsia" w:ascii="宋体"/>
          <w:color w:val="auto"/>
          <w:szCs w:val="21"/>
          <w:highlight w:val="none"/>
        </w:rPr>
        <w:t>根据贵方对项目招标（招标编号：</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color w:val="auto"/>
          <w:spacing w:val="-8"/>
          <w:szCs w:val="21"/>
          <w:highlight w:val="none"/>
        </w:rPr>
        <w:t>正式授权下述签字人</w:t>
      </w:r>
      <w:r>
        <w:rPr>
          <w:rFonts w:hint="eastAsia" w:ascii="宋体"/>
          <w:color w:val="auto"/>
          <w:szCs w:val="21"/>
          <w:highlight w:val="none"/>
        </w:rPr>
        <w:t>代表</w:t>
      </w:r>
      <w:r>
        <w:rPr>
          <w:rFonts w:hint="eastAsia" w:ascii="宋体"/>
          <w:color w:val="auto"/>
          <w:szCs w:val="21"/>
          <w:highlight w:val="none"/>
          <w:u w:val="single"/>
        </w:rPr>
        <w:t xml:space="preserve">             （投标单位全称） </w:t>
      </w:r>
      <w:r>
        <w:rPr>
          <w:rFonts w:hint="eastAsia" w:ascii="宋体"/>
          <w:color w:val="auto"/>
          <w:szCs w:val="21"/>
          <w:highlight w:val="none"/>
        </w:rPr>
        <w:t>，向贵方</w:t>
      </w:r>
      <w:r>
        <w:rPr>
          <w:rFonts w:hint="eastAsia" w:ascii="宋体"/>
          <w:color w:val="auto"/>
          <w:spacing w:val="-8"/>
          <w:szCs w:val="21"/>
          <w:highlight w:val="none"/>
        </w:rPr>
        <w:t>提交资格文件、资信商务及技术文件及投标报价文件电子投标各一份，</w:t>
      </w:r>
      <w:r>
        <w:rPr>
          <w:rFonts w:hint="eastAsia" w:ascii="宋体"/>
          <w:color w:val="auto"/>
          <w:szCs w:val="21"/>
          <w:highlight w:val="none"/>
        </w:rPr>
        <w:t>并保证所提交的资料是真实的、准确的，并为我方的一切投标行为作郑重承诺及声明如下：</w:t>
      </w:r>
    </w:p>
    <w:p>
      <w:pPr>
        <w:pStyle w:val="10"/>
        <w:spacing w:line="440" w:lineRule="exact"/>
        <w:rPr>
          <w:rFonts w:ascii="宋体"/>
          <w:color w:val="auto"/>
          <w:sz w:val="21"/>
          <w:szCs w:val="21"/>
          <w:highlight w:val="none"/>
        </w:rPr>
      </w:pPr>
      <w:r>
        <w:rPr>
          <w:rFonts w:hint="eastAsia" w:ascii="宋体"/>
          <w:color w:val="auto"/>
          <w:sz w:val="21"/>
          <w:szCs w:val="21"/>
          <w:highlight w:val="none"/>
        </w:rPr>
        <w:t>1、我方已认真阅读了全部招标文件及其相关文件，完全清楚理解其内容要求及规约，对文件的合理性、公正性和程序安排均没有任何异议、质疑和误解之处。</w:t>
      </w:r>
    </w:p>
    <w:p>
      <w:pPr>
        <w:pStyle w:val="10"/>
        <w:spacing w:line="440" w:lineRule="exact"/>
        <w:rPr>
          <w:rFonts w:ascii="宋体"/>
          <w:color w:val="auto"/>
          <w:sz w:val="21"/>
          <w:szCs w:val="21"/>
          <w:highlight w:val="none"/>
        </w:rPr>
      </w:pPr>
      <w:r>
        <w:rPr>
          <w:rFonts w:hint="eastAsia" w:ascii="宋体"/>
          <w:color w:val="auto"/>
          <w:sz w:val="21"/>
          <w:szCs w:val="21"/>
          <w:highlight w:val="none"/>
        </w:rPr>
        <w:t>2、我方所提供的一切文件均已经过认真、严格的审核，其内容已充分表达了我方的真实意愿，没有任何遗漏、虚假、侵权之处，若出现违背诚实信用和商业道德之行为，愿独自承担相应的法律责任。</w:t>
      </w:r>
    </w:p>
    <w:p>
      <w:pPr>
        <w:pStyle w:val="10"/>
        <w:spacing w:line="440" w:lineRule="exact"/>
        <w:rPr>
          <w:rFonts w:ascii="宋体"/>
          <w:color w:val="auto"/>
          <w:sz w:val="21"/>
          <w:szCs w:val="21"/>
          <w:highlight w:val="none"/>
        </w:rPr>
      </w:pPr>
      <w:r>
        <w:rPr>
          <w:rFonts w:hint="eastAsia" w:ascii="宋体"/>
          <w:color w:val="auto"/>
          <w:sz w:val="21"/>
          <w:szCs w:val="21"/>
          <w:highlight w:val="none"/>
        </w:rPr>
        <w:t>3、投标自开标日起有效期为</w:t>
      </w:r>
      <w:r>
        <w:rPr>
          <w:rFonts w:hint="eastAsia" w:ascii="宋体"/>
          <w:color w:val="auto"/>
          <w:sz w:val="21"/>
          <w:szCs w:val="21"/>
          <w:highlight w:val="none"/>
          <w:u w:val="single"/>
        </w:rPr>
        <w:t>90个日历天</w:t>
      </w:r>
      <w:r>
        <w:rPr>
          <w:rFonts w:hint="eastAsia" w:ascii="宋体"/>
          <w:color w:val="auto"/>
          <w:sz w:val="21"/>
          <w:szCs w:val="21"/>
          <w:highlight w:val="none"/>
        </w:rPr>
        <w:t>。若我方中标，投标有效期相应延长至到项目验收通过之日。不论在任何时候，定将按贵方的要求在规定时间内如实提供一切补充材料。</w:t>
      </w:r>
    </w:p>
    <w:p>
      <w:pPr>
        <w:pStyle w:val="10"/>
        <w:spacing w:line="440" w:lineRule="exact"/>
        <w:rPr>
          <w:rFonts w:ascii="宋体"/>
          <w:color w:val="auto"/>
          <w:sz w:val="21"/>
          <w:szCs w:val="21"/>
          <w:highlight w:val="none"/>
        </w:rPr>
      </w:pPr>
      <w:r>
        <w:rPr>
          <w:rFonts w:hint="eastAsia" w:ascii="宋体"/>
          <w:color w:val="auto"/>
          <w:sz w:val="21"/>
          <w:szCs w:val="21"/>
          <w:highlight w:val="none"/>
        </w:rPr>
        <w:t>4、完全服从和尊重评委会所作的评审结果，同时清楚理解到仅凭投标报价并非是决定中标资格的唯一重要依据。</w:t>
      </w:r>
    </w:p>
    <w:p>
      <w:pPr>
        <w:pStyle w:val="10"/>
        <w:spacing w:line="440" w:lineRule="exact"/>
        <w:rPr>
          <w:rFonts w:ascii="宋体"/>
          <w:color w:val="auto"/>
          <w:sz w:val="21"/>
          <w:szCs w:val="21"/>
          <w:highlight w:val="none"/>
        </w:rPr>
      </w:pPr>
      <w:r>
        <w:rPr>
          <w:rFonts w:hint="eastAsia" w:ascii="宋体"/>
          <w:color w:val="auto"/>
          <w:sz w:val="21"/>
          <w:szCs w:val="21"/>
          <w:highlight w:val="none"/>
        </w:rPr>
        <w:t>5、同意按招标文件的要求认真履行中标人的义务，若我方行为不当而损害了采购人的合法权益，我方愿在任何时候无条件承担相应的缔约过失责任和经济赔偿。</w:t>
      </w:r>
    </w:p>
    <w:p>
      <w:pPr>
        <w:pStyle w:val="10"/>
        <w:spacing w:line="440" w:lineRule="exact"/>
        <w:rPr>
          <w:rFonts w:ascii="宋体"/>
          <w:color w:val="auto"/>
          <w:sz w:val="21"/>
          <w:szCs w:val="21"/>
          <w:highlight w:val="none"/>
        </w:rPr>
      </w:pPr>
      <w:r>
        <w:rPr>
          <w:rFonts w:hint="eastAsia" w:ascii="宋体"/>
          <w:color w:val="auto"/>
          <w:sz w:val="21"/>
          <w:szCs w:val="21"/>
          <w:highlight w:val="none"/>
        </w:rPr>
        <w:t>6、我方声明：我方在参与本次政府采购活动的近三年来未曾有出现重大违法记录。</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与本投标有关的正式通讯地址为：</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地址：</w:t>
      </w:r>
    </w:p>
    <w:p>
      <w:pPr>
        <w:pStyle w:val="10"/>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邮政编码：</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电话：</w:t>
      </w:r>
    </w:p>
    <w:p>
      <w:pPr>
        <w:pStyle w:val="10"/>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传真：</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投标人法定代表人姓名：</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地址：                       </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投标人全权代表姓名、职务：</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投标人名称：</w:t>
      </w:r>
    </w:p>
    <w:p>
      <w:pPr>
        <w:pStyle w:val="10"/>
        <w:spacing w:line="440" w:lineRule="exact"/>
        <w:rPr>
          <w:rFonts w:ascii="宋体"/>
          <w:color w:val="auto"/>
          <w:sz w:val="21"/>
          <w:szCs w:val="21"/>
          <w:highlight w:val="none"/>
        </w:rPr>
      </w:pPr>
      <w:r>
        <w:rPr>
          <w:rFonts w:hint="eastAsia" w:ascii="宋体"/>
          <w:color w:val="auto"/>
          <w:sz w:val="21"/>
          <w:szCs w:val="21"/>
          <w:highlight w:val="none"/>
        </w:rPr>
        <w:t>（公章）：</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全权代表（签字或盖章）：</w:t>
      </w:r>
    </w:p>
    <w:p>
      <w:pPr>
        <w:pStyle w:val="10"/>
        <w:spacing w:line="440" w:lineRule="exact"/>
        <w:ind w:firstLine="525" w:firstLineChars="250"/>
        <w:rPr>
          <w:rFonts w:ascii="宋体"/>
          <w:color w:val="auto"/>
          <w:sz w:val="21"/>
          <w:szCs w:val="21"/>
          <w:highlight w:val="none"/>
        </w:rPr>
      </w:pPr>
      <w:r>
        <w:rPr>
          <w:rFonts w:hint="eastAsia" w:ascii="宋体"/>
          <w:color w:val="auto"/>
          <w:sz w:val="21"/>
          <w:szCs w:val="21"/>
          <w:highlight w:val="none"/>
        </w:rPr>
        <w:t>日期： 年月 日</w:t>
      </w:r>
    </w:p>
    <w:p>
      <w:pPr>
        <w:pStyle w:val="6"/>
        <w:spacing w:before="0" w:after="0" w:line="400" w:lineRule="exact"/>
        <w:jc w:val="both"/>
        <w:rPr>
          <w:rFonts w:ascii="宋体" w:eastAsia="宋体"/>
          <w:b w:val="0"/>
          <w:bCs/>
          <w:color w:val="auto"/>
          <w:sz w:val="21"/>
          <w:szCs w:val="21"/>
          <w:highlight w:val="none"/>
        </w:rPr>
        <w:sectPr>
          <w:pgSz w:w="11906" w:h="16838"/>
          <w:pgMar w:top="1202"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ascii="宋体"/>
          <w:b/>
          <w:color w:val="auto"/>
          <w:sz w:val="24"/>
          <w:highlight w:val="none"/>
        </w:rPr>
      </w:pPr>
      <w:r>
        <w:rPr>
          <w:rFonts w:hint="eastAsia" w:ascii="宋体"/>
          <w:b/>
          <w:color w:val="auto"/>
          <w:sz w:val="24"/>
          <w:highlight w:val="none"/>
          <w:lang w:val="en-US" w:eastAsia="zh-CN"/>
        </w:rPr>
        <w:t>12</w:t>
      </w:r>
      <w:r>
        <w:rPr>
          <w:rFonts w:hint="eastAsia" w:ascii="宋体"/>
          <w:b/>
          <w:color w:val="auto"/>
          <w:sz w:val="24"/>
          <w:highlight w:val="none"/>
        </w:rPr>
        <w:t>.开标一览表</w:t>
      </w:r>
    </w:p>
    <w:p>
      <w:pPr>
        <w:pStyle w:val="19"/>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r>
        <w:rPr>
          <w:rFonts w:hint="eastAsia" w:ascii="宋体" w:hAnsi="宋体" w:cs="宋体"/>
          <w:b/>
          <w:bCs/>
          <w:color w:val="auto"/>
          <w:kern w:val="0"/>
          <w:sz w:val="24"/>
          <w:highlight w:val="none"/>
          <w:lang w:val="zh-CN"/>
        </w:rPr>
        <w:t>（</w:t>
      </w:r>
      <w:r>
        <w:rPr>
          <w:rFonts w:hint="eastAsia" w:ascii="宋体" w:hAnsi="宋体"/>
          <w:b/>
          <w:bCs/>
          <w:color w:val="auto"/>
          <w:sz w:val="24"/>
          <w:highlight w:val="none"/>
        </w:rPr>
        <w:t>标项一</w:t>
      </w:r>
      <w:r>
        <w:rPr>
          <w:rFonts w:hint="eastAsia" w:ascii="宋体" w:hAnsi="宋体" w:cs="宋体"/>
          <w:b/>
          <w:bCs/>
          <w:color w:val="auto"/>
          <w:kern w:val="0"/>
          <w:sz w:val="24"/>
          <w:highlight w:val="none"/>
          <w:lang w:val="zh-CN"/>
        </w:rPr>
        <w:t>）</w:t>
      </w:r>
    </w:p>
    <w:p>
      <w:pPr>
        <w:snapToGrid w:val="0"/>
        <w:spacing w:line="440" w:lineRule="exact"/>
        <w:ind w:firstLine="90" w:firstLineChars="43"/>
        <w:rPr>
          <w:rFonts w:ascii="宋体" w:hAnsi="宋体"/>
          <w:color w:val="auto"/>
          <w:sz w:val="21"/>
          <w:szCs w:val="21"/>
          <w:highlight w:val="none"/>
        </w:rPr>
      </w:pPr>
      <w:r>
        <w:rPr>
          <w:rFonts w:hint="eastAsia" w:ascii="宋体" w:hAnsi="宋体"/>
          <w:color w:val="auto"/>
          <w:sz w:val="21"/>
          <w:szCs w:val="21"/>
          <w:highlight w:val="none"/>
        </w:rPr>
        <w:t>招标编号：</w:t>
      </w:r>
    </w:p>
    <w:p>
      <w:pPr>
        <w:snapToGrid w:val="0"/>
        <w:spacing w:line="440" w:lineRule="exact"/>
        <w:ind w:right="480" w:firstLine="90" w:firstLineChars="43"/>
        <w:rPr>
          <w:rFonts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金额单位：人民币（元）</w:t>
      </w:r>
    </w:p>
    <w:p>
      <w:pPr>
        <w:spacing w:beforeLines="50" w:afterLines="50" w:line="400" w:lineRule="exact"/>
        <w:rPr>
          <w:rFonts w:hAnsi="宋体" w:cs="仿宋_GB2312"/>
          <w:color w:val="auto"/>
          <w:sz w:val="21"/>
          <w:szCs w:val="21"/>
          <w:highlight w:val="none"/>
          <w:lang w:val="zh-CN"/>
        </w:rPr>
      </w:pPr>
    </w:p>
    <w:p>
      <w:pPr>
        <w:spacing w:line="48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我单位参加</w:t>
      </w:r>
      <w:r>
        <w:rPr>
          <w:rFonts w:hint="eastAsia" w:ascii="宋体" w:hAnsi="宋体"/>
          <w:color w:val="auto"/>
          <w:sz w:val="21"/>
          <w:szCs w:val="21"/>
          <w:highlight w:val="none"/>
          <w:lang w:eastAsia="zh-CN"/>
        </w:rPr>
        <w:t>2023年度嘉兴港区道路、桥梁及雨水管线维修养护项目（</w:t>
      </w:r>
      <w:r>
        <w:rPr>
          <w:rFonts w:hint="eastAsia" w:ascii="宋体" w:hAnsi="宋体"/>
          <w:color w:val="auto"/>
          <w:sz w:val="21"/>
          <w:szCs w:val="21"/>
          <w:highlight w:val="none"/>
          <w:lang w:val="en-US" w:eastAsia="zh-CN"/>
        </w:rPr>
        <w:t>标段一</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投标，并承诺在养护服务费结算时，以有关部门审计后的审定金额为基础，乘以</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%作为最终计取的养护服务费（以经审定后的工程造价乘以中标百分率再扣除季度考核后的罚款金额结算）。本项目项目经理为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。服务期限为202</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u w:val="single"/>
        </w:rPr>
        <w:t>1</w:t>
      </w:r>
      <w:r>
        <w:rPr>
          <w:rFonts w:hint="eastAsia" w:ascii="宋体" w:hAnsi="宋体"/>
          <w:color w:val="auto"/>
          <w:sz w:val="21"/>
          <w:szCs w:val="21"/>
          <w:highlight w:val="none"/>
        </w:rPr>
        <w:t>日～202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u w:val="single"/>
        </w:rPr>
        <w:t>3</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rPr>
        <w:t>日。</w:t>
      </w:r>
    </w:p>
    <w:p>
      <w:pPr>
        <w:spacing w:line="360" w:lineRule="auto"/>
        <w:ind w:firstLine="732" w:firstLineChars="347"/>
        <w:rPr>
          <w:rFonts w:ascii="宋体" w:hAnsi="宋体"/>
          <w:b/>
          <w:color w:val="auto"/>
          <w:sz w:val="21"/>
          <w:szCs w:val="21"/>
          <w:highlight w:val="none"/>
        </w:rPr>
      </w:pPr>
    </w:p>
    <w:p>
      <w:pPr>
        <w:pStyle w:val="10"/>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10"/>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10"/>
        <w:spacing w:line="360" w:lineRule="auto"/>
        <w:rPr>
          <w:rFonts w:hint="eastAsia" w:ascii="宋体"/>
          <w:color w:val="auto"/>
          <w:sz w:val="21"/>
          <w:szCs w:val="21"/>
          <w:highlight w:val="none"/>
        </w:rPr>
      </w:pPr>
      <w:r>
        <w:rPr>
          <w:rFonts w:hint="eastAsia" w:ascii="宋体"/>
          <w:color w:val="auto"/>
          <w:sz w:val="21"/>
          <w:szCs w:val="21"/>
          <w:highlight w:val="none"/>
        </w:rPr>
        <w:t xml:space="preserve">                                          年   月    日</w:t>
      </w: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0"/>
        <w:spacing w:line="360" w:lineRule="auto"/>
        <w:rPr>
          <w:rFonts w:hint="eastAsia" w:ascii="宋体"/>
          <w:color w:val="auto"/>
          <w:sz w:val="21"/>
          <w:szCs w:val="21"/>
          <w:highlight w:val="none"/>
        </w:rPr>
      </w:pPr>
    </w:p>
    <w:p>
      <w:pPr>
        <w:pStyle w:val="19"/>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r>
        <w:rPr>
          <w:rFonts w:hint="eastAsia" w:ascii="宋体" w:hAnsi="宋体" w:cs="宋体"/>
          <w:b/>
          <w:bCs/>
          <w:color w:val="auto"/>
          <w:kern w:val="0"/>
          <w:sz w:val="24"/>
          <w:highlight w:val="none"/>
          <w:lang w:val="zh-CN"/>
        </w:rPr>
        <w:t>（</w:t>
      </w:r>
      <w:r>
        <w:rPr>
          <w:rFonts w:hint="eastAsia" w:ascii="宋体" w:hAnsi="宋体"/>
          <w:b/>
          <w:bCs/>
          <w:color w:val="auto"/>
          <w:sz w:val="24"/>
          <w:highlight w:val="none"/>
        </w:rPr>
        <w:t>标项</w:t>
      </w:r>
      <w:r>
        <w:rPr>
          <w:rFonts w:hint="eastAsia" w:ascii="宋体" w:hAnsi="宋体"/>
          <w:b/>
          <w:bCs/>
          <w:color w:val="auto"/>
          <w:sz w:val="24"/>
          <w:highlight w:val="none"/>
          <w:lang w:val="en-US" w:eastAsia="zh-CN"/>
        </w:rPr>
        <w:t>二</w:t>
      </w:r>
      <w:r>
        <w:rPr>
          <w:rFonts w:hint="eastAsia" w:ascii="宋体" w:hAnsi="宋体" w:cs="宋体"/>
          <w:b/>
          <w:bCs/>
          <w:color w:val="auto"/>
          <w:kern w:val="0"/>
          <w:sz w:val="24"/>
          <w:highlight w:val="none"/>
          <w:lang w:val="zh-CN"/>
        </w:rPr>
        <w:t>）</w:t>
      </w:r>
    </w:p>
    <w:p>
      <w:pPr>
        <w:snapToGrid w:val="0"/>
        <w:spacing w:line="440" w:lineRule="exact"/>
        <w:ind w:firstLine="90" w:firstLineChars="43"/>
        <w:rPr>
          <w:rFonts w:ascii="宋体" w:hAnsi="宋体"/>
          <w:color w:val="auto"/>
          <w:sz w:val="21"/>
          <w:szCs w:val="21"/>
          <w:highlight w:val="none"/>
        </w:rPr>
      </w:pPr>
      <w:r>
        <w:rPr>
          <w:rFonts w:hint="eastAsia" w:ascii="宋体" w:hAnsi="宋体"/>
          <w:color w:val="auto"/>
          <w:sz w:val="21"/>
          <w:szCs w:val="21"/>
          <w:highlight w:val="none"/>
        </w:rPr>
        <w:t>招标编号：</w:t>
      </w:r>
    </w:p>
    <w:p>
      <w:pPr>
        <w:snapToGrid w:val="0"/>
        <w:spacing w:line="440" w:lineRule="exact"/>
        <w:ind w:right="480" w:firstLine="90" w:firstLineChars="43"/>
        <w:rPr>
          <w:rFonts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金额单位：人民币（元）</w:t>
      </w:r>
    </w:p>
    <w:p>
      <w:pPr>
        <w:spacing w:beforeLines="50" w:afterLines="50" w:line="400" w:lineRule="exact"/>
        <w:rPr>
          <w:rFonts w:hAnsi="宋体" w:cs="仿宋_GB2312"/>
          <w:color w:val="auto"/>
          <w:sz w:val="21"/>
          <w:szCs w:val="21"/>
          <w:highlight w:val="none"/>
          <w:lang w:val="zh-CN"/>
        </w:rPr>
      </w:pPr>
    </w:p>
    <w:p>
      <w:pPr>
        <w:spacing w:line="48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我单位参加</w:t>
      </w:r>
      <w:r>
        <w:rPr>
          <w:rFonts w:hint="eastAsia" w:ascii="宋体" w:hAnsi="宋体"/>
          <w:color w:val="auto"/>
          <w:sz w:val="21"/>
          <w:szCs w:val="21"/>
          <w:highlight w:val="none"/>
          <w:lang w:eastAsia="zh-CN"/>
        </w:rPr>
        <w:t>2023年度嘉兴港区道路、桥梁及雨水管线维修养护项目（</w:t>
      </w:r>
      <w:r>
        <w:rPr>
          <w:rFonts w:hint="eastAsia" w:ascii="宋体" w:hAnsi="宋体"/>
          <w:color w:val="auto"/>
          <w:sz w:val="21"/>
          <w:szCs w:val="21"/>
          <w:highlight w:val="none"/>
          <w:lang w:val="en-US" w:eastAsia="zh-CN"/>
        </w:rPr>
        <w:t>标段二</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投标，并承诺在养护服务费结算时，以有关部门审计后的审定金额为基础，乘以</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%作为最终计取的养护服务费（以经审定后的工程造价乘以中标百分率再扣除季度考核后的罚款金额结算）。本项目项目经理为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。服务期限为202</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u w:val="single"/>
        </w:rPr>
        <w:t>1</w:t>
      </w:r>
      <w:r>
        <w:rPr>
          <w:rFonts w:hint="eastAsia" w:ascii="宋体" w:hAnsi="宋体"/>
          <w:color w:val="auto"/>
          <w:sz w:val="21"/>
          <w:szCs w:val="21"/>
          <w:highlight w:val="none"/>
        </w:rPr>
        <w:t>日～202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u w:val="single"/>
        </w:rPr>
        <w:t>3</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rPr>
        <w:t>日。</w:t>
      </w:r>
    </w:p>
    <w:p>
      <w:pPr>
        <w:spacing w:line="360" w:lineRule="auto"/>
        <w:ind w:firstLine="732" w:firstLineChars="347"/>
        <w:rPr>
          <w:rFonts w:ascii="宋体" w:hAnsi="宋体"/>
          <w:b/>
          <w:color w:val="auto"/>
          <w:sz w:val="21"/>
          <w:szCs w:val="21"/>
          <w:highlight w:val="none"/>
        </w:rPr>
      </w:pPr>
    </w:p>
    <w:p>
      <w:pPr>
        <w:pStyle w:val="10"/>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10"/>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10"/>
        <w:spacing w:line="360" w:lineRule="auto"/>
        <w:rPr>
          <w:rFonts w:hint="eastAsia" w:ascii="宋体" w:hAnsi="宋体"/>
          <w:b/>
          <w:iCs/>
          <w:color w:val="auto"/>
          <w:spacing w:val="20"/>
          <w:sz w:val="21"/>
          <w:szCs w:val="21"/>
          <w:highlight w:val="none"/>
        </w:rPr>
        <w:sectPr>
          <w:footerReference r:id="rId10" w:type="default"/>
          <w:footerReference r:id="rId11" w:type="even"/>
          <w:pgSz w:w="11906" w:h="16838"/>
          <w:pgMar w:top="1474" w:right="1418" w:bottom="1474"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color w:val="auto"/>
          <w:sz w:val="21"/>
          <w:szCs w:val="21"/>
          <w:highlight w:val="none"/>
        </w:rPr>
        <w:t xml:space="preserve">                                          年   月    日</w:t>
      </w:r>
    </w:p>
    <w:p>
      <w:pPr>
        <w:pStyle w:val="58"/>
        <w:snapToGrid w:val="0"/>
        <w:spacing w:line="400" w:lineRule="exact"/>
        <w:jc w:val="center"/>
        <w:rPr>
          <w:rFonts w:ascii="方正小标宋简体" w:hAnsi="方正小标宋简体" w:eastAsia="方正小标宋简体" w:cs="方正小标宋简体"/>
          <w:b/>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政府</w:t>
      </w:r>
      <w:r>
        <w:rPr>
          <w:rFonts w:ascii="方正小标宋简体" w:hAnsi="方正小标宋简体" w:eastAsia="方正小标宋简体" w:cs="方正小标宋简体"/>
          <w:b/>
          <w:color w:val="auto"/>
          <w:sz w:val="32"/>
          <w:szCs w:val="32"/>
          <w:highlight w:val="none"/>
        </w:rPr>
        <w:t>采购活动现场确认声明书</w:t>
      </w:r>
    </w:p>
    <w:p>
      <w:pPr>
        <w:pStyle w:val="58"/>
        <w:snapToGrid w:val="0"/>
        <w:spacing w:line="400" w:lineRule="exact"/>
        <w:jc w:val="center"/>
        <w:rPr>
          <w:rFonts w:hint="eastAsia" w:hAnsi="宋体" w:cs="宋体"/>
          <w:b/>
          <w:color w:val="auto"/>
          <w:sz w:val="24"/>
          <w:szCs w:val="24"/>
          <w:highlight w:val="none"/>
        </w:rPr>
      </w:pPr>
      <w:r>
        <w:rPr>
          <w:rFonts w:hAnsi="宋体" w:cs="宋体"/>
          <w:b/>
          <w:color w:val="auto"/>
          <w:sz w:val="24"/>
          <w:szCs w:val="24"/>
          <w:highlight w:val="none"/>
        </w:rPr>
        <w:t>（要求</w:t>
      </w:r>
      <w:r>
        <w:rPr>
          <w:rFonts w:hint="eastAsia" w:hAnsi="宋体" w:cs="宋体"/>
          <w:b/>
          <w:color w:val="auto"/>
          <w:sz w:val="24"/>
          <w:szCs w:val="24"/>
          <w:highlight w:val="none"/>
        </w:rPr>
        <w:t>在电子投标文件解密后，将以下表格填写完成后，在通过邮件方式将照</w:t>
      </w:r>
    </w:p>
    <w:p>
      <w:pPr>
        <w:pStyle w:val="58"/>
        <w:snapToGrid w:val="0"/>
        <w:spacing w:line="400" w:lineRule="exact"/>
        <w:jc w:val="both"/>
        <w:rPr>
          <w:rFonts w:hAnsi="宋体" w:cs="宋体"/>
          <w:b/>
          <w:color w:val="auto"/>
          <w:sz w:val="24"/>
          <w:szCs w:val="24"/>
          <w:highlight w:val="none"/>
        </w:rPr>
      </w:pPr>
      <w:r>
        <w:rPr>
          <w:rFonts w:hint="eastAsia" w:hAnsi="宋体" w:cs="宋体"/>
          <w:b/>
          <w:color w:val="auto"/>
          <w:sz w:val="24"/>
          <w:szCs w:val="24"/>
          <w:highlight w:val="none"/>
        </w:rPr>
        <w:t>片传给代理公司（邮箱：</w:t>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rFonts w:hint="eastAsia" w:hAnsi="宋体" w:cs="宋体"/>
          <w:b/>
          <w:color w:val="auto"/>
          <w:sz w:val="24"/>
          <w:szCs w:val="24"/>
          <w:highlight w:val="none"/>
        </w:rPr>
        <w:t>784968527@qq.com</w:t>
      </w:r>
      <w:r>
        <w:rPr>
          <w:rFonts w:hint="eastAsia" w:hAnsi="宋体" w:cs="宋体"/>
          <w:b/>
          <w:color w:val="auto"/>
          <w:sz w:val="24"/>
          <w:szCs w:val="24"/>
          <w:highlight w:val="none"/>
        </w:rPr>
        <w:fldChar w:fldCharType="end"/>
      </w:r>
      <w:r>
        <w:rPr>
          <w:rFonts w:hint="eastAsia" w:hAnsi="宋体" w:cs="宋体"/>
          <w:b/>
          <w:color w:val="auto"/>
          <w:sz w:val="24"/>
          <w:szCs w:val="24"/>
          <w:highlight w:val="none"/>
        </w:rPr>
        <w:t>）</w:t>
      </w:r>
      <w:r>
        <w:rPr>
          <w:rFonts w:hAnsi="宋体" w:cs="宋体"/>
          <w:b/>
          <w:color w:val="auto"/>
          <w:sz w:val="24"/>
          <w:szCs w:val="24"/>
          <w:highlight w:val="none"/>
        </w:rPr>
        <w:t>）</w:t>
      </w:r>
    </w:p>
    <w:p>
      <w:pPr>
        <w:pStyle w:val="58"/>
        <w:snapToGrid w:val="0"/>
        <w:spacing w:line="400" w:lineRule="exact"/>
        <w:rPr>
          <w:rFonts w:ascii="微软雅黑" w:hAnsi="微软雅黑" w:eastAsia="微软雅黑"/>
          <w:color w:val="auto"/>
          <w:kern w:val="0"/>
          <w:sz w:val="21"/>
          <w:szCs w:val="21"/>
          <w:highlight w:val="none"/>
        </w:rPr>
      </w:pPr>
      <w:r>
        <w:rPr>
          <w:rFonts w:hint="eastAsia" w:ascii="微软雅黑" w:hAnsi="微软雅黑" w:eastAsia="微软雅黑"/>
          <w:color w:val="auto"/>
          <w:kern w:val="0"/>
          <w:sz w:val="21"/>
          <w:szCs w:val="21"/>
          <w:highlight w:val="none"/>
        </w:rPr>
        <w:t>:（采购人）</w:t>
      </w:r>
    </w:p>
    <w:p>
      <w:pPr>
        <w:pStyle w:val="58"/>
        <w:snapToGrid w:val="0"/>
        <w:spacing w:line="400" w:lineRule="exact"/>
        <w:ind w:firstLine="444" w:firstLineChars="200"/>
        <w:rPr>
          <w:rFonts w:ascii="微软雅黑" w:hAnsi="微软雅黑" w:eastAsia="微软雅黑"/>
          <w:color w:val="auto"/>
          <w:spacing w:val="6"/>
          <w:sz w:val="21"/>
          <w:szCs w:val="21"/>
          <w:highlight w:val="none"/>
        </w:rPr>
      </w:pPr>
      <w:r>
        <w:rPr>
          <w:rFonts w:ascii="微软雅黑" w:hAnsi="微软雅黑" w:eastAsia="微软雅黑"/>
          <w:color w:val="auto"/>
          <w:spacing w:val="6"/>
          <w:sz w:val="21"/>
          <w:szCs w:val="21"/>
          <w:highlight w:val="none"/>
        </w:rPr>
        <w:t>本人经由</w:t>
      </w:r>
      <w:r>
        <w:rPr>
          <w:rFonts w:ascii="微软雅黑" w:hAnsi="微软雅黑" w:eastAsia="微软雅黑"/>
          <w:color w:val="auto"/>
          <w:spacing w:val="6"/>
          <w:sz w:val="21"/>
          <w:szCs w:val="21"/>
          <w:highlight w:val="none"/>
          <w:u w:val="single"/>
        </w:rPr>
        <w:t xml:space="preserve">                  （单位）</w:t>
      </w:r>
      <w:r>
        <w:rPr>
          <w:rFonts w:ascii="微软雅黑" w:hAnsi="微软雅黑" w:eastAsia="微软雅黑"/>
          <w:color w:val="auto"/>
          <w:spacing w:val="6"/>
          <w:sz w:val="21"/>
          <w:szCs w:val="21"/>
          <w:highlight w:val="none"/>
        </w:rPr>
        <w:t>负责人</w:t>
      </w:r>
      <w:r>
        <w:rPr>
          <w:rFonts w:ascii="微软雅黑" w:hAnsi="微软雅黑" w:eastAsia="微软雅黑"/>
          <w:color w:val="auto"/>
          <w:spacing w:val="6"/>
          <w:sz w:val="21"/>
          <w:szCs w:val="21"/>
          <w:highlight w:val="none"/>
          <w:u w:val="single"/>
        </w:rPr>
        <w:t xml:space="preserve">        （姓名）</w:t>
      </w:r>
      <w:r>
        <w:rPr>
          <w:rFonts w:ascii="微软雅黑" w:hAnsi="微软雅黑" w:eastAsia="微软雅黑"/>
          <w:color w:val="auto"/>
          <w:spacing w:val="6"/>
          <w:sz w:val="21"/>
          <w:szCs w:val="21"/>
          <w:highlight w:val="none"/>
        </w:rPr>
        <w:t xml:space="preserve">合法授权参加项目（编号：）政府采购活动，经与本单位法人代表（负责人）联系确认，现就有关公平竞争事项郑重声明如下： </w:t>
      </w:r>
    </w:p>
    <w:p>
      <w:pPr>
        <w:pStyle w:val="60"/>
        <w:widowControl/>
        <w:numPr>
          <w:ilvl w:val="0"/>
          <w:numId w:val="9"/>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本单位与采购人之间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存在下列利害关系：</w:t>
      </w:r>
    </w:p>
    <w:p>
      <w:pPr>
        <w:pStyle w:val="60"/>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A.投资关系    B.行政隶属关系    C.业务指导关系</w:t>
      </w:r>
    </w:p>
    <w:p>
      <w:pPr>
        <w:pStyle w:val="60"/>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D.其他可能</w:t>
      </w:r>
      <w:r>
        <w:rPr>
          <w:rFonts w:ascii="微软雅黑" w:hAnsi="微软雅黑" w:eastAsia="微软雅黑"/>
          <w:color w:val="auto"/>
          <w:szCs w:val="21"/>
          <w:highlight w:val="none"/>
        </w:rPr>
        <w:t>影响采购公正的</w:t>
      </w:r>
      <w:r>
        <w:rPr>
          <w:rFonts w:ascii="微软雅黑" w:hAnsi="微软雅黑" w:eastAsia="微软雅黑"/>
          <w:color w:val="auto"/>
          <w:kern w:val="0"/>
          <w:szCs w:val="21"/>
          <w:highlight w:val="none"/>
        </w:rPr>
        <w:t>利害关系</w:t>
      </w:r>
      <w:r>
        <w:rPr>
          <w:rFonts w:ascii="微软雅黑" w:hAnsi="微软雅黑" w:eastAsia="微软雅黑"/>
          <w:color w:val="auto"/>
          <w:kern w:val="0"/>
          <w:szCs w:val="21"/>
          <w:highlight w:val="none"/>
          <w:u w:val="single"/>
        </w:rPr>
        <w:t xml:space="preserve">（如有，请如实说明）                 </w:t>
      </w:r>
      <w:r>
        <w:rPr>
          <w:rFonts w:ascii="微软雅黑" w:hAnsi="微软雅黑" w:eastAsia="微软雅黑"/>
          <w:color w:val="auto"/>
          <w:kern w:val="0"/>
          <w:szCs w:val="21"/>
          <w:highlight w:val="none"/>
        </w:rPr>
        <w:t>。</w:t>
      </w:r>
    </w:p>
    <w:p>
      <w:pPr>
        <w:pStyle w:val="60"/>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spacing w:val="6"/>
          <w:szCs w:val="21"/>
          <w:highlight w:val="none"/>
        </w:rPr>
        <w:t xml:space="preserve">  二、</w:t>
      </w:r>
      <w:r>
        <w:rPr>
          <w:rFonts w:ascii="微软雅黑" w:hAnsi="微软雅黑" w:eastAsia="微软雅黑"/>
          <w:color w:val="auto"/>
          <w:kern w:val="0"/>
          <w:szCs w:val="21"/>
          <w:highlight w:val="none"/>
        </w:rPr>
        <w:t xml:space="preserve">现已清楚知道参加本项目采购活动的其他所有供应商名称，本单位 </w:t>
      </w:r>
      <w:r>
        <w:rPr>
          <w:rFonts w:ascii="微软雅黑" w:hAnsi="微软雅黑" w:eastAsia="微软雅黑" w:cs="宋体"/>
          <w:color w:val="auto"/>
          <w:kern w:val="0"/>
          <w:szCs w:val="21"/>
          <w:highlight w:val="none"/>
        </w:rPr>
        <w:t>□与其他所有供应商之间均</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□与</w:t>
      </w:r>
      <w:r>
        <w:rPr>
          <w:rFonts w:ascii="微软雅黑" w:hAnsi="微软雅黑" w:eastAsia="微软雅黑" w:cs="宋体"/>
          <w:color w:val="auto"/>
          <w:kern w:val="0"/>
          <w:szCs w:val="21"/>
          <w:highlight w:val="none"/>
          <w:u w:val="single"/>
        </w:rPr>
        <w:t xml:space="preserve">           （供应商名称）</w:t>
      </w:r>
      <w:r>
        <w:rPr>
          <w:rFonts w:ascii="微软雅黑" w:hAnsi="微软雅黑" w:eastAsia="微软雅黑" w:cs="宋体"/>
          <w:color w:val="auto"/>
          <w:kern w:val="0"/>
          <w:szCs w:val="21"/>
          <w:highlight w:val="none"/>
        </w:rPr>
        <w:t>之间</w:t>
      </w:r>
      <w:r>
        <w:rPr>
          <w:rFonts w:ascii="微软雅黑" w:hAnsi="微软雅黑" w:eastAsia="微软雅黑"/>
          <w:color w:val="auto"/>
          <w:kern w:val="0"/>
          <w:szCs w:val="21"/>
          <w:highlight w:val="none"/>
        </w:rPr>
        <w:t>存在下列利害关系：</w:t>
      </w:r>
    </w:p>
    <w:p>
      <w:pPr>
        <w:pStyle w:val="58"/>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A.法定代表人或负责人或实际控制人是同一人</w:t>
      </w:r>
    </w:p>
    <w:p>
      <w:pPr>
        <w:pStyle w:val="58"/>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B.法定代表人或负责人或实际控制人是夫妻关系</w:t>
      </w:r>
    </w:p>
    <w:p>
      <w:pPr>
        <w:pStyle w:val="58"/>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C.法定代表人或负责人或实际控制人是直系血亲关系</w:t>
      </w:r>
    </w:p>
    <w:p>
      <w:pPr>
        <w:pStyle w:val="58"/>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D.法定代表人或负责人或实际控制人存在三代以内旁系血亲关系</w:t>
      </w:r>
    </w:p>
    <w:p>
      <w:pPr>
        <w:pStyle w:val="58"/>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E.法定代表人或负责人或实际控制人存在近姻亲关系</w:t>
      </w:r>
    </w:p>
    <w:p>
      <w:pPr>
        <w:pStyle w:val="58"/>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F.法定代表人或负责人或实际控制人存在股份控制或实际控制关系</w:t>
      </w:r>
    </w:p>
    <w:p>
      <w:pPr>
        <w:pStyle w:val="58"/>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G.存在共同直接或间接投资设立子公司、联营企业和合营企业情况</w:t>
      </w:r>
    </w:p>
    <w:p>
      <w:pPr>
        <w:pStyle w:val="58"/>
        <w:snapToGrid w:val="0"/>
        <w:spacing w:line="400" w:lineRule="exact"/>
        <w:rPr>
          <w:rFonts w:ascii="微软雅黑" w:hAnsi="微软雅黑" w:eastAsia="微软雅黑"/>
          <w:color w:val="auto"/>
          <w:sz w:val="21"/>
          <w:szCs w:val="21"/>
          <w:highlight w:val="none"/>
        </w:rPr>
      </w:pPr>
      <w:r>
        <w:rPr>
          <w:rFonts w:ascii="微软雅黑" w:hAnsi="微软雅黑" w:eastAsia="微软雅黑"/>
          <w:color w:val="auto"/>
          <w:kern w:val="0"/>
          <w:sz w:val="21"/>
          <w:szCs w:val="21"/>
          <w:highlight w:val="none"/>
        </w:rPr>
        <w:t xml:space="preserve">  H.存在分级代理或代销关系、同一生产制造商关系、</w:t>
      </w:r>
      <w:r>
        <w:rPr>
          <w:rFonts w:ascii="微软雅黑" w:hAnsi="微软雅黑" w:eastAsia="微软雅黑"/>
          <w:color w:val="auto"/>
          <w:sz w:val="21"/>
          <w:szCs w:val="21"/>
          <w:highlight w:val="none"/>
        </w:rPr>
        <w:t>管理关系、重要业务（占主营业务收入50%以上）或重要财务往来关系（如融资）等其他实质性控制关系</w:t>
      </w:r>
    </w:p>
    <w:p>
      <w:pPr>
        <w:pStyle w:val="58"/>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sz w:val="21"/>
          <w:szCs w:val="21"/>
          <w:highlight w:val="none"/>
        </w:rPr>
        <w:t xml:space="preserve">    I</w:t>
      </w:r>
      <w:r>
        <w:rPr>
          <w:rFonts w:ascii="微软雅黑" w:hAnsi="微软雅黑" w:eastAsia="微软雅黑"/>
          <w:color w:val="auto"/>
          <w:kern w:val="0"/>
          <w:sz w:val="21"/>
          <w:szCs w:val="21"/>
          <w:highlight w:val="none"/>
        </w:rPr>
        <w:t>.</w:t>
      </w:r>
      <w:r>
        <w:rPr>
          <w:rFonts w:ascii="微软雅黑" w:hAnsi="微软雅黑" w:eastAsia="微软雅黑"/>
          <w:color w:val="auto"/>
          <w:sz w:val="21"/>
          <w:szCs w:val="21"/>
          <w:highlight w:val="none"/>
        </w:rPr>
        <w:t>其他利害关系情况</w:t>
      </w:r>
      <w:r>
        <w:rPr>
          <w:rFonts w:ascii="微软雅黑" w:hAnsi="微软雅黑" w:eastAsia="微软雅黑"/>
          <w:color w:val="auto"/>
          <w:kern w:val="0"/>
          <w:sz w:val="21"/>
          <w:szCs w:val="21"/>
          <w:highlight w:val="none"/>
        </w:rPr>
        <w:t>。</w:t>
      </w:r>
    </w:p>
    <w:p>
      <w:pPr>
        <w:pStyle w:val="60"/>
        <w:widowControl/>
        <w:numPr>
          <w:ilvl w:val="0"/>
          <w:numId w:val="10"/>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szCs w:val="21"/>
          <w:highlight w:val="none"/>
        </w:rPr>
        <w:t>现已清楚知道并</w:t>
      </w:r>
      <w:r>
        <w:rPr>
          <w:rFonts w:ascii="微软雅黑" w:hAnsi="微软雅黑" w:eastAsia="微软雅黑"/>
          <w:color w:val="auto"/>
          <w:kern w:val="0"/>
          <w:szCs w:val="21"/>
          <w:highlight w:val="none"/>
        </w:rPr>
        <w:t>严格遵守政府采购法律法规和现场纪律。</w:t>
      </w:r>
    </w:p>
    <w:p>
      <w:pPr>
        <w:pStyle w:val="60"/>
        <w:widowControl/>
        <w:numPr>
          <w:ilvl w:val="0"/>
          <w:numId w:val="10"/>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我发现供应商之间存在或可能存在上述第二条第项利害关系。</w:t>
      </w:r>
    </w:p>
    <w:p>
      <w:pPr>
        <w:pStyle w:val="58"/>
        <w:snapToGrid w:val="0"/>
        <w:spacing w:line="400" w:lineRule="exact"/>
        <w:ind w:firstLine="420" w:firstLineChars="200"/>
        <w:rPr>
          <w:rFonts w:ascii="微软雅黑" w:hAnsi="微软雅黑" w:eastAsia="微软雅黑"/>
          <w:color w:val="auto"/>
          <w:sz w:val="21"/>
          <w:szCs w:val="21"/>
          <w:highlight w:val="none"/>
        </w:rPr>
      </w:pPr>
    </w:p>
    <w:p>
      <w:pPr>
        <w:pStyle w:val="58"/>
        <w:snapToGrid w:val="0"/>
        <w:spacing w:line="400" w:lineRule="exact"/>
        <w:ind w:firstLine="420" w:firstLineChars="200"/>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 供应商代表签名：</w:t>
      </w:r>
    </w:p>
    <w:p>
      <w:pPr>
        <w:snapToGrid w:val="0"/>
        <w:spacing w:line="360" w:lineRule="auto"/>
        <w:ind w:firstLine="3780" w:firstLineChars="18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年  月  日</w:t>
      </w:r>
    </w:p>
    <w:p>
      <w:pPr>
        <w:pStyle w:val="6"/>
        <w:rPr>
          <w:rFonts w:ascii="微软雅黑" w:hAnsi="微软雅黑" w:eastAsia="微软雅黑"/>
          <w:color w:val="auto"/>
          <w:szCs w:val="21"/>
          <w:highlight w:val="none"/>
        </w:rPr>
      </w:pPr>
    </w:p>
    <w:p>
      <w:pPr>
        <w:pStyle w:val="7"/>
        <w:rPr>
          <w:rFonts w:ascii="微软雅黑" w:hAnsi="微软雅黑" w:eastAsia="微软雅黑"/>
          <w:color w:val="auto"/>
          <w:szCs w:val="21"/>
          <w:highlight w:val="none"/>
        </w:rPr>
      </w:pPr>
    </w:p>
    <w:p>
      <w:pPr>
        <w:pStyle w:val="7"/>
        <w:rPr>
          <w:rFonts w:ascii="微软雅黑" w:hAnsi="微软雅黑" w:eastAsia="微软雅黑"/>
          <w:color w:val="auto"/>
          <w:szCs w:val="21"/>
          <w:highlight w:val="none"/>
        </w:rPr>
      </w:pPr>
    </w:p>
    <w:p>
      <w:pPr>
        <w:pStyle w:val="7"/>
        <w:rPr>
          <w:rFonts w:ascii="微软雅黑" w:hAnsi="微软雅黑" w:eastAsia="微软雅黑"/>
          <w:color w:val="auto"/>
          <w:szCs w:val="21"/>
          <w:highlight w:val="none"/>
        </w:rPr>
      </w:pPr>
    </w:p>
    <w:p>
      <w:pPr>
        <w:pStyle w:val="7"/>
        <w:rPr>
          <w:rFonts w:ascii="微软雅黑" w:hAnsi="微软雅黑" w:eastAsia="微软雅黑"/>
          <w:color w:val="auto"/>
          <w:szCs w:val="21"/>
          <w:highlight w:val="none"/>
        </w:rPr>
      </w:pPr>
    </w:p>
    <w:p>
      <w:pPr>
        <w:spacing w:line="360" w:lineRule="auto"/>
        <w:rPr>
          <w:rFonts w:ascii="宋体"/>
          <w:b/>
          <w:color w:val="auto"/>
          <w:sz w:val="24"/>
          <w:highlight w:val="none"/>
        </w:rPr>
      </w:pPr>
      <w:r>
        <w:rPr>
          <w:rFonts w:hint="eastAsia" w:ascii="宋体"/>
          <w:b/>
          <w:color w:val="auto"/>
          <w:sz w:val="24"/>
          <w:highlight w:val="none"/>
        </w:rPr>
        <w:t>附：</w:t>
      </w:r>
    </w:p>
    <w:p>
      <w:pPr>
        <w:spacing w:line="360" w:lineRule="auto"/>
        <w:jc w:val="center"/>
        <w:rPr>
          <w:b/>
          <w:color w:val="auto"/>
          <w:sz w:val="24"/>
          <w:highlight w:val="none"/>
        </w:rPr>
      </w:pPr>
      <w:r>
        <w:rPr>
          <w:rFonts w:hint="eastAsia" w:ascii="宋体"/>
          <w:b/>
          <w:color w:val="auto"/>
          <w:sz w:val="24"/>
          <w:highlight w:val="none"/>
        </w:rPr>
        <w:t>供应商注册流程</w:t>
      </w:r>
    </w:p>
    <w:p>
      <w:pPr>
        <w:pStyle w:val="19"/>
        <w:spacing w:line="360" w:lineRule="auto"/>
        <w:rPr>
          <w:color w:val="auto"/>
          <w:sz w:val="24"/>
          <w:szCs w:val="24"/>
          <w:highlight w:val="none"/>
        </w:rPr>
      </w:pPr>
      <w:r>
        <w:rPr>
          <w:color w:val="auto"/>
          <w:sz w:val="24"/>
          <w:szCs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sz w:val="24"/>
          <w:szCs w:val="24"/>
          <w:highlight w:val="none"/>
        </w:rPr>
        <w:t>http://www.zjzfcg.gov.cn</w:t>
      </w:r>
      <w:r>
        <w:rPr>
          <w:color w:val="auto"/>
          <w:sz w:val="24"/>
          <w:szCs w:val="24"/>
          <w:highlight w:val="none"/>
        </w:rPr>
        <w:fldChar w:fldCharType="end"/>
      </w:r>
      <w:r>
        <w:rPr>
          <w:color w:val="auto"/>
          <w:sz w:val="24"/>
          <w:szCs w:val="24"/>
          <w:highlight w:val="none"/>
        </w:rPr>
        <w:t>)→政府采购供应商注册→按下图提示进行。</w:t>
      </w:r>
    </w:p>
    <w:p>
      <w:pPr>
        <w:pStyle w:val="19"/>
        <w:spacing w:line="360" w:lineRule="auto"/>
        <w:rPr>
          <w:color w:val="auto"/>
          <w:sz w:val="24"/>
          <w:szCs w:val="24"/>
          <w:highlight w:val="none"/>
        </w:rPr>
      </w:pPr>
      <w:r>
        <w:rPr>
          <w:color w:val="auto"/>
          <w:sz w:val="24"/>
          <w:szCs w:val="24"/>
          <w:highlight w:val="none"/>
        </w:rPr>
        <w:t>（注册联系电话：</w:t>
      </w:r>
      <w:r>
        <w:rPr>
          <w:rFonts w:hint="eastAsia" w:hAnsi="宋体"/>
          <w:color w:val="auto"/>
          <w:sz w:val="24"/>
          <w:szCs w:val="24"/>
          <w:highlight w:val="none"/>
        </w:rPr>
        <w:t>4008817190</w:t>
      </w:r>
      <w:r>
        <w:rPr>
          <w:color w:val="auto"/>
          <w:sz w:val="24"/>
          <w:szCs w:val="24"/>
          <w:highlight w:val="none"/>
        </w:rPr>
        <w:t>）</w:t>
      </w:r>
    </w:p>
    <w:tbl>
      <w:tblPr>
        <w:tblStyle w:val="33"/>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pPr>
              <w:widowControl/>
              <w:spacing w:line="360" w:lineRule="auto"/>
              <w:jc w:val="center"/>
              <w:rPr>
                <w:rFonts w:ascii="宋体" w:cs="宋体"/>
                <w:color w:val="auto"/>
                <w:kern w:val="0"/>
                <w:sz w:val="24"/>
                <w:highlight w:val="none"/>
              </w:rPr>
            </w:pPr>
            <w:r>
              <w:rPr>
                <w:rFonts w:ascii="宋体" w:cs="宋体"/>
                <w:color w:val="auto"/>
                <w:kern w:val="0"/>
                <w:sz w:val="24"/>
                <w:highlight w:val="none"/>
              </w:rPr>
              <w:drawing>
                <wp:inline distT="0" distB="0" distL="114300" distR="114300">
                  <wp:extent cx="6019800" cy="5495925"/>
                  <wp:effectExtent l="0" t="0" r="0" b="9525"/>
                  <wp:docPr id="2" name="图片 2"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gyszcsq"/>
                          <pic:cNvPicPr>
                            <a:picLocks noChangeAspect="1"/>
                          </pic:cNvPicPr>
                        </pic:nvPicPr>
                        <pic:blipFill>
                          <a:blip r:embed="rId15"/>
                          <a:stretch>
                            <a:fillRect/>
                          </a:stretch>
                        </pic:blipFill>
                        <pic:spPr>
                          <a:xfrm>
                            <a:off x="0" y="0"/>
                            <a:ext cx="6019800" cy="5495925"/>
                          </a:xfrm>
                          <a:prstGeom prst="rect">
                            <a:avLst/>
                          </a:prstGeom>
                          <a:noFill/>
                          <a:ln>
                            <a:noFill/>
                          </a:ln>
                        </pic:spPr>
                      </pic:pic>
                    </a:graphicData>
                  </a:graphic>
                </wp:inline>
              </w:drawing>
            </w:r>
          </w:p>
        </w:tc>
      </w:tr>
    </w:tbl>
    <w:p>
      <w:pPr>
        <w:pStyle w:val="52"/>
        <w:ind w:left="0" w:leftChars="0" w:firstLine="0" w:firstLineChars="0"/>
        <w:rPr>
          <w:color w:val="auto"/>
          <w:highlight w:val="none"/>
        </w:rPr>
      </w:pPr>
    </w:p>
    <w:sectPr>
      <w:footerReference r:id="rId12" w:type="default"/>
      <w:pgSz w:w="11906" w:h="16838"/>
      <w:pgMar w:top="1474" w:right="1418" w:bottom="1474"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guskBAACa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luC6yQEAAJo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end"/>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XsM8kBAACa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1ewzyQEAAJo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fSmsgBAACa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a0octzjw6/dv1x+/rj+/kuU6&#10;69MHqDHtIWBiGt74Abdm9gM6M+1BRZu/SIhgHNW93NSVQyIiP9qsNpsKQwJj8wXx2ePzECG9ld6S&#10;bDQ04viKqvz8HtKYOqfkas7fa2PKCI37y4GY2cNy72OP2UrDYZgIHXx7QT49Tr6hDhedEvPOobB5&#10;SWYjzsZhNk4h6mNXtijXg/D6lLCJ0luuMMJOhXFkhd20Xnkn/ryXrMdfa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30prIAQAAmgMAAA4AAAAAAAAAAQAgAAAAHgEAAGRycy9lMm9Eb2Mu&#10;eG1sUEsFBgAAAAAGAAYAWQEAAFg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end"/>
    </w:r>
  </w:p>
  <w:p>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XS8kBAACa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FBdLyQEAAJo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7"/>
        <w:rPr>
          <w:rFonts w:hint="default"/>
        </w:rPr>
      </w:pPr>
      <w:r>
        <w:rPr>
          <w:rStyle w:val="48"/>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outlineLvl w:val="1"/>
      <w:rPr>
        <w:rFonts w:hint="eastAsia"/>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238AE"/>
    <w:multiLevelType w:val="multilevel"/>
    <w:tmpl w:val="0E3238AE"/>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508"/>
        </w:tabs>
        <w:ind w:left="508" w:hanging="420"/>
      </w:pPr>
    </w:lvl>
    <w:lvl w:ilvl="2" w:tentative="0">
      <w:start w:val="1"/>
      <w:numFmt w:val="lowerRoman"/>
      <w:lvlText w:val="%3."/>
      <w:lvlJc w:val="right"/>
      <w:pPr>
        <w:tabs>
          <w:tab w:val="left" w:pos="928"/>
        </w:tabs>
        <w:ind w:left="928" w:hanging="420"/>
      </w:pPr>
    </w:lvl>
    <w:lvl w:ilvl="3" w:tentative="0">
      <w:start w:val="1"/>
      <w:numFmt w:val="decimal"/>
      <w:lvlText w:val="%4."/>
      <w:lvlJc w:val="left"/>
      <w:pPr>
        <w:tabs>
          <w:tab w:val="left" w:pos="1348"/>
        </w:tabs>
        <w:ind w:left="1348" w:hanging="420"/>
      </w:pPr>
    </w:lvl>
    <w:lvl w:ilvl="4" w:tentative="0">
      <w:start w:val="1"/>
      <w:numFmt w:val="lowerLetter"/>
      <w:lvlText w:val="%5)"/>
      <w:lvlJc w:val="left"/>
      <w:pPr>
        <w:tabs>
          <w:tab w:val="left" w:pos="1768"/>
        </w:tabs>
        <w:ind w:left="1768" w:hanging="420"/>
      </w:pPr>
    </w:lvl>
    <w:lvl w:ilvl="5" w:tentative="0">
      <w:start w:val="1"/>
      <w:numFmt w:val="lowerRoman"/>
      <w:lvlText w:val="%6."/>
      <w:lvlJc w:val="right"/>
      <w:pPr>
        <w:tabs>
          <w:tab w:val="left" w:pos="2188"/>
        </w:tabs>
        <w:ind w:left="2188" w:hanging="420"/>
      </w:pPr>
    </w:lvl>
    <w:lvl w:ilvl="6" w:tentative="0">
      <w:start w:val="1"/>
      <w:numFmt w:val="decimal"/>
      <w:lvlText w:val="%7."/>
      <w:lvlJc w:val="left"/>
      <w:pPr>
        <w:tabs>
          <w:tab w:val="left" w:pos="2608"/>
        </w:tabs>
        <w:ind w:left="2608" w:hanging="420"/>
      </w:pPr>
    </w:lvl>
    <w:lvl w:ilvl="7" w:tentative="0">
      <w:start w:val="1"/>
      <w:numFmt w:val="lowerLetter"/>
      <w:lvlText w:val="%8)"/>
      <w:lvlJc w:val="left"/>
      <w:pPr>
        <w:tabs>
          <w:tab w:val="left" w:pos="3028"/>
        </w:tabs>
        <w:ind w:left="3028" w:hanging="420"/>
      </w:pPr>
    </w:lvl>
    <w:lvl w:ilvl="8" w:tentative="0">
      <w:start w:val="1"/>
      <w:numFmt w:val="lowerRoman"/>
      <w:lvlText w:val="%9."/>
      <w:lvlJc w:val="right"/>
      <w:pPr>
        <w:tabs>
          <w:tab w:val="left" w:pos="3448"/>
        </w:tabs>
        <w:ind w:left="3448" w:hanging="420"/>
      </w:pPr>
    </w:lvl>
  </w:abstractNum>
  <w:abstractNum w:abstractNumId="1">
    <w:nsid w:val="187739D9"/>
    <w:multiLevelType w:val="singleLevel"/>
    <w:tmpl w:val="187739D9"/>
    <w:lvl w:ilvl="0" w:tentative="0">
      <w:start w:val="2"/>
      <w:numFmt w:val="chineseCounting"/>
      <w:suff w:val="nothing"/>
      <w:lvlText w:val="（%1）"/>
      <w:lvlJc w:val="left"/>
      <w:rPr>
        <w:rFonts w:hint="eastAsia"/>
      </w:rPr>
    </w:lvl>
  </w:abstractNum>
  <w:abstractNum w:abstractNumId="2">
    <w:nsid w:val="27F46452"/>
    <w:multiLevelType w:val="multilevel"/>
    <w:tmpl w:val="27F46452"/>
    <w:lvl w:ilvl="0" w:tentative="0">
      <w:start w:val="1"/>
      <w:numFmt w:val="chineseCountingThousand"/>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A1615A5"/>
    <w:multiLevelType w:val="multilevel"/>
    <w:tmpl w:val="2A1615A5"/>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D892BDC"/>
    <w:multiLevelType w:val="multilevel"/>
    <w:tmpl w:val="2D892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530D5E"/>
    <w:multiLevelType w:val="singleLevel"/>
    <w:tmpl w:val="4A530D5E"/>
    <w:lvl w:ilvl="0" w:tentative="0">
      <w:start w:val="1"/>
      <w:numFmt w:val="decimal"/>
      <w:pStyle w:val="16"/>
      <w:lvlText w:val="%1."/>
      <w:lvlJc w:val="left"/>
      <w:pPr>
        <w:tabs>
          <w:tab w:val="left" w:pos="1200"/>
        </w:tabs>
        <w:ind w:left="1200" w:hanging="36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34754A"/>
    <w:multiLevelType w:val="singleLevel"/>
    <w:tmpl w:val="5534754A"/>
    <w:lvl w:ilvl="0" w:tentative="0">
      <w:start w:val="1"/>
      <w:numFmt w:val="decimal"/>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39162AA"/>
    <w:multiLevelType w:val="multilevel"/>
    <w:tmpl w:val="739162A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0"/>
  </w:num>
  <w:num w:numId="4">
    <w:abstractNumId w:val="2"/>
  </w:num>
  <w:num w:numId="5">
    <w:abstractNumId w:val="9"/>
  </w:num>
  <w:num w:numId="6">
    <w:abstractNumId w:val="4"/>
  </w:num>
  <w:num w:numId="7">
    <w:abstractNumId w:val="7"/>
  </w:num>
  <w:num w:numId="8">
    <w:abstractNumId w:val="1"/>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伟">
    <w15:presenceInfo w15:providerId="None" w15:userId="钟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JkNGY5NTRhZDI0YzE4ZmRjMzgxNmQ1MTE5NmYifQ=="/>
  </w:docVars>
  <w:rsids>
    <w:rsidRoot w:val="00D80E62"/>
    <w:rsid w:val="00000C3A"/>
    <w:rsid w:val="00001C4B"/>
    <w:rsid w:val="000047BE"/>
    <w:rsid w:val="0000745D"/>
    <w:rsid w:val="00010C00"/>
    <w:rsid w:val="0001221D"/>
    <w:rsid w:val="00013274"/>
    <w:rsid w:val="00014747"/>
    <w:rsid w:val="0002395F"/>
    <w:rsid w:val="00025CD5"/>
    <w:rsid w:val="00026D60"/>
    <w:rsid w:val="00027E27"/>
    <w:rsid w:val="00031F02"/>
    <w:rsid w:val="00032D45"/>
    <w:rsid w:val="00032FAC"/>
    <w:rsid w:val="00035300"/>
    <w:rsid w:val="00036D97"/>
    <w:rsid w:val="0004164C"/>
    <w:rsid w:val="00041DF9"/>
    <w:rsid w:val="000422C8"/>
    <w:rsid w:val="000437D7"/>
    <w:rsid w:val="00045929"/>
    <w:rsid w:val="00047892"/>
    <w:rsid w:val="00051461"/>
    <w:rsid w:val="00056149"/>
    <w:rsid w:val="00056430"/>
    <w:rsid w:val="00056F71"/>
    <w:rsid w:val="00057B44"/>
    <w:rsid w:val="0006718D"/>
    <w:rsid w:val="00067ED0"/>
    <w:rsid w:val="00071941"/>
    <w:rsid w:val="00073026"/>
    <w:rsid w:val="00073B64"/>
    <w:rsid w:val="000913C7"/>
    <w:rsid w:val="000937CE"/>
    <w:rsid w:val="00096296"/>
    <w:rsid w:val="000A05C8"/>
    <w:rsid w:val="000A332B"/>
    <w:rsid w:val="000A389C"/>
    <w:rsid w:val="000A6E09"/>
    <w:rsid w:val="000B0A8D"/>
    <w:rsid w:val="000B2154"/>
    <w:rsid w:val="000B2222"/>
    <w:rsid w:val="000B61AD"/>
    <w:rsid w:val="000C06A4"/>
    <w:rsid w:val="000C1A33"/>
    <w:rsid w:val="000C1C37"/>
    <w:rsid w:val="000C35B3"/>
    <w:rsid w:val="000D00EF"/>
    <w:rsid w:val="000D0294"/>
    <w:rsid w:val="000D18C6"/>
    <w:rsid w:val="000D20EF"/>
    <w:rsid w:val="000D2337"/>
    <w:rsid w:val="000F185D"/>
    <w:rsid w:val="000F25BF"/>
    <w:rsid w:val="000F5EEE"/>
    <w:rsid w:val="00100D4B"/>
    <w:rsid w:val="001026CB"/>
    <w:rsid w:val="001033C2"/>
    <w:rsid w:val="00106B77"/>
    <w:rsid w:val="0011390D"/>
    <w:rsid w:val="001142AD"/>
    <w:rsid w:val="00117E93"/>
    <w:rsid w:val="00123733"/>
    <w:rsid w:val="00126D4F"/>
    <w:rsid w:val="00127A1F"/>
    <w:rsid w:val="001303EB"/>
    <w:rsid w:val="0013123C"/>
    <w:rsid w:val="00132C72"/>
    <w:rsid w:val="00134004"/>
    <w:rsid w:val="00134D89"/>
    <w:rsid w:val="0013556F"/>
    <w:rsid w:val="00136609"/>
    <w:rsid w:val="00137790"/>
    <w:rsid w:val="00137C5D"/>
    <w:rsid w:val="00140983"/>
    <w:rsid w:val="001413EE"/>
    <w:rsid w:val="00144573"/>
    <w:rsid w:val="00146EFC"/>
    <w:rsid w:val="001472E4"/>
    <w:rsid w:val="001472F0"/>
    <w:rsid w:val="00151D5A"/>
    <w:rsid w:val="001543DE"/>
    <w:rsid w:val="001569B3"/>
    <w:rsid w:val="00161AAE"/>
    <w:rsid w:val="00162610"/>
    <w:rsid w:val="00162901"/>
    <w:rsid w:val="00162FD9"/>
    <w:rsid w:val="00165732"/>
    <w:rsid w:val="001665EC"/>
    <w:rsid w:val="0017013A"/>
    <w:rsid w:val="00170B0C"/>
    <w:rsid w:val="00174C6F"/>
    <w:rsid w:val="001762D3"/>
    <w:rsid w:val="001803CD"/>
    <w:rsid w:val="0018098E"/>
    <w:rsid w:val="001824A8"/>
    <w:rsid w:val="00183223"/>
    <w:rsid w:val="00183B64"/>
    <w:rsid w:val="00184B54"/>
    <w:rsid w:val="00184F2E"/>
    <w:rsid w:val="001863E0"/>
    <w:rsid w:val="001866DB"/>
    <w:rsid w:val="00187D93"/>
    <w:rsid w:val="001900F5"/>
    <w:rsid w:val="001943DC"/>
    <w:rsid w:val="001968F0"/>
    <w:rsid w:val="001972E9"/>
    <w:rsid w:val="001A11E4"/>
    <w:rsid w:val="001A3437"/>
    <w:rsid w:val="001A4DF3"/>
    <w:rsid w:val="001A782B"/>
    <w:rsid w:val="001B0CDF"/>
    <w:rsid w:val="001B3501"/>
    <w:rsid w:val="001B361E"/>
    <w:rsid w:val="001B3F6E"/>
    <w:rsid w:val="001B7CC4"/>
    <w:rsid w:val="001C26EB"/>
    <w:rsid w:val="001C3EA6"/>
    <w:rsid w:val="001D4636"/>
    <w:rsid w:val="001D6E13"/>
    <w:rsid w:val="001D7C56"/>
    <w:rsid w:val="001E0C96"/>
    <w:rsid w:val="001E2642"/>
    <w:rsid w:val="001E43E6"/>
    <w:rsid w:val="001E7187"/>
    <w:rsid w:val="001E7545"/>
    <w:rsid w:val="001F376F"/>
    <w:rsid w:val="002024B0"/>
    <w:rsid w:val="00204950"/>
    <w:rsid w:val="002059A1"/>
    <w:rsid w:val="00206AA5"/>
    <w:rsid w:val="00212BF7"/>
    <w:rsid w:val="00216D44"/>
    <w:rsid w:val="00217E42"/>
    <w:rsid w:val="00221407"/>
    <w:rsid w:val="00222356"/>
    <w:rsid w:val="0022541A"/>
    <w:rsid w:val="00226858"/>
    <w:rsid w:val="00232531"/>
    <w:rsid w:val="00235D91"/>
    <w:rsid w:val="00244603"/>
    <w:rsid w:val="002449FB"/>
    <w:rsid w:val="00246A42"/>
    <w:rsid w:val="00246CA9"/>
    <w:rsid w:val="00261076"/>
    <w:rsid w:val="00262E76"/>
    <w:rsid w:val="0026636C"/>
    <w:rsid w:val="00267E6E"/>
    <w:rsid w:val="002713E4"/>
    <w:rsid w:val="00273D4C"/>
    <w:rsid w:val="0027601F"/>
    <w:rsid w:val="002764A9"/>
    <w:rsid w:val="002826CC"/>
    <w:rsid w:val="002852D7"/>
    <w:rsid w:val="002902FD"/>
    <w:rsid w:val="002914CF"/>
    <w:rsid w:val="0029397C"/>
    <w:rsid w:val="00293DD0"/>
    <w:rsid w:val="00293EAE"/>
    <w:rsid w:val="0029457C"/>
    <w:rsid w:val="002A12D1"/>
    <w:rsid w:val="002A16CE"/>
    <w:rsid w:val="002A567B"/>
    <w:rsid w:val="002A5E44"/>
    <w:rsid w:val="002B13A5"/>
    <w:rsid w:val="002B3F3A"/>
    <w:rsid w:val="002C580F"/>
    <w:rsid w:val="002C60A0"/>
    <w:rsid w:val="002D07BD"/>
    <w:rsid w:val="002D1E08"/>
    <w:rsid w:val="002D2C17"/>
    <w:rsid w:val="002D6AA1"/>
    <w:rsid w:val="002E0AF8"/>
    <w:rsid w:val="002E1F00"/>
    <w:rsid w:val="002E302A"/>
    <w:rsid w:val="002E37CD"/>
    <w:rsid w:val="002E409F"/>
    <w:rsid w:val="002E60A5"/>
    <w:rsid w:val="002E710D"/>
    <w:rsid w:val="002F0B17"/>
    <w:rsid w:val="002F0BC6"/>
    <w:rsid w:val="002F1129"/>
    <w:rsid w:val="002F1935"/>
    <w:rsid w:val="002F5B50"/>
    <w:rsid w:val="00300241"/>
    <w:rsid w:val="00304568"/>
    <w:rsid w:val="0030607E"/>
    <w:rsid w:val="00307EBE"/>
    <w:rsid w:val="003130F1"/>
    <w:rsid w:val="00314F96"/>
    <w:rsid w:val="003156E0"/>
    <w:rsid w:val="00315ABB"/>
    <w:rsid w:val="0031615B"/>
    <w:rsid w:val="00316E24"/>
    <w:rsid w:val="00317471"/>
    <w:rsid w:val="003179A4"/>
    <w:rsid w:val="003216AC"/>
    <w:rsid w:val="003261C0"/>
    <w:rsid w:val="0032705B"/>
    <w:rsid w:val="003273F0"/>
    <w:rsid w:val="003351C0"/>
    <w:rsid w:val="00336D5D"/>
    <w:rsid w:val="00340A98"/>
    <w:rsid w:val="0034154B"/>
    <w:rsid w:val="00341B6F"/>
    <w:rsid w:val="00342299"/>
    <w:rsid w:val="00342F79"/>
    <w:rsid w:val="003462A1"/>
    <w:rsid w:val="003472A9"/>
    <w:rsid w:val="00353B46"/>
    <w:rsid w:val="00353DE2"/>
    <w:rsid w:val="003557BA"/>
    <w:rsid w:val="00360521"/>
    <w:rsid w:val="003630B2"/>
    <w:rsid w:val="00363290"/>
    <w:rsid w:val="00365D2A"/>
    <w:rsid w:val="003701BD"/>
    <w:rsid w:val="00370313"/>
    <w:rsid w:val="003720C7"/>
    <w:rsid w:val="00372DC7"/>
    <w:rsid w:val="00373455"/>
    <w:rsid w:val="003858E5"/>
    <w:rsid w:val="003875BC"/>
    <w:rsid w:val="00394218"/>
    <w:rsid w:val="0039574B"/>
    <w:rsid w:val="003A0914"/>
    <w:rsid w:val="003A1F1A"/>
    <w:rsid w:val="003A2CC1"/>
    <w:rsid w:val="003A5637"/>
    <w:rsid w:val="003A5AAE"/>
    <w:rsid w:val="003A65D2"/>
    <w:rsid w:val="003B4330"/>
    <w:rsid w:val="003B472A"/>
    <w:rsid w:val="003B6994"/>
    <w:rsid w:val="003B7187"/>
    <w:rsid w:val="003C023D"/>
    <w:rsid w:val="003C0E48"/>
    <w:rsid w:val="003C1595"/>
    <w:rsid w:val="003C5804"/>
    <w:rsid w:val="003C5A28"/>
    <w:rsid w:val="003C7ACB"/>
    <w:rsid w:val="003C7CF8"/>
    <w:rsid w:val="003D03F4"/>
    <w:rsid w:val="003D201D"/>
    <w:rsid w:val="003D3641"/>
    <w:rsid w:val="003D7071"/>
    <w:rsid w:val="003E02D2"/>
    <w:rsid w:val="003E045A"/>
    <w:rsid w:val="003E5C43"/>
    <w:rsid w:val="003E5C87"/>
    <w:rsid w:val="003E5D42"/>
    <w:rsid w:val="003F1849"/>
    <w:rsid w:val="003F2FA4"/>
    <w:rsid w:val="003F6D77"/>
    <w:rsid w:val="003F7A98"/>
    <w:rsid w:val="00401171"/>
    <w:rsid w:val="004022AC"/>
    <w:rsid w:val="00404568"/>
    <w:rsid w:val="004049A2"/>
    <w:rsid w:val="00406B37"/>
    <w:rsid w:val="00406EE4"/>
    <w:rsid w:val="004153F3"/>
    <w:rsid w:val="00420618"/>
    <w:rsid w:val="004269CE"/>
    <w:rsid w:val="0042700A"/>
    <w:rsid w:val="0043043E"/>
    <w:rsid w:val="004317F0"/>
    <w:rsid w:val="00434212"/>
    <w:rsid w:val="00435769"/>
    <w:rsid w:val="00442222"/>
    <w:rsid w:val="00443CE3"/>
    <w:rsid w:val="00445DFE"/>
    <w:rsid w:val="00452A9C"/>
    <w:rsid w:val="004532ED"/>
    <w:rsid w:val="004548E8"/>
    <w:rsid w:val="00455538"/>
    <w:rsid w:val="00456C41"/>
    <w:rsid w:val="004570C8"/>
    <w:rsid w:val="00461182"/>
    <w:rsid w:val="00463CB3"/>
    <w:rsid w:val="00470882"/>
    <w:rsid w:val="00471D11"/>
    <w:rsid w:val="00472314"/>
    <w:rsid w:val="00473C61"/>
    <w:rsid w:val="004854CE"/>
    <w:rsid w:val="004862DF"/>
    <w:rsid w:val="00487026"/>
    <w:rsid w:val="004A2369"/>
    <w:rsid w:val="004A28FE"/>
    <w:rsid w:val="004A5552"/>
    <w:rsid w:val="004B1719"/>
    <w:rsid w:val="004B25D5"/>
    <w:rsid w:val="004B39F6"/>
    <w:rsid w:val="004B45DC"/>
    <w:rsid w:val="004B59A6"/>
    <w:rsid w:val="004C0519"/>
    <w:rsid w:val="004C48CC"/>
    <w:rsid w:val="004C752C"/>
    <w:rsid w:val="004C7F8A"/>
    <w:rsid w:val="004D283E"/>
    <w:rsid w:val="004D4AA4"/>
    <w:rsid w:val="004D732B"/>
    <w:rsid w:val="004E25FB"/>
    <w:rsid w:val="004E45B9"/>
    <w:rsid w:val="004E6E17"/>
    <w:rsid w:val="004E72DB"/>
    <w:rsid w:val="004F1472"/>
    <w:rsid w:val="004F18CD"/>
    <w:rsid w:val="004F41CA"/>
    <w:rsid w:val="004F5666"/>
    <w:rsid w:val="004F7C34"/>
    <w:rsid w:val="00500040"/>
    <w:rsid w:val="00500227"/>
    <w:rsid w:val="00500826"/>
    <w:rsid w:val="0050241C"/>
    <w:rsid w:val="0051508C"/>
    <w:rsid w:val="00516A1C"/>
    <w:rsid w:val="005256D5"/>
    <w:rsid w:val="00525EB4"/>
    <w:rsid w:val="00526F3C"/>
    <w:rsid w:val="00540331"/>
    <w:rsid w:val="005416F9"/>
    <w:rsid w:val="00543EC4"/>
    <w:rsid w:val="00545D33"/>
    <w:rsid w:val="00552073"/>
    <w:rsid w:val="005529AE"/>
    <w:rsid w:val="005572A1"/>
    <w:rsid w:val="00560186"/>
    <w:rsid w:val="005608BA"/>
    <w:rsid w:val="00560AB6"/>
    <w:rsid w:val="00563E40"/>
    <w:rsid w:val="005672B6"/>
    <w:rsid w:val="005742F1"/>
    <w:rsid w:val="005758FA"/>
    <w:rsid w:val="0059011F"/>
    <w:rsid w:val="00593D95"/>
    <w:rsid w:val="00594502"/>
    <w:rsid w:val="00594B56"/>
    <w:rsid w:val="00596F14"/>
    <w:rsid w:val="005A004F"/>
    <w:rsid w:val="005A0FFE"/>
    <w:rsid w:val="005A5DAA"/>
    <w:rsid w:val="005B2B7E"/>
    <w:rsid w:val="005B4FA9"/>
    <w:rsid w:val="005B6315"/>
    <w:rsid w:val="005C2BE1"/>
    <w:rsid w:val="005C743D"/>
    <w:rsid w:val="005D3FCD"/>
    <w:rsid w:val="005D42A6"/>
    <w:rsid w:val="005D53CA"/>
    <w:rsid w:val="005D53D1"/>
    <w:rsid w:val="005D7FF5"/>
    <w:rsid w:val="005E2602"/>
    <w:rsid w:val="005E3392"/>
    <w:rsid w:val="005E4310"/>
    <w:rsid w:val="005E70BE"/>
    <w:rsid w:val="005E7620"/>
    <w:rsid w:val="005F2C9C"/>
    <w:rsid w:val="005F631B"/>
    <w:rsid w:val="005F65E1"/>
    <w:rsid w:val="00601D23"/>
    <w:rsid w:val="00601F1B"/>
    <w:rsid w:val="006028BF"/>
    <w:rsid w:val="00607317"/>
    <w:rsid w:val="00611A22"/>
    <w:rsid w:val="006122C0"/>
    <w:rsid w:val="00612733"/>
    <w:rsid w:val="006140A6"/>
    <w:rsid w:val="00616942"/>
    <w:rsid w:val="006177FC"/>
    <w:rsid w:val="0062055C"/>
    <w:rsid w:val="00621540"/>
    <w:rsid w:val="006217FB"/>
    <w:rsid w:val="00627352"/>
    <w:rsid w:val="006303AA"/>
    <w:rsid w:val="006365E2"/>
    <w:rsid w:val="00636836"/>
    <w:rsid w:val="0063686C"/>
    <w:rsid w:val="00637043"/>
    <w:rsid w:val="00640967"/>
    <w:rsid w:val="00646BD8"/>
    <w:rsid w:val="0065186A"/>
    <w:rsid w:val="00652DF5"/>
    <w:rsid w:val="00660B59"/>
    <w:rsid w:val="0066119A"/>
    <w:rsid w:val="00666872"/>
    <w:rsid w:val="00681F32"/>
    <w:rsid w:val="006832C8"/>
    <w:rsid w:val="00683C0E"/>
    <w:rsid w:val="00687DC6"/>
    <w:rsid w:val="00687E09"/>
    <w:rsid w:val="006906F7"/>
    <w:rsid w:val="0069161B"/>
    <w:rsid w:val="006921F5"/>
    <w:rsid w:val="0069290F"/>
    <w:rsid w:val="006950E3"/>
    <w:rsid w:val="0069653E"/>
    <w:rsid w:val="006974EE"/>
    <w:rsid w:val="006A7838"/>
    <w:rsid w:val="006B4AE5"/>
    <w:rsid w:val="006B4D57"/>
    <w:rsid w:val="006B57AB"/>
    <w:rsid w:val="006B79F4"/>
    <w:rsid w:val="006C05A9"/>
    <w:rsid w:val="006C089E"/>
    <w:rsid w:val="006C0FC4"/>
    <w:rsid w:val="006C0FE2"/>
    <w:rsid w:val="006C4170"/>
    <w:rsid w:val="006C4A6A"/>
    <w:rsid w:val="006C4C12"/>
    <w:rsid w:val="006C5273"/>
    <w:rsid w:val="006D14F1"/>
    <w:rsid w:val="006D447C"/>
    <w:rsid w:val="006D7E93"/>
    <w:rsid w:val="006E0F03"/>
    <w:rsid w:val="006E0F70"/>
    <w:rsid w:val="006E118E"/>
    <w:rsid w:val="006E1F45"/>
    <w:rsid w:val="006E3538"/>
    <w:rsid w:val="006E46AE"/>
    <w:rsid w:val="006E73CD"/>
    <w:rsid w:val="006F0C48"/>
    <w:rsid w:val="006F3EFA"/>
    <w:rsid w:val="006F5FAA"/>
    <w:rsid w:val="007027CF"/>
    <w:rsid w:val="00702C47"/>
    <w:rsid w:val="0070372C"/>
    <w:rsid w:val="0070781B"/>
    <w:rsid w:val="00707BA6"/>
    <w:rsid w:val="00714DFD"/>
    <w:rsid w:val="007170D1"/>
    <w:rsid w:val="00717F50"/>
    <w:rsid w:val="00721764"/>
    <w:rsid w:val="00721AA9"/>
    <w:rsid w:val="00722551"/>
    <w:rsid w:val="00727A0F"/>
    <w:rsid w:val="00731DEB"/>
    <w:rsid w:val="00734DD2"/>
    <w:rsid w:val="0073599E"/>
    <w:rsid w:val="007420FA"/>
    <w:rsid w:val="00744DF8"/>
    <w:rsid w:val="00745735"/>
    <w:rsid w:val="00745E27"/>
    <w:rsid w:val="00746BF0"/>
    <w:rsid w:val="00750FF2"/>
    <w:rsid w:val="0075280F"/>
    <w:rsid w:val="0075419B"/>
    <w:rsid w:val="007554C4"/>
    <w:rsid w:val="00756448"/>
    <w:rsid w:val="00766CB3"/>
    <w:rsid w:val="007728EF"/>
    <w:rsid w:val="00776F26"/>
    <w:rsid w:val="00780854"/>
    <w:rsid w:val="00781764"/>
    <w:rsid w:val="00781ABB"/>
    <w:rsid w:val="00784B55"/>
    <w:rsid w:val="007860C5"/>
    <w:rsid w:val="00786A18"/>
    <w:rsid w:val="00786B3C"/>
    <w:rsid w:val="00790EC5"/>
    <w:rsid w:val="00793598"/>
    <w:rsid w:val="00794020"/>
    <w:rsid w:val="00795F47"/>
    <w:rsid w:val="007964AE"/>
    <w:rsid w:val="007A1033"/>
    <w:rsid w:val="007A11EE"/>
    <w:rsid w:val="007A3E60"/>
    <w:rsid w:val="007A48C9"/>
    <w:rsid w:val="007A5501"/>
    <w:rsid w:val="007B1491"/>
    <w:rsid w:val="007B2530"/>
    <w:rsid w:val="007B3184"/>
    <w:rsid w:val="007B4A7F"/>
    <w:rsid w:val="007B5807"/>
    <w:rsid w:val="007B6167"/>
    <w:rsid w:val="007C02BA"/>
    <w:rsid w:val="007C1D45"/>
    <w:rsid w:val="007C3488"/>
    <w:rsid w:val="007C3C66"/>
    <w:rsid w:val="007D1C38"/>
    <w:rsid w:val="007D3777"/>
    <w:rsid w:val="007D4A00"/>
    <w:rsid w:val="007D637E"/>
    <w:rsid w:val="007D687E"/>
    <w:rsid w:val="007E182B"/>
    <w:rsid w:val="00800277"/>
    <w:rsid w:val="00801D9B"/>
    <w:rsid w:val="00801E22"/>
    <w:rsid w:val="008034B2"/>
    <w:rsid w:val="00804E89"/>
    <w:rsid w:val="00807A92"/>
    <w:rsid w:val="00810F8C"/>
    <w:rsid w:val="00814DEA"/>
    <w:rsid w:val="00815898"/>
    <w:rsid w:val="008162AA"/>
    <w:rsid w:val="00820829"/>
    <w:rsid w:val="00822634"/>
    <w:rsid w:val="008235BC"/>
    <w:rsid w:val="00826B7E"/>
    <w:rsid w:val="0083033C"/>
    <w:rsid w:val="008365EC"/>
    <w:rsid w:val="00842112"/>
    <w:rsid w:val="00842BA9"/>
    <w:rsid w:val="008440D5"/>
    <w:rsid w:val="00845E5F"/>
    <w:rsid w:val="00860F2F"/>
    <w:rsid w:val="00863552"/>
    <w:rsid w:val="00864440"/>
    <w:rsid w:val="0086522F"/>
    <w:rsid w:val="00870D99"/>
    <w:rsid w:val="00873FE7"/>
    <w:rsid w:val="00874886"/>
    <w:rsid w:val="00880B87"/>
    <w:rsid w:val="00880FA1"/>
    <w:rsid w:val="008815C5"/>
    <w:rsid w:val="008820B9"/>
    <w:rsid w:val="00885B23"/>
    <w:rsid w:val="00886D18"/>
    <w:rsid w:val="00890442"/>
    <w:rsid w:val="0089272B"/>
    <w:rsid w:val="00894104"/>
    <w:rsid w:val="00894A8C"/>
    <w:rsid w:val="008965E5"/>
    <w:rsid w:val="00897A59"/>
    <w:rsid w:val="008A1BD1"/>
    <w:rsid w:val="008B0A82"/>
    <w:rsid w:val="008B11EF"/>
    <w:rsid w:val="008B7F1B"/>
    <w:rsid w:val="008C03D1"/>
    <w:rsid w:val="008C0A89"/>
    <w:rsid w:val="008C18B8"/>
    <w:rsid w:val="008C3069"/>
    <w:rsid w:val="008C73A6"/>
    <w:rsid w:val="008D0D30"/>
    <w:rsid w:val="008D1812"/>
    <w:rsid w:val="008D3604"/>
    <w:rsid w:val="008D604F"/>
    <w:rsid w:val="008D70F7"/>
    <w:rsid w:val="008E04D0"/>
    <w:rsid w:val="008E27FF"/>
    <w:rsid w:val="008E5D7F"/>
    <w:rsid w:val="008F2531"/>
    <w:rsid w:val="00900E77"/>
    <w:rsid w:val="00901723"/>
    <w:rsid w:val="00902092"/>
    <w:rsid w:val="00904FE3"/>
    <w:rsid w:val="009070A5"/>
    <w:rsid w:val="009070DC"/>
    <w:rsid w:val="009136C0"/>
    <w:rsid w:val="009212A7"/>
    <w:rsid w:val="00923CE5"/>
    <w:rsid w:val="00923D8D"/>
    <w:rsid w:val="00923DDA"/>
    <w:rsid w:val="009276F5"/>
    <w:rsid w:val="00927A52"/>
    <w:rsid w:val="00932921"/>
    <w:rsid w:val="00933A31"/>
    <w:rsid w:val="0093486E"/>
    <w:rsid w:val="00936A82"/>
    <w:rsid w:val="00936F70"/>
    <w:rsid w:val="00940398"/>
    <w:rsid w:val="00940F69"/>
    <w:rsid w:val="0094166A"/>
    <w:rsid w:val="0094184A"/>
    <w:rsid w:val="00942384"/>
    <w:rsid w:val="009474E5"/>
    <w:rsid w:val="00954A63"/>
    <w:rsid w:val="00954CE4"/>
    <w:rsid w:val="00956E93"/>
    <w:rsid w:val="00962994"/>
    <w:rsid w:val="0096747A"/>
    <w:rsid w:val="00974048"/>
    <w:rsid w:val="00976810"/>
    <w:rsid w:val="00981123"/>
    <w:rsid w:val="00981605"/>
    <w:rsid w:val="0098238C"/>
    <w:rsid w:val="00983B25"/>
    <w:rsid w:val="009851E0"/>
    <w:rsid w:val="00986D74"/>
    <w:rsid w:val="009911B7"/>
    <w:rsid w:val="00992732"/>
    <w:rsid w:val="00995558"/>
    <w:rsid w:val="0099606A"/>
    <w:rsid w:val="00996BD0"/>
    <w:rsid w:val="00997745"/>
    <w:rsid w:val="009A077D"/>
    <w:rsid w:val="009A0C1E"/>
    <w:rsid w:val="009A0DDF"/>
    <w:rsid w:val="009A13FA"/>
    <w:rsid w:val="009A6D2C"/>
    <w:rsid w:val="009A7A4E"/>
    <w:rsid w:val="009B020C"/>
    <w:rsid w:val="009B0A4F"/>
    <w:rsid w:val="009B15BE"/>
    <w:rsid w:val="009B361F"/>
    <w:rsid w:val="009B700F"/>
    <w:rsid w:val="009B7389"/>
    <w:rsid w:val="009C1A34"/>
    <w:rsid w:val="009C380D"/>
    <w:rsid w:val="009C3C18"/>
    <w:rsid w:val="009D08BD"/>
    <w:rsid w:val="009D35C7"/>
    <w:rsid w:val="009D495B"/>
    <w:rsid w:val="009D7F92"/>
    <w:rsid w:val="009E0BB3"/>
    <w:rsid w:val="009E3200"/>
    <w:rsid w:val="009E48F1"/>
    <w:rsid w:val="009E60DC"/>
    <w:rsid w:val="009F0288"/>
    <w:rsid w:val="009F2B40"/>
    <w:rsid w:val="009F32B6"/>
    <w:rsid w:val="009F42E0"/>
    <w:rsid w:val="009F478F"/>
    <w:rsid w:val="009F4FBD"/>
    <w:rsid w:val="009F71EA"/>
    <w:rsid w:val="009F739E"/>
    <w:rsid w:val="00A0029D"/>
    <w:rsid w:val="00A012DF"/>
    <w:rsid w:val="00A04463"/>
    <w:rsid w:val="00A05FCE"/>
    <w:rsid w:val="00A10370"/>
    <w:rsid w:val="00A13CB0"/>
    <w:rsid w:val="00A140C3"/>
    <w:rsid w:val="00A22213"/>
    <w:rsid w:val="00A258B4"/>
    <w:rsid w:val="00A26FBA"/>
    <w:rsid w:val="00A277BC"/>
    <w:rsid w:val="00A31275"/>
    <w:rsid w:val="00A33413"/>
    <w:rsid w:val="00A34EB8"/>
    <w:rsid w:val="00A37A7E"/>
    <w:rsid w:val="00A37EAC"/>
    <w:rsid w:val="00A418EA"/>
    <w:rsid w:val="00A45313"/>
    <w:rsid w:val="00A46212"/>
    <w:rsid w:val="00A506B4"/>
    <w:rsid w:val="00A540A6"/>
    <w:rsid w:val="00A55358"/>
    <w:rsid w:val="00A62B62"/>
    <w:rsid w:val="00A63D69"/>
    <w:rsid w:val="00A64716"/>
    <w:rsid w:val="00A65755"/>
    <w:rsid w:val="00A66596"/>
    <w:rsid w:val="00A706EE"/>
    <w:rsid w:val="00A71E29"/>
    <w:rsid w:val="00A734A7"/>
    <w:rsid w:val="00A74E0E"/>
    <w:rsid w:val="00A77894"/>
    <w:rsid w:val="00A81FBD"/>
    <w:rsid w:val="00A827FA"/>
    <w:rsid w:val="00A936AD"/>
    <w:rsid w:val="00A946B5"/>
    <w:rsid w:val="00A97D44"/>
    <w:rsid w:val="00AA4AB1"/>
    <w:rsid w:val="00AA7AB5"/>
    <w:rsid w:val="00AB14D3"/>
    <w:rsid w:val="00AB4DA6"/>
    <w:rsid w:val="00AB5337"/>
    <w:rsid w:val="00AB6FFE"/>
    <w:rsid w:val="00AB725D"/>
    <w:rsid w:val="00AC73B0"/>
    <w:rsid w:val="00AD0B38"/>
    <w:rsid w:val="00AD1D13"/>
    <w:rsid w:val="00AD27E5"/>
    <w:rsid w:val="00AD2E72"/>
    <w:rsid w:val="00AD59AE"/>
    <w:rsid w:val="00AE0636"/>
    <w:rsid w:val="00AE2401"/>
    <w:rsid w:val="00AE43F9"/>
    <w:rsid w:val="00AE59C2"/>
    <w:rsid w:val="00AE75B2"/>
    <w:rsid w:val="00AE7AE1"/>
    <w:rsid w:val="00AF209B"/>
    <w:rsid w:val="00AF2760"/>
    <w:rsid w:val="00AF3131"/>
    <w:rsid w:val="00AF716B"/>
    <w:rsid w:val="00B06B87"/>
    <w:rsid w:val="00B06E02"/>
    <w:rsid w:val="00B06E16"/>
    <w:rsid w:val="00B1096E"/>
    <w:rsid w:val="00B13D25"/>
    <w:rsid w:val="00B1682F"/>
    <w:rsid w:val="00B17535"/>
    <w:rsid w:val="00B207BD"/>
    <w:rsid w:val="00B216C2"/>
    <w:rsid w:val="00B237EE"/>
    <w:rsid w:val="00B31C97"/>
    <w:rsid w:val="00B34CB7"/>
    <w:rsid w:val="00B360CC"/>
    <w:rsid w:val="00B372C2"/>
    <w:rsid w:val="00B419D0"/>
    <w:rsid w:val="00B42C3A"/>
    <w:rsid w:val="00B5001F"/>
    <w:rsid w:val="00B51768"/>
    <w:rsid w:val="00B60300"/>
    <w:rsid w:val="00B62AB8"/>
    <w:rsid w:val="00B67750"/>
    <w:rsid w:val="00B71ECD"/>
    <w:rsid w:val="00B8408D"/>
    <w:rsid w:val="00B87AC2"/>
    <w:rsid w:val="00B95805"/>
    <w:rsid w:val="00B97C8C"/>
    <w:rsid w:val="00BA1A55"/>
    <w:rsid w:val="00BA59EF"/>
    <w:rsid w:val="00BB0580"/>
    <w:rsid w:val="00BB306E"/>
    <w:rsid w:val="00BC1879"/>
    <w:rsid w:val="00BC2D46"/>
    <w:rsid w:val="00BC6405"/>
    <w:rsid w:val="00BC6894"/>
    <w:rsid w:val="00BC7994"/>
    <w:rsid w:val="00BD2AB4"/>
    <w:rsid w:val="00BD3121"/>
    <w:rsid w:val="00BD385A"/>
    <w:rsid w:val="00BD7433"/>
    <w:rsid w:val="00BE34FF"/>
    <w:rsid w:val="00BF047C"/>
    <w:rsid w:val="00BF70B4"/>
    <w:rsid w:val="00C01DA4"/>
    <w:rsid w:val="00C04498"/>
    <w:rsid w:val="00C04D1F"/>
    <w:rsid w:val="00C07251"/>
    <w:rsid w:val="00C077B1"/>
    <w:rsid w:val="00C100D8"/>
    <w:rsid w:val="00C1185D"/>
    <w:rsid w:val="00C11BB4"/>
    <w:rsid w:val="00C152CD"/>
    <w:rsid w:val="00C177E3"/>
    <w:rsid w:val="00C17DA0"/>
    <w:rsid w:val="00C21C64"/>
    <w:rsid w:val="00C21E2F"/>
    <w:rsid w:val="00C3000A"/>
    <w:rsid w:val="00C309FB"/>
    <w:rsid w:val="00C3140B"/>
    <w:rsid w:val="00C3297E"/>
    <w:rsid w:val="00C32F8B"/>
    <w:rsid w:val="00C33AFD"/>
    <w:rsid w:val="00C42B3E"/>
    <w:rsid w:val="00C43FEB"/>
    <w:rsid w:val="00C44F31"/>
    <w:rsid w:val="00C46607"/>
    <w:rsid w:val="00C47207"/>
    <w:rsid w:val="00C535EE"/>
    <w:rsid w:val="00C549CF"/>
    <w:rsid w:val="00C56C99"/>
    <w:rsid w:val="00C57C49"/>
    <w:rsid w:val="00C61B9F"/>
    <w:rsid w:val="00C62569"/>
    <w:rsid w:val="00C6369D"/>
    <w:rsid w:val="00C63B38"/>
    <w:rsid w:val="00C776C9"/>
    <w:rsid w:val="00C84808"/>
    <w:rsid w:val="00C85EF8"/>
    <w:rsid w:val="00C87193"/>
    <w:rsid w:val="00C968A8"/>
    <w:rsid w:val="00C96A87"/>
    <w:rsid w:val="00CA0F17"/>
    <w:rsid w:val="00CA3946"/>
    <w:rsid w:val="00CA40B5"/>
    <w:rsid w:val="00CA7AB9"/>
    <w:rsid w:val="00CA7DB4"/>
    <w:rsid w:val="00CB118F"/>
    <w:rsid w:val="00CC0E72"/>
    <w:rsid w:val="00CC3EDE"/>
    <w:rsid w:val="00CC4748"/>
    <w:rsid w:val="00CC4CD0"/>
    <w:rsid w:val="00CD7806"/>
    <w:rsid w:val="00CE02CF"/>
    <w:rsid w:val="00CE05BE"/>
    <w:rsid w:val="00CE082E"/>
    <w:rsid w:val="00CE09FC"/>
    <w:rsid w:val="00CE4672"/>
    <w:rsid w:val="00CE5A61"/>
    <w:rsid w:val="00CE68B9"/>
    <w:rsid w:val="00CF232B"/>
    <w:rsid w:val="00CF5421"/>
    <w:rsid w:val="00CF74F4"/>
    <w:rsid w:val="00D00542"/>
    <w:rsid w:val="00D060C1"/>
    <w:rsid w:val="00D061BF"/>
    <w:rsid w:val="00D104C3"/>
    <w:rsid w:val="00D126E1"/>
    <w:rsid w:val="00D13F92"/>
    <w:rsid w:val="00D169C0"/>
    <w:rsid w:val="00D16C8B"/>
    <w:rsid w:val="00D17AC4"/>
    <w:rsid w:val="00D200C6"/>
    <w:rsid w:val="00D23930"/>
    <w:rsid w:val="00D239B5"/>
    <w:rsid w:val="00D24657"/>
    <w:rsid w:val="00D25C1F"/>
    <w:rsid w:val="00D3612B"/>
    <w:rsid w:val="00D407FF"/>
    <w:rsid w:val="00D40B19"/>
    <w:rsid w:val="00D41621"/>
    <w:rsid w:val="00D439AB"/>
    <w:rsid w:val="00D446CE"/>
    <w:rsid w:val="00D450FB"/>
    <w:rsid w:val="00D455D9"/>
    <w:rsid w:val="00D4618B"/>
    <w:rsid w:val="00D54BB4"/>
    <w:rsid w:val="00D614DD"/>
    <w:rsid w:val="00D63438"/>
    <w:rsid w:val="00D64277"/>
    <w:rsid w:val="00D70261"/>
    <w:rsid w:val="00D71426"/>
    <w:rsid w:val="00D726E7"/>
    <w:rsid w:val="00D72F8E"/>
    <w:rsid w:val="00D73E93"/>
    <w:rsid w:val="00D74231"/>
    <w:rsid w:val="00D761B1"/>
    <w:rsid w:val="00D80E62"/>
    <w:rsid w:val="00D82797"/>
    <w:rsid w:val="00D90616"/>
    <w:rsid w:val="00D94542"/>
    <w:rsid w:val="00D94CB7"/>
    <w:rsid w:val="00D96703"/>
    <w:rsid w:val="00DA118E"/>
    <w:rsid w:val="00DA197B"/>
    <w:rsid w:val="00DA20BC"/>
    <w:rsid w:val="00DB40D1"/>
    <w:rsid w:val="00DB67DC"/>
    <w:rsid w:val="00DB752B"/>
    <w:rsid w:val="00DB796C"/>
    <w:rsid w:val="00DC28D6"/>
    <w:rsid w:val="00DC3FA8"/>
    <w:rsid w:val="00DC5E11"/>
    <w:rsid w:val="00DD0024"/>
    <w:rsid w:val="00DD2078"/>
    <w:rsid w:val="00DD2602"/>
    <w:rsid w:val="00DD352E"/>
    <w:rsid w:val="00DD3FF9"/>
    <w:rsid w:val="00DE0630"/>
    <w:rsid w:val="00DE0CEE"/>
    <w:rsid w:val="00DE2608"/>
    <w:rsid w:val="00DE5169"/>
    <w:rsid w:val="00DF0AB1"/>
    <w:rsid w:val="00DF1D9E"/>
    <w:rsid w:val="00DF1F92"/>
    <w:rsid w:val="00E067BA"/>
    <w:rsid w:val="00E10E18"/>
    <w:rsid w:val="00E11BA9"/>
    <w:rsid w:val="00E14036"/>
    <w:rsid w:val="00E1626E"/>
    <w:rsid w:val="00E172D1"/>
    <w:rsid w:val="00E21011"/>
    <w:rsid w:val="00E23248"/>
    <w:rsid w:val="00E257C6"/>
    <w:rsid w:val="00E27813"/>
    <w:rsid w:val="00E44E6B"/>
    <w:rsid w:val="00E44F7F"/>
    <w:rsid w:val="00E45663"/>
    <w:rsid w:val="00E50F6A"/>
    <w:rsid w:val="00E51811"/>
    <w:rsid w:val="00E52EE5"/>
    <w:rsid w:val="00E53116"/>
    <w:rsid w:val="00E54050"/>
    <w:rsid w:val="00E55EFA"/>
    <w:rsid w:val="00E67094"/>
    <w:rsid w:val="00E74B84"/>
    <w:rsid w:val="00E75A7F"/>
    <w:rsid w:val="00E76686"/>
    <w:rsid w:val="00E76939"/>
    <w:rsid w:val="00E7799D"/>
    <w:rsid w:val="00E8784A"/>
    <w:rsid w:val="00E8793D"/>
    <w:rsid w:val="00E87EAC"/>
    <w:rsid w:val="00E87FD2"/>
    <w:rsid w:val="00E91F2F"/>
    <w:rsid w:val="00E95A0B"/>
    <w:rsid w:val="00E97365"/>
    <w:rsid w:val="00EA3E27"/>
    <w:rsid w:val="00EA4F56"/>
    <w:rsid w:val="00EA6692"/>
    <w:rsid w:val="00EA6E24"/>
    <w:rsid w:val="00EA6F3C"/>
    <w:rsid w:val="00EA746F"/>
    <w:rsid w:val="00EB3486"/>
    <w:rsid w:val="00EB4193"/>
    <w:rsid w:val="00EB4AEB"/>
    <w:rsid w:val="00EC1717"/>
    <w:rsid w:val="00EC374C"/>
    <w:rsid w:val="00EC3FD3"/>
    <w:rsid w:val="00EC7854"/>
    <w:rsid w:val="00ED297C"/>
    <w:rsid w:val="00ED4F7E"/>
    <w:rsid w:val="00ED74E9"/>
    <w:rsid w:val="00EE2BC4"/>
    <w:rsid w:val="00EE5F54"/>
    <w:rsid w:val="00EE5F57"/>
    <w:rsid w:val="00EE789F"/>
    <w:rsid w:val="00EE7AF9"/>
    <w:rsid w:val="00EF0460"/>
    <w:rsid w:val="00EF172F"/>
    <w:rsid w:val="00EF212D"/>
    <w:rsid w:val="00EF2724"/>
    <w:rsid w:val="00EF2F02"/>
    <w:rsid w:val="00F00ADA"/>
    <w:rsid w:val="00F02D5B"/>
    <w:rsid w:val="00F046DA"/>
    <w:rsid w:val="00F10FDE"/>
    <w:rsid w:val="00F12D62"/>
    <w:rsid w:val="00F134A0"/>
    <w:rsid w:val="00F2067F"/>
    <w:rsid w:val="00F21757"/>
    <w:rsid w:val="00F355DB"/>
    <w:rsid w:val="00F372CE"/>
    <w:rsid w:val="00F43C4C"/>
    <w:rsid w:val="00F44B80"/>
    <w:rsid w:val="00F50071"/>
    <w:rsid w:val="00F527CE"/>
    <w:rsid w:val="00F54ADE"/>
    <w:rsid w:val="00F55574"/>
    <w:rsid w:val="00F57CA0"/>
    <w:rsid w:val="00F6273A"/>
    <w:rsid w:val="00F66410"/>
    <w:rsid w:val="00F671F1"/>
    <w:rsid w:val="00F67BD7"/>
    <w:rsid w:val="00F7191E"/>
    <w:rsid w:val="00F72B71"/>
    <w:rsid w:val="00F82198"/>
    <w:rsid w:val="00F8362E"/>
    <w:rsid w:val="00F8585D"/>
    <w:rsid w:val="00F941BB"/>
    <w:rsid w:val="00F971F3"/>
    <w:rsid w:val="00F97B8C"/>
    <w:rsid w:val="00FA2ABA"/>
    <w:rsid w:val="00FA2EE0"/>
    <w:rsid w:val="00FB22CC"/>
    <w:rsid w:val="00FB2AA0"/>
    <w:rsid w:val="00FB3672"/>
    <w:rsid w:val="00FB7C70"/>
    <w:rsid w:val="00FC2784"/>
    <w:rsid w:val="00FC6DDD"/>
    <w:rsid w:val="00FD168E"/>
    <w:rsid w:val="00FD3111"/>
    <w:rsid w:val="00FD3DCD"/>
    <w:rsid w:val="00FD5013"/>
    <w:rsid w:val="00FD7D6B"/>
    <w:rsid w:val="00FE109B"/>
    <w:rsid w:val="00FE1231"/>
    <w:rsid w:val="00FE40DD"/>
    <w:rsid w:val="00FE5A2C"/>
    <w:rsid w:val="00FE6A7E"/>
    <w:rsid w:val="00FE7471"/>
    <w:rsid w:val="00FF557B"/>
    <w:rsid w:val="00FF5F05"/>
    <w:rsid w:val="00FF6B79"/>
    <w:rsid w:val="014F7A3E"/>
    <w:rsid w:val="02783976"/>
    <w:rsid w:val="032338E1"/>
    <w:rsid w:val="033C7C7C"/>
    <w:rsid w:val="038A570F"/>
    <w:rsid w:val="0414147C"/>
    <w:rsid w:val="04CB4348"/>
    <w:rsid w:val="04E14131"/>
    <w:rsid w:val="06085010"/>
    <w:rsid w:val="0655186C"/>
    <w:rsid w:val="06651A73"/>
    <w:rsid w:val="06A0737F"/>
    <w:rsid w:val="07C24C42"/>
    <w:rsid w:val="08752996"/>
    <w:rsid w:val="08F54B88"/>
    <w:rsid w:val="0A157CFC"/>
    <w:rsid w:val="0ACF434F"/>
    <w:rsid w:val="0BA15CEB"/>
    <w:rsid w:val="0C2A044F"/>
    <w:rsid w:val="0CB437FC"/>
    <w:rsid w:val="0CCE1A6D"/>
    <w:rsid w:val="0D696DCC"/>
    <w:rsid w:val="0E37665D"/>
    <w:rsid w:val="0F942ADE"/>
    <w:rsid w:val="10915CE4"/>
    <w:rsid w:val="10A20A01"/>
    <w:rsid w:val="11943BFC"/>
    <w:rsid w:val="13E73080"/>
    <w:rsid w:val="14C97BF2"/>
    <w:rsid w:val="14EC58AF"/>
    <w:rsid w:val="15596A7E"/>
    <w:rsid w:val="156C17DB"/>
    <w:rsid w:val="15E770DE"/>
    <w:rsid w:val="163836F0"/>
    <w:rsid w:val="16AC73DB"/>
    <w:rsid w:val="16D25D7A"/>
    <w:rsid w:val="175F0BF6"/>
    <w:rsid w:val="180014E6"/>
    <w:rsid w:val="19031D93"/>
    <w:rsid w:val="196102D3"/>
    <w:rsid w:val="1A951111"/>
    <w:rsid w:val="1B1F76BC"/>
    <w:rsid w:val="1B5964FD"/>
    <w:rsid w:val="1BAD66F0"/>
    <w:rsid w:val="1C746B04"/>
    <w:rsid w:val="1C9A0D8C"/>
    <w:rsid w:val="1DEA53B7"/>
    <w:rsid w:val="1E69474C"/>
    <w:rsid w:val="1F7F413E"/>
    <w:rsid w:val="1FBA20ED"/>
    <w:rsid w:val="208C266E"/>
    <w:rsid w:val="20CB3FD5"/>
    <w:rsid w:val="20FE3F3A"/>
    <w:rsid w:val="21432ED9"/>
    <w:rsid w:val="21DC08C9"/>
    <w:rsid w:val="2236636B"/>
    <w:rsid w:val="22721B7F"/>
    <w:rsid w:val="228F5BA2"/>
    <w:rsid w:val="22CD20B2"/>
    <w:rsid w:val="22EF3FAC"/>
    <w:rsid w:val="23C40371"/>
    <w:rsid w:val="24D26ABE"/>
    <w:rsid w:val="24E721CC"/>
    <w:rsid w:val="254D5EDB"/>
    <w:rsid w:val="25AF55B6"/>
    <w:rsid w:val="26D61172"/>
    <w:rsid w:val="27580973"/>
    <w:rsid w:val="27A4289F"/>
    <w:rsid w:val="28017DE6"/>
    <w:rsid w:val="283917B1"/>
    <w:rsid w:val="28DB5270"/>
    <w:rsid w:val="29411C1C"/>
    <w:rsid w:val="29586F2B"/>
    <w:rsid w:val="2987431B"/>
    <w:rsid w:val="29AA5291"/>
    <w:rsid w:val="29E5115D"/>
    <w:rsid w:val="2A331DAD"/>
    <w:rsid w:val="2A3873C3"/>
    <w:rsid w:val="2A7B766C"/>
    <w:rsid w:val="2A7F2BCE"/>
    <w:rsid w:val="2AC316B0"/>
    <w:rsid w:val="2B9B40AD"/>
    <w:rsid w:val="2C74704D"/>
    <w:rsid w:val="2E0F708E"/>
    <w:rsid w:val="2E30796F"/>
    <w:rsid w:val="2E3A17D2"/>
    <w:rsid w:val="312A6CE3"/>
    <w:rsid w:val="315947EF"/>
    <w:rsid w:val="3251196A"/>
    <w:rsid w:val="32861A63"/>
    <w:rsid w:val="32A67253"/>
    <w:rsid w:val="32BF50EF"/>
    <w:rsid w:val="33270FD5"/>
    <w:rsid w:val="3364747B"/>
    <w:rsid w:val="34170AF5"/>
    <w:rsid w:val="344175E3"/>
    <w:rsid w:val="346C4839"/>
    <w:rsid w:val="348B6E58"/>
    <w:rsid w:val="34F374E8"/>
    <w:rsid w:val="350D17CA"/>
    <w:rsid w:val="353F1F4D"/>
    <w:rsid w:val="35763767"/>
    <w:rsid w:val="359621A9"/>
    <w:rsid w:val="35C11439"/>
    <w:rsid w:val="35C329AC"/>
    <w:rsid w:val="37040D59"/>
    <w:rsid w:val="377A1EED"/>
    <w:rsid w:val="379B7FFE"/>
    <w:rsid w:val="37B87E0B"/>
    <w:rsid w:val="37D00255"/>
    <w:rsid w:val="382D2531"/>
    <w:rsid w:val="384A62B6"/>
    <w:rsid w:val="388C2D29"/>
    <w:rsid w:val="38A327F3"/>
    <w:rsid w:val="394933D7"/>
    <w:rsid w:val="394B4E8C"/>
    <w:rsid w:val="3974645A"/>
    <w:rsid w:val="39B43639"/>
    <w:rsid w:val="3A3633BD"/>
    <w:rsid w:val="3A645959"/>
    <w:rsid w:val="3AB10A8C"/>
    <w:rsid w:val="3B5B79EB"/>
    <w:rsid w:val="3B7A468E"/>
    <w:rsid w:val="3BB424E8"/>
    <w:rsid w:val="3BFE45C9"/>
    <w:rsid w:val="3CA134EE"/>
    <w:rsid w:val="3D512D53"/>
    <w:rsid w:val="3E095EFB"/>
    <w:rsid w:val="3F20694C"/>
    <w:rsid w:val="3FD658C2"/>
    <w:rsid w:val="40BE641C"/>
    <w:rsid w:val="411C1395"/>
    <w:rsid w:val="41590F52"/>
    <w:rsid w:val="417F5E1F"/>
    <w:rsid w:val="4186255E"/>
    <w:rsid w:val="42273380"/>
    <w:rsid w:val="43731CD0"/>
    <w:rsid w:val="43773557"/>
    <w:rsid w:val="439B569B"/>
    <w:rsid w:val="43C6389B"/>
    <w:rsid w:val="44F911E2"/>
    <w:rsid w:val="45307BD2"/>
    <w:rsid w:val="45774DEB"/>
    <w:rsid w:val="45BE05DE"/>
    <w:rsid w:val="45DE4E6B"/>
    <w:rsid w:val="45F314A9"/>
    <w:rsid w:val="468A6DA0"/>
    <w:rsid w:val="477041E8"/>
    <w:rsid w:val="47B42327"/>
    <w:rsid w:val="47F941DE"/>
    <w:rsid w:val="481D6DE4"/>
    <w:rsid w:val="48645AFB"/>
    <w:rsid w:val="4871646A"/>
    <w:rsid w:val="48785F5D"/>
    <w:rsid w:val="489B5DDA"/>
    <w:rsid w:val="4A8E6E5F"/>
    <w:rsid w:val="4B044AFF"/>
    <w:rsid w:val="4B0D6A7E"/>
    <w:rsid w:val="4B303029"/>
    <w:rsid w:val="4B526EE1"/>
    <w:rsid w:val="4CFD1E56"/>
    <w:rsid w:val="4DA44BEC"/>
    <w:rsid w:val="4DF629AA"/>
    <w:rsid w:val="4EEB7484"/>
    <w:rsid w:val="4F152D6A"/>
    <w:rsid w:val="4F3C79FA"/>
    <w:rsid w:val="4F9340A5"/>
    <w:rsid w:val="508070E0"/>
    <w:rsid w:val="50A0169A"/>
    <w:rsid w:val="51507ED1"/>
    <w:rsid w:val="51610ED9"/>
    <w:rsid w:val="51625CF2"/>
    <w:rsid w:val="53F34B19"/>
    <w:rsid w:val="55997CB0"/>
    <w:rsid w:val="5649088E"/>
    <w:rsid w:val="566E44B7"/>
    <w:rsid w:val="56A47A0A"/>
    <w:rsid w:val="56F1440D"/>
    <w:rsid w:val="570404A9"/>
    <w:rsid w:val="57451090"/>
    <w:rsid w:val="57AD4B82"/>
    <w:rsid w:val="57D87CAA"/>
    <w:rsid w:val="57DB06D4"/>
    <w:rsid w:val="57E744EC"/>
    <w:rsid w:val="5835691E"/>
    <w:rsid w:val="5867773F"/>
    <w:rsid w:val="586D5369"/>
    <w:rsid w:val="58EF7065"/>
    <w:rsid w:val="58FE045E"/>
    <w:rsid w:val="59D503FD"/>
    <w:rsid w:val="5AE91E90"/>
    <w:rsid w:val="5B1E5B50"/>
    <w:rsid w:val="5BA5225B"/>
    <w:rsid w:val="5BEE1C7C"/>
    <w:rsid w:val="5C2008CF"/>
    <w:rsid w:val="5CC037DC"/>
    <w:rsid w:val="5D562933"/>
    <w:rsid w:val="5DCB2F22"/>
    <w:rsid w:val="5DD66746"/>
    <w:rsid w:val="5DFB174B"/>
    <w:rsid w:val="5EC81793"/>
    <w:rsid w:val="5F7B068E"/>
    <w:rsid w:val="5FAA6092"/>
    <w:rsid w:val="602813CA"/>
    <w:rsid w:val="60341FC4"/>
    <w:rsid w:val="607336E6"/>
    <w:rsid w:val="60F265D3"/>
    <w:rsid w:val="62AF1C11"/>
    <w:rsid w:val="63585E05"/>
    <w:rsid w:val="637308D8"/>
    <w:rsid w:val="637B2F11"/>
    <w:rsid w:val="63A948B2"/>
    <w:rsid w:val="63AB5793"/>
    <w:rsid w:val="64E20359"/>
    <w:rsid w:val="6555790E"/>
    <w:rsid w:val="659D3815"/>
    <w:rsid w:val="65A92067"/>
    <w:rsid w:val="65E816C2"/>
    <w:rsid w:val="66295415"/>
    <w:rsid w:val="663E21DD"/>
    <w:rsid w:val="66426F3D"/>
    <w:rsid w:val="668A2B2A"/>
    <w:rsid w:val="66C30AF0"/>
    <w:rsid w:val="67220C03"/>
    <w:rsid w:val="674128B8"/>
    <w:rsid w:val="67602B70"/>
    <w:rsid w:val="67B62331"/>
    <w:rsid w:val="67CC00EE"/>
    <w:rsid w:val="68752FB5"/>
    <w:rsid w:val="69822DF5"/>
    <w:rsid w:val="69BE40FE"/>
    <w:rsid w:val="69F00BD8"/>
    <w:rsid w:val="6A750C0E"/>
    <w:rsid w:val="6ACA30A0"/>
    <w:rsid w:val="6B0D1397"/>
    <w:rsid w:val="6BAF3046"/>
    <w:rsid w:val="6BC51900"/>
    <w:rsid w:val="6BEC02C1"/>
    <w:rsid w:val="6C25681A"/>
    <w:rsid w:val="6C4D7A72"/>
    <w:rsid w:val="6D6A2C5E"/>
    <w:rsid w:val="6DF95618"/>
    <w:rsid w:val="6E60505E"/>
    <w:rsid w:val="6E775CD9"/>
    <w:rsid w:val="6F086931"/>
    <w:rsid w:val="6F086EBE"/>
    <w:rsid w:val="6F5A63D5"/>
    <w:rsid w:val="6F6251D6"/>
    <w:rsid w:val="6FE45381"/>
    <w:rsid w:val="6FFB2EA7"/>
    <w:rsid w:val="6FFF139A"/>
    <w:rsid w:val="71600CA6"/>
    <w:rsid w:val="72AE4C8E"/>
    <w:rsid w:val="73117C4E"/>
    <w:rsid w:val="735A337E"/>
    <w:rsid w:val="73746B46"/>
    <w:rsid w:val="73F25CD2"/>
    <w:rsid w:val="745B7E37"/>
    <w:rsid w:val="74B51309"/>
    <w:rsid w:val="7542649C"/>
    <w:rsid w:val="75D6595C"/>
    <w:rsid w:val="75F1685F"/>
    <w:rsid w:val="779B2290"/>
    <w:rsid w:val="779C4FAA"/>
    <w:rsid w:val="77A2304F"/>
    <w:rsid w:val="77BA2A4E"/>
    <w:rsid w:val="780954C8"/>
    <w:rsid w:val="796D5398"/>
    <w:rsid w:val="7A0E1474"/>
    <w:rsid w:val="7A8B6668"/>
    <w:rsid w:val="7AA70AD0"/>
    <w:rsid w:val="7ADE368E"/>
    <w:rsid w:val="7C0C0974"/>
    <w:rsid w:val="7C5178D9"/>
    <w:rsid w:val="7C6C0DD8"/>
    <w:rsid w:val="7CEC62A2"/>
    <w:rsid w:val="7CF56B78"/>
    <w:rsid w:val="7D0C252B"/>
    <w:rsid w:val="7D366D5F"/>
    <w:rsid w:val="7E802E9B"/>
    <w:rsid w:val="7F450507"/>
    <w:rsid w:val="7F63196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8">
    <w:name w:val="heading 3"/>
    <w:basedOn w:val="1"/>
    <w:next w:val="1"/>
    <w:link w:val="100"/>
    <w:qFormat/>
    <w:uiPriority w:val="0"/>
    <w:pPr>
      <w:keepNext/>
      <w:keepLines/>
      <w:spacing w:before="260" w:after="260" w:line="360" w:lineRule="auto"/>
      <w:ind w:firstLine="200" w:firstLineChars="200"/>
      <w:outlineLvl w:val="2"/>
    </w:pPr>
    <w:rPr>
      <w:rFonts w:ascii="仿宋_GB2312" w:eastAsia="仿宋_GB2312"/>
      <w:b/>
      <w:bCs/>
      <w:kern w:val="0"/>
      <w:sz w:val="3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hd w:val="clear" w:color="auto" w:fill="auto"/>
    </w:rPr>
  </w:style>
  <w:style w:type="paragraph" w:styleId="3">
    <w:name w:val="Body Text Indent"/>
    <w:basedOn w:val="1"/>
    <w:next w:val="4"/>
    <w:link w:val="102"/>
    <w:qFormat/>
    <w:uiPriority w:val="0"/>
    <w:pPr>
      <w:spacing w:line="200" w:lineRule="exact"/>
      <w:ind w:firstLine="301"/>
    </w:pPr>
    <w:rPr>
      <w:rFonts w:ascii="宋体"/>
      <w:spacing w:val="-4"/>
      <w:kern w:val="0"/>
      <w:sz w:val="18"/>
      <w:szCs w:val="20"/>
    </w:rPr>
  </w:style>
  <w:style w:type="paragraph" w:styleId="4">
    <w:name w:val="envelope return"/>
    <w:basedOn w:val="1"/>
    <w:qFormat/>
    <w:uiPriority w:val="0"/>
    <w:pPr>
      <w:snapToGrid w:val="0"/>
    </w:pPr>
    <w:rPr>
      <w:rFonts w:ascii="Arial" w:hAnsi="Arial"/>
    </w:rPr>
  </w:style>
  <w:style w:type="paragraph" w:customStyle="1" w:styleId="7">
    <w:name w:val="标准正文"/>
    <w:basedOn w:val="1"/>
    <w:qFormat/>
    <w:uiPriority w:val="0"/>
    <w:pPr>
      <w:ind w:firstLine="200"/>
    </w:pPr>
    <w:rPr>
      <w:sz w:val="24"/>
      <w:szCs w:val="20"/>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link w:val="91"/>
    <w:qFormat/>
    <w:uiPriority w:val="0"/>
    <w:pPr>
      <w:ind w:firstLine="420"/>
    </w:pPr>
    <w:rPr>
      <w:kern w:val="0"/>
      <w:sz w:val="20"/>
      <w:szCs w:val="20"/>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rPr>
      <w:kern w:val="0"/>
      <w:sz w:val="20"/>
    </w:rPr>
  </w:style>
  <w:style w:type="paragraph" w:styleId="13">
    <w:name w:val="Body Text 3"/>
    <w:basedOn w:val="1"/>
    <w:link w:val="97"/>
    <w:unhideWhenUsed/>
    <w:qFormat/>
    <w:uiPriority w:val="99"/>
    <w:pPr>
      <w:spacing w:after="120"/>
    </w:pPr>
    <w:rPr>
      <w:sz w:val="16"/>
      <w:szCs w:val="16"/>
    </w:rPr>
  </w:style>
  <w:style w:type="paragraph" w:styleId="14">
    <w:name w:val="Body Text"/>
    <w:basedOn w:val="1"/>
    <w:next w:val="15"/>
    <w:link w:val="99"/>
    <w:qFormat/>
    <w:uiPriority w:val="0"/>
    <w:pPr>
      <w:spacing w:after="120"/>
    </w:pPr>
    <w:rPr>
      <w:kern w:val="0"/>
      <w:sz w:val="20"/>
    </w:rPr>
  </w:style>
  <w:style w:type="paragraph" w:customStyle="1" w:styleId="15">
    <w:name w:val="正文首行缩进1"/>
    <w:basedOn w:val="14"/>
    <w:qFormat/>
    <w:uiPriority w:val="0"/>
    <w:pPr>
      <w:ind w:firstLine="420" w:firstLineChars="100"/>
    </w:pPr>
    <w:rPr>
      <w:sz w:val="21"/>
    </w:rPr>
  </w:style>
  <w:style w:type="paragraph" w:styleId="16">
    <w:name w:val="List Number 3"/>
    <w:basedOn w:val="1"/>
    <w:qFormat/>
    <w:uiPriority w:val="0"/>
    <w:pPr>
      <w:numPr>
        <w:ilvl w:val="0"/>
        <w:numId w:val="1"/>
      </w:numPr>
    </w:pPr>
  </w:style>
  <w:style w:type="paragraph" w:styleId="17">
    <w:name w:val="Block Text"/>
    <w:basedOn w:val="1"/>
    <w:qFormat/>
    <w:uiPriority w:val="0"/>
    <w:pPr>
      <w:spacing w:line="460" w:lineRule="exact"/>
      <w:ind w:left="45" w:right="113" w:firstLine="495"/>
    </w:pPr>
    <w:rPr>
      <w:rFonts w:ascii="仿宋_GB2312" w:hAnsi="宋体" w:eastAsia="仿宋_GB2312"/>
      <w:sz w:val="24"/>
      <w:szCs w:val="20"/>
    </w:rPr>
  </w:style>
  <w:style w:type="paragraph" w:styleId="18">
    <w:name w:val="toc 3"/>
    <w:basedOn w:val="1"/>
    <w:next w:val="1"/>
    <w:qFormat/>
    <w:uiPriority w:val="0"/>
    <w:pPr>
      <w:ind w:left="400" w:leftChars="400"/>
    </w:pPr>
  </w:style>
  <w:style w:type="paragraph" w:styleId="19">
    <w:name w:val="Plain Text"/>
    <w:basedOn w:val="1"/>
    <w:next w:val="1"/>
    <w:link w:val="93"/>
    <w:qFormat/>
    <w:uiPriority w:val="99"/>
    <w:rPr>
      <w:rFonts w:ascii="宋体"/>
      <w:kern w:val="0"/>
      <w:sz w:val="20"/>
      <w:szCs w:val="20"/>
    </w:rPr>
  </w:style>
  <w:style w:type="paragraph" w:styleId="20">
    <w:name w:val="Date"/>
    <w:basedOn w:val="1"/>
    <w:next w:val="1"/>
    <w:qFormat/>
    <w:uiPriority w:val="0"/>
    <w:pPr>
      <w:ind w:left="2500" w:leftChars="2500"/>
    </w:pPr>
    <w:rPr>
      <w:rFonts w:eastAsia="楷体_GB2312"/>
      <w:kern w:val="0"/>
      <w:sz w:val="32"/>
      <w:szCs w:val="20"/>
    </w:rPr>
  </w:style>
  <w:style w:type="paragraph" w:styleId="21">
    <w:name w:val="Body Text Indent 2"/>
    <w:basedOn w:val="1"/>
    <w:qFormat/>
    <w:uiPriority w:val="0"/>
    <w:pPr>
      <w:spacing w:after="120" w:line="480" w:lineRule="auto"/>
      <w:ind w:left="200" w:leftChars="200"/>
    </w:pPr>
    <w:rPr>
      <w:kern w:val="0"/>
      <w:sz w:val="20"/>
    </w:rPr>
  </w:style>
  <w:style w:type="paragraph" w:styleId="22">
    <w:name w:val="Balloon Text"/>
    <w:basedOn w:val="1"/>
    <w:qFormat/>
    <w:uiPriority w:val="0"/>
    <w:rPr>
      <w:kern w:val="0"/>
      <w:sz w:val="18"/>
      <w:szCs w:val="18"/>
    </w:rPr>
  </w:style>
  <w:style w:type="paragraph" w:styleId="23">
    <w:name w:val="footer"/>
    <w:basedOn w:val="1"/>
    <w:link w:val="82"/>
    <w:qFormat/>
    <w:uiPriority w:val="0"/>
    <w:pPr>
      <w:tabs>
        <w:tab w:val="center" w:pos="4153"/>
        <w:tab w:val="right" w:pos="8306"/>
      </w:tabs>
      <w:snapToGrid w:val="0"/>
      <w:jc w:val="left"/>
    </w:pPr>
    <w:rPr>
      <w:kern w:val="0"/>
      <w:sz w:val="18"/>
      <w:szCs w:val="18"/>
    </w:rPr>
  </w:style>
  <w:style w:type="paragraph" w:styleId="24">
    <w:name w:val="header"/>
    <w:basedOn w:val="1"/>
    <w:link w:val="89"/>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0"/>
    <w:pPr>
      <w:tabs>
        <w:tab w:val="right" w:leader="dot" w:pos="8302"/>
      </w:tabs>
    </w:pPr>
    <w:rPr>
      <w:b/>
      <w:sz w:val="28"/>
      <w:szCs w:val="28"/>
    </w:rPr>
  </w:style>
  <w:style w:type="paragraph" w:styleId="26">
    <w:name w:val="List"/>
    <w:basedOn w:val="1"/>
    <w:unhideWhenUsed/>
    <w:qFormat/>
    <w:uiPriority w:val="99"/>
    <w:pPr>
      <w:ind w:left="200" w:hanging="200" w:hangingChars="200"/>
      <w:contextualSpacing/>
    </w:pPr>
  </w:style>
  <w:style w:type="paragraph" w:styleId="27">
    <w:name w:val="footnote text"/>
    <w:basedOn w:val="1"/>
    <w:link w:val="103"/>
    <w:unhideWhenUsed/>
    <w:qFormat/>
    <w:uiPriority w:val="99"/>
    <w:pPr>
      <w:snapToGrid w:val="0"/>
      <w:jc w:val="left"/>
    </w:pPr>
    <w:rPr>
      <w:rFonts w:hint="eastAsia"/>
      <w:sz w:val="18"/>
      <w:szCs w:val="20"/>
    </w:rPr>
  </w:style>
  <w:style w:type="paragraph" w:styleId="28">
    <w:name w:val="toc 2"/>
    <w:basedOn w:val="1"/>
    <w:next w:val="1"/>
    <w:qFormat/>
    <w:uiPriority w:val="0"/>
    <w:pPr>
      <w:tabs>
        <w:tab w:val="right" w:leader="dot" w:pos="8302"/>
      </w:tabs>
      <w:ind w:left="200" w:leftChars="200"/>
    </w:pPr>
    <w:rPr>
      <w:b/>
      <w:sz w:val="28"/>
      <w:szCs w:val="28"/>
    </w:rPr>
  </w:style>
  <w:style w:type="paragraph" w:styleId="29">
    <w:name w:val="Normal (Web)"/>
    <w:basedOn w:val="1"/>
    <w:qFormat/>
    <w:uiPriority w:val="0"/>
    <w:pPr>
      <w:widowControl/>
      <w:spacing w:before="100" w:beforeAutospacing="1" w:after="100" w:afterAutospacing="1"/>
      <w:jc w:val="left"/>
    </w:pPr>
    <w:rPr>
      <w:rFonts w:ascii="宋体" w:cs="宋体"/>
      <w:kern w:val="0"/>
      <w:sz w:val="24"/>
    </w:rPr>
  </w:style>
  <w:style w:type="paragraph" w:styleId="30">
    <w:name w:val="Title"/>
    <w:basedOn w:val="1"/>
    <w:next w:val="1"/>
    <w:link w:val="79"/>
    <w:qFormat/>
    <w:uiPriority w:val="0"/>
    <w:pPr>
      <w:spacing w:before="240" w:after="60" w:line="380" w:lineRule="exact"/>
      <w:jc w:val="center"/>
      <w:outlineLvl w:val="0"/>
    </w:pPr>
    <w:rPr>
      <w:rFonts w:ascii="Cambria" w:hAnsi="Cambria"/>
      <w:b/>
      <w:bCs/>
      <w:sz w:val="32"/>
      <w:szCs w:val="32"/>
    </w:rPr>
  </w:style>
  <w:style w:type="paragraph" w:styleId="31">
    <w:name w:val="annotation subject"/>
    <w:basedOn w:val="12"/>
    <w:next w:val="12"/>
    <w:qFormat/>
    <w:uiPriority w:val="0"/>
    <w:rPr>
      <w:b/>
      <w:bCs/>
    </w:rPr>
  </w:style>
  <w:style w:type="paragraph" w:styleId="32">
    <w:name w:val="Body Text First Indent"/>
    <w:basedOn w:val="14"/>
    <w:link w:val="98"/>
    <w:unhideWhenUsed/>
    <w:qFormat/>
    <w:uiPriority w:val="99"/>
    <w:pPr>
      <w:ind w:firstLine="420" w:firstLineChars="100"/>
    </w:pPr>
    <w:rPr>
      <w:kern w:val="2"/>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basedOn w:val="35"/>
    <w:qFormat/>
    <w:uiPriority w:val="0"/>
    <w:rPr>
      <w:color w:val="0088CC"/>
      <w:u w:val="none"/>
    </w:rPr>
  </w:style>
  <w:style w:type="character" w:styleId="39">
    <w:name w:val="Emphasis"/>
    <w:basedOn w:val="35"/>
    <w:qFormat/>
    <w:uiPriority w:val="20"/>
  </w:style>
  <w:style w:type="character" w:styleId="40">
    <w:name w:val="HTML Definition"/>
    <w:basedOn w:val="35"/>
    <w:semiHidden/>
    <w:unhideWhenUsed/>
    <w:qFormat/>
    <w:uiPriority w:val="99"/>
  </w:style>
  <w:style w:type="character" w:styleId="41">
    <w:name w:val="HTML Typewriter"/>
    <w:basedOn w:val="35"/>
    <w:semiHidden/>
    <w:unhideWhenUsed/>
    <w:qFormat/>
    <w:uiPriority w:val="99"/>
    <w:rPr>
      <w:rFonts w:hint="default" w:ascii="monospace" w:hAnsi="monospace" w:eastAsia="monospace" w:cs="monospace"/>
      <w:sz w:val="20"/>
    </w:rPr>
  </w:style>
  <w:style w:type="character" w:styleId="42">
    <w:name w:val="HTML Acronym"/>
    <w:basedOn w:val="35"/>
    <w:semiHidden/>
    <w:unhideWhenUsed/>
    <w:qFormat/>
    <w:uiPriority w:val="99"/>
  </w:style>
  <w:style w:type="character" w:styleId="43">
    <w:name w:val="HTML Variable"/>
    <w:basedOn w:val="35"/>
    <w:semiHidden/>
    <w:unhideWhenUsed/>
    <w:qFormat/>
    <w:uiPriority w:val="99"/>
  </w:style>
  <w:style w:type="character" w:styleId="44">
    <w:name w:val="Hyperlink"/>
    <w:basedOn w:val="35"/>
    <w:qFormat/>
    <w:uiPriority w:val="0"/>
    <w:rPr>
      <w:color w:val="0088CC"/>
      <w:u w:val="none"/>
    </w:rPr>
  </w:style>
  <w:style w:type="character" w:styleId="45">
    <w:name w:val="HTML Code"/>
    <w:basedOn w:val="35"/>
    <w:semiHidden/>
    <w:unhideWhenUsed/>
    <w:qFormat/>
    <w:uiPriority w:val="99"/>
    <w:rPr>
      <w:rFonts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semiHidden/>
    <w:unhideWhenUsed/>
    <w:qFormat/>
    <w:uiPriority w:val="99"/>
  </w:style>
  <w:style w:type="character" w:styleId="48">
    <w:name w:val="footnote reference"/>
    <w:basedOn w:val="35"/>
    <w:unhideWhenUsed/>
    <w:qFormat/>
    <w:uiPriority w:val="99"/>
    <w:rPr>
      <w:rFonts w:hint="default" w:ascii="Times New Roman"/>
      <w:sz w:val="24"/>
      <w:vertAlign w:val="superscript"/>
    </w:rPr>
  </w:style>
  <w:style w:type="character" w:styleId="49">
    <w:name w:val="HTML Keyboard"/>
    <w:basedOn w:val="35"/>
    <w:semiHidden/>
    <w:unhideWhenUsed/>
    <w:qFormat/>
    <w:uiPriority w:val="99"/>
    <w:rPr>
      <w:rFonts w:hint="default" w:ascii="monospace" w:hAnsi="monospace" w:eastAsia="monospace" w:cs="monospace"/>
      <w:sz w:val="20"/>
    </w:rPr>
  </w:style>
  <w:style w:type="character" w:styleId="50">
    <w:name w:val="HTML Sample"/>
    <w:basedOn w:val="35"/>
    <w:semiHidden/>
    <w:unhideWhenUsed/>
    <w:qFormat/>
    <w:uiPriority w:val="99"/>
    <w:rPr>
      <w:rFonts w:hint="default" w:ascii="monospace" w:hAnsi="monospace" w:eastAsia="monospace" w:cs="monospace"/>
    </w:rPr>
  </w:style>
  <w:style w:type="paragraph" w:customStyle="1" w:styleId="51">
    <w:name w:val="正文文本首行缩进 2"/>
    <w:basedOn w:val="3"/>
    <w:qFormat/>
    <w:uiPriority w:val="99"/>
    <w:pPr>
      <w:spacing w:line="200" w:lineRule="atLeast"/>
      <w:ind w:firstLine="420"/>
    </w:pPr>
    <w:rPr>
      <w:rFonts w:ascii="宋体" w:hAnsi="Courier New"/>
      <w:spacing w:val="-4"/>
      <w:sz w:val="18"/>
    </w:rPr>
  </w:style>
  <w:style w:type="paragraph" w:customStyle="1" w:styleId="52">
    <w:name w:val="首行缩进"/>
    <w:qFormat/>
    <w:uiPriority w:val="0"/>
    <w:pPr>
      <w:widowControl w:val="0"/>
      <w:ind w:firstLine="480" w:firstLineChars="200"/>
      <w:jc w:val="both"/>
    </w:pPr>
    <w:rPr>
      <w:rFonts w:ascii="Times New Roman" w:hAnsi="Times New Roman" w:eastAsia="楷体_GB2312" w:cs="Times New Roman"/>
      <w:kern w:val="2"/>
      <w:sz w:val="26"/>
      <w:szCs w:val="20"/>
      <w:lang w:val="zh-CN" w:eastAsia="zh-CN" w:bidi="ar-SA"/>
    </w:rPr>
  </w:style>
  <w:style w:type="paragraph" w:customStyle="1" w:styleId="53">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54">
    <w:name w:val="样式 标题 2 + 段前: 40.55 磅"/>
    <w:basedOn w:val="6"/>
    <w:qFormat/>
    <w:uiPriority w:val="0"/>
    <w:pPr>
      <w:keepLines/>
      <w:adjustRightInd/>
      <w:snapToGrid/>
      <w:spacing w:before="60" w:after="0" w:line="415" w:lineRule="auto"/>
      <w:jc w:val="both"/>
      <w:textAlignment w:val="auto"/>
    </w:pPr>
    <w:rPr>
      <w:rFonts w:ascii="Arial" w:hAnsi="Arial" w:eastAsia="黑体" w:cs="宋体"/>
      <w:bCs/>
      <w:kern w:val="2"/>
      <w:sz w:val="32"/>
    </w:rPr>
  </w:style>
  <w:style w:type="paragraph" w:customStyle="1" w:styleId="55">
    <w:name w:val="Char Char Char Char"/>
    <w:basedOn w:val="1"/>
    <w:qFormat/>
    <w:uiPriority w:val="0"/>
    <w:pPr>
      <w:spacing w:line="360" w:lineRule="auto"/>
      <w:ind w:firstLine="200" w:firstLineChars="200"/>
    </w:pPr>
    <w:rPr>
      <w:rFonts w:ascii="宋体" w:cs="宋体"/>
      <w:sz w:val="24"/>
    </w:rPr>
  </w:style>
  <w:style w:type="paragraph" w:customStyle="1" w:styleId="56">
    <w:name w:val="Char Char3 Char Char"/>
    <w:basedOn w:val="1"/>
    <w:qFormat/>
    <w:uiPriority w:val="0"/>
  </w:style>
  <w:style w:type="paragraph" w:customStyle="1" w:styleId="57">
    <w:name w:val="Char Char Char Char Char Char"/>
    <w:basedOn w:val="1"/>
    <w:qFormat/>
    <w:uiPriority w:val="0"/>
    <w:pPr>
      <w:ind w:firstLine="200" w:firstLineChars="200"/>
    </w:pPr>
    <w:rPr>
      <w:sz w:val="28"/>
    </w:rPr>
  </w:style>
  <w:style w:type="paragraph" w:customStyle="1" w:styleId="58">
    <w:name w:val="纯文本1"/>
    <w:basedOn w:val="1"/>
    <w:qFormat/>
    <w:uiPriority w:val="0"/>
    <w:pPr>
      <w:adjustRightInd w:val="0"/>
      <w:textAlignment w:val="baseline"/>
    </w:pPr>
    <w:rPr>
      <w:rFonts w:ascii="宋体" w:hAnsi="Courier New" w:eastAsia="楷体_GB2312"/>
      <w:sz w:val="26"/>
      <w:szCs w:val="20"/>
    </w:rPr>
  </w:style>
  <w:style w:type="paragraph" w:customStyle="1" w:styleId="59">
    <w:name w:val="表格"/>
    <w:basedOn w:val="1"/>
    <w:qFormat/>
    <w:uiPriority w:val="0"/>
    <w:pPr>
      <w:spacing w:line="400" w:lineRule="exact"/>
    </w:pPr>
    <w:rPr>
      <w:sz w:val="24"/>
    </w:rPr>
  </w:style>
  <w:style w:type="paragraph" w:customStyle="1" w:styleId="60">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字元 字元"/>
    <w:basedOn w:val="1"/>
    <w:qFormat/>
    <w:uiPriority w:val="0"/>
    <w:pPr>
      <w:widowControl/>
      <w:spacing w:after="160" w:line="240" w:lineRule="exact"/>
      <w:jc w:val="left"/>
    </w:pPr>
    <w:rPr>
      <w:sz w:val="28"/>
      <w:szCs w:val="20"/>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样式1"/>
    <w:basedOn w:val="1"/>
    <w:qFormat/>
    <w:uiPriority w:val="0"/>
    <w:pPr>
      <w:numPr>
        <w:ilvl w:val="0"/>
        <w:numId w:val="2"/>
      </w:numPr>
      <w:adjustRightInd w:val="0"/>
      <w:textAlignment w:val="baseline"/>
    </w:pPr>
    <w:rPr>
      <w:rFonts w:ascii="宋体"/>
      <w:kern w:val="0"/>
      <w:szCs w:val="21"/>
    </w:rPr>
  </w:style>
  <w:style w:type="paragraph" w:customStyle="1" w:styleId="64">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65">
    <w:name w:val="默认段落字体 Para Char Char Char Char"/>
    <w:basedOn w:val="1"/>
    <w:qFormat/>
    <w:uiPriority w:val="0"/>
    <w:rPr>
      <w:rFonts w:ascii="Arial" w:hAnsi="Arial" w:cs="Arial"/>
      <w:szCs w:val="21"/>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_Style 4"/>
    <w:basedOn w:val="1"/>
    <w:qFormat/>
    <w:uiPriority w:val="0"/>
    <w:pPr>
      <w:widowControl/>
      <w:spacing w:after="160" w:line="240" w:lineRule="exact"/>
      <w:jc w:val="left"/>
    </w:pPr>
    <w:rPr>
      <w:szCs w:val="21"/>
    </w:rPr>
  </w:style>
  <w:style w:type="paragraph" w:customStyle="1" w:styleId="68">
    <w:name w:val="Char"/>
    <w:basedOn w:val="1"/>
    <w:qFormat/>
    <w:uiPriority w:val="0"/>
    <w:rPr>
      <w:rFonts w:ascii="仿宋_GB2312" w:eastAsia="仿宋_GB2312"/>
      <w:b/>
      <w:sz w:val="32"/>
      <w:szCs w:val="32"/>
    </w:rPr>
  </w:style>
  <w:style w:type="paragraph" w:customStyle="1" w:styleId="69">
    <w:name w:val="表内文字"/>
    <w:basedOn w:val="1"/>
    <w:qFormat/>
    <w:uiPriority w:val="0"/>
    <w:pPr>
      <w:jc w:val="center"/>
    </w:pPr>
    <w:rPr>
      <w:rFonts w:ascii="仿宋_GB2312" w:eastAsia="仿宋_GB2312"/>
      <w:sz w:val="24"/>
    </w:rPr>
  </w:style>
  <w:style w:type="paragraph" w:customStyle="1" w:styleId="70">
    <w:name w:val="Char Char1"/>
    <w:basedOn w:val="1"/>
    <w:qFormat/>
    <w:uiPriority w:val="0"/>
    <w:rPr>
      <w:rFonts w:ascii="Tahoma" w:hAnsi="Tahoma"/>
      <w:kern w:val="0"/>
      <w:sz w:val="24"/>
      <w:szCs w:val="20"/>
    </w:rPr>
  </w:style>
  <w:style w:type="paragraph" w:customStyle="1" w:styleId="71">
    <w:name w:val="Char1"/>
    <w:basedOn w:val="1"/>
    <w:qFormat/>
    <w:uiPriority w:val="0"/>
    <w:pPr>
      <w:widowControl/>
      <w:spacing w:after="160" w:line="240" w:lineRule="exact"/>
      <w:jc w:val="left"/>
    </w:pPr>
    <w:rPr>
      <w:rFonts w:ascii="Tahoma" w:hAnsi="Tahoma"/>
      <w:kern w:val="0"/>
      <w:sz w:val="24"/>
      <w:lang w:eastAsia="en-US"/>
    </w:rPr>
  </w:style>
  <w:style w:type="paragraph" w:styleId="72">
    <w:name w:val="List Paragraph"/>
    <w:basedOn w:val="1"/>
    <w:qFormat/>
    <w:uiPriority w:val="1"/>
    <w:pPr>
      <w:ind w:firstLine="200" w:firstLineChars="200"/>
    </w:pPr>
  </w:style>
  <w:style w:type="paragraph" w:customStyle="1" w:styleId="73">
    <w:name w:val="Char Char Char Char Char Char Char"/>
    <w:basedOn w:val="1"/>
    <w:qFormat/>
    <w:uiPriority w:val="0"/>
    <w:rPr>
      <w:rFonts w:ascii="Arial" w:hAnsi="Arial" w:cs="Arial"/>
      <w:szCs w:val="21"/>
    </w:rPr>
  </w:style>
  <w:style w:type="paragraph" w:customStyle="1" w:styleId="74">
    <w:name w:val="Char Char7 Char"/>
    <w:basedOn w:val="1"/>
    <w:qFormat/>
    <w:uiPriority w:val="0"/>
    <w:pPr>
      <w:tabs>
        <w:tab w:val="left" w:pos="425"/>
      </w:tabs>
      <w:ind w:left="200" w:leftChars="200" w:firstLine="150" w:firstLineChars="150"/>
    </w:pPr>
    <w:rPr>
      <w:rFonts w:ascii="宋体" w:cs="Arial"/>
      <w:color w:val="5E5E5E"/>
      <w:kern w:val="0"/>
      <w:szCs w:val="21"/>
    </w:rPr>
  </w:style>
  <w:style w:type="paragraph" w:customStyle="1" w:styleId="75">
    <w:name w:val="缺省文本"/>
    <w:basedOn w:val="1"/>
    <w:qFormat/>
    <w:uiPriority w:val="0"/>
    <w:pPr>
      <w:autoSpaceDE w:val="0"/>
      <w:autoSpaceDN w:val="0"/>
      <w:jc w:val="left"/>
    </w:pPr>
    <w:rPr>
      <w:rFonts w:ascii="宋体"/>
      <w:kern w:val="0"/>
      <w:sz w:val="24"/>
      <w:szCs w:val="20"/>
    </w:rPr>
  </w:style>
  <w:style w:type="paragraph" w:customStyle="1" w:styleId="76">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77">
    <w:name w:val="_Style 37"/>
    <w:basedOn w:val="1"/>
    <w:qFormat/>
    <w:uiPriority w:val="0"/>
    <w:pPr>
      <w:widowControl/>
      <w:spacing w:after="160" w:line="240" w:lineRule="exact"/>
      <w:jc w:val="left"/>
    </w:pPr>
  </w:style>
  <w:style w:type="character" w:customStyle="1" w:styleId="78">
    <w:name w:val="style1"/>
    <w:basedOn w:val="35"/>
    <w:qFormat/>
    <w:uiPriority w:val="0"/>
  </w:style>
  <w:style w:type="character" w:customStyle="1" w:styleId="79">
    <w:name w:val="标题 Char1"/>
    <w:link w:val="30"/>
    <w:qFormat/>
    <w:uiPriority w:val="0"/>
    <w:rPr>
      <w:rFonts w:ascii="Cambria" w:hAnsi="Cambria"/>
      <w:b/>
      <w:bCs/>
      <w:kern w:val="2"/>
      <w:sz w:val="32"/>
      <w:szCs w:val="32"/>
    </w:rPr>
  </w:style>
  <w:style w:type="character" w:customStyle="1" w:styleId="80">
    <w:name w:val="font01"/>
    <w:basedOn w:val="35"/>
    <w:qFormat/>
    <w:uiPriority w:val="0"/>
    <w:rPr>
      <w:rFonts w:hint="eastAsia" w:ascii="宋体" w:hAnsi="宋体" w:eastAsia="宋体" w:cs="宋体"/>
      <w:b/>
      <w:color w:val="000000"/>
      <w:sz w:val="16"/>
      <w:szCs w:val="16"/>
      <w:u w:val="none"/>
    </w:rPr>
  </w:style>
  <w:style w:type="character" w:customStyle="1" w:styleId="81">
    <w:name w:val="font21"/>
    <w:qFormat/>
    <w:uiPriority w:val="0"/>
    <w:rPr>
      <w:rFonts w:hint="eastAsia" w:ascii="宋体" w:hAnsi="宋体" w:eastAsia="宋体" w:cs="宋体"/>
      <w:color w:val="000000"/>
      <w:sz w:val="22"/>
      <w:szCs w:val="22"/>
      <w:u w:val="none"/>
    </w:rPr>
  </w:style>
  <w:style w:type="character" w:customStyle="1" w:styleId="82">
    <w:name w:val="页脚 Char"/>
    <w:link w:val="23"/>
    <w:qFormat/>
    <w:uiPriority w:val="0"/>
    <w:rPr>
      <w:rFonts w:eastAsia="宋体"/>
      <w:sz w:val="18"/>
      <w:szCs w:val="18"/>
      <w:lang w:bidi="ar-SA"/>
    </w:rPr>
  </w:style>
  <w:style w:type="character" w:customStyle="1" w:styleId="83">
    <w:name w:val="标题 1 Char Char"/>
    <w:qFormat/>
    <w:uiPriority w:val="0"/>
    <w:rPr>
      <w:rFonts w:eastAsia="宋体"/>
      <w:b/>
      <w:spacing w:val="-2"/>
      <w:sz w:val="24"/>
      <w:lang w:val="en-US" w:eastAsia="zh-CN" w:bidi="ar-SA"/>
    </w:rPr>
  </w:style>
  <w:style w:type="character" w:customStyle="1" w:styleId="84">
    <w:name w:val="font11"/>
    <w:basedOn w:val="35"/>
    <w:qFormat/>
    <w:uiPriority w:val="0"/>
    <w:rPr>
      <w:rFonts w:hint="eastAsia" w:ascii="宋体" w:hAnsi="宋体" w:eastAsia="宋体" w:cs="宋体"/>
      <w:color w:val="000000"/>
      <w:sz w:val="16"/>
      <w:szCs w:val="16"/>
      <w:u w:val="none"/>
    </w:rPr>
  </w:style>
  <w:style w:type="character" w:customStyle="1" w:styleId="85">
    <w:name w:val="纯文本 Char Char Char"/>
    <w:qFormat/>
    <w:uiPriority w:val="0"/>
    <w:rPr>
      <w:rFonts w:ascii="宋体" w:eastAsia="宋体"/>
      <w:kern w:val="2"/>
      <w:sz w:val="21"/>
      <w:lang w:val="en-US" w:eastAsia="zh-CN" w:bidi="ar-SA"/>
    </w:rPr>
  </w:style>
  <w:style w:type="character" w:customStyle="1" w:styleId="86">
    <w:name w:val="标题 Char"/>
    <w:qFormat/>
    <w:uiPriority w:val="10"/>
    <w:rPr>
      <w:rFonts w:ascii="Cambria" w:hAnsi="Cambria" w:cs="Times New Roman"/>
      <w:b/>
      <w:bCs/>
      <w:kern w:val="2"/>
      <w:sz w:val="32"/>
      <w:szCs w:val="32"/>
    </w:rPr>
  </w:style>
  <w:style w:type="character" w:customStyle="1" w:styleId="87">
    <w:name w:val="普通文字 Char Char4"/>
    <w:qFormat/>
    <w:uiPriority w:val="0"/>
    <w:rPr>
      <w:rFonts w:ascii="宋体" w:hAnsi="Courier New" w:eastAsia="宋体"/>
      <w:kern w:val="2"/>
      <w:sz w:val="24"/>
      <w:szCs w:val="24"/>
      <w:lang w:val="en-US" w:eastAsia="zh-CN" w:bidi="ar-SA"/>
    </w:rPr>
  </w:style>
  <w:style w:type="character" w:customStyle="1" w:styleId="88">
    <w:name w:val="Balloon Text Char1"/>
    <w:qFormat/>
    <w:uiPriority w:val="0"/>
    <w:rPr>
      <w:sz w:val="2"/>
      <w:szCs w:val="2"/>
    </w:rPr>
  </w:style>
  <w:style w:type="character" w:customStyle="1" w:styleId="89">
    <w:name w:val="页眉 Char"/>
    <w:link w:val="24"/>
    <w:qFormat/>
    <w:uiPriority w:val="0"/>
    <w:rPr>
      <w:sz w:val="18"/>
      <w:szCs w:val="18"/>
    </w:rPr>
  </w:style>
  <w:style w:type="character" w:customStyle="1" w:styleId="90">
    <w:name w:val="divtxt1"/>
    <w:qFormat/>
    <w:uiPriority w:val="0"/>
    <w:rPr>
      <w:rFonts w:eastAsia="黑体"/>
      <w:color w:val="000000"/>
      <w:spacing w:val="15"/>
      <w:sz w:val="28"/>
    </w:rPr>
  </w:style>
  <w:style w:type="character" w:customStyle="1" w:styleId="91">
    <w:name w:val="正文缩进 Char"/>
    <w:link w:val="10"/>
    <w:qFormat/>
    <w:uiPriority w:val="0"/>
  </w:style>
  <w:style w:type="character" w:customStyle="1" w:styleId="92">
    <w:name w:val="纯文本 字符"/>
    <w:qFormat/>
    <w:uiPriority w:val="0"/>
    <w:rPr>
      <w:rFonts w:ascii="宋体" w:hAnsi="Courier New" w:eastAsia="宋体"/>
      <w:kern w:val="2"/>
      <w:sz w:val="24"/>
      <w:szCs w:val="24"/>
      <w:lang w:val="en-US" w:eastAsia="zh-CN" w:bidi="ar-SA"/>
    </w:rPr>
  </w:style>
  <w:style w:type="character" w:customStyle="1" w:styleId="93">
    <w:name w:val="纯文本 Char1"/>
    <w:link w:val="19"/>
    <w:qFormat/>
    <w:uiPriority w:val="99"/>
    <w:rPr>
      <w:rFonts w:ascii="宋体" w:eastAsia="宋体"/>
      <w:lang w:bidi="ar-SA"/>
    </w:rPr>
  </w:style>
  <w:style w:type="character" w:customStyle="1" w:styleId="94">
    <w:name w:val="纯文本 Char3"/>
    <w:qFormat/>
    <w:uiPriority w:val="0"/>
    <w:rPr>
      <w:rFonts w:ascii="宋体" w:hAnsi="Courier New" w:eastAsia="宋体"/>
      <w:kern w:val="2"/>
      <w:sz w:val="24"/>
      <w:szCs w:val="24"/>
      <w:lang w:val="en-US" w:eastAsia="zh-CN" w:bidi="ar-SA"/>
    </w:rPr>
  </w:style>
  <w:style w:type="character" w:customStyle="1" w:styleId="95">
    <w:name w:val="Char Char"/>
    <w:qFormat/>
    <w:uiPriority w:val="0"/>
    <w:rPr>
      <w:rFonts w:ascii="宋体" w:eastAsia="宋体"/>
      <w:kern w:val="2"/>
      <w:sz w:val="21"/>
      <w:lang w:val="en-US" w:eastAsia="zh-CN" w:bidi="ar-SA"/>
    </w:rPr>
  </w:style>
  <w:style w:type="character" w:customStyle="1" w:styleId="96">
    <w:name w:val="纯文本 Char"/>
    <w:qFormat/>
    <w:uiPriority w:val="0"/>
    <w:rPr>
      <w:rFonts w:ascii="宋体" w:eastAsia="宋体" w:cs="Courier New"/>
      <w:szCs w:val="21"/>
      <w:lang w:bidi="ar-SA"/>
    </w:rPr>
  </w:style>
  <w:style w:type="character" w:customStyle="1" w:styleId="97">
    <w:name w:val="正文文本 3 Char"/>
    <w:link w:val="13"/>
    <w:semiHidden/>
    <w:qFormat/>
    <w:uiPriority w:val="99"/>
    <w:rPr>
      <w:kern w:val="2"/>
      <w:sz w:val="16"/>
      <w:szCs w:val="16"/>
    </w:rPr>
  </w:style>
  <w:style w:type="character" w:customStyle="1" w:styleId="98">
    <w:name w:val="正文首行缩进 Char"/>
    <w:basedOn w:val="99"/>
    <w:link w:val="32"/>
    <w:qFormat/>
    <w:uiPriority w:val="0"/>
  </w:style>
  <w:style w:type="character" w:customStyle="1" w:styleId="99">
    <w:name w:val="正文文本 Char"/>
    <w:link w:val="14"/>
    <w:qFormat/>
    <w:uiPriority w:val="0"/>
    <w:rPr>
      <w:szCs w:val="24"/>
    </w:rPr>
  </w:style>
  <w:style w:type="character" w:customStyle="1" w:styleId="100">
    <w:name w:val="标题 3 Char"/>
    <w:link w:val="8"/>
    <w:qFormat/>
    <w:uiPriority w:val="0"/>
    <w:rPr>
      <w:rFonts w:ascii="仿宋_GB2312" w:eastAsia="仿宋_GB2312"/>
      <w:b/>
      <w:bCs/>
      <w:sz w:val="30"/>
      <w:lang w:val="en-US" w:eastAsia="zh-CN" w:bidi="ar-SA"/>
    </w:rPr>
  </w:style>
  <w:style w:type="character" w:customStyle="1" w:styleId="101">
    <w:name w:val="Char Char12"/>
    <w:qFormat/>
    <w:uiPriority w:val="0"/>
    <w:rPr>
      <w:rFonts w:eastAsia="宋体"/>
      <w:kern w:val="2"/>
      <w:sz w:val="21"/>
      <w:lang w:val="en-US" w:eastAsia="zh-CN" w:bidi="ar-SA"/>
    </w:rPr>
  </w:style>
  <w:style w:type="character" w:customStyle="1" w:styleId="102">
    <w:name w:val="正文文本缩进 Char"/>
    <w:link w:val="3"/>
    <w:qFormat/>
    <w:uiPriority w:val="0"/>
    <w:rPr>
      <w:rFonts w:ascii="宋体"/>
      <w:spacing w:val="-4"/>
      <w:sz w:val="18"/>
    </w:rPr>
  </w:style>
  <w:style w:type="character" w:customStyle="1" w:styleId="103">
    <w:name w:val="脚注文本 Char"/>
    <w:basedOn w:val="35"/>
    <w:link w:val="27"/>
    <w:qFormat/>
    <w:uiPriority w:val="99"/>
    <w:rPr>
      <w:kern w:val="2"/>
      <w:sz w:val="18"/>
    </w:rPr>
  </w:style>
  <w:style w:type="paragraph" w:customStyle="1" w:styleId="104">
    <w:name w:val="CM11"/>
    <w:basedOn w:val="76"/>
    <w:next w:val="76"/>
    <w:unhideWhenUsed/>
    <w:qFormat/>
    <w:uiPriority w:val="99"/>
    <w:pPr>
      <w:spacing w:before="0" w:after="0" w:line="520" w:lineRule="atLeast"/>
    </w:pPr>
    <w:rPr>
      <w:rFonts w:hint="eastAsia" w:ascii="..ì." w:eastAsia="..ì." w:cs="..ì."/>
    </w:rPr>
  </w:style>
  <w:style w:type="paragraph" w:customStyle="1" w:styleId="105">
    <w:name w:val="CM19"/>
    <w:basedOn w:val="76"/>
    <w:next w:val="76"/>
    <w:unhideWhenUsed/>
    <w:qFormat/>
    <w:uiPriority w:val="99"/>
    <w:pPr>
      <w:spacing w:before="0" w:after="0"/>
    </w:pPr>
    <w:rPr>
      <w:rFonts w:hint="eastAsia" w:ascii="..ì." w:eastAsia="..ì." w:cs="..ì."/>
    </w:rPr>
  </w:style>
  <w:style w:type="paragraph" w:customStyle="1" w:styleId="106">
    <w:name w:val="CM14"/>
    <w:basedOn w:val="76"/>
    <w:next w:val="76"/>
    <w:unhideWhenUsed/>
    <w:qFormat/>
    <w:uiPriority w:val="99"/>
    <w:pPr>
      <w:spacing w:before="0" w:after="0" w:line="546" w:lineRule="atLeast"/>
    </w:pPr>
    <w:rPr>
      <w:rFonts w:hint="eastAsia" w:ascii="..ì." w:eastAsia="..ì." w:cs="..ì."/>
    </w:rPr>
  </w:style>
  <w:style w:type="paragraph" w:customStyle="1" w:styleId="107">
    <w:name w:val="CM13"/>
    <w:basedOn w:val="76"/>
    <w:next w:val="76"/>
    <w:unhideWhenUsed/>
    <w:qFormat/>
    <w:uiPriority w:val="99"/>
    <w:pPr>
      <w:spacing w:before="0" w:after="0" w:line="520" w:lineRule="atLeast"/>
    </w:pPr>
    <w:rPr>
      <w:rFonts w:hint="eastAsia" w:ascii="..ì." w:eastAsia="..ì." w:cs="..ì."/>
    </w:rPr>
  </w:style>
  <w:style w:type="character" w:customStyle="1" w:styleId="108">
    <w:name w:val="纯文本 Char4"/>
    <w:qFormat/>
    <w:uiPriority w:val="0"/>
    <w:rPr>
      <w:rFonts w:ascii="宋体" w:eastAsia="宋体"/>
      <w:lang w:bidi="ar-SA"/>
    </w:rPr>
  </w:style>
  <w:style w:type="table" w:customStyle="1" w:styleId="10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0">
    <w:name w:val="Heading 1"/>
    <w:basedOn w:val="1"/>
    <w:qFormat/>
    <w:uiPriority w:val="1"/>
    <w:pPr>
      <w:autoSpaceDE w:val="0"/>
      <w:autoSpaceDN w:val="0"/>
      <w:spacing w:before="161"/>
      <w:ind w:left="620"/>
      <w:jc w:val="left"/>
      <w:outlineLvl w:val="1"/>
    </w:pPr>
    <w:rPr>
      <w:rFonts w:ascii="宋体" w:hAnsi="宋体" w:cs="宋体"/>
      <w:b/>
      <w:bCs/>
      <w:kern w:val="0"/>
      <w:sz w:val="24"/>
      <w:lang w:val="zh-CN" w:bidi="zh-CN"/>
    </w:rPr>
  </w:style>
  <w:style w:type="paragraph" w:customStyle="1" w:styleId="11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12">
    <w:name w:val="[Normal]"/>
    <w:qFormat/>
    <w:uiPriority w:val="0"/>
    <w:rPr>
      <w:rFonts w:ascii="宋体" w:hAnsi="宋体" w:eastAsia="宋体" w:cs="Times New Roman"/>
      <w:sz w:val="24"/>
      <w:lang w:val="en-US" w:eastAsia="en-US" w:bidi="ar-SA"/>
    </w:rPr>
  </w:style>
  <w:style w:type="character" w:customStyle="1" w:styleId="113">
    <w:name w:val="font81"/>
    <w:basedOn w:val="35"/>
    <w:qFormat/>
    <w:uiPriority w:val="0"/>
    <w:rPr>
      <w:rFonts w:hint="eastAsia" w:ascii="等线" w:hAnsi="等线" w:eastAsia="等线" w:cs="等线"/>
      <w:b/>
      <w:bCs/>
      <w:color w:val="000000"/>
      <w:sz w:val="20"/>
      <w:szCs w:val="20"/>
      <w:u w:val="none"/>
    </w:rPr>
  </w:style>
  <w:style w:type="character" w:customStyle="1" w:styleId="114">
    <w:name w:val="font71"/>
    <w:basedOn w:val="35"/>
    <w:qFormat/>
    <w:uiPriority w:val="0"/>
    <w:rPr>
      <w:rFonts w:hint="default" w:ascii="Times New Roman" w:hAnsi="Times New Roman" w:cs="Times New Roman"/>
      <w:color w:val="000000"/>
      <w:sz w:val="20"/>
      <w:szCs w:val="20"/>
      <w:u w:val="none"/>
    </w:rPr>
  </w:style>
  <w:style w:type="character" w:customStyle="1" w:styleId="115">
    <w:name w:val="font121"/>
    <w:basedOn w:val="35"/>
    <w:qFormat/>
    <w:uiPriority w:val="0"/>
    <w:rPr>
      <w:rFonts w:hint="eastAsia" w:ascii="宋体" w:hAnsi="宋体" w:eastAsia="宋体" w:cs="宋体"/>
      <w:color w:val="FF0000"/>
      <w:sz w:val="20"/>
      <w:szCs w:val="20"/>
      <w:u w:val="none"/>
    </w:rPr>
  </w:style>
  <w:style w:type="character" w:customStyle="1" w:styleId="116">
    <w:name w:val="font131"/>
    <w:basedOn w:val="35"/>
    <w:qFormat/>
    <w:uiPriority w:val="0"/>
    <w:rPr>
      <w:rFonts w:hint="default" w:ascii="Times New Roman" w:hAnsi="Times New Roman" w:cs="Times New Roman"/>
      <w:color w:val="FF0000"/>
      <w:sz w:val="20"/>
      <w:szCs w:val="20"/>
      <w:u w:val="none"/>
    </w:rPr>
  </w:style>
  <w:style w:type="character" w:customStyle="1" w:styleId="117">
    <w:name w:val="font151"/>
    <w:basedOn w:val="35"/>
    <w:qFormat/>
    <w:uiPriority w:val="0"/>
    <w:rPr>
      <w:rFonts w:hint="eastAsia" w:ascii="宋体" w:hAnsi="宋体" w:eastAsia="宋体" w:cs="宋体"/>
      <w:b/>
      <w:bCs/>
      <w:color w:val="FF0000"/>
      <w:sz w:val="20"/>
      <w:szCs w:val="20"/>
      <w:u w:val="none"/>
    </w:rPr>
  </w:style>
  <w:style w:type="character" w:customStyle="1" w:styleId="118">
    <w:name w:val="font51"/>
    <w:basedOn w:val="35"/>
    <w:qFormat/>
    <w:uiPriority w:val="0"/>
    <w:rPr>
      <w:rFonts w:hint="eastAsia" w:ascii="等线" w:hAnsi="等线" w:eastAsia="等线" w:cs="等线"/>
      <w:color w:val="000000"/>
      <w:sz w:val="20"/>
      <w:szCs w:val="20"/>
      <w:u w:val="none"/>
    </w:rPr>
  </w:style>
  <w:style w:type="character" w:customStyle="1" w:styleId="119">
    <w:name w:val="font31"/>
    <w:basedOn w:val="35"/>
    <w:qFormat/>
    <w:uiPriority w:val="0"/>
    <w:rPr>
      <w:rFonts w:hint="eastAsia" w:ascii="宋体" w:hAnsi="宋体" w:eastAsia="宋体" w:cs="宋体"/>
      <w:b/>
      <w:bCs/>
      <w:color w:val="000000"/>
      <w:sz w:val="28"/>
      <w:szCs w:val="28"/>
      <w:u w:val="none"/>
    </w:rPr>
  </w:style>
  <w:style w:type="paragraph" w:customStyle="1" w:styleId="12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1">
    <w:name w:val="font13"/>
    <w:basedOn w:val="35"/>
    <w:qFormat/>
    <w:uiPriority w:val="0"/>
    <w:rPr>
      <w:rFonts w:hint="eastAsia" w:ascii="宋体" w:hAnsi="宋体" w:eastAsia="宋体" w:cs="宋体"/>
      <w:color w:val="000000"/>
      <w:sz w:val="21"/>
      <w:szCs w:val="21"/>
      <w:u w:val="none"/>
    </w:rPr>
  </w:style>
  <w:style w:type="character" w:customStyle="1" w:styleId="122">
    <w:name w:val="font91"/>
    <w:basedOn w:val="35"/>
    <w:qFormat/>
    <w:uiPriority w:val="0"/>
    <w:rPr>
      <w:rFonts w:hint="eastAsia" w:ascii="宋体" w:hAnsi="宋体" w:eastAsia="宋体" w:cs="宋体"/>
      <w:color w:val="000000"/>
      <w:sz w:val="21"/>
      <w:szCs w:val="21"/>
      <w:u w:val="none"/>
    </w:rPr>
  </w:style>
  <w:style w:type="paragraph" w:customStyle="1" w:styleId="123">
    <w:name w:val="flType"/>
    <w:basedOn w:val="1"/>
    <w:qFormat/>
    <w:uiPriority w:val="0"/>
    <w:pPr>
      <w:adjustRightInd w:val="0"/>
      <w:spacing w:after="284" w:line="113" w:lineRule="atLeast"/>
      <w:jc w:val="center"/>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36095</Words>
  <Characters>38391</Characters>
  <Lines>235</Lines>
  <Paragraphs>66</Paragraphs>
  <TotalTime>0</TotalTime>
  <ScaleCrop>false</ScaleCrop>
  <LinksUpToDate>false</LinksUpToDate>
  <CharactersWithSpaces>40621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2020-07-27T03:50:00Z</dcterms:created>
  <dc:creator>1</dc:creator>
  <cp:lastModifiedBy>果汁</cp:lastModifiedBy>
  <cp:lastPrinted>2023-04-28T01:16:00Z</cp:lastPrinted>
  <dcterms:modified xsi:type="dcterms:W3CDTF">2023-04-28T01:35:54Z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266C521D0C544836BEE11104785DEBC4</vt:lpwstr>
  </property>
  <property fmtid="{D5CDD505-2E9C-101B-9397-08002B2CF9AE}" pid="4" name="commondata">
    <vt:lpwstr>eyJoZGlkIjoiNTRjMjhlOGQzMWQ0ZmE2YzZkZDBlZTU2MTk0MDg4NzEifQ==</vt:lpwstr>
  </property>
</Properties>
</file>