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420"/>
        <w:jc w:val="center"/>
        <w:outlineLvl w:val="1"/>
        <w:rPr>
          <w:rFonts w:ascii="Times New Roman" w:hAnsi="Times New Roman"/>
          <w:b/>
          <w:color w:val="000000"/>
          <w:sz w:val="44"/>
          <w:szCs w:val="44"/>
        </w:rPr>
      </w:pPr>
      <w:bookmarkStart w:id="0" w:name="_Toc417992852"/>
    </w:p>
    <w:p>
      <w:pPr>
        <w:widowControl/>
        <w:jc w:val="center"/>
        <w:outlineLvl w:val="1"/>
        <w:rPr>
          <w:rFonts w:ascii="Times New Roman" w:hAnsi="Times New Roman"/>
          <w:b/>
          <w:color w:val="000000"/>
          <w:sz w:val="40"/>
          <w:szCs w:val="44"/>
        </w:rPr>
      </w:pPr>
    </w:p>
    <w:p>
      <w:pPr>
        <w:widowControl/>
        <w:jc w:val="center"/>
        <w:outlineLvl w:val="1"/>
        <w:rPr>
          <w:rFonts w:ascii="Times New Roman" w:hAnsi="Times New Roman"/>
          <w:b/>
          <w:color w:val="000000"/>
          <w:sz w:val="40"/>
          <w:szCs w:val="44"/>
        </w:rPr>
      </w:pPr>
    </w:p>
    <w:p>
      <w:pPr>
        <w:widowControl/>
        <w:jc w:val="center"/>
        <w:outlineLvl w:val="1"/>
        <w:rPr>
          <w:rFonts w:hint="eastAsia" w:ascii="Times New Roman" w:hAnsi="Times New Roman" w:eastAsia="宋体"/>
          <w:b/>
          <w:color w:val="000000"/>
          <w:sz w:val="36"/>
          <w:szCs w:val="36"/>
          <w:lang w:eastAsia="zh-CN"/>
        </w:rPr>
      </w:pPr>
      <w:r>
        <w:rPr>
          <w:rFonts w:hint="eastAsia" w:ascii="Times New Roman" w:hAnsi="Times New Roman"/>
          <w:b/>
          <w:color w:val="000000"/>
          <w:sz w:val="36"/>
          <w:szCs w:val="36"/>
          <w:lang w:eastAsia="zh-CN"/>
        </w:rPr>
        <w:t>2024-2025年度秀洲区公路小修项目</w:t>
      </w:r>
    </w:p>
    <w:p>
      <w:pPr>
        <w:widowControl/>
        <w:jc w:val="center"/>
        <w:outlineLvl w:val="1"/>
        <w:rPr>
          <w:rFonts w:ascii="Times New Roman" w:hAnsi="Times New Roman"/>
          <w:b/>
          <w:color w:val="000000"/>
          <w:sz w:val="36"/>
          <w:szCs w:val="36"/>
        </w:rPr>
      </w:pPr>
    </w:p>
    <w:p>
      <w:pPr>
        <w:widowControl/>
        <w:jc w:val="center"/>
        <w:outlineLvl w:val="1"/>
        <w:rPr>
          <w:rFonts w:ascii="Times New Roman" w:hAnsi="Times New Roman"/>
          <w:b/>
          <w:color w:val="000000"/>
          <w:sz w:val="36"/>
          <w:szCs w:val="36"/>
        </w:rPr>
      </w:pPr>
    </w:p>
    <w:p>
      <w:pPr>
        <w:widowControl/>
        <w:jc w:val="center"/>
        <w:outlineLvl w:val="1"/>
        <w:rPr>
          <w:rFonts w:ascii="Times New Roman" w:hAnsi="Times New Roman"/>
          <w:b/>
          <w:color w:val="000000"/>
          <w:sz w:val="36"/>
          <w:szCs w:val="36"/>
        </w:rPr>
      </w:pPr>
    </w:p>
    <w:p>
      <w:pPr>
        <w:widowControl/>
        <w:jc w:val="center"/>
        <w:outlineLvl w:val="1"/>
        <w:rPr>
          <w:rFonts w:ascii="Times New Roman" w:hAnsi="Times New Roman"/>
          <w:b/>
          <w:color w:val="000000"/>
          <w:sz w:val="36"/>
          <w:szCs w:val="36"/>
        </w:rPr>
      </w:pPr>
    </w:p>
    <w:p>
      <w:pPr>
        <w:widowControl/>
        <w:jc w:val="center"/>
        <w:outlineLvl w:val="1"/>
        <w:rPr>
          <w:rFonts w:ascii="Times New Roman" w:hAnsi="Times New Roman"/>
          <w:b/>
          <w:color w:val="000000"/>
          <w:sz w:val="36"/>
          <w:szCs w:val="36"/>
        </w:rPr>
      </w:pPr>
    </w:p>
    <w:bookmarkEnd w:id="0"/>
    <w:p>
      <w:pPr>
        <w:widowControl/>
        <w:tabs>
          <w:tab w:val="center" w:pos="4156"/>
          <w:tab w:val="left" w:pos="5880"/>
        </w:tabs>
        <w:spacing w:line="1200" w:lineRule="exact"/>
        <w:jc w:val="center"/>
        <w:outlineLvl w:val="1"/>
        <w:rPr>
          <w:rFonts w:ascii="Times New Roman" w:hAnsi="Times New Roman" w:cs="Tahoma"/>
          <w:b/>
          <w:bCs/>
          <w:color w:val="000000"/>
          <w:kern w:val="36"/>
          <w:sz w:val="72"/>
          <w:szCs w:val="72"/>
        </w:rPr>
      </w:pPr>
      <w:bookmarkStart w:id="1" w:name="_Toc417992854"/>
      <w:r>
        <w:rPr>
          <w:rFonts w:hint="eastAsia" w:ascii="Times New Roman" w:hAnsi="Times New Roman" w:cs="Tahoma"/>
          <w:b/>
          <w:bCs/>
          <w:color w:val="000000"/>
          <w:kern w:val="36"/>
          <w:sz w:val="72"/>
          <w:szCs w:val="72"/>
        </w:rPr>
        <w:t>招</w:t>
      </w:r>
      <w:bookmarkEnd w:id="1"/>
    </w:p>
    <w:p>
      <w:pPr>
        <w:widowControl/>
        <w:spacing w:line="1200" w:lineRule="exact"/>
        <w:jc w:val="center"/>
        <w:outlineLvl w:val="1"/>
        <w:rPr>
          <w:rFonts w:ascii="Times New Roman" w:hAnsi="Times New Roman"/>
          <w:color w:val="000000"/>
          <w:sz w:val="72"/>
          <w:szCs w:val="72"/>
        </w:rPr>
      </w:pPr>
      <w:bookmarkStart w:id="2" w:name="_Toc417992855"/>
      <w:r>
        <w:rPr>
          <w:rFonts w:hint="eastAsia" w:ascii="Times New Roman" w:hAnsi="Times New Roman" w:cs="Tahoma"/>
          <w:b/>
          <w:bCs/>
          <w:color w:val="000000"/>
          <w:kern w:val="36"/>
          <w:sz w:val="72"/>
          <w:szCs w:val="72"/>
        </w:rPr>
        <w:t>标</w:t>
      </w:r>
      <w:bookmarkEnd w:id="2"/>
    </w:p>
    <w:p>
      <w:pPr>
        <w:spacing w:line="1200" w:lineRule="exact"/>
        <w:jc w:val="center"/>
        <w:rPr>
          <w:rFonts w:ascii="Times New Roman" w:hAnsi="Times New Roman"/>
          <w:b/>
          <w:color w:val="000000"/>
          <w:sz w:val="72"/>
          <w:szCs w:val="72"/>
        </w:rPr>
      </w:pPr>
      <w:r>
        <w:rPr>
          <w:rFonts w:hint="eastAsia" w:ascii="Times New Roman" w:hAnsi="Times New Roman"/>
          <w:b/>
          <w:color w:val="000000"/>
          <w:sz w:val="72"/>
          <w:szCs w:val="72"/>
        </w:rPr>
        <w:t>文</w:t>
      </w:r>
    </w:p>
    <w:p>
      <w:pPr>
        <w:spacing w:line="1200" w:lineRule="exact"/>
        <w:jc w:val="center"/>
        <w:rPr>
          <w:rFonts w:ascii="Times New Roman" w:hAnsi="Times New Roman"/>
          <w:b/>
          <w:color w:val="000000"/>
          <w:sz w:val="72"/>
          <w:szCs w:val="72"/>
        </w:rPr>
      </w:pPr>
      <w:r>
        <w:rPr>
          <w:rFonts w:hint="eastAsia" w:ascii="Times New Roman" w:hAnsi="Times New Roman"/>
          <w:b/>
          <w:color w:val="000000"/>
          <w:sz w:val="72"/>
          <w:szCs w:val="72"/>
        </w:rPr>
        <w:t>件</w:t>
      </w:r>
    </w:p>
    <w:p>
      <w:pPr>
        <w:snapToGrid w:val="0"/>
        <w:spacing w:line="360" w:lineRule="auto"/>
        <w:ind w:firstLine="893" w:firstLineChars="447"/>
        <w:rPr>
          <w:rFonts w:ascii="Times New Roman" w:hAnsi="Times New Roman"/>
          <w:b/>
          <w:bCs/>
          <w:color w:val="000000"/>
          <w:w w:val="95"/>
          <w:szCs w:val="21"/>
        </w:rPr>
      </w:pPr>
    </w:p>
    <w:p>
      <w:pPr>
        <w:snapToGrid w:val="0"/>
        <w:spacing w:line="360" w:lineRule="auto"/>
        <w:ind w:firstLine="893" w:firstLineChars="447"/>
        <w:rPr>
          <w:rFonts w:ascii="Times New Roman" w:hAnsi="Times New Roman"/>
          <w:b/>
          <w:bCs/>
          <w:color w:val="000000"/>
          <w:w w:val="95"/>
          <w:szCs w:val="21"/>
        </w:rPr>
      </w:pPr>
    </w:p>
    <w:p>
      <w:pPr>
        <w:snapToGrid w:val="0"/>
        <w:spacing w:line="360" w:lineRule="auto"/>
        <w:ind w:firstLine="893" w:firstLineChars="447"/>
        <w:rPr>
          <w:rFonts w:ascii="Times New Roman" w:hAnsi="Times New Roman"/>
          <w:b/>
          <w:bCs/>
          <w:color w:val="000000"/>
          <w:w w:val="95"/>
          <w:szCs w:val="21"/>
        </w:rPr>
      </w:pPr>
    </w:p>
    <w:p>
      <w:pPr>
        <w:snapToGrid w:val="0"/>
        <w:spacing w:line="360" w:lineRule="auto"/>
        <w:ind w:firstLine="893" w:firstLineChars="447"/>
        <w:rPr>
          <w:rFonts w:ascii="Times New Roman" w:hAnsi="Times New Roman"/>
          <w:b/>
          <w:bCs/>
          <w:color w:val="000000"/>
          <w:w w:val="95"/>
          <w:szCs w:val="21"/>
          <w:highlight w:val="yellow"/>
        </w:rPr>
      </w:pPr>
    </w:p>
    <w:p>
      <w:pPr>
        <w:pStyle w:val="28"/>
        <w:snapToGrid w:val="0"/>
        <w:spacing w:before="120" w:line="360" w:lineRule="auto"/>
        <w:ind w:firstLine="904" w:firstLineChars="300"/>
        <w:rPr>
          <w:rFonts w:hint="eastAsia" w:ascii="Times New Roman" w:hAnsi="Times New Roman"/>
          <w:b/>
          <w:bCs/>
          <w:color w:val="000000"/>
          <w:w w:val="95"/>
          <w:sz w:val="28"/>
          <w:szCs w:val="28"/>
          <w:highlight w:val="none"/>
        </w:rPr>
      </w:pPr>
      <w:r>
        <w:rPr>
          <w:rFonts w:hint="eastAsia" w:ascii="Times New Roman" w:hAnsi="Times New Roman"/>
          <w:b/>
          <w:color w:val="000000"/>
          <w:sz w:val="30"/>
          <w:szCs w:val="30"/>
          <w:highlight w:val="none"/>
        </w:rPr>
        <w:t>项目编号：</w:t>
      </w:r>
      <w:r>
        <w:rPr>
          <w:rFonts w:hint="eastAsia" w:ascii="Times New Roman" w:hAnsi="Times New Roman"/>
          <w:b/>
          <w:bCs/>
          <w:color w:val="000000"/>
          <w:w w:val="95"/>
          <w:sz w:val="28"/>
          <w:szCs w:val="28"/>
          <w:highlight w:val="none"/>
        </w:rPr>
        <w:t>JXHX-2023-133</w:t>
      </w:r>
    </w:p>
    <w:p>
      <w:pPr>
        <w:pStyle w:val="28"/>
        <w:snapToGrid w:val="0"/>
        <w:spacing w:before="120" w:line="360" w:lineRule="auto"/>
        <w:ind w:firstLine="904" w:firstLineChars="300"/>
        <w:rPr>
          <w:rFonts w:hint="eastAsia" w:ascii="Times New Roman" w:hAnsi="Times New Roman" w:eastAsia="宋体"/>
          <w:b/>
          <w:color w:val="000000"/>
          <w:sz w:val="30"/>
          <w:szCs w:val="30"/>
          <w:lang w:eastAsia="zh-CN"/>
        </w:rPr>
      </w:pPr>
      <w:r>
        <w:rPr>
          <w:rFonts w:hint="eastAsia" w:ascii="Times New Roman" w:hAnsi="Times New Roman"/>
          <w:b/>
          <w:color w:val="000000"/>
          <w:sz w:val="30"/>
          <w:szCs w:val="30"/>
        </w:rPr>
        <w:t>采购人：</w:t>
      </w:r>
      <w:r>
        <w:rPr>
          <w:rFonts w:hint="eastAsia" w:ascii="Times New Roman" w:hAnsi="Times New Roman"/>
          <w:b/>
          <w:color w:val="000000"/>
          <w:sz w:val="30"/>
          <w:szCs w:val="30"/>
          <w:lang w:eastAsia="zh-CN"/>
        </w:rPr>
        <w:t>嘉兴市秀洲区公路与运输管理服务中心</w:t>
      </w:r>
    </w:p>
    <w:p>
      <w:pPr>
        <w:pStyle w:val="28"/>
        <w:snapToGrid w:val="0"/>
        <w:spacing w:before="120" w:line="360" w:lineRule="auto"/>
        <w:ind w:firstLine="904" w:firstLineChars="300"/>
        <w:rPr>
          <w:rFonts w:hint="eastAsia" w:ascii="Times New Roman" w:hAnsi="Times New Roman" w:eastAsia="宋体"/>
          <w:b/>
          <w:color w:val="000000"/>
          <w:sz w:val="30"/>
          <w:szCs w:val="30"/>
          <w:lang w:eastAsia="zh-CN"/>
        </w:rPr>
      </w:pPr>
      <w:r>
        <w:rPr>
          <w:rFonts w:hint="eastAsia" w:ascii="Times New Roman" w:hAnsi="Times New Roman"/>
          <w:b/>
          <w:color w:val="000000"/>
          <w:sz w:val="30"/>
          <w:szCs w:val="30"/>
        </w:rPr>
        <w:t>代理机构：</w:t>
      </w:r>
      <w:r>
        <w:rPr>
          <w:rFonts w:hint="eastAsia" w:ascii="Times New Roman" w:hAnsi="Times New Roman"/>
          <w:b/>
          <w:color w:val="000000"/>
          <w:sz w:val="30"/>
          <w:szCs w:val="30"/>
          <w:lang w:eastAsia="zh-CN"/>
        </w:rPr>
        <w:t>嘉兴市华信工程咨询有限公司</w:t>
      </w:r>
    </w:p>
    <w:p>
      <w:pPr>
        <w:snapToGrid w:val="0"/>
        <w:spacing w:line="360" w:lineRule="auto"/>
        <w:ind w:firstLine="904" w:firstLineChars="300"/>
        <w:rPr>
          <w:rFonts w:ascii="Times New Roman" w:hAnsi="Times New Roman"/>
          <w:b/>
          <w:color w:val="000000"/>
          <w:kern w:val="0"/>
          <w:sz w:val="30"/>
          <w:szCs w:val="30"/>
        </w:rPr>
      </w:pPr>
      <w:r>
        <w:rPr>
          <w:rFonts w:hint="eastAsia" w:ascii="Times New Roman" w:hAnsi="Times New Roman"/>
          <w:b/>
          <w:color w:val="000000"/>
          <w:kern w:val="0"/>
          <w:sz w:val="30"/>
          <w:szCs w:val="30"/>
        </w:rPr>
        <w:t>编制时间：</w:t>
      </w:r>
      <w:r>
        <w:rPr>
          <w:rFonts w:ascii="Times New Roman" w:hAnsi="Times New Roman"/>
          <w:b/>
          <w:color w:val="000000"/>
          <w:kern w:val="0"/>
          <w:sz w:val="30"/>
          <w:szCs w:val="30"/>
        </w:rPr>
        <w:t>2023</w:t>
      </w:r>
      <w:r>
        <w:rPr>
          <w:rFonts w:hint="eastAsia" w:ascii="Times New Roman" w:hAnsi="Times New Roman"/>
          <w:b/>
          <w:color w:val="000000"/>
          <w:kern w:val="0"/>
          <w:sz w:val="30"/>
          <w:szCs w:val="30"/>
        </w:rPr>
        <w:t>年</w:t>
      </w:r>
      <w:r>
        <w:rPr>
          <w:rFonts w:ascii="Times New Roman" w:hAnsi="Times New Roman"/>
          <w:b/>
          <w:color w:val="000000"/>
          <w:kern w:val="0"/>
          <w:sz w:val="30"/>
          <w:szCs w:val="30"/>
        </w:rPr>
        <w:t>12</w:t>
      </w:r>
      <w:r>
        <w:rPr>
          <w:rFonts w:hint="eastAsia" w:ascii="Times New Roman" w:hAnsi="Times New Roman"/>
          <w:b/>
          <w:color w:val="000000"/>
          <w:kern w:val="0"/>
          <w:sz w:val="30"/>
          <w:szCs w:val="30"/>
        </w:rPr>
        <w:t>月</w:t>
      </w:r>
    </w:p>
    <w:p>
      <w:pPr>
        <w:widowControl/>
        <w:spacing w:line="360" w:lineRule="auto"/>
        <w:jc w:val="left"/>
        <w:rPr>
          <w:rFonts w:ascii="Times New Roman" w:hAnsi="Times New Roman"/>
          <w:b/>
          <w:color w:val="000000"/>
          <w:kern w:val="0"/>
          <w:sz w:val="30"/>
          <w:szCs w:val="30"/>
        </w:rPr>
        <w:sectPr>
          <w:footerReference r:id="rId3" w:type="default"/>
          <w:pgSz w:w="11906" w:h="16838"/>
          <w:pgMar w:top="1474" w:right="1797" w:bottom="1247" w:left="1797" w:header="851" w:footer="851" w:gutter="0"/>
          <w:cols w:space="720" w:num="1"/>
        </w:sectPr>
      </w:pPr>
    </w:p>
    <w:p>
      <w:pPr>
        <w:snapToGrid w:val="0"/>
        <w:spacing w:line="360" w:lineRule="auto"/>
        <w:ind w:left="384" w:leftChars="183" w:firstLine="24" w:firstLineChars="12"/>
        <w:jc w:val="center"/>
        <w:rPr>
          <w:rFonts w:ascii="Times New Roman" w:hAnsi="Times New Roman"/>
          <w:b/>
          <w:bCs/>
          <w:color w:val="000000"/>
          <w:w w:val="95"/>
          <w:szCs w:val="21"/>
        </w:rPr>
      </w:pPr>
    </w:p>
    <w:p>
      <w:pPr>
        <w:pStyle w:val="269"/>
        <w:tabs>
          <w:tab w:val="right" w:leader="dot" w:pos="8302"/>
        </w:tabs>
        <w:spacing w:line="360" w:lineRule="auto"/>
        <w:rPr>
          <w:rFonts w:ascii="Times New Roman" w:hAnsi="Times New Roman"/>
          <w:color w:val="000000"/>
          <w:szCs w:val="21"/>
        </w:rPr>
      </w:pPr>
    </w:p>
    <w:p>
      <w:pPr>
        <w:pStyle w:val="28"/>
        <w:spacing w:before="120" w:line="360" w:lineRule="auto"/>
        <w:jc w:val="center"/>
        <w:rPr>
          <w:rFonts w:ascii="Times New Roman" w:hAnsi="Times New Roman" w:cs="宋体"/>
          <w:b/>
          <w:color w:val="000000"/>
          <w:sz w:val="72"/>
          <w:szCs w:val="72"/>
        </w:rPr>
      </w:pPr>
      <w:r>
        <w:rPr>
          <w:rFonts w:hint="eastAsia" w:ascii="Times New Roman" w:hAnsi="Times New Roman" w:cs="宋体"/>
          <w:b/>
          <w:color w:val="000000"/>
          <w:sz w:val="72"/>
          <w:szCs w:val="72"/>
        </w:rPr>
        <w:t>目</w:t>
      </w:r>
      <w:r>
        <w:rPr>
          <w:rFonts w:ascii="Times New Roman" w:hAnsi="Times New Roman" w:cs="宋体"/>
          <w:b/>
          <w:color w:val="000000"/>
          <w:sz w:val="72"/>
          <w:szCs w:val="72"/>
        </w:rPr>
        <w:t xml:space="preserve">  </w:t>
      </w:r>
      <w:r>
        <w:rPr>
          <w:rFonts w:hint="eastAsia" w:ascii="Times New Roman" w:hAnsi="Times New Roman" w:cs="宋体"/>
          <w:b/>
          <w:color w:val="000000"/>
          <w:sz w:val="72"/>
          <w:szCs w:val="72"/>
        </w:rPr>
        <w:t>录</w:t>
      </w:r>
    </w:p>
    <w:p>
      <w:pPr>
        <w:pStyle w:val="269"/>
        <w:tabs>
          <w:tab w:val="right" w:leader="dot" w:pos="8302"/>
        </w:tabs>
        <w:spacing w:line="360" w:lineRule="auto"/>
        <w:rPr>
          <w:rFonts w:ascii="Times New Roman" w:hAnsi="Times New Roman"/>
          <w:b/>
          <w:color w:val="000000"/>
          <w:szCs w:val="21"/>
        </w:rPr>
      </w:pPr>
    </w:p>
    <w:p>
      <w:pPr>
        <w:tabs>
          <w:tab w:val="left" w:pos="5296"/>
        </w:tabs>
        <w:spacing w:line="360" w:lineRule="auto"/>
        <w:ind w:firstLine="422" w:firstLineChars="200"/>
        <w:rPr>
          <w:rFonts w:ascii="Times New Roman" w:hAnsi="Times New Roman"/>
          <w:b/>
          <w:color w:val="000000"/>
          <w:szCs w:val="21"/>
        </w:rPr>
      </w:pPr>
      <w:r>
        <w:rPr>
          <w:rFonts w:ascii="Times New Roman" w:hAnsi="Times New Roman"/>
          <w:b/>
          <w:color w:val="000000"/>
          <w:szCs w:val="21"/>
        </w:rPr>
        <w:tab/>
      </w:r>
    </w:p>
    <w:p>
      <w:pPr>
        <w:pStyle w:val="271"/>
        <w:spacing w:line="480" w:lineRule="auto"/>
        <w:ind w:firstLine="424" w:firstLineChars="132"/>
        <w:rPr>
          <w:rFonts w:ascii="Times New Roman" w:hAnsi="Times New Roman"/>
          <w:b/>
          <w:color w:val="000000"/>
          <w:sz w:val="32"/>
          <w:szCs w:val="32"/>
        </w:rPr>
      </w:pPr>
      <w:r>
        <w:rPr>
          <w:rFonts w:ascii="Times New Roman" w:hAnsi="Times New Roman"/>
          <w:b/>
          <w:color w:val="000000"/>
          <w:sz w:val="32"/>
          <w:szCs w:val="32"/>
        </w:rPr>
        <w:fldChar w:fldCharType="begin"/>
      </w:r>
      <w:r>
        <w:rPr>
          <w:rFonts w:ascii="Times New Roman" w:hAnsi="Times New Roman"/>
          <w:b/>
          <w:color w:val="000000"/>
          <w:sz w:val="32"/>
          <w:szCs w:val="32"/>
        </w:rPr>
        <w:instrText xml:space="preserve"> TOC \h \z \u \t "</w:instrText>
      </w:r>
      <w:r>
        <w:rPr>
          <w:rFonts w:hint="eastAsia" w:ascii="Times New Roman" w:hAnsi="Times New Roman"/>
          <w:b/>
          <w:color w:val="000000"/>
          <w:sz w:val="32"/>
          <w:szCs w:val="32"/>
        </w:rPr>
        <w:instrText xml:space="preserve">副标题</w:instrText>
      </w:r>
      <w:r>
        <w:rPr>
          <w:rFonts w:ascii="Times New Roman" w:hAnsi="Times New Roman"/>
          <w:b/>
          <w:color w:val="000000"/>
          <w:sz w:val="32"/>
          <w:szCs w:val="32"/>
        </w:rPr>
        <w:instrText xml:space="preserve">,2,</w:instrText>
      </w:r>
      <w:r>
        <w:rPr>
          <w:rFonts w:hint="eastAsia" w:ascii="Times New Roman" w:hAnsi="Times New Roman"/>
          <w:b/>
          <w:color w:val="000000"/>
          <w:sz w:val="32"/>
          <w:szCs w:val="32"/>
        </w:rPr>
        <w:instrText xml:space="preserve">标题</w:instrText>
      </w:r>
      <w:r>
        <w:rPr>
          <w:rFonts w:ascii="Times New Roman" w:hAnsi="Times New Roman"/>
          <w:b/>
          <w:color w:val="000000"/>
          <w:sz w:val="32"/>
          <w:szCs w:val="32"/>
        </w:rPr>
        <w:instrText xml:space="preserve">,1" </w:instrText>
      </w:r>
      <w:r>
        <w:rPr>
          <w:rFonts w:ascii="Times New Roman" w:hAnsi="Times New Roman"/>
          <w:b/>
          <w:color w:val="000000"/>
          <w:sz w:val="32"/>
          <w:szCs w:val="32"/>
        </w:rPr>
        <w:fldChar w:fldCharType="separate"/>
      </w:r>
      <w:r>
        <w:fldChar w:fldCharType="begin"/>
      </w:r>
      <w:r>
        <w:instrText xml:space="preserve"> HYPERLINK "file:///F:\\陈铭\\135嘉兴市港航管理服务中心海河联运在线项目\\公开招标-嘉兴市港航管理服务中心海河联运在线项目.doc" \l "_Toc11067538" </w:instrText>
      </w:r>
      <w:r>
        <w:fldChar w:fldCharType="separate"/>
      </w:r>
      <w:r>
        <w:rPr>
          <w:rStyle w:val="54"/>
          <w:rFonts w:hint="eastAsia" w:ascii="Times New Roman" w:hAnsi="Times New Roman"/>
          <w:b/>
          <w:color w:val="000000"/>
          <w:sz w:val="32"/>
          <w:szCs w:val="32"/>
        </w:rPr>
        <w:t>第一章</w:t>
      </w:r>
      <w:r>
        <w:rPr>
          <w:rStyle w:val="54"/>
          <w:rFonts w:ascii="Times New Roman" w:hAnsi="Times New Roman"/>
          <w:b/>
          <w:color w:val="000000"/>
          <w:sz w:val="32"/>
          <w:szCs w:val="32"/>
        </w:rPr>
        <w:t xml:space="preserve">  </w:t>
      </w:r>
      <w:r>
        <w:rPr>
          <w:rStyle w:val="54"/>
          <w:rFonts w:hint="eastAsia" w:ascii="Times New Roman" w:hAnsi="Times New Roman"/>
          <w:b/>
          <w:color w:val="000000"/>
          <w:sz w:val="32"/>
          <w:szCs w:val="32"/>
        </w:rPr>
        <w:t>公开招标采购公告</w:t>
      </w:r>
      <w:r>
        <w:rPr>
          <w:rStyle w:val="54"/>
          <w:rFonts w:ascii="Times New Roman" w:hAnsi="Times New Roman"/>
          <w:b/>
          <w:color w:val="000000"/>
          <w:sz w:val="32"/>
          <w:szCs w:val="32"/>
        </w:rPr>
        <w:tab/>
      </w:r>
      <w:r>
        <w:rPr>
          <w:rStyle w:val="54"/>
          <w:rFonts w:ascii="Times New Roman" w:hAnsi="Times New Roman"/>
          <w:b/>
          <w:color w:val="000000"/>
          <w:sz w:val="32"/>
          <w:szCs w:val="32"/>
        </w:rPr>
        <w:fldChar w:fldCharType="begin"/>
      </w:r>
      <w:r>
        <w:rPr>
          <w:rStyle w:val="54"/>
          <w:rFonts w:ascii="Times New Roman" w:hAnsi="Times New Roman"/>
          <w:b/>
          <w:color w:val="000000"/>
          <w:sz w:val="32"/>
          <w:szCs w:val="32"/>
        </w:rPr>
        <w:instrText xml:space="preserve"> PAGEREF _Toc11067538 \h </w:instrText>
      </w:r>
      <w:r>
        <w:rPr>
          <w:rStyle w:val="54"/>
          <w:rFonts w:ascii="Times New Roman" w:hAnsi="Times New Roman"/>
          <w:b/>
          <w:color w:val="000000"/>
          <w:sz w:val="32"/>
          <w:szCs w:val="32"/>
        </w:rPr>
        <w:fldChar w:fldCharType="separate"/>
      </w:r>
      <w:r>
        <w:rPr>
          <w:rStyle w:val="54"/>
          <w:rFonts w:ascii="Times New Roman" w:hAnsi="Times New Roman"/>
          <w:b/>
          <w:color w:val="000000"/>
          <w:sz w:val="32"/>
          <w:szCs w:val="32"/>
        </w:rPr>
        <w:t>2</w:t>
      </w:r>
      <w:r>
        <w:rPr>
          <w:rStyle w:val="54"/>
          <w:rFonts w:ascii="Times New Roman" w:hAnsi="Times New Roman"/>
          <w:b/>
          <w:color w:val="000000"/>
          <w:sz w:val="32"/>
          <w:szCs w:val="32"/>
        </w:rPr>
        <w:fldChar w:fldCharType="end"/>
      </w:r>
      <w:r>
        <w:rPr>
          <w:rStyle w:val="54"/>
          <w:rFonts w:ascii="Times New Roman" w:hAnsi="Times New Roman"/>
          <w:b/>
          <w:color w:val="000000"/>
          <w:sz w:val="32"/>
          <w:szCs w:val="32"/>
        </w:rPr>
        <w:fldChar w:fldCharType="end"/>
      </w:r>
    </w:p>
    <w:p>
      <w:pPr>
        <w:pStyle w:val="271"/>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"_Toc11067539" </w:instrText>
      </w:r>
      <w:r>
        <w:fldChar w:fldCharType="separate"/>
      </w:r>
      <w:r>
        <w:rPr>
          <w:rStyle w:val="54"/>
          <w:rFonts w:hint="eastAsia" w:ascii="Times New Roman" w:hAnsi="Times New Roman"/>
          <w:b/>
          <w:color w:val="000000"/>
          <w:sz w:val="32"/>
          <w:szCs w:val="32"/>
        </w:rPr>
        <w:t>第二章</w:t>
      </w:r>
      <w:r>
        <w:rPr>
          <w:rStyle w:val="54"/>
          <w:rFonts w:ascii="Times New Roman" w:hAnsi="Times New Roman"/>
          <w:b/>
          <w:color w:val="000000"/>
          <w:sz w:val="32"/>
          <w:szCs w:val="32"/>
        </w:rPr>
        <w:t xml:space="preserve">  </w:t>
      </w:r>
      <w:r>
        <w:rPr>
          <w:rStyle w:val="54"/>
          <w:rFonts w:hint="eastAsia" w:ascii="Times New Roman" w:hAnsi="Times New Roman"/>
          <w:b/>
          <w:color w:val="000000"/>
          <w:sz w:val="32"/>
          <w:szCs w:val="32"/>
        </w:rPr>
        <w:t>招标需求</w:t>
      </w:r>
      <w:r>
        <w:rPr>
          <w:rStyle w:val="54"/>
          <w:rFonts w:ascii="Times New Roman" w:hAnsi="Times New Roman"/>
          <w:b/>
          <w:color w:val="000000"/>
          <w:sz w:val="32"/>
          <w:szCs w:val="32"/>
        </w:rPr>
        <w:tab/>
      </w:r>
      <w:r>
        <w:rPr>
          <w:rStyle w:val="54"/>
          <w:rFonts w:ascii="Times New Roman" w:hAnsi="Times New Roman"/>
          <w:b/>
          <w:color w:val="000000"/>
          <w:sz w:val="32"/>
          <w:szCs w:val="32"/>
        </w:rPr>
        <w:fldChar w:fldCharType="begin"/>
      </w:r>
      <w:r>
        <w:rPr>
          <w:rStyle w:val="54"/>
          <w:rFonts w:ascii="Times New Roman" w:hAnsi="Times New Roman"/>
          <w:b/>
          <w:color w:val="000000"/>
          <w:sz w:val="32"/>
          <w:szCs w:val="32"/>
        </w:rPr>
        <w:instrText xml:space="preserve"> PAGEREF _Toc11067539 \h </w:instrText>
      </w:r>
      <w:r>
        <w:rPr>
          <w:rStyle w:val="54"/>
          <w:rFonts w:ascii="Times New Roman" w:hAnsi="Times New Roman"/>
          <w:b/>
          <w:color w:val="000000"/>
          <w:sz w:val="32"/>
          <w:szCs w:val="32"/>
        </w:rPr>
        <w:fldChar w:fldCharType="separate"/>
      </w:r>
      <w:r>
        <w:rPr>
          <w:rStyle w:val="54"/>
          <w:rFonts w:ascii="Times New Roman" w:hAnsi="Times New Roman"/>
          <w:b/>
          <w:color w:val="000000"/>
          <w:sz w:val="32"/>
          <w:szCs w:val="32"/>
        </w:rPr>
        <w:t>6</w:t>
      </w:r>
      <w:r>
        <w:rPr>
          <w:rStyle w:val="54"/>
          <w:rFonts w:ascii="Times New Roman" w:hAnsi="Times New Roman"/>
          <w:b/>
          <w:color w:val="000000"/>
          <w:sz w:val="32"/>
          <w:szCs w:val="32"/>
        </w:rPr>
        <w:fldChar w:fldCharType="end"/>
      </w:r>
      <w:r>
        <w:rPr>
          <w:rStyle w:val="54"/>
          <w:rFonts w:ascii="Times New Roman" w:hAnsi="Times New Roman"/>
          <w:b/>
          <w:color w:val="000000"/>
          <w:sz w:val="32"/>
          <w:szCs w:val="32"/>
        </w:rPr>
        <w:fldChar w:fldCharType="end"/>
      </w:r>
    </w:p>
    <w:p>
      <w:pPr>
        <w:pStyle w:val="271"/>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"_Toc11067540" </w:instrText>
      </w:r>
      <w:r>
        <w:fldChar w:fldCharType="separate"/>
      </w:r>
      <w:r>
        <w:rPr>
          <w:rStyle w:val="54"/>
          <w:rFonts w:hint="eastAsia" w:ascii="Times New Roman" w:hAnsi="Times New Roman"/>
          <w:b/>
          <w:color w:val="000000"/>
          <w:sz w:val="32"/>
          <w:szCs w:val="32"/>
        </w:rPr>
        <w:t>第三章</w:t>
      </w:r>
      <w:r>
        <w:rPr>
          <w:rStyle w:val="54"/>
          <w:rFonts w:ascii="Times New Roman" w:hAnsi="Times New Roman"/>
          <w:b/>
          <w:color w:val="000000"/>
          <w:sz w:val="32"/>
          <w:szCs w:val="32"/>
        </w:rPr>
        <w:t xml:space="preserve">  </w:t>
      </w:r>
      <w:r>
        <w:rPr>
          <w:rStyle w:val="54"/>
          <w:rFonts w:hint="eastAsia" w:ascii="Times New Roman" w:hAnsi="Times New Roman"/>
          <w:b/>
          <w:color w:val="000000"/>
          <w:sz w:val="32"/>
          <w:szCs w:val="32"/>
        </w:rPr>
        <w:t>投标人须知</w:t>
      </w:r>
      <w:r>
        <w:rPr>
          <w:rStyle w:val="54"/>
          <w:rFonts w:ascii="Times New Roman" w:hAnsi="Times New Roman"/>
          <w:b/>
          <w:color w:val="000000"/>
          <w:sz w:val="32"/>
          <w:szCs w:val="32"/>
        </w:rPr>
        <w:tab/>
      </w:r>
      <w:bookmarkStart w:id="3" w:name="_Hlt142656013"/>
      <w:r>
        <w:rPr>
          <w:rStyle w:val="54"/>
          <w:rFonts w:hint="eastAsia"/>
        </w:rPr>
        <w:fldChar w:fldCharType="begin"/>
      </w:r>
      <w:r>
        <w:rPr>
          <w:rStyle w:val="54"/>
          <w:rFonts w:ascii="Times New Roman" w:hAnsi="Times New Roman"/>
          <w:b/>
          <w:color w:val="000000"/>
          <w:sz w:val="32"/>
          <w:szCs w:val="32"/>
        </w:rPr>
        <w:instrText xml:space="preserve"> PAGEREF _Toc11067540 \h </w:instrText>
      </w:r>
      <w:r>
        <w:rPr>
          <w:rStyle w:val="54"/>
          <w:rFonts w:hint="eastAsia"/>
        </w:rPr>
        <w:fldChar w:fldCharType="separate"/>
      </w:r>
      <w:r>
        <w:rPr>
          <w:rStyle w:val="54"/>
          <w:rFonts w:ascii="Times New Roman" w:hAnsi="Times New Roman"/>
          <w:b/>
          <w:color w:val="000000"/>
          <w:sz w:val="32"/>
          <w:szCs w:val="32"/>
        </w:rPr>
        <w:t>18</w:t>
      </w:r>
      <w:r>
        <w:rPr>
          <w:rStyle w:val="54"/>
          <w:rFonts w:hint="eastAsia"/>
        </w:rPr>
        <w:fldChar w:fldCharType="end"/>
      </w:r>
      <w:bookmarkEnd w:id="3"/>
      <w:r>
        <w:rPr>
          <w:rStyle w:val="54"/>
          <w:rFonts w:hint="eastAsia"/>
        </w:rPr>
        <w:fldChar w:fldCharType="end"/>
      </w:r>
    </w:p>
    <w:p>
      <w:pPr>
        <w:pStyle w:val="271"/>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"_Toc11067541" </w:instrText>
      </w:r>
      <w:r>
        <w:fldChar w:fldCharType="separate"/>
      </w:r>
      <w:r>
        <w:rPr>
          <w:rStyle w:val="54"/>
          <w:rFonts w:hint="eastAsia" w:ascii="Times New Roman" w:hAnsi="Times New Roman"/>
          <w:b/>
          <w:color w:val="000000"/>
          <w:sz w:val="32"/>
          <w:szCs w:val="32"/>
        </w:rPr>
        <w:t>第四章</w:t>
      </w:r>
      <w:r>
        <w:rPr>
          <w:rStyle w:val="54"/>
          <w:rFonts w:ascii="Times New Roman" w:hAnsi="Times New Roman"/>
          <w:b/>
          <w:color w:val="000000"/>
          <w:sz w:val="32"/>
          <w:szCs w:val="32"/>
        </w:rPr>
        <w:t xml:space="preserve">  </w:t>
      </w:r>
      <w:r>
        <w:rPr>
          <w:rStyle w:val="54"/>
          <w:rFonts w:hint="eastAsia" w:ascii="Times New Roman" w:hAnsi="Times New Roman"/>
          <w:b/>
          <w:color w:val="000000"/>
          <w:sz w:val="32"/>
          <w:szCs w:val="32"/>
        </w:rPr>
        <w:t>评标办法及评分标准</w:t>
      </w:r>
      <w:r>
        <w:rPr>
          <w:rStyle w:val="54"/>
          <w:rFonts w:ascii="Times New Roman" w:hAnsi="Times New Roman"/>
          <w:b/>
          <w:color w:val="000000"/>
          <w:sz w:val="32"/>
          <w:szCs w:val="32"/>
        </w:rPr>
        <w:tab/>
      </w:r>
      <w:r>
        <w:rPr>
          <w:rStyle w:val="54"/>
          <w:rFonts w:ascii="Times New Roman" w:hAnsi="Times New Roman"/>
          <w:b/>
          <w:color w:val="000000"/>
          <w:sz w:val="32"/>
          <w:szCs w:val="32"/>
        </w:rPr>
        <w:fldChar w:fldCharType="begin"/>
      </w:r>
      <w:r>
        <w:rPr>
          <w:rStyle w:val="54"/>
          <w:rFonts w:ascii="Times New Roman" w:hAnsi="Times New Roman"/>
          <w:b/>
          <w:color w:val="000000"/>
          <w:sz w:val="32"/>
          <w:szCs w:val="32"/>
        </w:rPr>
        <w:instrText xml:space="preserve"> PAGEREF _Toc11067541 \h </w:instrText>
      </w:r>
      <w:r>
        <w:rPr>
          <w:rStyle w:val="54"/>
          <w:rFonts w:ascii="Times New Roman" w:hAnsi="Times New Roman"/>
          <w:b/>
          <w:color w:val="000000"/>
          <w:sz w:val="32"/>
          <w:szCs w:val="32"/>
        </w:rPr>
        <w:fldChar w:fldCharType="separate"/>
      </w:r>
      <w:r>
        <w:rPr>
          <w:rStyle w:val="54"/>
          <w:rFonts w:ascii="Times New Roman" w:hAnsi="Times New Roman"/>
          <w:b/>
          <w:color w:val="000000"/>
          <w:sz w:val="32"/>
          <w:szCs w:val="32"/>
        </w:rPr>
        <w:t>32</w:t>
      </w:r>
      <w:r>
        <w:rPr>
          <w:rStyle w:val="54"/>
          <w:rFonts w:ascii="Times New Roman" w:hAnsi="Times New Roman"/>
          <w:b/>
          <w:color w:val="000000"/>
          <w:sz w:val="32"/>
          <w:szCs w:val="32"/>
        </w:rPr>
        <w:fldChar w:fldCharType="end"/>
      </w:r>
      <w:r>
        <w:rPr>
          <w:rStyle w:val="54"/>
          <w:rFonts w:ascii="Times New Roman" w:hAnsi="Times New Roman"/>
          <w:b/>
          <w:color w:val="000000"/>
          <w:sz w:val="32"/>
          <w:szCs w:val="32"/>
        </w:rPr>
        <w:fldChar w:fldCharType="end"/>
      </w:r>
    </w:p>
    <w:p>
      <w:pPr>
        <w:pStyle w:val="271"/>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"_Toc11067542" </w:instrText>
      </w:r>
      <w:r>
        <w:fldChar w:fldCharType="separate"/>
      </w:r>
      <w:r>
        <w:rPr>
          <w:rStyle w:val="54"/>
          <w:rFonts w:hint="eastAsia" w:ascii="Times New Roman" w:hAnsi="Times New Roman"/>
          <w:b/>
          <w:color w:val="000000"/>
          <w:sz w:val="32"/>
          <w:szCs w:val="32"/>
        </w:rPr>
        <w:t>第五章</w:t>
      </w:r>
      <w:r>
        <w:rPr>
          <w:rStyle w:val="54"/>
          <w:rFonts w:ascii="Times New Roman" w:hAnsi="Times New Roman"/>
          <w:b/>
          <w:color w:val="000000"/>
          <w:sz w:val="32"/>
          <w:szCs w:val="32"/>
        </w:rPr>
        <w:t xml:space="preserve">  </w:t>
      </w:r>
      <w:bookmarkStart w:id="4" w:name="_Hlt142655888"/>
      <w:bookmarkStart w:id="5" w:name="_Hlt142655887"/>
      <w:r>
        <w:rPr>
          <w:rStyle w:val="54"/>
          <w:rFonts w:hint="eastAsia" w:ascii="Times New Roman" w:hAnsi="Times New Roman"/>
          <w:b/>
          <w:color w:val="000000"/>
          <w:sz w:val="32"/>
          <w:szCs w:val="32"/>
        </w:rPr>
        <w:t>嘉兴市政府采购合同（指引）</w:t>
      </w:r>
      <w:bookmarkStart w:id="6" w:name="_Hlt142655903"/>
      <w:r>
        <w:rPr>
          <w:rStyle w:val="54"/>
          <w:rFonts w:ascii="Times New Roman" w:hAnsi="Times New Roman"/>
          <w:b/>
          <w:color w:val="000000"/>
          <w:sz w:val="32"/>
          <w:szCs w:val="32"/>
        </w:rPr>
        <w:tab/>
      </w:r>
      <w:bookmarkEnd w:id="4"/>
      <w:bookmarkEnd w:id="5"/>
      <w:bookmarkEnd w:id="6"/>
      <w:bookmarkStart w:id="7" w:name="_Hlt142657066"/>
      <w:bookmarkStart w:id="8" w:name="_Hlt142657065"/>
      <w:r>
        <w:rPr>
          <w:rStyle w:val="54"/>
          <w:rFonts w:ascii="Times New Roman" w:hAnsi="Times New Roman"/>
          <w:b/>
          <w:color w:val="000000"/>
          <w:sz w:val="32"/>
          <w:szCs w:val="32"/>
        </w:rPr>
        <w:t>3</w:t>
      </w:r>
      <w:bookmarkEnd w:id="7"/>
      <w:bookmarkEnd w:id="8"/>
      <w:r>
        <w:rPr>
          <w:rStyle w:val="54"/>
          <w:rFonts w:ascii="Times New Roman" w:hAnsi="Times New Roman"/>
          <w:b/>
          <w:color w:val="000000"/>
          <w:sz w:val="32"/>
          <w:szCs w:val="32"/>
        </w:rPr>
        <w:t>7</w:t>
      </w:r>
      <w:r>
        <w:rPr>
          <w:rStyle w:val="54"/>
          <w:rFonts w:ascii="Times New Roman" w:hAnsi="Times New Roman"/>
          <w:b/>
          <w:color w:val="000000"/>
          <w:sz w:val="32"/>
          <w:szCs w:val="32"/>
        </w:rPr>
        <w:fldChar w:fldCharType="end"/>
      </w:r>
    </w:p>
    <w:p>
      <w:pPr>
        <w:pStyle w:val="271"/>
        <w:spacing w:line="480" w:lineRule="auto"/>
        <w:ind w:firstLine="420" w:firstLineChars="200"/>
        <w:rPr>
          <w:rFonts w:ascii="Times New Roman" w:hAnsi="Times New Roman"/>
          <w:b/>
          <w:color w:val="000000"/>
          <w:sz w:val="32"/>
          <w:szCs w:val="32"/>
        </w:rPr>
      </w:pPr>
      <w:r>
        <w:fldChar w:fldCharType="begin"/>
      </w:r>
      <w:r>
        <w:instrText xml:space="preserve"> HYPERLINK "file:///F:\\陈铭\\135嘉兴市港航管理服务中心海河联运在线项目\\公开招标-嘉兴市港航管理服务中心海河联运在线项目.doc" \l "_Toc11067543" </w:instrText>
      </w:r>
      <w:r>
        <w:fldChar w:fldCharType="separate"/>
      </w:r>
      <w:r>
        <w:rPr>
          <w:rStyle w:val="54"/>
          <w:rFonts w:hint="eastAsia" w:ascii="Times New Roman" w:hAnsi="Times New Roman"/>
          <w:b/>
          <w:color w:val="000000"/>
          <w:sz w:val="32"/>
          <w:szCs w:val="32"/>
        </w:rPr>
        <w:t>第六章</w:t>
      </w:r>
      <w:r>
        <w:rPr>
          <w:rStyle w:val="54"/>
          <w:rFonts w:ascii="Times New Roman" w:hAnsi="Times New Roman"/>
          <w:b/>
          <w:color w:val="000000"/>
          <w:sz w:val="32"/>
          <w:szCs w:val="32"/>
        </w:rPr>
        <w:t xml:space="preserve">  </w:t>
      </w:r>
      <w:r>
        <w:rPr>
          <w:rStyle w:val="54"/>
          <w:rFonts w:hint="eastAsia" w:ascii="Times New Roman" w:hAnsi="Times New Roman"/>
          <w:b/>
          <w:color w:val="000000"/>
          <w:sz w:val="32"/>
          <w:szCs w:val="32"/>
        </w:rPr>
        <w:t>投标文件格式</w:t>
      </w:r>
      <w:r>
        <w:rPr>
          <w:rStyle w:val="54"/>
          <w:rFonts w:ascii="Times New Roman" w:hAnsi="Times New Roman"/>
          <w:b/>
          <w:color w:val="000000"/>
          <w:sz w:val="32"/>
          <w:szCs w:val="32"/>
        </w:rPr>
        <w:tab/>
      </w:r>
      <w:bookmarkStart w:id="9" w:name="_Hlt142655912"/>
      <w:r>
        <w:rPr>
          <w:rStyle w:val="54"/>
          <w:rFonts w:hint="eastAsia"/>
        </w:rPr>
        <w:fldChar w:fldCharType="begin"/>
      </w:r>
      <w:r>
        <w:rPr>
          <w:rStyle w:val="54"/>
          <w:rFonts w:ascii="Times New Roman" w:hAnsi="Times New Roman"/>
          <w:b/>
          <w:color w:val="000000"/>
          <w:sz w:val="32"/>
          <w:szCs w:val="32"/>
        </w:rPr>
        <w:instrText xml:space="preserve"> PAGEREF _Toc11067543 \h </w:instrText>
      </w:r>
      <w:r>
        <w:rPr>
          <w:rStyle w:val="54"/>
          <w:rFonts w:hint="eastAsia"/>
        </w:rPr>
        <w:fldChar w:fldCharType="separate"/>
      </w:r>
      <w:r>
        <w:rPr>
          <w:rStyle w:val="54"/>
          <w:rFonts w:ascii="Times New Roman" w:hAnsi="Times New Roman"/>
          <w:b/>
          <w:color w:val="000000"/>
          <w:sz w:val="32"/>
          <w:szCs w:val="32"/>
        </w:rPr>
        <w:t>41</w:t>
      </w:r>
      <w:r>
        <w:rPr>
          <w:rStyle w:val="54"/>
          <w:rFonts w:hint="eastAsia"/>
        </w:rPr>
        <w:fldChar w:fldCharType="end"/>
      </w:r>
      <w:bookmarkEnd w:id="9"/>
      <w:r>
        <w:rPr>
          <w:rStyle w:val="54"/>
          <w:rFonts w:hint="eastAsia"/>
        </w:rPr>
        <w:fldChar w:fldCharType="end"/>
      </w:r>
    </w:p>
    <w:p>
      <w:pPr>
        <w:pStyle w:val="37"/>
        <w:spacing w:before="0" w:after="0" w:line="480" w:lineRule="auto"/>
        <w:ind w:firstLine="643" w:firstLineChars="200"/>
        <w:outlineLvl w:val="0"/>
        <w:rPr>
          <w:rFonts w:ascii="Times New Roman" w:hAnsi="Times New Roman"/>
          <w:color w:val="000000"/>
          <w:sz w:val="21"/>
          <w:szCs w:val="21"/>
        </w:rPr>
      </w:pPr>
      <w:r>
        <w:rPr>
          <w:rFonts w:ascii="Times New Roman" w:hAnsi="Times New Roman"/>
          <w:bCs w:val="0"/>
          <w:color w:val="000000"/>
        </w:rPr>
        <w:fldChar w:fldCharType="end"/>
      </w:r>
    </w:p>
    <w:p>
      <w:pPr>
        <w:pStyle w:val="46"/>
        <w:spacing w:after="240"/>
        <w:rPr>
          <w:rFonts w:ascii="Times New Roman" w:hAnsi="Times New Roman"/>
          <w:color w:val="000000"/>
        </w:rPr>
      </w:pPr>
      <w:r>
        <w:rPr>
          <w:rFonts w:ascii="Times New Roman" w:hAnsi="Times New Roman"/>
          <w:b w:val="0"/>
          <w:bCs w:val="0"/>
          <w:color w:val="000000"/>
          <w:szCs w:val="21"/>
        </w:rPr>
        <w:br w:type="page"/>
      </w:r>
      <w:bookmarkStart w:id="10" w:name="_Toc406402982"/>
      <w:bookmarkStart w:id="11" w:name="_Toc11067538"/>
      <w:r>
        <w:rPr>
          <w:rFonts w:hint="eastAsia" w:ascii="Times New Roman" w:hAnsi="Times New Roman"/>
          <w:color w:val="000000"/>
        </w:rPr>
        <w:t>第一章</w:t>
      </w:r>
      <w:r>
        <w:rPr>
          <w:rFonts w:ascii="Times New Roman" w:hAnsi="Times New Roman"/>
          <w:color w:val="000000"/>
        </w:rPr>
        <w:t xml:space="preserve">  </w:t>
      </w:r>
      <w:bookmarkEnd w:id="10"/>
      <w:r>
        <w:rPr>
          <w:rFonts w:hint="eastAsia" w:ascii="Times New Roman" w:hAnsi="Times New Roman"/>
          <w:color w:val="000000"/>
        </w:rPr>
        <w:t>公开招标采购公告</w:t>
      </w:r>
      <w:bookmarkEnd w:id="11"/>
    </w:p>
    <w:p>
      <w:pPr>
        <w:snapToGrid w:val="0"/>
        <w:spacing w:line="360" w:lineRule="auto"/>
        <w:ind w:left="-65" w:leftChars="-31" w:firstLine="420" w:firstLineChars="200"/>
        <w:rPr>
          <w:rFonts w:ascii="Times New Roman" w:hAnsi="Times New Roman"/>
          <w:color w:val="000000"/>
          <w:szCs w:val="21"/>
        </w:rPr>
      </w:pPr>
      <w:r>
        <w:rPr>
          <w:rFonts w:hint="eastAsia" w:ascii="Times New Roman" w:hAnsi="Times New Roman"/>
          <w:color w:val="000000"/>
          <w:szCs w:val="21"/>
        </w:rPr>
        <w:t>根据《中华人民共和国政府采购法》、《中华人民共和国政府采购法实施条例》和《政府采购货物和服务招标投标管理办法》、《浙江省政府采购活动现场组织管理办法》、《浙江省政府采购项目电子交易管理暂行办法》等规定，</w:t>
      </w:r>
      <w:r>
        <w:rPr>
          <w:rFonts w:hint="eastAsia" w:ascii="Times New Roman" w:hAnsi="Times New Roman"/>
          <w:color w:val="000000"/>
          <w:szCs w:val="21"/>
          <w:lang w:eastAsia="zh-CN"/>
        </w:rPr>
        <w:t>嘉兴市华信工程咨询有限公司</w:t>
      </w:r>
      <w:r>
        <w:rPr>
          <w:rFonts w:hint="eastAsia" w:ascii="Times New Roman" w:hAnsi="Times New Roman"/>
          <w:color w:val="000000"/>
          <w:szCs w:val="21"/>
        </w:rPr>
        <w:t>受</w:t>
      </w:r>
      <w:r>
        <w:rPr>
          <w:rFonts w:hint="eastAsia" w:ascii="Times New Roman" w:hAnsi="Times New Roman"/>
          <w:color w:val="000000"/>
          <w:szCs w:val="21"/>
          <w:lang w:eastAsia="zh-CN"/>
        </w:rPr>
        <w:t>嘉兴市秀洲区公路与运输管理服务中心</w:t>
      </w:r>
      <w:r>
        <w:rPr>
          <w:rFonts w:hint="eastAsia" w:ascii="Times New Roman" w:hAnsi="Times New Roman"/>
          <w:color w:val="000000"/>
          <w:szCs w:val="21"/>
        </w:rPr>
        <w:t>委托，经秀洲区财政临[2023]3812号批准，现就</w:t>
      </w:r>
      <w:r>
        <w:rPr>
          <w:rFonts w:hint="eastAsia" w:ascii="Times New Roman" w:hAnsi="Times New Roman"/>
          <w:color w:val="000000"/>
          <w:szCs w:val="21"/>
          <w:lang w:eastAsia="zh-CN"/>
        </w:rPr>
        <w:t>2024-2025年度秀洲区公路小修项目</w:t>
      </w:r>
      <w:r>
        <w:rPr>
          <w:rFonts w:hint="eastAsia" w:ascii="Times New Roman" w:hAnsi="Times New Roman"/>
          <w:color w:val="000000"/>
          <w:szCs w:val="21"/>
        </w:rPr>
        <w:t>进行公开招标采购，欢迎国内合格供应商前来投标，现将有关事项公告如下：</w:t>
      </w:r>
    </w:p>
    <w:p>
      <w:pPr>
        <w:snapToGrid w:val="0"/>
        <w:spacing w:line="360" w:lineRule="auto"/>
        <w:ind w:firstLine="422" w:firstLineChars="200"/>
        <w:rPr>
          <w:rFonts w:ascii="Times New Roman" w:hAnsi="Times New Roman"/>
          <w:color w:val="000000"/>
          <w:highlight w:val="none"/>
        </w:rPr>
      </w:pPr>
      <w:r>
        <w:rPr>
          <w:rFonts w:hint="eastAsia" w:ascii="Times New Roman" w:hAnsi="Times New Roman"/>
          <w:b/>
          <w:color w:val="000000"/>
          <w:szCs w:val="21"/>
          <w:highlight w:val="none"/>
        </w:rPr>
        <w:t xml:space="preserve">一、招标项目编号：JXHX-2023-133 </w:t>
      </w:r>
    </w:p>
    <w:p>
      <w:pPr>
        <w:snapToGrid w:val="0"/>
        <w:spacing w:line="360" w:lineRule="auto"/>
        <w:ind w:firstLine="422" w:firstLineChars="200"/>
        <w:rPr>
          <w:rFonts w:ascii="Times New Roman" w:hAnsi="Times New Roman"/>
          <w:bCs/>
          <w:color w:val="000000"/>
          <w:szCs w:val="21"/>
        </w:rPr>
      </w:pPr>
      <w:r>
        <w:rPr>
          <w:rFonts w:hint="eastAsia" w:ascii="Times New Roman" w:hAnsi="Times New Roman"/>
          <w:b/>
          <w:color w:val="000000"/>
          <w:szCs w:val="21"/>
        </w:rPr>
        <w:t>二、采购组织类型：</w:t>
      </w:r>
      <w:r>
        <w:rPr>
          <w:rFonts w:hint="eastAsia" w:ascii="Times New Roman" w:hAnsi="Times New Roman"/>
          <w:bCs/>
          <w:color w:val="000000"/>
          <w:szCs w:val="21"/>
        </w:rPr>
        <w:t>分散采购委托代理</w:t>
      </w:r>
    </w:p>
    <w:p>
      <w:pPr>
        <w:snapToGrid w:val="0"/>
        <w:spacing w:line="360" w:lineRule="auto"/>
        <w:ind w:firstLine="422" w:firstLineChars="200"/>
        <w:rPr>
          <w:rFonts w:ascii="Times New Roman" w:hAnsi="Times New Roman"/>
          <w:color w:val="000000"/>
          <w:szCs w:val="21"/>
        </w:rPr>
      </w:pPr>
      <w:r>
        <w:rPr>
          <w:rFonts w:hint="eastAsia" w:ascii="Times New Roman" w:hAnsi="Times New Roman"/>
          <w:b/>
          <w:color w:val="000000"/>
          <w:szCs w:val="21"/>
        </w:rPr>
        <w:t>三、采购方式：</w:t>
      </w:r>
      <w:r>
        <w:rPr>
          <w:rFonts w:hint="eastAsia" w:ascii="Times New Roman" w:hAnsi="Times New Roman"/>
          <w:color w:val="000000"/>
          <w:szCs w:val="21"/>
        </w:rPr>
        <w:t>公开招标</w:t>
      </w:r>
    </w:p>
    <w:p>
      <w:pPr>
        <w:spacing w:line="360" w:lineRule="auto"/>
        <w:ind w:left="-101" w:leftChars="-48" w:right="-506" w:rightChars="-241" w:firstLine="517" w:firstLineChars="245"/>
        <w:jc w:val="left"/>
        <w:rPr>
          <w:rFonts w:hint="eastAsia" w:ascii="Times New Roman" w:hAnsi="Times New Roman" w:eastAsia="宋体"/>
          <w:color w:val="000000"/>
          <w:szCs w:val="21"/>
          <w:lang w:eastAsia="zh-CN"/>
        </w:rPr>
      </w:pPr>
      <w:r>
        <w:rPr>
          <w:rFonts w:hint="eastAsia" w:ascii="Times New Roman" w:hAnsi="Times New Roman"/>
          <w:b/>
          <w:color w:val="000000"/>
          <w:szCs w:val="21"/>
        </w:rPr>
        <w:t>四、招标项目：</w:t>
      </w:r>
      <w:r>
        <w:rPr>
          <w:rFonts w:hint="eastAsia" w:ascii="Times New Roman" w:hAnsi="Times New Roman"/>
          <w:color w:val="000000"/>
          <w:szCs w:val="21"/>
          <w:lang w:eastAsia="zh-CN"/>
        </w:rPr>
        <w:t>2024-2025年度秀洲区公路小修项目</w:t>
      </w:r>
    </w:p>
    <w:p>
      <w:pPr>
        <w:spacing w:line="360" w:lineRule="auto"/>
        <w:ind w:left="-101" w:leftChars="-48" w:right="-506" w:rightChars="-241" w:firstLine="517" w:firstLineChars="245"/>
        <w:jc w:val="left"/>
        <w:rPr>
          <w:rFonts w:ascii="Times New Roman" w:hAnsi="Times New Roman"/>
          <w:color w:val="000000"/>
          <w:szCs w:val="21"/>
        </w:rPr>
      </w:pPr>
      <w:r>
        <w:rPr>
          <w:rFonts w:hint="eastAsia" w:ascii="Times New Roman" w:hAnsi="Times New Roman"/>
          <w:b/>
          <w:color w:val="000000"/>
          <w:szCs w:val="21"/>
        </w:rPr>
        <w:t>五、采购内容及数量</w:t>
      </w:r>
    </w:p>
    <w:tbl>
      <w:tblPr>
        <w:tblStyle w:val="49"/>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540"/>
        <w:gridCol w:w="2242"/>
        <w:gridCol w:w="567"/>
        <w:gridCol w:w="850"/>
        <w:gridCol w:w="1350"/>
        <w:gridCol w:w="1680"/>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b/>
                <w:color w:val="000000"/>
                <w:szCs w:val="21"/>
              </w:rPr>
            </w:pPr>
            <w:r>
              <w:rPr>
                <w:rFonts w:hint="eastAsia" w:ascii="Times New Roman" w:hAnsi="Times New Roman"/>
                <w:b/>
                <w:color w:val="000000"/>
                <w:szCs w:val="21"/>
              </w:rPr>
              <w:t>序号</w:t>
            </w:r>
          </w:p>
        </w:tc>
        <w:tc>
          <w:tcPr>
            <w:tcW w:w="224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b/>
                <w:color w:val="000000"/>
                <w:szCs w:val="21"/>
                <w:lang w:eastAsia="zh-CN"/>
              </w:rPr>
            </w:pPr>
            <w:r>
              <w:rPr>
                <w:rFonts w:hint="eastAsia" w:ascii="Times New Roman" w:hAnsi="Times New Roman"/>
                <w:b/>
                <w:color w:val="000000"/>
                <w:szCs w:val="21"/>
                <w:lang w:eastAsia="zh-CN"/>
              </w:rPr>
              <w:t>项目名称</w:t>
            </w:r>
          </w:p>
        </w:tc>
        <w:tc>
          <w:tcPr>
            <w:tcW w:w="567"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b/>
                <w:color w:val="000000"/>
                <w:szCs w:val="21"/>
                <w:lang w:eastAsia="zh-CN"/>
              </w:rPr>
            </w:pPr>
            <w:r>
              <w:rPr>
                <w:rFonts w:hint="eastAsia" w:ascii="Times New Roman" w:hAnsi="Times New Roman"/>
                <w:b/>
                <w:color w:val="000000"/>
                <w:szCs w:val="21"/>
                <w:lang w:eastAsia="zh-CN"/>
              </w:rPr>
              <w:t>数量</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b/>
                <w:color w:val="000000"/>
                <w:szCs w:val="21"/>
                <w:lang w:eastAsia="zh-CN"/>
              </w:rPr>
            </w:pPr>
            <w:r>
              <w:rPr>
                <w:rFonts w:hint="eastAsia" w:ascii="Times New Roman" w:hAnsi="Times New Roman"/>
                <w:b/>
                <w:color w:val="000000"/>
                <w:szCs w:val="21"/>
                <w:lang w:eastAsia="zh-CN"/>
              </w:rPr>
              <w:t>单位</w:t>
            </w:r>
          </w:p>
        </w:tc>
        <w:tc>
          <w:tcPr>
            <w:tcW w:w="135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b/>
                <w:color w:val="000000"/>
                <w:szCs w:val="21"/>
                <w:lang w:eastAsia="zh-CN"/>
              </w:rPr>
            </w:pPr>
            <w:r>
              <w:rPr>
                <w:rFonts w:hint="eastAsia" w:ascii="Times New Roman" w:hAnsi="Times New Roman"/>
                <w:b/>
                <w:color w:val="000000"/>
                <w:szCs w:val="21"/>
                <w:lang w:eastAsia="zh-CN"/>
              </w:rPr>
              <w:t>预算金额（万元）</w:t>
            </w:r>
          </w:p>
        </w:tc>
        <w:tc>
          <w:tcPr>
            <w:tcW w:w="168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b/>
                <w:color w:val="000000"/>
                <w:szCs w:val="21"/>
                <w:lang w:eastAsia="zh-CN"/>
              </w:rPr>
            </w:pPr>
            <w:r>
              <w:rPr>
                <w:rFonts w:hint="eastAsia" w:ascii="Times New Roman" w:hAnsi="Times New Roman"/>
                <w:b/>
                <w:color w:val="000000"/>
                <w:szCs w:val="21"/>
                <w:lang w:eastAsia="zh-CN"/>
              </w:rPr>
              <w:t>最高投标限价（万元）</w:t>
            </w:r>
          </w:p>
        </w:tc>
        <w:tc>
          <w:tcPr>
            <w:tcW w:w="199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b/>
                <w:color w:val="000000"/>
                <w:szCs w:val="21"/>
                <w:lang w:eastAsia="zh-CN"/>
              </w:rPr>
            </w:pPr>
            <w:r>
              <w:rPr>
                <w:rFonts w:hint="eastAsia" w:ascii="Times New Roman" w:hAnsi="Times New Roman"/>
                <w:b/>
                <w:color w:val="000000"/>
                <w:szCs w:val="21"/>
                <w:lang w:eastAsia="zh-CN"/>
              </w:rPr>
              <w:t>简要技术要求、用途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791" w:hRule="atLeast"/>
          <w:jc w:val="center"/>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Times New Roman" w:hAnsi="Times New Roman"/>
                <w:bCs/>
                <w:color w:val="000000"/>
                <w:szCs w:val="21"/>
              </w:rPr>
            </w:pPr>
            <w:r>
              <w:rPr>
                <w:rFonts w:ascii="Times New Roman" w:hAnsi="Times New Roman"/>
                <w:bCs/>
                <w:color w:val="000000"/>
                <w:szCs w:val="21"/>
              </w:rPr>
              <w:t>1</w:t>
            </w:r>
          </w:p>
        </w:tc>
        <w:tc>
          <w:tcPr>
            <w:tcW w:w="2242"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2024-2025年度秀洲区公路小修项目</w:t>
            </w:r>
          </w:p>
        </w:tc>
        <w:tc>
          <w:tcPr>
            <w:tcW w:w="567"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1</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项</w:t>
            </w:r>
          </w:p>
        </w:tc>
        <w:tc>
          <w:tcPr>
            <w:tcW w:w="135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default" w:ascii="Times New Roman" w:hAnsi="Times New Roman"/>
                <w:color w:val="000000"/>
                <w:szCs w:val="21"/>
                <w:lang w:val="en-US" w:eastAsia="zh-CN"/>
              </w:rPr>
            </w:pPr>
            <w:r>
              <w:rPr>
                <w:rFonts w:hint="eastAsia" w:ascii="Times New Roman" w:hAnsi="Times New Roman"/>
                <w:color w:val="000000"/>
                <w:szCs w:val="21"/>
                <w:lang w:val="en-US" w:eastAsia="zh-CN"/>
              </w:rPr>
              <w:t>2000</w:t>
            </w:r>
          </w:p>
        </w:tc>
        <w:tc>
          <w:tcPr>
            <w:tcW w:w="168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color w:val="000000"/>
                <w:szCs w:val="21"/>
                <w:lang w:eastAsia="zh-CN"/>
              </w:rPr>
            </w:pPr>
            <w:r>
              <w:rPr>
                <w:rFonts w:hint="eastAsia" w:cs="Arial"/>
                <w:bCs/>
                <w:color w:val="000000"/>
                <w:szCs w:val="21"/>
              </w:rPr>
              <w:t>1989.5770</w:t>
            </w:r>
          </w:p>
        </w:tc>
        <w:tc>
          <w:tcPr>
            <w:tcW w:w="1990" w:type="dxa"/>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hint="eastAsia" w:ascii="Times New Roman" w:hAnsi="Times New Roman"/>
                <w:color w:val="000000"/>
                <w:szCs w:val="21"/>
                <w:lang w:eastAsia="zh-CN"/>
              </w:rPr>
            </w:pPr>
            <w:r>
              <w:rPr>
                <w:rFonts w:hint="eastAsia" w:ascii="Times New Roman" w:hAnsi="Times New Roman"/>
                <w:color w:val="000000"/>
                <w:szCs w:val="21"/>
                <w:lang w:eastAsia="zh-CN"/>
              </w:rPr>
              <w:t>具体详见第二章招标需求。</w:t>
            </w:r>
          </w:p>
        </w:tc>
      </w:tr>
    </w:tbl>
    <w:p>
      <w:pPr>
        <w:spacing w:line="360" w:lineRule="auto"/>
        <w:ind w:firstLine="422" w:firstLineChars="200"/>
        <w:rPr>
          <w:rFonts w:ascii="Times New Roman" w:hAnsi="Times New Roman"/>
          <w:b/>
          <w:color w:val="000000"/>
          <w:szCs w:val="21"/>
        </w:rPr>
      </w:pPr>
      <w:r>
        <w:rPr>
          <w:rFonts w:hint="eastAsia" w:ascii="Times New Roman" w:hAnsi="Times New Roman"/>
          <w:b/>
          <w:color w:val="000000"/>
          <w:szCs w:val="21"/>
        </w:rPr>
        <w:t>六、采购需求（概述）</w:t>
      </w:r>
    </w:p>
    <w:p>
      <w:pPr>
        <w:pStyle w:val="297"/>
        <w:tabs>
          <w:tab w:val="left" w:pos="1122"/>
        </w:tabs>
        <w:spacing w:line="360" w:lineRule="auto"/>
        <w:rPr>
          <w:rFonts w:ascii="Times New Roman" w:hAnsi="Times New Roman" w:cs="Times New Roman"/>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具体详见招标文件第二章招标需求。</w:t>
      </w:r>
    </w:p>
    <w:p>
      <w:pPr>
        <w:spacing w:line="360" w:lineRule="auto"/>
        <w:ind w:firstLine="422" w:firstLineChars="200"/>
        <w:rPr>
          <w:rFonts w:ascii="Times New Roman" w:hAnsi="Times New Roman"/>
          <w:b/>
          <w:color w:val="000000"/>
          <w:szCs w:val="21"/>
        </w:rPr>
      </w:pPr>
      <w:r>
        <w:rPr>
          <w:rFonts w:hint="eastAsia" w:ascii="Times New Roman" w:hAnsi="Times New Roman"/>
          <w:b/>
          <w:color w:val="000000"/>
          <w:szCs w:val="21"/>
        </w:rPr>
        <w:t>七、合格投标人的资格要求</w:t>
      </w:r>
      <w:r>
        <w:rPr>
          <w:rFonts w:ascii="Times New Roman" w:hAnsi="Times New Roman"/>
          <w:b/>
          <w:color w:val="000000"/>
          <w:szCs w:val="21"/>
        </w:rPr>
        <w:t>:</w:t>
      </w:r>
    </w:p>
    <w:p>
      <w:pPr>
        <w:spacing w:line="360" w:lineRule="auto"/>
        <w:ind w:firstLine="420" w:firstLineChars="200"/>
        <w:rPr>
          <w:rFonts w:ascii="Times New Roman" w:hAnsi="Times New Roman"/>
          <w:color w:val="000000"/>
          <w:szCs w:val="21"/>
        </w:rPr>
      </w:pPr>
      <w:r>
        <w:rPr>
          <w:rFonts w:ascii="Times New Roman" w:hAnsi="Times New Roman"/>
          <w:color w:val="000000"/>
          <w:szCs w:val="21"/>
        </w:rPr>
        <w:t>1</w:t>
      </w:r>
      <w:r>
        <w:rPr>
          <w:rFonts w:hint="eastAsia" w:ascii="Times New Roman" w:hAnsi="Times New Roman"/>
          <w:color w:val="000000"/>
          <w:szCs w:val="21"/>
        </w:rPr>
        <w:t>、符合政府采购法第二十二条（</w:t>
      </w:r>
      <w:r>
        <w:rPr>
          <w:rFonts w:ascii="Times New Roman" w:hAnsi="Times New Roman"/>
          <w:color w:val="000000"/>
          <w:szCs w:val="21"/>
        </w:rPr>
        <w:t>1</w:t>
      </w:r>
      <w:r>
        <w:rPr>
          <w:rFonts w:hint="eastAsia" w:ascii="Times New Roman" w:hAnsi="Times New Roman"/>
          <w:color w:val="000000"/>
          <w:szCs w:val="21"/>
        </w:rPr>
        <w:t>、具有独立承担民事责任的能力；</w:t>
      </w:r>
      <w:r>
        <w:rPr>
          <w:rFonts w:ascii="Times New Roman" w:hAnsi="Times New Roman"/>
          <w:color w:val="000000"/>
          <w:szCs w:val="21"/>
        </w:rPr>
        <w:t>2</w:t>
      </w:r>
      <w:r>
        <w:rPr>
          <w:rFonts w:hint="eastAsia" w:ascii="Times New Roman" w:hAnsi="Times New Roman"/>
          <w:color w:val="000000"/>
          <w:szCs w:val="21"/>
        </w:rPr>
        <w:t>、具有良好的商业信誉和健全的财务会计制度；</w:t>
      </w:r>
      <w:r>
        <w:rPr>
          <w:rFonts w:ascii="Times New Roman" w:hAnsi="Times New Roman"/>
          <w:color w:val="000000"/>
          <w:szCs w:val="21"/>
        </w:rPr>
        <w:t>3</w:t>
      </w:r>
      <w:r>
        <w:rPr>
          <w:rFonts w:hint="eastAsia" w:ascii="Times New Roman" w:hAnsi="Times New Roman"/>
          <w:color w:val="000000"/>
          <w:szCs w:val="21"/>
        </w:rPr>
        <w:t>、具有履行合同所必需的设备和专业技术能力；</w:t>
      </w:r>
      <w:r>
        <w:rPr>
          <w:rFonts w:ascii="Times New Roman" w:hAnsi="Times New Roman"/>
          <w:color w:val="000000"/>
          <w:szCs w:val="21"/>
        </w:rPr>
        <w:t>4</w:t>
      </w:r>
      <w:r>
        <w:rPr>
          <w:rFonts w:hint="eastAsia" w:ascii="Times New Roman" w:hAnsi="Times New Roman"/>
          <w:color w:val="000000"/>
          <w:szCs w:val="21"/>
        </w:rPr>
        <w:t>、有依法缴纳税收和社会保障资金的良好记录；</w:t>
      </w:r>
      <w:r>
        <w:rPr>
          <w:rFonts w:ascii="Times New Roman" w:hAnsi="Times New Roman"/>
          <w:color w:val="000000"/>
          <w:szCs w:val="21"/>
        </w:rPr>
        <w:t>5</w:t>
      </w:r>
      <w:r>
        <w:rPr>
          <w:rFonts w:hint="eastAsia" w:ascii="Times New Roman" w:hAnsi="Times New Roman"/>
          <w:color w:val="000000"/>
          <w:szCs w:val="21"/>
        </w:rPr>
        <w:t>、参加政府采购活动前三年内，在经营活动中没有重大违法记录；</w:t>
      </w:r>
      <w:r>
        <w:rPr>
          <w:rFonts w:ascii="Times New Roman" w:hAnsi="Times New Roman"/>
          <w:color w:val="000000"/>
          <w:szCs w:val="21"/>
        </w:rPr>
        <w:t>6</w:t>
      </w:r>
      <w:r>
        <w:rPr>
          <w:rFonts w:hint="eastAsia" w:ascii="Times New Roman" w:hAnsi="Times New Roman"/>
          <w:color w:val="000000"/>
          <w:szCs w:val="21"/>
        </w:rPr>
        <w:t>、法律、行政法规规定的其他条件）之供应商资格规定；</w:t>
      </w:r>
      <w:r>
        <w:rPr>
          <w:rFonts w:ascii="Times New Roman" w:hAnsi="Times New Roman"/>
          <w:color w:val="000000"/>
          <w:szCs w:val="21"/>
        </w:rPr>
        <w:t xml:space="preserve"> </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rPr>
        <w:t>2</w:t>
      </w:r>
      <w:r>
        <w:rPr>
          <w:rFonts w:hint="eastAsia" w:ascii="Times New Roman" w:hAnsi="Times New Roman"/>
          <w:color w:val="000000"/>
          <w:szCs w:val="21"/>
        </w:rPr>
        <w:t>、符合浙财采监【</w:t>
      </w:r>
      <w:r>
        <w:rPr>
          <w:rFonts w:ascii="Times New Roman" w:hAnsi="Times New Roman"/>
          <w:color w:val="000000"/>
          <w:szCs w:val="21"/>
        </w:rPr>
        <w:t>2013</w:t>
      </w:r>
      <w:r>
        <w:rPr>
          <w:rFonts w:hint="eastAsia" w:ascii="Times New Roman" w:hAnsi="Times New Roman"/>
          <w:color w:val="000000"/>
          <w:szCs w:val="21"/>
        </w:rPr>
        <w:t>】</w:t>
      </w:r>
      <w:r>
        <w:rPr>
          <w:rFonts w:ascii="Times New Roman" w:hAnsi="Times New Roman"/>
          <w:color w:val="000000"/>
          <w:szCs w:val="21"/>
        </w:rPr>
        <w:t>24</w:t>
      </w:r>
      <w:r>
        <w:rPr>
          <w:rFonts w:hint="eastAsia" w:ascii="Times New Roman" w:hAnsi="Times New Roman"/>
          <w:color w:val="000000"/>
          <w:szCs w:val="21"/>
        </w:rPr>
        <w:t>号《关于规范政府采购供应商资格设定及资格审查的通知》第六条规定</w:t>
      </w:r>
      <w:r>
        <w:rPr>
          <w:rFonts w:ascii="Times New Roman" w:hAnsi="Times New Roman"/>
          <w:color w:val="000000"/>
          <w:szCs w:val="21"/>
        </w:rPr>
        <w:t>,</w:t>
      </w:r>
      <w:r>
        <w:rPr>
          <w:rFonts w:hint="eastAsia" w:ascii="Times New Roman" w:hAnsi="Times New Roman"/>
          <w:color w:val="000000"/>
          <w:szCs w:val="21"/>
        </w:rPr>
        <w:t>且未被</w:t>
      </w:r>
      <w:r>
        <w:rPr>
          <w:rFonts w:ascii="Times New Roman" w:hAnsi="Times New Roman"/>
          <w:color w:val="000000"/>
          <w:szCs w:val="21"/>
        </w:rPr>
        <w:t>“</w:t>
      </w:r>
      <w:r>
        <w:rPr>
          <w:rFonts w:hint="eastAsia" w:ascii="Times New Roman" w:hAnsi="Times New Roman"/>
          <w:color w:val="000000"/>
          <w:szCs w:val="21"/>
        </w:rPr>
        <w:t>信用中国</w:t>
      </w:r>
      <w:r>
        <w:rPr>
          <w:rFonts w:ascii="Times New Roman" w:hAnsi="Times New Roman"/>
          <w:color w:val="000000"/>
          <w:szCs w:val="21"/>
        </w:rPr>
        <w:t>”</w:t>
      </w:r>
      <w:r>
        <w:rPr>
          <w:rFonts w:hint="eastAsia" w:ascii="Times New Roman" w:hAnsi="Times New Roman"/>
          <w:color w:val="000000"/>
          <w:szCs w:val="21"/>
        </w:rPr>
        <w:t>（</w:t>
      </w:r>
      <w:r>
        <w:rPr>
          <w:rFonts w:ascii="Times New Roman" w:hAnsi="Times New Roman"/>
          <w:color w:val="000000"/>
          <w:szCs w:val="21"/>
        </w:rPr>
        <w:t>www.creditchina.gov.cn</w:t>
      </w:r>
      <w:r>
        <w:rPr>
          <w:rFonts w:hint="eastAsia" w:ascii="Times New Roman" w:hAnsi="Times New Roman"/>
          <w:color w:val="000000"/>
          <w:szCs w:val="21"/>
        </w:rPr>
        <w:t>）、</w:t>
      </w:r>
      <w:bookmarkStart w:id="12" w:name="_Hlk36587266"/>
      <w:r>
        <w:rPr>
          <w:rFonts w:hint="eastAsia" w:ascii="Times New Roman" w:hAnsi="Times New Roman"/>
          <w:color w:val="000000"/>
          <w:szCs w:val="21"/>
        </w:rPr>
        <w:t>“信用中国（浙江）”（</w:t>
      </w:r>
      <w:r>
        <w:rPr>
          <w:rFonts w:ascii="Times New Roman" w:hAnsi="Times New Roman"/>
          <w:color w:val="000000"/>
          <w:szCs w:val="21"/>
        </w:rPr>
        <w:t>http://c</w:t>
      </w:r>
      <w:r>
        <w:rPr>
          <w:rFonts w:ascii="Times New Roman" w:hAnsi="Times New Roman"/>
          <w:color w:val="000000"/>
          <w:szCs w:val="21"/>
          <w:highlight w:val="none"/>
        </w:rPr>
        <w:t>redit.zj.gov.cn</w:t>
      </w:r>
      <w:r>
        <w:rPr>
          <w:rFonts w:hint="eastAsia" w:ascii="Times New Roman" w:hAnsi="Times New Roman"/>
          <w:color w:val="000000"/>
          <w:szCs w:val="21"/>
          <w:highlight w:val="none"/>
        </w:rPr>
        <w:t>）</w:t>
      </w:r>
      <w:bookmarkEnd w:id="12"/>
      <w:r>
        <w:rPr>
          <w:rFonts w:hint="eastAsia" w:ascii="Times New Roman" w:hAnsi="Times New Roman"/>
          <w:color w:val="000000"/>
          <w:szCs w:val="21"/>
          <w:highlight w:val="none"/>
        </w:rPr>
        <w:t>、中国政府采购网（</w:t>
      </w:r>
      <w:r>
        <w:rPr>
          <w:rFonts w:ascii="Times New Roman" w:hAnsi="Times New Roman"/>
          <w:color w:val="000000"/>
          <w:szCs w:val="21"/>
          <w:highlight w:val="none"/>
        </w:rPr>
        <w:t>www.ccgp.gov.cn</w:t>
      </w:r>
      <w:r>
        <w:rPr>
          <w:rFonts w:hint="eastAsia" w:ascii="Times New Roman" w:hAnsi="Times New Roman"/>
          <w:color w:val="000000"/>
          <w:szCs w:val="21"/>
          <w:highlight w:val="none"/>
        </w:rPr>
        <w:t>）列入失信被执行人、重大税收违法案件当事人名单、</w:t>
      </w:r>
      <w:bookmarkStart w:id="13" w:name="_Hlk36587292"/>
      <w:r>
        <w:rPr>
          <w:rFonts w:hint="eastAsia" w:ascii="Times New Roman" w:hAnsi="Times New Roman"/>
          <w:color w:val="000000"/>
          <w:szCs w:val="21"/>
          <w:highlight w:val="none"/>
        </w:rPr>
        <w:t>失信黑名单、</w:t>
      </w:r>
      <w:bookmarkEnd w:id="13"/>
      <w:r>
        <w:rPr>
          <w:rFonts w:hint="eastAsia" w:ascii="Times New Roman" w:hAnsi="Times New Roman"/>
          <w:color w:val="000000"/>
          <w:szCs w:val="21"/>
          <w:highlight w:val="none"/>
        </w:rPr>
        <w:t>政府采购严重违法失信行为记录名单。</w:t>
      </w:r>
    </w:p>
    <w:p>
      <w:pPr>
        <w:spacing w:line="360" w:lineRule="auto"/>
        <w:ind w:firstLine="420" w:firstLineChars="200"/>
        <w:rPr>
          <w:rFonts w:hint="eastAsia" w:ascii="Times New Roman" w:hAnsi="Times New Roman"/>
          <w:color w:val="000000"/>
          <w:szCs w:val="21"/>
          <w:highlight w:val="none"/>
        </w:rPr>
      </w:pPr>
      <w:r>
        <w:rPr>
          <w:rFonts w:ascii="Times New Roman" w:hAnsi="Times New Roman"/>
          <w:color w:val="000000"/>
          <w:szCs w:val="21"/>
          <w:highlight w:val="none"/>
        </w:rPr>
        <w:t>3</w:t>
      </w:r>
      <w:r>
        <w:rPr>
          <w:rFonts w:hint="eastAsia" w:ascii="Times New Roman" w:hAnsi="Times New Roman"/>
          <w:color w:val="000000"/>
          <w:szCs w:val="21"/>
          <w:highlight w:val="none"/>
        </w:rPr>
        <w:t>、落实政府采购政策需满足的资格要求：本项目属于专门面向中小企业采购的项目。</w:t>
      </w:r>
    </w:p>
    <w:p>
      <w:pPr>
        <w:spacing w:line="360" w:lineRule="auto"/>
        <w:ind w:firstLine="420" w:firstLineChars="200"/>
        <w:rPr>
          <w:rFonts w:hint="eastAsia" w:ascii="Times New Roman" w:hAnsi="Times New Roman"/>
          <w:color w:val="000000"/>
          <w:szCs w:val="21"/>
          <w:highlight w:val="none"/>
        </w:rPr>
      </w:pPr>
      <w:r>
        <w:rPr>
          <w:rFonts w:ascii="Times New Roman" w:hAnsi="Times New Roman"/>
          <w:color w:val="000000"/>
          <w:szCs w:val="21"/>
          <w:highlight w:val="none"/>
        </w:rPr>
        <w:t>4</w:t>
      </w:r>
      <w:r>
        <w:rPr>
          <w:rFonts w:hint="eastAsia" w:ascii="Times New Roman" w:hAnsi="Times New Roman"/>
          <w:color w:val="000000"/>
          <w:szCs w:val="21"/>
          <w:highlight w:val="none"/>
        </w:rPr>
        <w:t>、本项目不接受联合体投标。</w:t>
      </w:r>
    </w:p>
    <w:p>
      <w:pPr>
        <w:snapToGrid w:val="0"/>
        <w:spacing w:line="360" w:lineRule="auto"/>
        <w:ind w:firstLine="420" w:firstLineChars="200"/>
      </w:pPr>
      <w:r>
        <w:rPr>
          <w:rFonts w:hint="eastAsia" w:cs="Arial"/>
          <w:color w:val="000000"/>
          <w:szCs w:val="21"/>
        </w:rPr>
        <w:t>5、特定条件：投标人须具备独立法人资格，同时具备公路养护工程三类甲级资质和公路养护工程三类乙级资质；或公路路基路面甲级资质；或公路工程施工总承包二级及以上资质且安全生产许可证在有效期内，并在人员、资金等方面具有相应施工能力的企业。</w:t>
      </w:r>
    </w:p>
    <w:p>
      <w:pPr>
        <w:spacing w:line="336" w:lineRule="auto"/>
        <w:ind w:firstLine="422" w:firstLineChars="200"/>
        <w:rPr>
          <w:rFonts w:ascii="Times New Roman" w:hAnsi="Times New Roman"/>
          <w:b/>
          <w:bCs/>
          <w:color w:val="000000"/>
          <w:szCs w:val="21"/>
        </w:rPr>
      </w:pPr>
      <w:r>
        <w:rPr>
          <w:rFonts w:hint="eastAsia" w:ascii="Times New Roman" w:hAnsi="Times New Roman"/>
          <w:b/>
          <w:bCs/>
          <w:color w:val="000000"/>
          <w:szCs w:val="21"/>
        </w:rPr>
        <w:t>注：本采购项目，中标单位与采购单位签订的政府采购合同适用于嘉兴市政府采购贷款政策，简称</w:t>
      </w:r>
      <w:r>
        <w:rPr>
          <w:rFonts w:ascii="Times New Roman" w:hAnsi="Times New Roman"/>
          <w:b/>
          <w:bCs/>
          <w:color w:val="000000"/>
          <w:szCs w:val="21"/>
        </w:rPr>
        <w:t>“</w:t>
      </w:r>
      <w:r>
        <w:rPr>
          <w:rFonts w:hint="eastAsia" w:ascii="Times New Roman" w:hAnsi="Times New Roman"/>
          <w:b/>
          <w:bCs/>
          <w:color w:val="000000"/>
          <w:szCs w:val="21"/>
        </w:rPr>
        <w:t>政采贷</w:t>
      </w:r>
      <w:r>
        <w:rPr>
          <w:rFonts w:ascii="Times New Roman" w:hAnsi="Times New Roman"/>
          <w:b/>
          <w:bCs/>
          <w:color w:val="000000"/>
          <w:szCs w:val="21"/>
        </w:rPr>
        <w:t>”</w:t>
      </w:r>
      <w:r>
        <w:rPr>
          <w:rFonts w:hint="eastAsia" w:ascii="Times New Roman" w:hAnsi="Times New Roman"/>
          <w:b/>
          <w:bCs/>
          <w:color w:val="000000"/>
          <w:szCs w:val="21"/>
        </w:rPr>
        <w:t>，具体内容可参阅政府采购贷款流程：</w:t>
      </w:r>
      <w:r>
        <w:rPr>
          <w:rFonts w:ascii="Times New Roman" w:hAnsi="Times New Roman"/>
          <w:b/>
          <w:bCs/>
          <w:color w:val="000000"/>
          <w:szCs w:val="21"/>
        </w:rPr>
        <w:t>http://www.jxzbtb.cn/zxfw/005012/20181016/7e541bf4-ad29-4286-ace8-d12c1b2c54fc.html</w:t>
      </w:r>
    </w:p>
    <w:p>
      <w:pPr>
        <w:snapToGrid w:val="0"/>
        <w:spacing w:line="336" w:lineRule="auto"/>
        <w:ind w:firstLine="422" w:firstLineChars="200"/>
        <w:rPr>
          <w:rFonts w:ascii="Times New Roman" w:hAnsi="Times New Roman"/>
          <w:b/>
          <w:color w:val="000000"/>
          <w:szCs w:val="21"/>
        </w:rPr>
      </w:pPr>
      <w:r>
        <w:rPr>
          <w:rFonts w:hint="eastAsia" w:ascii="Times New Roman" w:hAnsi="Times New Roman"/>
          <w:b/>
          <w:bCs/>
          <w:color w:val="000000"/>
          <w:szCs w:val="21"/>
        </w:rPr>
        <w:t>八、公告期限：自公告发布之日起</w:t>
      </w:r>
      <w:r>
        <w:rPr>
          <w:rFonts w:ascii="Times New Roman" w:hAnsi="Times New Roman"/>
          <w:b/>
          <w:bCs/>
          <w:color w:val="000000"/>
          <w:szCs w:val="21"/>
        </w:rPr>
        <w:t>5</w:t>
      </w:r>
      <w:r>
        <w:rPr>
          <w:rFonts w:hint="eastAsia" w:ascii="Times New Roman" w:hAnsi="Times New Roman"/>
          <w:b/>
          <w:bCs/>
          <w:color w:val="000000"/>
          <w:szCs w:val="21"/>
        </w:rPr>
        <w:t>个工作日</w:t>
      </w:r>
    </w:p>
    <w:p>
      <w:pPr>
        <w:snapToGrid w:val="0"/>
        <w:spacing w:line="336" w:lineRule="auto"/>
        <w:ind w:firstLine="422" w:firstLineChars="200"/>
        <w:rPr>
          <w:rFonts w:ascii="Times New Roman" w:hAnsi="Times New Roman"/>
          <w:b/>
          <w:color w:val="000000"/>
          <w:szCs w:val="21"/>
        </w:rPr>
      </w:pPr>
      <w:r>
        <w:rPr>
          <w:rFonts w:hint="eastAsia" w:ascii="Times New Roman" w:hAnsi="Times New Roman"/>
          <w:b/>
          <w:color w:val="000000"/>
          <w:szCs w:val="21"/>
        </w:rPr>
        <w:t>九、投标说明：</w:t>
      </w:r>
    </w:p>
    <w:p>
      <w:pPr>
        <w:snapToGrid w:val="0"/>
        <w:spacing w:line="336" w:lineRule="auto"/>
        <w:jc w:val="left"/>
        <w:rPr>
          <w:rFonts w:ascii="Times New Roman" w:hAnsi="Times New Roman"/>
          <w:color w:val="000000"/>
          <w:szCs w:val="21"/>
        </w:rPr>
      </w:pPr>
      <w:r>
        <w:rPr>
          <w:rFonts w:ascii="Times New Roman" w:hAnsi="Times New Roman"/>
          <w:b/>
          <w:bCs/>
          <w:color w:val="000000"/>
          <w:szCs w:val="21"/>
        </w:rPr>
        <w:t xml:space="preserve">  </w:t>
      </w:r>
      <w:r>
        <w:rPr>
          <w:rFonts w:ascii="Times New Roman" w:hAnsi="Times New Roman"/>
          <w:color w:val="000000"/>
          <w:szCs w:val="21"/>
        </w:rPr>
        <w:t xml:space="preserve"> </w:t>
      </w:r>
      <w:r>
        <w:rPr>
          <w:rFonts w:hint="eastAsia" w:ascii="Times New Roman" w:hAnsi="Times New Roman"/>
          <w:color w:val="000000"/>
          <w:szCs w:val="21"/>
        </w:rPr>
        <w:t>１、本项目按照《浙江省财政厅关于印发浙江省政府采购项电子交易管理暂行办法的通知》实行电子交易。</w:t>
      </w:r>
    </w:p>
    <w:p>
      <w:pPr>
        <w:snapToGrid w:val="0"/>
        <w:spacing w:line="336" w:lineRule="auto"/>
        <w:ind w:firstLine="422" w:firstLineChars="200"/>
        <w:jc w:val="left"/>
        <w:rPr>
          <w:rFonts w:ascii="Times New Roman" w:hAnsi="Times New Roman"/>
          <w:color w:val="000000"/>
          <w:szCs w:val="21"/>
        </w:rPr>
      </w:pPr>
      <w:r>
        <w:rPr>
          <w:rFonts w:ascii="Times New Roman" w:hAnsi="Times New Roman"/>
          <w:b/>
          <w:bCs/>
          <w:color w:val="000000"/>
          <w:szCs w:val="21"/>
        </w:rPr>
        <w:t>2</w:t>
      </w:r>
      <w:r>
        <w:rPr>
          <w:rFonts w:hint="eastAsia" w:ascii="Times New Roman" w:hAnsi="Times New Roman"/>
          <w:b/>
          <w:bCs/>
          <w:color w:val="000000"/>
          <w:szCs w:val="21"/>
        </w:rPr>
        <w:t>、供应商注册</w:t>
      </w:r>
    </w:p>
    <w:p>
      <w:pPr>
        <w:snapToGrid w:val="0"/>
        <w:spacing w:line="336" w:lineRule="auto"/>
        <w:ind w:firstLine="420" w:firstLineChars="200"/>
        <w:jc w:val="left"/>
        <w:rPr>
          <w:rFonts w:ascii="Times New Roman" w:hAnsi="Times New Roman"/>
          <w:color w:val="000000"/>
          <w:szCs w:val="21"/>
        </w:rPr>
      </w:pPr>
      <w:r>
        <w:rPr>
          <w:rFonts w:ascii="Times New Roman" w:hAnsi="Times New Roman"/>
          <w:color w:val="000000"/>
          <w:szCs w:val="21"/>
        </w:rPr>
        <w:t>2.1</w:t>
      </w:r>
      <w:r>
        <w:rPr>
          <w:rFonts w:hint="eastAsia" w:ascii="Times New Roman" w:hAnsi="Times New Roman"/>
          <w:color w:val="000000"/>
          <w:szCs w:val="21"/>
        </w:rPr>
        <w:t>注册网址：</w:t>
      </w:r>
    </w:p>
    <w:p>
      <w:pPr>
        <w:snapToGrid w:val="0"/>
        <w:spacing w:line="336" w:lineRule="auto"/>
        <w:ind w:firstLine="420" w:firstLineChars="200"/>
        <w:jc w:val="left"/>
        <w:rPr>
          <w:rFonts w:ascii="Times New Roman" w:hAnsi="Times New Roman"/>
          <w:color w:val="000000"/>
          <w:szCs w:val="21"/>
        </w:rPr>
      </w:pPr>
      <w:r>
        <w:rPr>
          <w:rFonts w:hint="eastAsia" w:ascii="Times New Roman" w:hAnsi="Times New Roman"/>
          <w:color w:val="000000"/>
          <w:szCs w:val="21"/>
        </w:rPr>
        <w:t>浙江政府采购网：</w:t>
      </w:r>
      <w:r>
        <w:rPr>
          <w:rFonts w:ascii="Times New Roman" w:hAnsi="Times New Roman"/>
          <w:color w:val="000000"/>
          <w:szCs w:val="21"/>
        </w:rPr>
        <w:t>https://middle.zcygov.cn/settle-front/#/registry</w:t>
      </w:r>
    </w:p>
    <w:p>
      <w:pPr>
        <w:snapToGrid w:val="0"/>
        <w:spacing w:line="336" w:lineRule="auto"/>
        <w:ind w:firstLine="420" w:firstLineChars="200"/>
        <w:jc w:val="left"/>
        <w:rPr>
          <w:rFonts w:ascii="Times New Roman" w:hAnsi="Times New Roman"/>
          <w:color w:val="000000"/>
          <w:szCs w:val="21"/>
        </w:rPr>
      </w:pPr>
      <w:r>
        <w:rPr>
          <w:rFonts w:ascii="Times New Roman" w:hAnsi="Times New Roman"/>
          <w:color w:val="000000"/>
          <w:szCs w:val="21"/>
        </w:rPr>
        <w:t>2.2</w:t>
      </w:r>
      <w:r>
        <w:rPr>
          <w:rFonts w:hint="eastAsia" w:ascii="Times New Roman" w:hAnsi="Times New Roman"/>
          <w:color w:val="000000"/>
          <w:szCs w:val="21"/>
        </w:rPr>
        <w:t>供应商按照《浙江省政府采购供应商注册和诚信管理暂行办法》要求执行。</w:t>
      </w:r>
    </w:p>
    <w:p>
      <w:pPr>
        <w:snapToGrid w:val="0"/>
        <w:spacing w:line="336" w:lineRule="auto"/>
        <w:ind w:firstLine="422" w:firstLineChars="200"/>
        <w:jc w:val="left"/>
        <w:rPr>
          <w:rFonts w:ascii="Times New Roman" w:hAnsi="Times New Roman"/>
          <w:b/>
          <w:bCs/>
          <w:color w:val="000000"/>
          <w:szCs w:val="21"/>
        </w:rPr>
      </w:pPr>
      <w:r>
        <w:rPr>
          <w:rFonts w:ascii="Times New Roman" w:hAnsi="Times New Roman"/>
          <w:b/>
          <w:bCs/>
          <w:color w:val="000000"/>
          <w:szCs w:val="21"/>
        </w:rPr>
        <w:t>3</w:t>
      </w:r>
      <w:r>
        <w:rPr>
          <w:rFonts w:hint="eastAsia" w:ascii="Times New Roman" w:hAnsi="Times New Roman"/>
          <w:b/>
          <w:bCs/>
          <w:color w:val="000000"/>
          <w:szCs w:val="21"/>
        </w:rPr>
        <w:t>、获取招标文件（报名）</w:t>
      </w:r>
    </w:p>
    <w:p>
      <w:pPr>
        <w:snapToGrid w:val="0"/>
        <w:spacing w:line="336" w:lineRule="auto"/>
        <w:ind w:firstLine="420" w:firstLineChars="200"/>
        <w:jc w:val="left"/>
        <w:rPr>
          <w:rFonts w:ascii="Times New Roman" w:hAnsi="Times New Roman"/>
          <w:color w:val="000000"/>
          <w:szCs w:val="21"/>
          <w:highlight w:val="none"/>
        </w:rPr>
      </w:pPr>
      <w:r>
        <w:rPr>
          <w:rFonts w:ascii="Times New Roman" w:hAnsi="Times New Roman"/>
          <w:color w:val="000000"/>
          <w:szCs w:val="21"/>
        </w:rPr>
        <w:t>3.1</w:t>
      </w:r>
      <w:r>
        <w:rPr>
          <w:rFonts w:hint="eastAsia" w:ascii="Times New Roman" w:hAnsi="Times New Roman"/>
          <w:color w:val="000000"/>
          <w:szCs w:val="21"/>
        </w:rPr>
        <w:t>获取方式：采购公告发布后，在政采云平台已完成注册的供应商登陆系统，申请获取招标文件，待审核通过后，可下载招标文件。如果“已申请”标签页显示状态为“审核通过”即为报名成功。路径：用户中心——项目采购——获取招标文件管理。在“已获取”的状态下，供应商可下</w:t>
      </w:r>
      <w:r>
        <w:rPr>
          <w:rFonts w:hint="eastAsia" w:ascii="Times New Roman" w:hAnsi="Times New Roman"/>
          <w:color w:val="000000"/>
          <w:szCs w:val="21"/>
          <w:highlight w:val="none"/>
        </w:rPr>
        <w:t>载查看招标文件。</w:t>
      </w:r>
    </w:p>
    <w:p>
      <w:pPr>
        <w:snapToGrid w:val="0"/>
        <w:spacing w:line="336"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3.2</w:t>
      </w:r>
      <w:r>
        <w:rPr>
          <w:rFonts w:hint="eastAsia" w:ascii="Times New Roman" w:hAnsi="Times New Roman"/>
          <w:color w:val="000000"/>
          <w:szCs w:val="21"/>
          <w:highlight w:val="none"/>
        </w:rPr>
        <w:t>获取网址：浙江政府采购网</w:t>
      </w:r>
      <w:r>
        <w:rPr>
          <w:rFonts w:ascii="Times New Roman" w:hAnsi="Times New Roman"/>
          <w:color w:val="000000"/>
          <w:szCs w:val="21"/>
          <w:highlight w:val="none"/>
        </w:rPr>
        <w:t>https://login.zcygov.cn/login</w:t>
      </w:r>
    </w:p>
    <w:p>
      <w:pPr>
        <w:snapToGrid w:val="0"/>
        <w:spacing w:line="336"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3.3</w:t>
      </w:r>
      <w:r>
        <w:rPr>
          <w:rFonts w:hint="eastAsia" w:ascii="Times New Roman" w:hAnsi="Times New Roman"/>
          <w:color w:val="000000"/>
          <w:szCs w:val="21"/>
          <w:highlight w:val="none"/>
        </w:rPr>
        <w:t>获取时间：</w:t>
      </w:r>
      <w:r>
        <w:rPr>
          <w:rFonts w:ascii="Times New Roman" w:hAnsi="Times New Roman"/>
          <w:color w:val="000000"/>
          <w:szCs w:val="21"/>
          <w:highlight w:val="none"/>
        </w:rPr>
        <w:t>2023</w:t>
      </w: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12</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18</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日至</w:t>
      </w:r>
      <w:r>
        <w:rPr>
          <w:rFonts w:ascii="Times New Roman" w:hAnsi="Times New Roman"/>
          <w:color w:val="000000"/>
          <w:szCs w:val="21"/>
          <w:highlight w:val="none"/>
        </w:rPr>
        <w:t>202</w:t>
      </w:r>
      <w:r>
        <w:rPr>
          <w:rFonts w:hint="eastAsia" w:ascii="Times New Roman" w:hAnsi="Times New Roman"/>
          <w:color w:val="000000"/>
          <w:szCs w:val="21"/>
          <w:highlight w:val="none"/>
          <w:lang w:val="en-US" w:eastAsia="zh-CN"/>
        </w:rPr>
        <w:t>4</w:t>
      </w: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1</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8</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14</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时</w:t>
      </w:r>
      <w:r>
        <w:rPr>
          <w:rFonts w:hint="eastAsia" w:ascii="Times New Roman" w:hAnsi="Times New Roman"/>
          <w:color w:val="000000"/>
          <w:szCs w:val="21"/>
          <w:highlight w:val="none"/>
          <w:lang w:val="en-US" w:eastAsia="zh-CN"/>
        </w:rPr>
        <w:t>00</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分　　</w:t>
      </w:r>
    </w:p>
    <w:p>
      <w:pPr>
        <w:snapToGrid w:val="0"/>
        <w:spacing w:line="336"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在上述时间内供应商均可免费获取招标文件。</w:t>
      </w:r>
    </w:p>
    <w:p>
      <w:pPr>
        <w:snapToGrid w:val="0"/>
        <w:spacing w:line="336" w:lineRule="auto"/>
        <w:ind w:firstLine="422" w:firstLineChars="200"/>
        <w:jc w:val="left"/>
        <w:rPr>
          <w:rFonts w:ascii="Times New Roman" w:hAnsi="Times New Roman"/>
          <w:b/>
          <w:bCs/>
          <w:color w:val="000000"/>
          <w:szCs w:val="21"/>
          <w:highlight w:val="none"/>
        </w:rPr>
      </w:pPr>
      <w:r>
        <w:rPr>
          <w:rFonts w:ascii="Times New Roman" w:hAnsi="Times New Roman"/>
          <w:b/>
          <w:bCs/>
          <w:color w:val="000000"/>
          <w:szCs w:val="21"/>
          <w:highlight w:val="none"/>
        </w:rPr>
        <w:t>4</w:t>
      </w:r>
      <w:r>
        <w:rPr>
          <w:rFonts w:hint="eastAsia" w:ascii="Times New Roman" w:hAnsi="Times New Roman"/>
          <w:b/>
          <w:bCs/>
          <w:color w:val="000000"/>
          <w:szCs w:val="21"/>
          <w:highlight w:val="none"/>
        </w:rPr>
        <w:t>、投标文件制作注意事项</w:t>
      </w:r>
    </w:p>
    <w:p>
      <w:pPr>
        <w:snapToGrid w:val="0"/>
        <w:spacing w:line="336"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4.1</w:t>
      </w:r>
      <w:r>
        <w:rPr>
          <w:rFonts w:hint="eastAsia" w:ascii="Times New Roman" w:hAnsi="Times New Roman"/>
          <w:color w:val="000000"/>
          <w:szCs w:val="21"/>
          <w:highlight w:val="none"/>
        </w:rPr>
        <w:t>供应商将政采云电子交易客户端下载、安装完成后，可通过账号密码或</w:t>
      </w:r>
      <w:r>
        <w:rPr>
          <w:rFonts w:ascii="Times New Roman" w:hAnsi="Times New Roman"/>
          <w:color w:val="000000"/>
          <w:szCs w:val="21"/>
          <w:highlight w:val="none"/>
        </w:rPr>
        <w:t>CA</w:t>
      </w:r>
      <w:r>
        <w:rPr>
          <w:rFonts w:hint="eastAsia" w:ascii="Times New Roman" w:hAnsi="Times New Roman"/>
          <w:color w:val="000000"/>
          <w:szCs w:val="21"/>
          <w:highlight w:val="none"/>
        </w:rPr>
        <w:t>登录客户端进行投标文件制作。</w:t>
      </w:r>
    </w:p>
    <w:p>
      <w:pPr>
        <w:snapToGrid w:val="0"/>
        <w:spacing w:line="336"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注：供应商先要申领</w:t>
      </w:r>
      <w:r>
        <w:rPr>
          <w:rFonts w:ascii="Times New Roman" w:hAnsi="Times New Roman"/>
          <w:color w:val="000000"/>
          <w:szCs w:val="21"/>
          <w:highlight w:val="none"/>
        </w:rPr>
        <w:t>CA</w:t>
      </w:r>
      <w:r>
        <w:rPr>
          <w:rFonts w:hint="eastAsia" w:ascii="Times New Roman" w:hAnsi="Times New Roman"/>
          <w:color w:val="000000"/>
          <w:szCs w:val="21"/>
          <w:highlight w:val="none"/>
        </w:rPr>
        <w:t>，拿到</w:t>
      </w:r>
      <w:r>
        <w:rPr>
          <w:rFonts w:ascii="Times New Roman" w:hAnsi="Times New Roman"/>
          <w:color w:val="000000"/>
          <w:szCs w:val="21"/>
          <w:highlight w:val="none"/>
        </w:rPr>
        <w:t>CA</w:t>
      </w:r>
      <w:r>
        <w:rPr>
          <w:rFonts w:hint="eastAsia" w:ascii="Times New Roman" w:hAnsi="Times New Roman"/>
          <w:color w:val="000000"/>
          <w:szCs w:val="21"/>
          <w:highlight w:val="none"/>
        </w:rPr>
        <w:t>后需要在政采云平台进行绑定，</w:t>
      </w:r>
      <w:r>
        <w:rPr>
          <w:rFonts w:ascii="Times New Roman" w:hAnsi="Times New Roman"/>
          <w:color w:val="000000"/>
          <w:szCs w:val="21"/>
          <w:highlight w:val="none"/>
        </w:rPr>
        <w:t>CA</w:t>
      </w:r>
      <w:r>
        <w:rPr>
          <w:rFonts w:hint="eastAsia" w:ascii="Times New Roman" w:hAnsi="Times New Roman"/>
          <w:color w:val="000000"/>
          <w:szCs w:val="21"/>
          <w:highlight w:val="none"/>
        </w:rPr>
        <w:t>相关操作可参考《</w:t>
      </w:r>
      <w:r>
        <w:rPr>
          <w:rFonts w:ascii="Times New Roman" w:hAnsi="Times New Roman"/>
          <w:color w:val="000000"/>
          <w:szCs w:val="21"/>
          <w:highlight w:val="none"/>
        </w:rPr>
        <w:t>CA</w:t>
      </w:r>
      <w:r>
        <w:rPr>
          <w:rFonts w:hint="eastAsia" w:ascii="Times New Roman" w:hAnsi="Times New Roman"/>
          <w:color w:val="000000"/>
          <w:szCs w:val="21"/>
          <w:highlight w:val="none"/>
        </w:rPr>
        <w:t>申领操作指南》和《</w:t>
      </w:r>
      <w:r>
        <w:rPr>
          <w:rFonts w:ascii="Times New Roman" w:hAnsi="Times New Roman"/>
          <w:color w:val="000000"/>
          <w:szCs w:val="21"/>
          <w:highlight w:val="none"/>
        </w:rPr>
        <w:t>CA</w:t>
      </w:r>
      <w:r>
        <w:rPr>
          <w:rFonts w:hint="eastAsia" w:ascii="Times New Roman" w:hAnsi="Times New Roman"/>
          <w:color w:val="000000"/>
          <w:szCs w:val="21"/>
          <w:highlight w:val="none"/>
        </w:rPr>
        <w:t>管理操作指南》。完成</w:t>
      </w:r>
      <w:r>
        <w:rPr>
          <w:rFonts w:ascii="Times New Roman" w:hAnsi="Times New Roman"/>
          <w:color w:val="000000"/>
          <w:szCs w:val="21"/>
          <w:highlight w:val="none"/>
        </w:rPr>
        <w:t>CA</w:t>
      </w:r>
      <w:r>
        <w:rPr>
          <w:rFonts w:hint="eastAsia" w:ascii="Times New Roman" w:hAnsi="Times New Roman"/>
          <w:color w:val="000000"/>
          <w:szCs w:val="21"/>
          <w:highlight w:val="none"/>
        </w:rPr>
        <w:t>数字证书办理在资料齐全的情况下预计</w:t>
      </w:r>
      <w:r>
        <w:rPr>
          <w:rFonts w:ascii="Times New Roman" w:hAnsi="Times New Roman"/>
          <w:color w:val="000000"/>
          <w:szCs w:val="21"/>
          <w:highlight w:val="none"/>
        </w:rPr>
        <w:t>7</w:t>
      </w:r>
      <w:r>
        <w:rPr>
          <w:rFonts w:hint="eastAsia" w:ascii="Times New Roman" w:hAnsi="Times New Roman"/>
          <w:color w:val="000000"/>
          <w:szCs w:val="21"/>
          <w:highlight w:val="none"/>
        </w:rPr>
        <w:t>个工作日左右，建议供应商获取招标文件后立即办理。　　　</w:t>
      </w:r>
    </w:p>
    <w:p>
      <w:pPr>
        <w:snapToGrid w:val="0"/>
        <w:spacing w:line="336"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4.2</w:t>
      </w:r>
      <w:r>
        <w:rPr>
          <w:rFonts w:hint="eastAsia" w:ascii="Times New Roman" w:hAnsi="Times New Roman"/>
          <w:color w:val="000000"/>
          <w:szCs w:val="21"/>
          <w:highlight w:val="none"/>
        </w:rPr>
        <w:t>电子交易操作指南：</w:t>
      </w:r>
      <w:r>
        <w:rPr>
          <w:rFonts w:ascii="Times New Roman" w:hAnsi="Times New Roman"/>
          <w:color w:val="000000"/>
          <w:szCs w:val="21"/>
          <w:highlight w:val="none"/>
        </w:rPr>
        <w:t>https://help.zcygov.cn/web/site_2/2018/12-28/2573.html</w:t>
      </w:r>
    </w:p>
    <w:p>
      <w:pPr>
        <w:snapToGrid w:val="0"/>
        <w:spacing w:line="336"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CA</w:t>
      </w:r>
      <w:r>
        <w:rPr>
          <w:rFonts w:hint="eastAsia" w:ascii="Times New Roman" w:hAnsi="Times New Roman"/>
          <w:color w:val="000000"/>
          <w:szCs w:val="21"/>
          <w:highlight w:val="none"/>
        </w:rPr>
        <w:t>申领操作指南》：</w:t>
      </w:r>
      <w:r>
        <w:rPr>
          <w:rFonts w:ascii="Times New Roman" w:hAnsi="Times New Roman"/>
          <w:color w:val="000000"/>
          <w:szCs w:val="21"/>
          <w:highlight w:val="none"/>
        </w:rPr>
        <w:t>https://help.zcygov.cn/web/site_2/2018/11-29/2452.html</w:t>
      </w:r>
    </w:p>
    <w:p>
      <w:pPr>
        <w:snapToGrid w:val="0"/>
        <w:spacing w:line="336"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CA</w:t>
      </w:r>
      <w:r>
        <w:rPr>
          <w:rFonts w:hint="eastAsia" w:ascii="Times New Roman" w:hAnsi="Times New Roman"/>
          <w:color w:val="000000"/>
          <w:szCs w:val="21"/>
          <w:highlight w:val="none"/>
        </w:rPr>
        <w:t>管理操作指南》：</w:t>
      </w:r>
      <w:r>
        <w:rPr>
          <w:rFonts w:ascii="Times New Roman" w:hAnsi="Times New Roman"/>
          <w:color w:val="000000"/>
          <w:szCs w:val="21"/>
          <w:highlight w:val="none"/>
        </w:rPr>
        <w:t>https://help.zcygov.cn/web/site_2/2019/08-20/3405.html</w:t>
      </w:r>
    </w:p>
    <w:p>
      <w:pPr>
        <w:snapToGrid w:val="0"/>
        <w:spacing w:line="336"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CA</w:t>
      </w:r>
      <w:r>
        <w:rPr>
          <w:rFonts w:hint="eastAsia" w:ascii="Times New Roman" w:hAnsi="Times New Roman"/>
          <w:color w:val="000000"/>
          <w:szCs w:val="21"/>
          <w:highlight w:val="none"/>
        </w:rPr>
        <w:t>驱动和申领流程》</w:t>
      </w:r>
      <w:r>
        <w:rPr>
          <w:rFonts w:ascii="Times New Roman" w:hAnsi="Times New Roman"/>
          <w:color w:val="000000"/>
          <w:szCs w:val="21"/>
          <w:highlight w:val="none"/>
        </w:rPr>
        <w:t>http://www.zjzfcg.gov.cn/bidClientTemplate/2019-05-27/12945.html</w:t>
      </w:r>
    </w:p>
    <w:p>
      <w:pPr>
        <w:snapToGrid w:val="0"/>
        <w:spacing w:line="336"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注：ＣＡ证书遗失补办、延期、解锁、质保等业务可以在联连客户端上进行操作；使用政采云投标客户端时，建议使用</w:t>
      </w:r>
      <w:r>
        <w:rPr>
          <w:rFonts w:ascii="Times New Roman" w:hAnsi="Times New Roman"/>
          <w:color w:val="000000"/>
          <w:szCs w:val="21"/>
          <w:highlight w:val="none"/>
        </w:rPr>
        <w:t>WIN7</w:t>
      </w:r>
      <w:r>
        <w:rPr>
          <w:rFonts w:hint="eastAsia" w:ascii="Times New Roman" w:hAnsi="Times New Roman"/>
          <w:color w:val="000000"/>
          <w:szCs w:val="21"/>
          <w:highlight w:val="none"/>
        </w:rPr>
        <w:t>及以上操作系统。</w:t>
      </w:r>
    </w:p>
    <w:p>
      <w:pPr>
        <w:snapToGrid w:val="0"/>
        <w:spacing w:line="336" w:lineRule="auto"/>
        <w:ind w:firstLine="422" w:firstLineChars="200"/>
        <w:jc w:val="left"/>
        <w:rPr>
          <w:rFonts w:ascii="Times New Roman" w:hAnsi="Times New Roman"/>
          <w:b/>
          <w:bCs/>
          <w:color w:val="000000"/>
          <w:szCs w:val="21"/>
          <w:highlight w:val="none"/>
        </w:rPr>
      </w:pPr>
      <w:r>
        <w:rPr>
          <w:rFonts w:ascii="Times New Roman" w:hAnsi="Times New Roman"/>
          <w:b/>
          <w:bCs/>
          <w:color w:val="000000"/>
          <w:szCs w:val="21"/>
          <w:highlight w:val="none"/>
        </w:rPr>
        <w:t>5</w:t>
      </w:r>
      <w:r>
        <w:rPr>
          <w:rFonts w:hint="eastAsia" w:ascii="Times New Roman" w:hAnsi="Times New Roman"/>
          <w:b/>
          <w:bCs/>
          <w:color w:val="000000"/>
          <w:szCs w:val="21"/>
          <w:highlight w:val="none"/>
        </w:rPr>
        <w:t>、政采云咨询电话：</w:t>
      </w:r>
      <w:r>
        <w:rPr>
          <w:rFonts w:ascii="Times New Roman" w:hAnsi="Times New Roman"/>
          <w:b/>
          <w:bCs/>
          <w:color w:val="000000"/>
          <w:szCs w:val="21"/>
          <w:highlight w:val="none"/>
        </w:rPr>
        <w:t>400-881-7190</w:t>
      </w:r>
    </w:p>
    <w:p>
      <w:pPr>
        <w:snapToGrid w:val="0"/>
        <w:spacing w:line="336"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政采云平台服务中心：</w:t>
      </w:r>
      <w:r>
        <w:rPr>
          <w:rFonts w:ascii="Times New Roman" w:hAnsi="Times New Roman"/>
          <w:color w:val="000000"/>
          <w:szCs w:val="21"/>
          <w:highlight w:val="none"/>
        </w:rPr>
        <w:t>https://service.zcygov.cn/#/</w:t>
      </w:r>
    </w:p>
    <w:p>
      <w:pPr>
        <w:snapToGrid w:val="0"/>
        <w:spacing w:line="336" w:lineRule="auto"/>
        <w:ind w:firstLine="422" w:firstLineChars="200"/>
        <w:jc w:val="left"/>
        <w:rPr>
          <w:rFonts w:ascii="Times New Roman" w:hAnsi="Times New Roman"/>
          <w:b/>
          <w:bCs/>
          <w:color w:val="000000"/>
          <w:szCs w:val="21"/>
          <w:highlight w:val="none"/>
        </w:rPr>
      </w:pPr>
      <w:r>
        <w:rPr>
          <w:rFonts w:ascii="Times New Roman" w:hAnsi="Times New Roman"/>
          <w:b/>
          <w:bCs/>
          <w:color w:val="000000"/>
          <w:szCs w:val="21"/>
          <w:highlight w:val="none"/>
        </w:rPr>
        <w:t>6</w:t>
      </w:r>
      <w:r>
        <w:rPr>
          <w:rFonts w:hint="eastAsia" w:ascii="Times New Roman" w:hAnsi="Times New Roman"/>
          <w:b/>
          <w:bCs/>
          <w:color w:val="000000"/>
          <w:szCs w:val="21"/>
          <w:highlight w:val="none"/>
        </w:rPr>
        <w:t>、汇信（</w:t>
      </w:r>
      <w:r>
        <w:rPr>
          <w:rFonts w:ascii="Times New Roman" w:hAnsi="Times New Roman"/>
          <w:b/>
          <w:bCs/>
          <w:color w:val="000000"/>
          <w:szCs w:val="21"/>
          <w:highlight w:val="none"/>
        </w:rPr>
        <w:t>CA</w:t>
      </w:r>
      <w:r>
        <w:rPr>
          <w:rFonts w:hint="eastAsia" w:ascii="Times New Roman" w:hAnsi="Times New Roman"/>
          <w:b/>
          <w:bCs/>
          <w:color w:val="000000"/>
          <w:szCs w:val="21"/>
          <w:highlight w:val="none"/>
        </w:rPr>
        <w:t>）客服电话：</w:t>
      </w:r>
      <w:r>
        <w:rPr>
          <w:rFonts w:ascii="Times New Roman" w:hAnsi="Times New Roman"/>
          <w:b/>
          <w:bCs/>
          <w:color w:val="000000"/>
          <w:szCs w:val="21"/>
          <w:highlight w:val="none"/>
        </w:rPr>
        <w:t>400-888-4636</w:t>
      </w:r>
    </w:p>
    <w:p>
      <w:pPr>
        <w:shd w:val="clear" w:color="auto" w:fill="FFFFFF"/>
        <w:snapToGrid w:val="0"/>
        <w:spacing w:line="336" w:lineRule="auto"/>
        <w:ind w:firstLine="413" w:firstLineChars="196"/>
        <w:rPr>
          <w:rFonts w:ascii="Times New Roman" w:hAnsi="Times New Roman"/>
          <w:color w:val="000000"/>
          <w:kern w:val="0"/>
          <w:szCs w:val="21"/>
          <w:highlight w:val="none"/>
        </w:rPr>
      </w:pPr>
      <w:r>
        <w:rPr>
          <w:rFonts w:hint="eastAsia" w:ascii="Times New Roman" w:hAnsi="Times New Roman"/>
          <w:b/>
          <w:bCs/>
          <w:color w:val="000000"/>
          <w:szCs w:val="21"/>
          <w:highlight w:val="none"/>
        </w:rPr>
        <w:t>十、投标保证金</w:t>
      </w:r>
      <w:r>
        <w:rPr>
          <w:rFonts w:hint="eastAsia" w:ascii="Times New Roman" w:hAnsi="Times New Roman"/>
          <w:color w:val="000000"/>
          <w:szCs w:val="21"/>
          <w:highlight w:val="none"/>
        </w:rPr>
        <w:t>：</w:t>
      </w:r>
      <w:r>
        <w:rPr>
          <w:rFonts w:hint="eastAsia" w:ascii="Times New Roman" w:hAnsi="Times New Roman"/>
          <w:b/>
          <w:bCs/>
          <w:color w:val="000000"/>
          <w:szCs w:val="21"/>
          <w:highlight w:val="none"/>
        </w:rPr>
        <w:t>本项目不设置</w:t>
      </w:r>
      <w:r>
        <w:rPr>
          <w:rFonts w:hint="eastAsia" w:ascii="Times New Roman" w:hAnsi="Times New Roman"/>
          <w:color w:val="000000"/>
          <w:kern w:val="0"/>
          <w:szCs w:val="21"/>
          <w:highlight w:val="none"/>
        </w:rPr>
        <w:t>。</w:t>
      </w:r>
    </w:p>
    <w:p>
      <w:pPr>
        <w:shd w:val="clear" w:color="auto" w:fill="FFFFFF"/>
        <w:snapToGrid w:val="0"/>
        <w:spacing w:line="336" w:lineRule="auto"/>
        <w:ind w:firstLine="413" w:firstLineChars="196"/>
        <w:rPr>
          <w:rFonts w:ascii="Times New Roman" w:hAnsi="Times New Roman"/>
          <w:b/>
          <w:bCs/>
          <w:color w:val="000000"/>
          <w:szCs w:val="21"/>
          <w:highlight w:val="none"/>
        </w:rPr>
      </w:pPr>
      <w:r>
        <w:rPr>
          <w:rFonts w:hint="eastAsia" w:ascii="Times New Roman" w:hAnsi="Times New Roman"/>
          <w:b/>
          <w:bCs/>
          <w:color w:val="000000"/>
          <w:szCs w:val="21"/>
          <w:highlight w:val="none"/>
        </w:rPr>
        <w:t>十一、投标截止时间及提交注意事项</w:t>
      </w:r>
    </w:p>
    <w:p>
      <w:pPr>
        <w:shd w:val="clear" w:color="auto" w:fill="FFFFFF"/>
        <w:snapToGrid w:val="0"/>
        <w:spacing w:line="336" w:lineRule="auto"/>
        <w:ind w:firstLine="411" w:firstLineChars="196"/>
        <w:rPr>
          <w:rFonts w:ascii="Times New Roman" w:hAnsi="Times New Roman"/>
          <w:color w:val="000000"/>
          <w:szCs w:val="21"/>
          <w:highlight w:val="none"/>
        </w:rPr>
      </w:pPr>
      <w:r>
        <w:rPr>
          <w:rFonts w:ascii="Times New Roman" w:hAnsi="Times New Roman"/>
          <w:color w:val="000000"/>
          <w:szCs w:val="21"/>
          <w:highlight w:val="none"/>
        </w:rPr>
        <w:t>1</w:t>
      </w:r>
      <w:r>
        <w:rPr>
          <w:rFonts w:hint="eastAsia" w:ascii="Times New Roman" w:hAnsi="Times New Roman"/>
          <w:color w:val="000000"/>
          <w:szCs w:val="21"/>
          <w:highlight w:val="none"/>
        </w:rPr>
        <w:t>、投标截止时间：</w:t>
      </w:r>
      <w:r>
        <w:rPr>
          <w:rFonts w:ascii="Times New Roman" w:hAnsi="Times New Roman"/>
          <w:color w:val="000000"/>
          <w:szCs w:val="21"/>
          <w:highlight w:val="none"/>
        </w:rPr>
        <w:t>202</w:t>
      </w:r>
      <w:r>
        <w:rPr>
          <w:rFonts w:hint="eastAsia" w:ascii="Times New Roman" w:hAnsi="Times New Roman"/>
          <w:color w:val="000000"/>
          <w:szCs w:val="21"/>
          <w:highlight w:val="none"/>
          <w:lang w:val="en-US" w:eastAsia="zh-CN"/>
        </w:rPr>
        <w:t>4</w:t>
      </w: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1</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8</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14</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时</w:t>
      </w:r>
      <w:r>
        <w:rPr>
          <w:rFonts w:hint="eastAsia" w:ascii="Times New Roman" w:hAnsi="Times New Roman"/>
          <w:color w:val="000000"/>
          <w:szCs w:val="21"/>
          <w:highlight w:val="none"/>
          <w:lang w:val="en-US" w:eastAsia="zh-CN"/>
        </w:rPr>
        <w:t>00</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分。</w:t>
      </w:r>
    </w:p>
    <w:p>
      <w:pPr>
        <w:shd w:val="clear" w:color="auto" w:fill="FFFFFF"/>
        <w:snapToGrid w:val="0"/>
        <w:spacing w:line="336" w:lineRule="auto"/>
        <w:ind w:firstLine="411" w:firstLineChars="196"/>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、投标地点：政采云线上投标。</w:t>
      </w:r>
    </w:p>
    <w:p>
      <w:pPr>
        <w:shd w:val="clear" w:color="auto" w:fill="FFFFFF"/>
        <w:snapToGrid w:val="0"/>
        <w:spacing w:line="336" w:lineRule="auto"/>
        <w:ind w:firstLine="411" w:firstLineChars="196"/>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、投标文件提交注意事项</w:t>
      </w:r>
    </w:p>
    <w:p>
      <w:pPr>
        <w:shd w:val="clear" w:color="auto" w:fill="FFFFFF"/>
        <w:snapToGrid w:val="0"/>
        <w:spacing w:line="336" w:lineRule="auto"/>
        <w:ind w:firstLine="411" w:firstLineChars="196"/>
        <w:rPr>
          <w:rFonts w:ascii="Times New Roman" w:hAnsi="Times New Roman"/>
          <w:color w:val="000000"/>
          <w:szCs w:val="21"/>
        </w:rPr>
      </w:pPr>
      <w:r>
        <w:rPr>
          <w:rFonts w:ascii="Times New Roman" w:hAnsi="Times New Roman"/>
          <w:color w:val="000000"/>
          <w:szCs w:val="21"/>
        </w:rPr>
        <w:t>3.1</w:t>
      </w:r>
      <w:r>
        <w:rPr>
          <w:rFonts w:hint="eastAsia" w:ascii="Times New Roman" w:hAnsi="Times New Roman"/>
          <w:color w:val="000000"/>
          <w:szCs w:val="21"/>
        </w:rPr>
        <w:t>供应商进行电子投标应安装客户端软件，并按照招标文件和电子交易平台的要求编制并加密投标文件。供应商未按规定加密的投标文件，代理机构将予以拒收。</w:t>
      </w:r>
    </w:p>
    <w:p>
      <w:pPr>
        <w:shd w:val="clear" w:color="auto" w:fill="FFFFFF"/>
        <w:snapToGrid w:val="0"/>
        <w:spacing w:line="336" w:lineRule="auto"/>
        <w:ind w:firstLine="411" w:firstLineChars="196"/>
        <w:rPr>
          <w:rFonts w:ascii="Times New Roman" w:hAnsi="Times New Roman"/>
          <w:color w:val="000000"/>
          <w:szCs w:val="21"/>
        </w:rPr>
      </w:pPr>
      <w:r>
        <w:rPr>
          <w:rFonts w:ascii="Times New Roman" w:hAnsi="Times New Roman"/>
          <w:color w:val="000000"/>
          <w:szCs w:val="21"/>
        </w:rPr>
        <w:t>3.2</w:t>
      </w:r>
      <w:r>
        <w:rPr>
          <w:rFonts w:hint="eastAsia" w:ascii="Times New Roman" w:hAnsi="Times New Roman"/>
          <w:color w:val="000000"/>
          <w:szCs w:val="21"/>
        </w:rPr>
        <w:t>供应商应当在投标截止时间前完成投标文件的传输提交，并可以补充、修改或者撤回投标文件。补充或者修改投标文件的，应当先行撤回原文件，补充、修改后重新传输提交。投标截止时间前未完成传输的，视为撤回投标文件。投标截止时间后提交的投标文件，视为无效。</w:t>
      </w:r>
    </w:p>
    <w:p>
      <w:pPr>
        <w:shd w:val="clear" w:color="auto" w:fill="FFFFFF"/>
        <w:snapToGrid w:val="0"/>
        <w:spacing w:line="336" w:lineRule="auto"/>
        <w:ind w:firstLine="411" w:firstLineChars="196"/>
        <w:rPr>
          <w:rFonts w:ascii="Times New Roman" w:hAnsi="Times New Roman"/>
          <w:color w:val="000000"/>
          <w:szCs w:val="21"/>
          <w:highlight w:val="none"/>
        </w:rPr>
      </w:pPr>
      <w:r>
        <w:rPr>
          <w:rFonts w:ascii="Times New Roman" w:hAnsi="Times New Roman"/>
          <w:color w:val="000000"/>
          <w:szCs w:val="21"/>
        </w:rPr>
        <w:t>3.3</w:t>
      </w:r>
      <w:r>
        <w:rPr>
          <w:rFonts w:hint="eastAsia" w:ascii="Times New Roman" w:hAnsi="Times New Roman"/>
          <w:color w:val="000000"/>
          <w:szCs w:val="21"/>
        </w:rPr>
        <w:t>为确保采购项目顺利实施，避免因解密失败导致投标供应商投标无效，供应商在电子交易平台传输提交投标文件后，可以将政采云平台上最后生成的具备电子签章的备份电子标文件</w:t>
      </w:r>
      <w:r>
        <w:rPr>
          <w:rFonts w:ascii="Times New Roman" w:hAnsi="Times New Roman"/>
          <w:color w:val="000000"/>
          <w:szCs w:val="21"/>
        </w:rPr>
        <w:t>1</w:t>
      </w:r>
      <w:r>
        <w:rPr>
          <w:rFonts w:hint="eastAsia" w:ascii="Times New Roman" w:hAnsi="Times New Roman"/>
          <w:color w:val="000000"/>
          <w:szCs w:val="21"/>
        </w:rPr>
        <w:t>份下载至</w:t>
      </w:r>
      <w:r>
        <w:rPr>
          <w:rFonts w:ascii="Times New Roman" w:hAnsi="Times New Roman"/>
          <w:color w:val="000000"/>
          <w:szCs w:val="21"/>
        </w:rPr>
        <w:t>U</w:t>
      </w:r>
      <w:r>
        <w:rPr>
          <w:rFonts w:hint="eastAsia" w:ascii="Times New Roman" w:hAnsi="Times New Roman"/>
          <w:color w:val="000000"/>
          <w:szCs w:val="21"/>
        </w:rPr>
        <w:t>盘，密封包装并在包装上标注投标项目名称、投标单位名称并加盖公章，在投标截止时间前邮寄送达至</w:t>
      </w:r>
      <w:r>
        <w:rPr>
          <w:rFonts w:hint="eastAsia"/>
          <w:color w:val="000000"/>
          <w:szCs w:val="21"/>
        </w:rPr>
        <w:t>嘉兴市南湖区富兴路362号1幢14楼招标代理部（江先生，0573-82099738）</w:t>
      </w:r>
      <w:r>
        <w:rPr>
          <w:rFonts w:hint="eastAsia" w:ascii="Times New Roman" w:hAnsi="Times New Roman"/>
          <w:color w:val="000000"/>
          <w:szCs w:val="21"/>
        </w:rPr>
        <w:t>，以签收时间为准。快递寄出同时，项目被授权代表须以邮件方式将快递单号、项目名称、公司名称、被授权代表姓名及联系方式等内容（邮件格式为：项目编号</w:t>
      </w:r>
      <w:r>
        <w:rPr>
          <w:rFonts w:ascii="Times New Roman" w:hAnsi="Times New Roman"/>
          <w:color w:val="000000"/>
          <w:szCs w:val="21"/>
        </w:rPr>
        <w:t>+</w:t>
      </w:r>
      <w:r>
        <w:rPr>
          <w:rFonts w:hint="eastAsia" w:ascii="Times New Roman" w:hAnsi="Times New Roman"/>
          <w:color w:val="000000"/>
          <w:szCs w:val="21"/>
        </w:rPr>
        <w:t>快递单号</w:t>
      </w:r>
      <w:r>
        <w:rPr>
          <w:rFonts w:ascii="Times New Roman" w:hAnsi="Times New Roman"/>
          <w:color w:val="000000"/>
          <w:szCs w:val="21"/>
        </w:rPr>
        <w:t>+</w:t>
      </w:r>
      <w:r>
        <w:rPr>
          <w:rFonts w:hint="eastAsia" w:ascii="Times New Roman" w:hAnsi="Times New Roman"/>
          <w:color w:val="000000"/>
          <w:szCs w:val="21"/>
        </w:rPr>
        <w:t>公司名称</w:t>
      </w:r>
      <w:r>
        <w:rPr>
          <w:rFonts w:ascii="Times New Roman" w:hAnsi="Times New Roman"/>
          <w:color w:val="000000"/>
          <w:szCs w:val="21"/>
        </w:rPr>
        <w:t>+</w:t>
      </w:r>
      <w:r>
        <w:rPr>
          <w:rFonts w:hint="eastAsia" w:ascii="Times New Roman" w:hAnsi="Times New Roman"/>
          <w:color w:val="000000"/>
          <w:szCs w:val="21"/>
        </w:rPr>
        <w:t>被授权代表姓名及联系方式）发送至代理机</w:t>
      </w:r>
      <w:r>
        <w:rPr>
          <w:rFonts w:hint="eastAsia" w:ascii="Times New Roman" w:hAnsi="Times New Roman"/>
          <w:color w:val="000000"/>
          <w:szCs w:val="21"/>
          <w:highlight w:val="none"/>
        </w:rPr>
        <w:t>构联系人邮箱，以便代理机构查收快递。如供应商选择快递费到付，代理机构将拒签。</w:t>
      </w:r>
    </w:p>
    <w:p>
      <w:pPr>
        <w:shd w:val="clear" w:color="auto" w:fill="FFFFFF"/>
        <w:snapToGrid w:val="0"/>
        <w:spacing w:line="336" w:lineRule="auto"/>
        <w:ind w:firstLine="413" w:firstLineChars="196"/>
        <w:rPr>
          <w:rFonts w:ascii="Times New Roman" w:hAnsi="Times New Roman"/>
          <w:b/>
          <w:bCs/>
          <w:color w:val="000000"/>
          <w:szCs w:val="21"/>
          <w:highlight w:val="none"/>
        </w:rPr>
      </w:pPr>
      <w:r>
        <w:rPr>
          <w:rFonts w:hint="eastAsia" w:ascii="Times New Roman" w:hAnsi="Times New Roman"/>
          <w:b/>
          <w:bCs/>
          <w:color w:val="000000"/>
          <w:szCs w:val="21"/>
          <w:highlight w:val="none"/>
        </w:rPr>
        <w:t>“备份投标文件”是指与“电子加密投标文件”同时生成的数据电文形式的电子文件（备份标书），其他方式编制的备份投标文件视为无效备份投标文件。</w:t>
      </w:r>
    </w:p>
    <w:p>
      <w:pPr>
        <w:shd w:val="clear" w:color="auto" w:fill="FFFFFF"/>
        <w:snapToGrid w:val="0"/>
        <w:spacing w:line="336" w:lineRule="auto"/>
        <w:ind w:firstLine="411" w:firstLineChars="196"/>
        <w:rPr>
          <w:rFonts w:ascii="Times New Roman" w:hAnsi="Times New Roman"/>
          <w:color w:val="000000"/>
          <w:szCs w:val="21"/>
          <w:highlight w:val="none"/>
        </w:rPr>
      </w:pPr>
      <w:r>
        <w:rPr>
          <w:rFonts w:ascii="Times New Roman" w:hAnsi="Times New Roman"/>
          <w:color w:val="000000"/>
          <w:szCs w:val="21"/>
          <w:highlight w:val="none"/>
        </w:rPr>
        <w:t>3.4</w:t>
      </w:r>
      <w:r>
        <w:rPr>
          <w:rFonts w:hint="eastAsia" w:ascii="Times New Roman" w:hAnsi="Times New Roman"/>
          <w:color w:val="000000"/>
          <w:szCs w:val="21"/>
          <w:highlight w:val="none"/>
        </w:rPr>
        <w:t>备份电子标文件制作为非强制性，但如遇因供应商电子投标文件解密失败等情况造成无效标，后果由供应商自负。</w:t>
      </w:r>
    </w:p>
    <w:p>
      <w:pPr>
        <w:shd w:val="clear" w:color="auto" w:fill="FFFFFF"/>
        <w:snapToGrid w:val="0"/>
        <w:spacing w:line="336" w:lineRule="auto"/>
        <w:ind w:firstLine="413" w:firstLineChars="196"/>
        <w:rPr>
          <w:rFonts w:ascii="Times New Roman" w:hAnsi="Times New Roman"/>
          <w:color w:val="000000"/>
          <w:szCs w:val="21"/>
          <w:highlight w:val="none"/>
        </w:rPr>
      </w:pPr>
      <w:r>
        <w:rPr>
          <w:rFonts w:hint="eastAsia" w:ascii="Times New Roman" w:hAnsi="Times New Roman"/>
          <w:b/>
          <w:bCs/>
          <w:color w:val="000000"/>
          <w:szCs w:val="21"/>
          <w:highlight w:val="none"/>
        </w:rPr>
        <w:t>十二、开标时间及地点：</w:t>
      </w:r>
      <w:r>
        <w:rPr>
          <w:rFonts w:hint="eastAsia" w:ascii="Times New Roman" w:hAnsi="Times New Roman"/>
          <w:color w:val="000000"/>
          <w:szCs w:val="21"/>
          <w:highlight w:val="none"/>
        </w:rPr>
        <w:t>本次招标将于</w:t>
      </w:r>
      <w:r>
        <w:rPr>
          <w:rFonts w:ascii="Times New Roman" w:hAnsi="Times New Roman"/>
          <w:color w:val="000000"/>
          <w:szCs w:val="21"/>
          <w:highlight w:val="none"/>
        </w:rPr>
        <w:t>202</w:t>
      </w:r>
      <w:r>
        <w:rPr>
          <w:rFonts w:hint="eastAsia" w:ascii="Times New Roman" w:hAnsi="Times New Roman"/>
          <w:color w:val="000000"/>
          <w:szCs w:val="21"/>
          <w:highlight w:val="none"/>
          <w:lang w:val="en-US" w:eastAsia="zh-CN"/>
        </w:rPr>
        <w:t>4</w:t>
      </w: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1</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8</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r>
        <w:rPr>
          <w:rFonts w:ascii="Times New Roman" w:hAnsi="Times New Roman"/>
          <w:color w:val="000000"/>
          <w:szCs w:val="21"/>
          <w:highlight w:val="none"/>
        </w:rPr>
        <w:t xml:space="preserve"> </w:t>
      </w:r>
      <w:r>
        <w:rPr>
          <w:rFonts w:hint="eastAsia" w:ascii="Times New Roman" w:hAnsi="Times New Roman"/>
          <w:color w:val="000000"/>
          <w:szCs w:val="21"/>
          <w:highlight w:val="none"/>
          <w:lang w:val="en-US" w:eastAsia="zh-CN"/>
        </w:rPr>
        <w:t>14</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时</w:t>
      </w:r>
      <w:r>
        <w:rPr>
          <w:rFonts w:hint="eastAsia" w:ascii="Times New Roman" w:hAnsi="Times New Roman"/>
          <w:color w:val="000000"/>
          <w:szCs w:val="21"/>
          <w:highlight w:val="none"/>
          <w:lang w:val="en-US" w:eastAsia="zh-CN"/>
        </w:rPr>
        <w:t>00</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分在</w:t>
      </w:r>
      <w:r>
        <w:rPr>
          <w:rFonts w:hint="eastAsia" w:cs="Arial"/>
          <w:szCs w:val="21"/>
          <w:highlight w:val="none"/>
        </w:rPr>
        <w:t>嘉兴市公共资源交易中心</w:t>
      </w:r>
      <w:r>
        <w:rPr>
          <w:rFonts w:hint="eastAsia" w:ascii="Times New Roman" w:hAnsi="Times New Roman"/>
          <w:color w:val="000000"/>
          <w:szCs w:val="21"/>
          <w:highlight w:val="none"/>
        </w:rPr>
        <w:t>开标，</w:t>
      </w:r>
      <w:r>
        <w:rPr>
          <w:rFonts w:hint="eastAsia" w:ascii="Times New Roman" w:hAnsi="Times New Roman"/>
          <w:b/>
          <w:bCs/>
          <w:color w:val="000000"/>
          <w:szCs w:val="21"/>
          <w:highlight w:val="none"/>
          <w:u w:val="single"/>
        </w:rPr>
        <w:t>供应商无需到开标现场，但须准时在线参加，直至评审结束。</w:t>
      </w:r>
      <w:r>
        <w:rPr>
          <w:rFonts w:hint="eastAsia" w:ascii="Times New Roman" w:hAnsi="Times New Roman"/>
          <w:color w:val="000000"/>
          <w:szCs w:val="21"/>
          <w:highlight w:val="none"/>
        </w:rPr>
        <w:t>开标时间后半小时内供应商可以登录“政采云”平台，用“项目采购</w:t>
      </w:r>
      <w:r>
        <w:rPr>
          <w:rFonts w:ascii="Times New Roman" w:hAnsi="Times New Roman"/>
          <w:color w:val="000000"/>
          <w:szCs w:val="21"/>
          <w:highlight w:val="none"/>
        </w:rPr>
        <w:t>-</w:t>
      </w:r>
      <w:r>
        <w:rPr>
          <w:rFonts w:hint="eastAsia" w:ascii="Times New Roman" w:hAnsi="Times New Roman"/>
          <w:color w:val="000000"/>
          <w:szCs w:val="21"/>
          <w:highlight w:val="none"/>
        </w:rPr>
        <w:t>开标评标”功能进行解密投标文件。若供应商在规定时间内（半小时）投标文件无法解密或解密失败且备份文件读取失败（含未提交），则投标无效。</w:t>
      </w:r>
    </w:p>
    <w:p>
      <w:pPr>
        <w:spacing w:line="336" w:lineRule="auto"/>
        <w:ind w:firstLine="422" w:firstLineChars="200"/>
        <w:rPr>
          <w:rFonts w:ascii="Times New Roman" w:hAnsi="Times New Roman"/>
          <w:b/>
          <w:color w:val="000000"/>
          <w:szCs w:val="21"/>
          <w:highlight w:val="none"/>
        </w:rPr>
      </w:pPr>
      <w:r>
        <w:rPr>
          <w:rFonts w:hint="eastAsia" w:ascii="Times New Roman" w:hAnsi="Times New Roman"/>
          <w:b/>
          <w:color w:val="000000"/>
          <w:szCs w:val="21"/>
          <w:highlight w:val="none"/>
        </w:rPr>
        <w:t>十三、其他事项：</w:t>
      </w:r>
    </w:p>
    <w:p>
      <w:pPr>
        <w:snapToGrid w:val="0"/>
        <w:spacing w:line="336" w:lineRule="auto"/>
        <w:ind w:firstLine="420" w:firstLineChars="200"/>
        <w:rPr>
          <w:rFonts w:ascii="Times New Roman" w:hAnsi="Times New Roman"/>
          <w:color w:val="000000"/>
          <w:szCs w:val="21"/>
        </w:rPr>
      </w:pPr>
      <w:r>
        <w:rPr>
          <w:rFonts w:ascii="Times New Roman" w:hAnsi="Times New Roman"/>
          <w:color w:val="000000"/>
          <w:szCs w:val="21"/>
          <w:highlight w:val="none"/>
        </w:rPr>
        <w:t>1</w:t>
      </w:r>
      <w:r>
        <w:rPr>
          <w:rFonts w:hint="eastAsia" w:ascii="Times New Roman" w:hAnsi="Times New Roman"/>
          <w:color w:val="000000"/>
          <w:szCs w:val="21"/>
          <w:highlight w:val="none"/>
        </w:rPr>
        <w:t>、</w:t>
      </w:r>
      <w:bookmarkStart w:id="14" w:name="_Hlk43284081"/>
      <w:r>
        <w:rPr>
          <w:rFonts w:hint="eastAsia" w:ascii="Times New Roman" w:hAnsi="Times New Roman"/>
          <w:color w:val="000000"/>
          <w:szCs w:val="21"/>
          <w:highlight w:val="none"/>
        </w:rPr>
        <w:t>本项目公告期限为</w:t>
      </w:r>
      <w:r>
        <w:rPr>
          <w:rFonts w:ascii="Times New Roman" w:hAnsi="Times New Roman"/>
          <w:color w:val="000000"/>
          <w:szCs w:val="21"/>
          <w:highlight w:val="none"/>
        </w:rPr>
        <w:t>5</w:t>
      </w:r>
      <w:r>
        <w:rPr>
          <w:rFonts w:hint="eastAsia" w:ascii="Times New Roman" w:hAnsi="Times New Roman"/>
          <w:color w:val="000000"/>
          <w:szCs w:val="21"/>
          <w:highlight w:val="none"/>
        </w:rPr>
        <w:t>个工作日，</w:t>
      </w:r>
      <w:bookmarkStart w:id="15" w:name="_Hlk46481778"/>
      <w:r>
        <w:rPr>
          <w:rFonts w:hint="eastAsia" w:ascii="Times New Roman" w:hAnsi="Times New Roman"/>
          <w:color w:val="000000"/>
          <w:szCs w:val="21"/>
          <w:highlight w:val="none"/>
        </w:rPr>
        <w:t>供应商认为采购文件使自己的权益受到损</w:t>
      </w:r>
      <w:r>
        <w:rPr>
          <w:rFonts w:hint="eastAsia" w:ascii="Times New Roman" w:hAnsi="Times New Roman"/>
          <w:color w:val="000000"/>
          <w:szCs w:val="21"/>
        </w:rPr>
        <w:t>害的，可以自获取采购文件之日或者采购文件公告期限届满之日（公告期限届满后获取采购文件的，以公告期限届满之日为准）起</w:t>
      </w:r>
      <w:r>
        <w:rPr>
          <w:rFonts w:ascii="Times New Roman" w:hAnsi="Times New Roman"/>
          <w:color w:val="000000"/>
          <w:szCs w:val="21"/>
        </w:rPr>
        <w:t>7</w:t>
      </w:r>
      <w:r>
        <w:rPr>
          <w:rFonts w:hint="eastAsia" w:ascii="Times New Roman" w:hAnsi="Times New Roman"/>
          <w:color w:val="000000"/>
          <w:szCs w:val="21"/>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bookmarkEnd w:id="14"/>
      <w:bookmarkEnd w:id="15"/>
    </w:p>
    <w:p>
      <w:pPr>
        <w:snapToGrid w:val="0"/>
        <w:spacing w:line="336" w:lineRule="auto"/>
        <w:ind w:firstLine="420" w:firstLineChars="200"/>
        <w:rPr>
          <w:rFonts w:ascii="Times New Roman" w:hAnsi="Times New Roman"/>
          <w:color w:val="000000"/>
          <w:szCs w:val="21"/>
        </w:rPr>
      </w:pPr>
      <w:r>
        <w:rPr>
          <w:rFonts w:ascii="Times New Roman" w:hAnsi="Times New Roman"/>
          <w:color w:val="000000"/>
          <w:szCs w:val="21"/>
        </w:rPr>
        <w:t>2</w:t>
      </w:r>
      <w:r>
        <w:rPr>
          <w:rFonts w:hint="eastAsia" w:ascii="Times New Roman" w:hAnsi="Times New Roman"/>
          <w:color w:val="000000"/>
          <w:szCs w:val="21"/>
        </w:rPr>
        <w:t>、《浙江省财政厅关于进一步发挥政府采购政策功能全力推动经济稳进提质的通知》</w:t>
      </w:r>
      <w:r>
        <w:rPr>
          <w:rFonts w:ascii="Times New Roman" w:hAnsi="Times New Roman"/>
          <w:color w:val="000000"/>
          <w:szCs w:val="21"/>
        </w:rPr>
        <w:t xml:space="preserve"> </w:t>
      </w:r>
      <w:r>
        <w:rPr>
          <w:rFonts w:hint="eastAsia" w:ascii="Times New Roman" w:hAnsi="Times New Roman"/>
          <w:color w:val="000000"/>
          <w:szCs w:val="21"/>
        </w:rPr>
        <w:t>（浙财采监（</w:t>
      </w:r>
      <w:r>
        <w:rPr>
          <w:rFonts w:ascii="Times New Roman" w:hAnsi="Times New Roman"/>
          <w:color w:val="000000"/>
          <w:szCs w:val="21"/>
        </w:rPr>
        <w:t>2022</w:t>
      </w:r>
      <w:r>
        <w:rPr>
          <w:rFonts w:hint="eastAsia" w:ascii="Times New Roman" w:hAnsi="Times New Roman"/>
          <w:color w:val="000000"/>
          <w:szCs w:val="21"/>
        </w:rPr>
        <w:t>）</w:t>
      </w:r>
      <w:r>
        <w:rPr>
          <w:rFonts w:ascii="Times New Roman" w:hAnsi="Times New Roman"/>
          <w:color w:val="000000"/>
          <w:szCs w:val="21"/>
        </w:rPr>
        <w:t>3</w:t>
      </w:r>
      <w:r>
        <w:rPr>
          <w:rFonts w:hint="eastAsia" w:ascii="Times New Roman" w:hAnsi="Times New Roman"/>
          <w:color w:val="000000"/>
          <w:szCs w:val="21"/>
        </w:rPr>
        <w:t>号）、《浙江省财政厅关于进一步促进政府采购公平竞争打造最优营商环境的通知》（浙财采监（</w:t>
      </w:r>
      <w:r>
        <w:rPr>
          <w:rFonts w:ascii="Times New Roman" w:hAnsi="Times New Roman"/>
          <w:color w:val="000000"/>
          <w:szCs w:val="21"/>
        </w:rPr>
        <w:t>2021</w:t>
      </w:r>
      <w:r>
        <w:rPr>
          <w:rFonts w:hint="eastAsia" w:ascii="Times New Roman" w:hAnsi="Times New Roman"/>
          <w:color w:val="000000"/>
          <w:szCs w:val="21"/>
        </w:rPr>
        <w:t>）</w:t>
      </w:r>
      <w:r>
        <w:rPr>
          <w:rFonts w:ascii="Times New Roman" w:hAnsi="Times New Roman"/>
          <w:color w:val="000000"/>
          <w:szCs w:val="21"/>
        </w:rPr>
        <w:t>22</w:t>
      </w:r>
      <w:r>
        <w:rPr>
          <w:rFonts w:hint="eastAsia" w:ascii="Times New Roman" w:hAnsi="Times New Roman"/>
          <w:color w:val="000000"/>
          <w:szCs w:val="21"/>
        </w:rPr>
        <w:t>号）已分别于</w:t>
      </w:r>
      <w:r>
        <w:rPr>
          <w:rFonts w:ascii="Times New Roman" w:hAnsi="Times New Roman"/>
          <w:color w:val="000000"/>
          <w:szCs w:val="21"/>
        </w:rPr>
        <w:t>2022</w:t>
      </w:r>
      <w:r>
        <w:rPr>
          <w:rFonts w:hint="eastAsia" w:ascii="Times New Roman" w:hAnsi="Times New Roman"/>
          <w:color w:val="000000"/>
          <w:szCs w:val="21"/>
        </w:rPr>
        <w:t>年</w:t>
      </w:r>
      <w:r>
        <w:rPr>
          <w:rFonts w:ascii="Times New Roman" w:hAnsi="Times New Roman"/>
          <w:color w:val="000000"/>
          <w:szCs w:val="21"/>
        </w:rPr>
        <w:t>1</w:t>
      </w:r>
      <w:r>
        <w:rPr>
          <w:rFonts w:hint="eastAsia" w:ascii="Times New Roman" w:hAnsi="Times New Roman"/>
          <w:color w:val="000000"/>
          <w:szCs w:val="21"/>
        </w:rPr>
        <w:t>月</w:t>
      </w:r>
      <w:r>
        <w:rPr>
          <w:rFonts w:ascii="Times New Roman" w:hAnsi="Times New Roman"/>
          <w:color w:val="000000"/>
          <w:szCs w:val="21"/>
        </w:rPr>
        <w:t>29</w:t>
      </w:r>
      <w:r>
        <w:rPr>
          <w:rFonts w:hint="eastAsia" w:ascii="Times New Roman" w:hAnsi="Times New Roman"/>
          <w:color w:val="000000"/>
          <w:szCs w:val="21"/>
        </w:rPr>
        <w:t>日和</w:t>
      </w:r>
      <w:r>
        <w:rPr>
          <w:rFonts w:ascii="Times New Roman" w:hAnsi="Times New Roman"/>
          <w:color w:val="000000"/>
          <w:szCs w:val="21"/>
        </w:rPr>
        <w:t>2022</w:t>
      </w:r>
      <w:r>
        <w:rPr>
          <w:rFonts w:hint="eastAsia" w:ascii="Times New Roman" w:hAnsi="Times New Roman"/>
          <w:color w:val="000000"/>
          <w:szCs w:val="21"/>
        </w:rPr>
        <w:t>年</w:t>
      </w:r>
      <w:r>
        <w:rPr>
          <w:rFonts w:ascii="Times New Roman" w:hAnsi="Times New Roman"/>
          <w:color w:val="000000"/>
          <w:szCs w:val="21"/>
        </w:rPr>
        <w:t>2</w:t>
      </w:r>
      <w:r>
        <w:rPr>
          <w:rFonts w:hint="eastAsia" w:ascii="Times New Roman" w:hAnsi="Times New Roman"/>
          <w:color w:val="000000"/>
          <w:szCs w:val="21"/>
        </w:rPr>
        <w:t>月</w:t>
      </w:r>
      <w:r>
        <w:rPr>
          <w:rFonts w:ascii="Times New Roman" w:hAnsi="Times New Roman"/>
          <w:color w:val="000000"/>
          <w:szCs w:val="21"/>
        </w:rPr>
        <w:t>1</w:t>
      </w:r>
      <w:r>
        <w:rPr>
          <w:rFonts w:hint="eastAsia" w:ascii="Times New Roman" w:hAnsi="Times New Roman"/>
          <w:color w:val="000000"/>
          <w:szCs w:val="21"/>
        </w:rPr>
        <w:t>日开始实施，此前有关规定与上述文件内容不一致的，按上述文件要求执行。</w:t>
      </w:r>
    </w:p>
    <w:p>
      <w:pPr>
        <w:snapToGrid w:val="0"/>
        <w:spacing w:line="336" w:lineRule="auto"/>
        <w:ind w:firstLine="420" w:firstLineChars="200"/>
        <w:rPr>
          <w:rFonts w:ascii="Times New Roman" w:hAnsi="Times New Roman"/>
          <w:color w:val="000000"/>
          <w:szCs w:val="21"/>
        </w:rPr>
      </w:pPr>
      <w:r>
        <w:rPr>
          <w:rFonts w:ascii="Times New Roman" w:hAnsi="Times New Roman"/>
          <w:color w:val="000000"/>
          <w:szCs w:val="21"/>
        </w:rPr>
        <w:t>3</w:t>
      </w:r>
      <w:r>
        <w:rPr>
          <w:rFonts w:hint="eastAsia" w:ascii="Times New Roman" w:hAnsi="Times New Roman"/>
          <w:color w:val="000000"/>
          <w:szCs w:val="21"/>
        </w:rPr>
        <w:t>、根据《浙江省财政厅关于进一步促进政府采购公平竞争打造最优营商环境的通知》（浙财采监（</w:t>
      </w:r>
      <w:r>
        <w:rPr>
          <w:rFonts w:ascii="Times New Roman" w:hAnsi="Times New Roman"/>
          <w:color w:val="000000"/>
          <w:szCs w:val="21"/>
        </w:rPr>
        <w:t>2021</w:t>
      </w:r>
      <w:r>
        <w:rPr>
          <w:rFonts w:hint="eastAsia" w:ascii="Times New Roman" w:hAnsi="Times New Roman"/>
          <w:color w:val="000000"/>
          <w:szCs w:val="21"/>
        </w:rPr>
        <w:t>）</w:t>
      </w:r>
      <w:r>
        <w:rPr>
          <w:rFonts w:ascii="Times New Roman" w:hAnsi="Times New Roman"/>
          <w:color w:val="000000"/>
          <w:szCs w:val="21"/>
        </w:rPr>
        <w:t>22</w:t>
      </w:r>
      <w:r>
        <w:rPr>
          <w:rFonts w:hint="eastAsia" w:ascii="Times New Roman" w:hAnsi="Times New Roman"/>
          <w:color w:val="000000"/>
          <w:szCs w:val="21"/>
        </w:rPr>
        <w:t>号）文件关于“健全行政裁决机制”要求，鼓励供应商在线提起询问，路径为：政采云</w:t>
      </w:r>
      <w:r>
        <w:rPr>
          <w:rFonts w:ascii="Times New Roman" w:hAnsi="Times New Roman"/>
          <w:color w:val="000000"/>
          <w:szCs w:val="21"/>
        </w:rPr>
        <w:t>-</w:t>
      </w:r>
      <w:r>
        <w:rPr>
          <w:rFonts w:hint="eastAsia" w:ascii="Times New Roman" w:hAnsi="Times New Roman"/>
          <w:color w:val="000000"/>
          <w:szCs w:val="21"/>
        </w:rPr>
        <w:t>项目采购</w:t>
      </w:r>
      <w:r>
        <w:rPr>
          <w:rFonts w:ascii="Times New Roman" w:hAnsi="Times New Roman"/>
          <w:color w:val="000000"/>
          <w:szCs w:val="21"/>
        </w:rPr>
        <w:t>-</w:t>
      </w:r>
      <w:r>
        <w:rPr>
          <w:rFonts w:hint="eastAsia" w:ascii="Times New Roman" w:hAnsi="Times New Roman"/>
          <w:color w:val="000000"/>
          <w:szCs w:val="21"/>
        </w:rPr>
        <w:t>询问质疑投诉</w:t>
      </w:r>
      <w:r>
        <w:rPr>
          <w:rFonts w:ascii="Times New Roman" w:hAnsi="Times New Roman"/>
          <w:color w:val="000000"/>
          <w:szCs w:val="21"/>
        </w:rPr>
        <w:t>-</w:t>
      </w:r>
      <w:r>
        <w:rPr>
          <w:rFonts w:hint="eastAsia" w:ascii="Times New Roman" w:hAnsi="Times New Roman"/>
          <w:color w:val="000000"/>
          <w:szCs w:val="21"/>
        </w:rPr>
        <w:t>询问列表</w:t>
      </w:r>
      <w:r>
        <w:rPr>
          <w:rFonts w:ascii="Times New Roman" w:hAnsi="Times New Roman"/>
          <w:color w:val="000000"/>
          <w:szCs w:val="21"/>
        </w:rPr>
        <w:t>:</w:t>
      </w:r>
      <w:r>
        <w:rPr>
          <w:rFonts w:hint="eastAsia" w:ascii="Times New Roman" w:hAnsi="Times New Roman"/>
          <w:color w:val="000000"/>
          <w:szCs w:val="21"/>
        </w:rPr>
        <w:t>鼓励供应商在线提起质疑，路径为：政采云</w:t>
      </w:r>
      <w:r>
        <w:rPr>
          <w:rFonts w:ascii="Times New Roman" w:hAnsi="Times New Roman"/>
          <w:color w:val="000000"/>
          <w:szCs w:val="21"/>
        </w:rPr>
        <w:t>-</w:t>
      </w:r>
      <w:r>
        <w:rPr>
          <w:rFonts w:hint="eastAsia" w:ascii="Times New Roman" w:hAnsi="Times New Roman"/>
          <w:color w:val="000000"/>
          <w:szCs w:val="21"/>
        </w:rPr>
        <w:t>项目采购</w:t>
      </w:r>
      <w:r>
        <w:rPr>
          <w:rFonts w:ascii="Times New Roman" w:hAnsi="Times New Roman"/>
          <w:color w:val="000000"/>
          <w:szCs w:val="21"/>
        </w:rPr>
        <w:t>-</w:t>
      </w:r>
      <w:r>
        <w:rPr>
          <w:rFonts w:hint="eastAsia" w:ascii="Times New Roman" w:hAnsi="Times New Roman"/>
          <w:color w:val="000000"/>
          <w:szCs w:val="21"/>
        </w:rPr>
        <w:t>询问质疑投诉</w:t>
      </w:r>
      <w:r>
        <w:rPr>
          <w:rFonts w:ascii="Times New Roman" w:hAnsi="Times New Roman"/>
          <w:color w:val="000000"/>
          <w:szCs w:val="21"/>
        </w:rPr>
        <w:t>-</w:t>
      </w:r>
      <w:r>
        <w:rPr>
          <w:rFonts w:hint="eastAsia" w:ascii="Times New Roman" w:hAnsi="Times New Roman"/>
          <w:color w:val="000000"/>
          <w:szCs w:val="21"/>
        </w:rPr>
        <w:t>质疑列表。质疑供应商对在线质疑答复不满意的，可在线提起投诉，路径为：浙江政府服务网</w:t>
      </w:r>
      <w:r>
        <w:rPr>
          <w:rFonts w:ascii="Times New Roman" w:hAnsi="Times New Roman"/>
          <w:color w:val="000000"/>
          <w:szCs w:val="21"/>
        </w:rPr>
        <w:t>-</w:t>
      </w:r>
      <w:r>
        <w:rPr>
          <w:rFonts w:hint="eastAsia" w:ascii="Times New Roman" w:hAnsi="Times New Roman"/>
          <w:color w:val="000000"/>
          <w:szCs w:val="21"/>
        </w:rPr>
        <w:t>政府采购投诉处理</w:t>
      </w:r>
      <w:r>
        <w:rPr>
          <w:rFonts w:ascii="Times New Roman" w:hAnsi="Times New Roman"/>
          <w:color w:val="000000"/>
          <w:szCs w:val="21"/>
        </w:rPr>
        <w:t>-</w:t>
      </w:r>
      <w:r>
        <w:rPr>
          <w:rFonts w:hint="eastAsia" w:ascii="Times New Roman" w:hAnsi="Times New Roman"/>
          <w:color w:val="000000"/>
          <w:szCs w:val="21"/>
        </w:rPr>
        <w:t>在线办理。</w:t>
      </w:r>
    </w:p>
    <w:p>
      <w:pPr>
        <w:spacing w:line="336" w:lineRule="auto"/>
        <w:ind w:firstLine="422" w:firstLineChars="200"/>
        <w:rPr>
          <w:rFonts w:ascii="Times New Roman" w:hAnsi="Times New Roman"/>
          <w:b/>
          <w:color w:val="000000"/>
          <w:szCs w:val="21"/>
        </w:rPr>
      </w:pPr>
      <w:r>
        <w:rPr>
          <w:rFonts w:hint="eastAsia" w:ascii="Times New Roman" w:hAnsi="Times New Roman"/>
          <w:b/>
          <w:color w:val="000000"/>
          <w:szCs w:val="21"/>
        </w:rPr>
        <w:t>十四、业务咨询：</w:t>
      </w:r>
    </w:p>
    <w:p>
      <w:pPr>
        <w:spacing w:line="336" w:lineRule="auto"/>
        <w:ind w:firstLine="420" w:firstLineChars="200"/>
        <w:rPr>
          <w:color w:val="000000"/>
          <w:szCs w:val="21"/>
        </w:rPr>
      </w:pPr>
      <w:r>
        <w:rPr>
          <w:color w:val="000000"/>
          <w:szCs w:val="21"/>
        </w:rPr>
        <w:t>采购单位：</w:t>
      </w:r>
      <w:r>
        <w:rPr>
          <w:rFonts w:hint="eastAsia"/>
          <w:color w:val="000000"/>
          <w:szCs w:val="21"/>
        </w:rPr>
        <w:t>嘉兴市秀洲区公路与运输管理服务中心</w:t>
      </w:r>
      <w:r>
        <w:rPr>
          <w:color w:val="000000"/>
          <w:szCs w:val="21"/>
        </w:rPr>
        <w:t xml:space="preserve"> </w:t>
      </w:r>
    </w:p>
    <w:p>
      <w:pPr>
        <w:spacing w:line="336" w:lineRule="auto"/>
        <w:ind w:firstLine="420" w:firstLineChars="200"/>
        <w:rPr>
          <w:color w:val="000000"/>
          <w:szCs w:val="21"/>
        </w:rPr>
      </w:pPr>
      <w:r>
        <w:rPr>
          <w:rFonts w:hint="eastAsia"/>
          <w:color w:val="000000"/>
          <w:szCs w:val="21"/>
        </w:rPr>
        <w:t>联系人：沈女士     联系电话：0573-</w:t>
      </w:r>
      <w:r>
        <w:rPr>
          <w:rFonts w:hint="eastAsia"/>
          <w:color w:val="000000"/>
          <w:szCs w:val="21"/>
          <w:lang w:eastAsia="zh-CN"/>
        </w:rPr>
        <w:t>82314873</w:t>
      </w:r>
      <w:r>
        <w:rPr>
          <w:rFonts w:hint="eastAsia"/>
          <w:color w:val="000000"/>
          <w:szCs w:val="21"/>
        </w:rPr>
        <w:t xml:space="preserve">            </w:t>
      </w:r>
      <w:r>
        <w:rPr>
          <w:color w:val="000000"/>
          <w:szCs w:val="21"/>
        </w:rPr>
        <w:t xml:space="preserve">   </w:t>
      </w:r>
      <w:r>
        <w:rPr>
          <w:rFonts w:hint="eastAsia"/>
          <w:color w:val="000000"/>
          <w:szCs w:val="21"/>
        </w:rPr>
        <w:t xml:space="preserve">     </w:t>
      </w:r>
      <w:r>
        <w:rPr>
          <w:color w:val="000000"/>
          <w:szCs w:val="21"/>
        </w:rPr>
        <w:t xml:space="preserve"> </w:t>
      </w:r>
    </w:p>
    <w:p>
      <w:pPr>
        <w:spacing w:line="336" w:lineRule="auto"/>
        <w:ind w:firstLine="420" w:firstLineChars="200"/>
        <w:rPr>
          <w:rFonts w:hint="eastAsia"/>
          <w:color w:val="000000"/>
          <w:szCs w:val="21"/>
        </w:rPr>
      </w:pPr>
      <w:r>
        <w:rPr>
          <w:color w:val="000000"/>
          <w:szCs w:val="21"/>
        </w:rPr>
        <w:t>代理机构：</w:t>
      </w:r>
      <w:r>
        <w:rPr>
          <w:rFonts w:hint="eastAsia"/>
          <w:color w:val="000000"/>
          <w:szCs w:val="21"/>
        </w:rPr>
        <w:t>嘉兴市华信工程咨询有限公司</w:t>
      </w:r>
    </w:p>
    <w:p>
      <w:pPr>
        <w:spacing w:line="336" w:lineRule="auto"/>
        <w:ind w:firstLine="420" w:firstLineChars="200"/>
        <w:rPr>
          <w:color w:val="000000"/>
          <w:szCs w:val="21"/>
        </w:rPr>
      </w:pPr>
      <w:r>
        <w:rPr>
          <w:color w:val="000000"/>
          <w:szCs w:val="21"/>
        </w:rPr>
        <w:t>联系人：</w:t>
      </w:r>
      <w:r>
        <w:rPr>
          <w:rFonts w:hint="eastAsia"/>
          <w:color w:val="000000"/>
          <w:szCs w:val="21"/>
        </w:rPr>
        <w:t>江先生</w:t>
      </w:r>
      <w:r>
        <w:rPr>
          <w:color w:val="000000"/>
          <w:szCs w:val="21"/>
        </w:rPr>
        <w:t xml:space="preserve">    联系电话：</w:t>
      </w:r>
      <w:r>
        <w:rPr>
          <w:rFonts w:hint="eastAsia"/>
          <w:color w:val="000000"/>
          <w:szCs w:val="21"/>
        </w:rPr>
        <w:t>0573-82099738</w:t>
      </w:r>
      <w:r>
        <w:rPr>
          <w:color w:val="000000"/>
          <w:szCs w:val="21"/>
        </w:rPr>
        <w:t xml:space="preserve">     邮箱：</w:t>
      </w:r>
      <w:r>
        <w:rPr>
          <w:rFonts w:hint="eastAsia"/>
          <w:color w:val="000000"/>
          <w:szCs w:val="21"/>
        </w:rPr>
        <w:t>443675436@qq.com</w:t>
      </w:r>
    </w:p>
    <w:p>
      <w:pPr>
        <w:spacing w:line="360" w:lineRule="auto"/>
        <w:ind w:firstLine="420" w:firstLineChars="200"/>
        <w:jc w:val="left"/>
        <w:rPr>
          <w:rFonts w:hint="eastAsia"/>
          <w:color w:val="000000"/>
          <w:szCs w:val="21"/>
        </w:rPr>
      </w:pPr>
      <w:r>
        <w:rPr>
          <w:color w:val="000000"/>
          <w:szCs w:val="21"/>
        </w:rPr>
        <w:t>政府采购行政监管及投</w:t>
      </w:r>
      <w:r>
        <w:rPr>
          <w:rFonts w:hint="eastAsia"/>
          <w:color w:val="000000"/>
          <w:szCs w:val="21"/>
        </w:rPr>
        <w:t>诉受理部门：嘉兴市秀洲区财政局</w:t>
      </w:r>
    </w:p>
    <w:p>
      <w:pPr>
        <w:widowControl/>
        <w:ind w:firstLine="420" w:firstLineChars="200"/>
        <w:jc w:val="left"/>
        <w:rPr>
          <w:rFonts w:ascii="Times New Roman" w:hAnsi="Times New Roman"/>
          <w:b/>
          <w:bCs/>
          <w:color w:val="000000"/>
          <w:kern w:val="0"/>
          <w:sz w:val="32"/>
          <w:szCs w:val="32"/>
        </w:rPr>
        <w:sectPr>
          <w:pgSz w:w="11906" w:h="16838"/>
          <w:pgMar w:top="1474" w:right="1559" w:bottom="1247" w:left="1797" w:header="851" w:footer="851" w:gutter="0"/>
          <w:pgNumType w:start="1"/>
          <w:cols w:space="720" w:num="1"/>
        </w:sectPr>
      </w:pPr>
      <w:r>
        <w:rPr>
          <w:rFonts w:hint="eastAsia"/>
          <w:color w:val="000000"/>
          <w:szCs w:val="21"/>
        </w:rPr>
        <w:t xml:space="preserve">联系人：宋女士     联系电话：0573-82720085        </w:t>
      </w:r>
    </w:p>
    <w:p>
      <w:pPr>
        <w:pStyle w:val="46"/>
        <w:rPr>
          <w:rFonts w:ascii="Times New Roman" w:hAnsi="Times New Roman"/>
          <w:color w:val="000000"/>
        </w:rPr>
      </w:pPr>
      <w:bookmarkStart w:id="16" w:name="_Toc11067539"/>
      <w:bookmarkStart w:id="17" w:name="_Toc417992857"/>
      <w:r>
        <w:rPr>
          <w:rFonts w:hint="eastAsia" w:ascii="Times New Roman" w:hAnsi="Times New Roman"/>
          <w:color w:val="000000"/>
        </w:rPr>
        <w:t>第二章</w:t>
      </w:r>
      <w:r>
        <w:rPr>
          <w:rFonts w:ascii="Times New Roman" w:hAnsi="Times New Roman"/>
          <w:color w:val="000000"/>
        </w:rPr>
        <w:t xml:space="preserve">  </w:t>
      </w:r>
      <w:r>
        <w:rPr>
          <w:rFonts w:hint="eastAsia" w:ascii="Times New Roman" w:hAnsi="Times New Roman"/>
          <w:color w:val="000000"/>
        </w:rPr>
        <w:t>招标需求</w:t>
      </w:r>
      <w:bookmarkEnd w:id="16"/>
      <w:bookmarkEnd w:id="17"/>
      <w:bookmarkStart w:id="18" w:name="_Toc4900"/>
      <w:bookmarkStart w:id="19" w:name="_Toc417992872"/>
    </w:p>
    <w:bookmarkEnd w:id="18"/>
    <w:p>
      <w:pPr>
        <w:autoSpaceDE w:val="0"/>
        <w:autoSpaceDN w:val="0"/>
        <w:adjustRightInd w:val="0"/>
        <w:snapToGrid w:val="0"/>
        <w:spacing w:line="360" w:lineRule="auto"/>
        <w:ind w:firstLine="422" w:firstLineChars="200"/>
        <w:jc w:val="left"/>
        <w:textAlignment w:val="bottom"/>
        <w:rPr>
          <w:b/>
          <w:color w:val="000000"/>
          <w:szCs w:val="21"/>
        </w:rPr>
      </w:pPr>
      <w:r>
        <w:rPr>
          <w:b/>
          <w:color w:val="000000"/>
          <w:szCs w:val="21"/>
        </w:rPr>
        <w:t>一、</w:t>
      </w:r>
      <w:r>
        <w:rPr>
          <w:rFonts w:hint="eastAsia"/>
          <w:b/>
          <w:color w:val="000000"/>
          <w:szCs w:val="21"/>
        </w:rPr>
        <w:t>采购内容</w:t>
      </w:r>
    </w:p>
    <w:p>
      <w:pPr>
        <w:snapToGrid w:val="0"/>
        <w:spacing w:line="360" w:lineRule="auto"/>
        <w:ind w:firstLine="420" w:firstLineChars="200"/>
        <w:rPr>
          <w:rFonts w:hint="eastAsia" w:eastAsia="宋体"/>
          <w:bCs/>
          <w:color w:val="000000"/>
          <w:szCs w:val="21"/>
          <w:lang w:val="en-US" w:eastAsia="zh-CN"/>
        </w:rPr>
      </w:pPr>
      <w:r>
        <w:rPr>
          <w:color w:val="000000"/>
        </w:rPr>
        <w:t>主要内容为：公路路面坑洞维修、路面及基层病害处理、公路路面预养护、桥头跳车的接顺以及路面灌缝</w:t>
      </w:r>
      <w:r>
        <w:rPr>
          <w:rFonts w:hint="eastAsia"/>
          <w:color w:val="000000"/>
        </w:rPr>
        <w:t>，</w:t>
      </w:r>
      <w:r>
        <w:rPr>
          <w:color w:val="000000"/>
        </w:rPr>
        <w:t>不含单独立项的公路大中修</w:t>
      </w:r>
      <w:r>
        <w:rPr>
          <w:rFonts w:hint="eastAsia"/>
          <w:color w:val="000000"/>
        </w:rPr>
        <w:t>。</w:t>
      </w:r>
      <w:r>
        <w:rPr>
          <w:rFonts w:hint="eastAsia"/>
          <w:color w:val="000000"/>
          <w:lang w:val="en-US" w:eastAsia="zh-CN"/>
        </w:rPr>
        <w:t>服务期：合同签订之日起至2025年12月31日。</w:t>
      </w:r>
    </w:p>
    <w:p>
      <w:pPr>
        <w:snapToGrid w:val="0"/>
        <w:spacing w:line="360" w:lineRule="auto"/>
        <w:ind w:firstLine="422" w:firstLineChars="200"/>
        <w:rPr>
          <w:rFonts w:hint="eastAsia"/>
          <w:b/>
          <w:color w:val="000000"/>
          <w:szCs w:val="21"/>
        </w:rPr>
      </w:pPr>
      <w:r>
        <w:rPr>
          <w:rFonts w:hint="eastAsia"/>
          <w:b/>
          <w:color w:val="000000"/>
          <w:szCs w:val="21"/>
        </w:rPr>
        <w:t>二</w:t>
      </w:r>
      <w:r>
        <w:rPr>
          <w:b/>
          <w:color w:val="000000"/>
          <w:szCs w:val="21"/>
        </w:rPr>
        <w:t>、</w:t>
      </w:r>
      <w:r>
        <w:rPr>
          <w:rFonts w:hint="eastAsia"/>
          <w:b/>
          <w:color w:val="000000"/>
          <w:szCs w:val="21"/>
        </w:rPr>
        <w:t>项目施工要求</w:t>
      </w:r>
    </w:p>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1. 因本工程特殊性，按照《公路养护安全作业规程》（JTG H30-2015）的要求，配备必要的养护安全作业设备、设施及标识。</w:t>
      </w:r>
      <w:r>
        <w:rPr>
          <w:rFonts w:hint="eastAsia" w:ascii="宋体" w:hAnsi="宋体" w:cs="宋体"/>
          <w:color w:val="000000"/>
          <w:szCs w:val="21"/>
          <w:lang w:val="en-US" w:eastAsia="zh-CN"/>
        </w:rPr>
        <w:t>供应商</w:t>
      </w:r>
      <w:r>
        <w:rPr>
          <w:rFonts w:hint="eastAsia" w:hAnsi="宋体"/>
          <w:color w:val="000000"/>
          <w:szCs w:val="21"/>
        </w:rPr>
        <w:t>项目部管理人员应在签订合同后一周内向</w:t>
      </w:r>
      <w:r>
        <w:rPr>
          <w:rFonts w:hint="eastAsia" w:hAnsi="宋体"/>
          <w:color w:val="000000"/>
          <w:szCs w:val="21"/>
          <w:lang w:val="en-US" w:eastAsia="zh-CN"/>
        </w:rPr>
        <w:t>采购人</w:t>
      </w:r>
      <w:r>
        <w:rPr>
          <w:rFonts w:hint="eastAsia" w:hAnsi="宋体"/>
          <w:color w:val="000000"/>
          <w:szCs w:val="21"/>
        </w:rPr>
        <w:t>备案，备案材料应包含任命文件、人员简历及相关资格证明材料。备案人员还应包括项目现场负责人、安全负责人、台账资料负责人。承包人应按照合同承诺和实际作业需要，配置养护人员。</w:t>
      </w:r>
    </w:p>
    <w:p>
      <w:pPr>
        <w:spacing w:line="360" w:lineRule="exact"/>
        <w:ind w:firstLine="420" w:firstLineChars="200"/>
        <w:rPr>
          <w:rFonts w:hint="eastAsia" w:ascii="宋体" w:hAnsi="宋体"/>
          <w:color w:val="000000"/>
          <w:szCs w:val="20"/>
        </w:rPr>
      </w:pPr>
      <w:r>
        <w:rPr>
          <w:rFonts w:hint="eastAsia" w:ascii="宋体" w:hAnsi="宋体" w:cs="宋体"/>
          <w:color w:val="000000"/>
          <w:szCs w:val="21"/>
        </w:rPr>
        <w:t>2.</w:t>
      </w:r>
      <w:r>
        <w:rPr>
          <w:rFonts w:hint="eastAsia" w:ascii="宋体" w:hAnsi="宋体"/>
          <w:color w:val="000000"/>
          <w:szCs w:val="20"/>
        </w:rPr>
        <w:t>为安全管理和提高警示作用，养护机械应符合以下要求：</w:t>
      </w:r>
    </w:p>
    <w:p>
      <w:pPr>
        <w:spacing w:line="360" w:lineRule="exact"/>
        <w:ind w:firstLine="420"/>
        <w:rPr>
          <w:rFonts w:hint="eastAsia" w:ascii="宋体" w:hAnsi="宋体"/>
          <w:color w:val="000000"/>
          <w:szCs w:val="20"/>
        </w:rPr>
      </w:pPr>
      <w:r>
        <w:rPr>
          <w:rFonts w:hint="eastAsia" w:ascii="宋体" w:hAnsi="宋体"/>
          <w:color w:val="000000"/>
          <w:szCs w:val="20"/>
        </w:rPr>
        <w:t>（</w:t>
      </w:r>
      <w:r>
        <w:rPr>
          <w:rFonts w:ascii="宋体" w:hAnsi="宋体"/>
          <w:color w:val="000000"/>
          <w:szCs w:val="20"/>
        </w:rPr>
        <w:t>1</w:t>
      </w:r>
      <w:r>
        <w:rPr>
          <w:rFonts w:hint="eastAsia" w:ascii="宋体" w:hAnsi="宋体"/>
          <w:color w:val="000000"/>
          <w:szCs w:val="20"/>
        </w:rPr>
        <w:t>）</w:t>
      </w:r>
      <w:r>
        <w:rPr>
          <w:rFonts w:ascii="宋体" w:hAnsi="宋体"/>
          <w:color w:val="000000"/>
          <w:szCs w:val="20"/>
        </w:rPr>
        <w:t>专为公路</w:t>
      </w:r>
      <w:r>
        <w:rPr>
          <w:rFonts w:hint="eastAsia" w:ascii="宋体" w:hAnsi="宋体"/>
          <w:color w:val="000000"/>
          <w:szCs w:val="20"/>
        </w:rPr>
        <w:t>养护</w:t>
      </w:r>
      <w:r>
        <w:rPr>
          <w:rFonts w:ascii="宋体" w:hAnsi="宋体"/>
          <w:color w:val="000000"/>
          <w:szCs w:val="20"/>
        </w:rPr>
        <w:t>施工作业车辆应符合以下规定：</w:t>
      </w:r>
    </w:p>
    <w:p>
      <w:pPr>
        <w:spacing w:line="360" w:lineRule="exact"/>
        <w:ind w:firstLine="420"/>
        <w:rPr>
          <w:rFonts w:hint="eastAsia" w:ascii="宋体" w:hAnsi="宋体"/>
          <w:color w:val="000000"/>
          <w:szCs w:val="20"/>
        </w:rPr>
      </w:pPr>
      <w:r>
        <w:rPr>
          <w:rFonts w:hint="eastAsia" w:ascii="宋体" w:hAnsi="宋体"/>
          <w:color w:val="000000"/>
          <w:szCs w:val="20"/>
        </w:rPr>
        <w:t>a</w:t>
      </w:r>
      <w:r>
        <w:rPr>
          <w:rFonts w:ascii="宋体" w:hAnsi="宋体"/>
          <w:color w:val="000000"/>
          <w:szCs w:val="20"/>
        </w:rPr>
        <w:t>施工车辆车身应统一喷涂桔黄色作为安全示警标识。</w:t>
      </w:r>
      <w:r>
        <w:rPr>
          <w:rFonts w:hint="eastAsia" w:ascii="宋体" w:hAnsi="宋体"/>
          <w:color w:val="000000"/>
          <w:szCs w:val="20"/>
        </w:rPr>
        <w:t>且按标准安装黄色示警灯；</w:t>
      </w:r>
    </w:p>
    <w:p>
      <w:pPr>
        <w:spacing w:line="360" w:lineRule="exact"/>
        <w:ind w:firstLine="420"/>
        <w:rPr>
          <w:rFonts w:hint="eastAsia" w:ascii="宋体" w:hAnsi="宋体"/>
          <w:color w:val="000000"/>
          <w:szCs w:val="20"/>
        </w:rPr>
      </w:pPr>
      <w:r>
        <w:rPr>
          <w:rFonts w:hint="eastAsia" w:ascii="宋体" w:hAnsi="宋体"/>
          <w:color w:val="000000"/>
          <w:szCs w:val="20"/>
        </w:rPr>
        <w:t>b</w:t>
      </w:r>
      <w:r>
        <w:rPr>
          <w:rFonts w:ascii="宋体" w:hAnsi="宋体"/>
          <w:color w:val="000000"/>
          <w:szCs w:val="20"/>
        </w:rPr>
        <w:t>施工车辆驾驶室顶部明显处应设置黄色示警灯，对于特殊车辆（驾驶室高度不足），应在其最高部位顶部明显处实施设置，且在车箱板尾部两侧最高处各增设一个黄色示警灯</w:t>
      </w:r>
      <w:r>
        <w:rPr>
          <w:rFonts w:hint="eastAsia" w:ascii="宋体" w:hAnsi="宋体"/>
          <w:color w:val="000000"/>
          <w:szCs w:val="20"/>
        </w:rPr>
        <w:t>；</w:t>
      </w:r>
    </w:p>
    <w:p>
      <w:pPr>
        <w:spacing w:line="360" w:lineRule="exact"/>
        <w:ind w:firstLine="420"/>
        <w:rPr>
          <w:rFonts w:hint="eastAsia" w:ascii="宋体" w:hAnsi="宋体"/>
          <w:color w:val="000000"/>
          <w:szCs w:val="20"/>
        </w:rPr>
      </w:pPr>
      <w:r>
        <w:rPr>
          <w:rFonts w:hint="eastAsia" w:ascii="宋体" w:hAnsi="宋体"/>
          <w:color w:val="000000"/>
          <w:szCs w:val="20"/>
        </w:rPr>
        <w:t>c</w:t>
      </w:r>
      <w:r>
        <w:rPr>
          <w:rFonts w:ascii="宋体" w:hAnsi="宋体"/>
          <w:color w:val="000000"/>
          <w:szCs w:val="20"/>
        </w:rPr>
        <w:t>对于配备车箱板的施工车辆要在后车箱板悬挂移动性施工作业标志，且标志背面斜插二面红色示警旗，车箱高栏处悬挂施工指示标志（自卸车除外）</w:t>
      </w:r>
      <w:r>
        <w:rPr>
          <w:rFonts w:hint="eastAsia" w:ascii="宋体" w:hAnsi="宋体"/>
          <w:color w:val="000000"/>
          <w:szCs w:val="20"/>
        </w:rPr>
        <w:t>。</w:t>
      </w:r>
    </w:p>
    <w:p>
      <w:pPr>
        <w:spacing w:line="360" w:lineRule="exact"/>
        <w:ind w:firstLine="420"/>
        <w:rPr>
          <w:rFonts w:hint="eastAsia" w:ascii="宋体" w:hAnsi="宋体"/>
          <w:color w:val="000000"/>
          <w:szCs w:val="20"/>
        </w:rPr>
      </w:pPr>
      <w:r>
        <w:rPr>
          <w:rFonts w:hint="eastAsia" w:ascii="宋体" w:hAnsi="宋体"/>
          <w:color w:val="000000"/>
          <w:szCs w:val="20"/>
        </w:rPr>
        <w:t>（2）</w:t>
      </w:r>
      <w:r>
        <w:rPr>
          <w:rFonts w:ascii="宋体" w:hAnsi="宋体"/>
          <w:color w:val="000000"/>
          <w:szCs w:val="20"/>
        </w:rPr>
        <w:t>对于临时性雇用维修服务施工车辆应符合以下规定：</w:t>
      </w:r>
    </w:p>
    <w:p>
      <w:pPr>
        <w:spacing w:line="360" w:lineRule="exact"/>
        <w:ind w:firstLine="420"/>
        <w:rPr>
          <w:rFonts w:hint="eastAsia" w:ascii="宋体" w:hAnsi="宋体"/>
          <w:color w:val="000000"/>
          <w:szCs w:val="20"/>
        </w:rPr>
      </w:pPr>
      <w:r>
        <w:rPr>
          <w:rFonts w:ascii="宋体" w:hAnsi="宋体"/>
          <w:color w:val="000000"/>
          <w:szCs w:val="20"/>
        </w:rPr>
        <w:t>施工车辆驾驶室顶部明显处应设置黄色示警灯，对于特殊车辆（驾驶室高度不足），应在其最高部位顶部明显处实施设置，且在车箱板尾部两侧最高处各增设一个黄色示警灯。</w:t>
      </w:r>
    </w:p>
    <w:p>
      <w:pPr>
        <w:spacing w:line="360" w:lineRule="exact"/>
        <w:ind w:firstLine="420"/>
        <w:rPr>
          <w:rFonts w:hint="eastAsia" w:ascii="宋体" w:hAnsi="宋体"/>
          <w:color w:val="000000"/>
          <w:szCs w:val="20"/>
        </w:rPr>
      </w:pPr>
      <w:r>
        <w:rPr>
          <w:rFonts w:ascii="宋体" w:hAnsi="宋体"/>
          <w:color w:val="000000"/>
          <w:szCs w:val="20"/>
        </w:rPr>
        <w:t>（</w:t>
      </w:r>
      <w:r>
        <w:rPr>
          <w:rFonts w:hint="eastAsia" w:ascii="宋体" w:hAnsi="宋体"/>
          <w:color w:val="000000"/>
          <w:szCs w:val="20"/>
        </w:rPr>
        <w:t>3</w:t>
      </w:r>
      <w:r>
        <w:rPr>
          <w:rFonts w:ascii="宋体" w:hAnsi="宋体"/>
          <w:color w:val="000000"/>
          <w:szCs w:val="20"/>
        </w:rPr>
        <w:t>）其他非公路</w:t>
      </w:r>
      <w:r>
        <w:rPr>
          <w:rFonts w:hint="eastAsia" w:ascii="宋体" w:hAnsi="宋体"/>
          <w:color w:val="000000"/>
          <w:szCs w:val="20"/>
        </w:rPr>
        <w:t>养护</w:t>
      </w:r>
      <w:r>
        <w:rPr>
          <w:rFonts w:ascii="宋体" w:hAnsi="宋体"/>
          <w:color w:val="000000"/>
          <w:szCs w:val="20"/>
        </w:rPr>
        <w:t>施工作业车辆应按有关规定粘贴反光膜或粉刷油漆，悬挂施工作业标志，配置施工作业标志灯。</w:t>
      </w:r>
    </w:p>
    <w:p>
      <w:pPr>
        <w:spacing w:line="360" w:lineRule="exact"/>
        <w:ind w:firstLine="420"/>
        <w:rPr>
          <w:rFonts w:hint="eastAsia" w:ascii="宋体" w:hAnsi="宋体"/>
          <w:color w:val="000000"/>
          <w:szCs w:val="20"/>
        </w:rPr>
      </w:pPr>
      <w:r>
        <w:rPr>
          <w:rFonts w:hint="eastAsia" w:ascii="宋体" w:hAnsi="宋体"/>
          <w:color w:val="000000"/>
          <w:szCs w:val="20"/>
        </w:rPr>
        <w:t>（4）所有的养护机械在作业前进行检查，保证上路作业和操作期间技术状况良好。</w:t>
      </w:r>
    </w:p>
    <w:p>
      <w:pPr>
        <w:numPr>
          <w:ilvl w:val="0"/>
          <w:numId w:val="6"/>
        </w:numPr>
        <w:spacing w:line="360" w:lineRule="exact"/>
        <w:ind w:firstLine="420"/>
        <w:rPr>
          <w:rFonts w:hint="eastAsia" w:ascii="宋体" w:hAnsi="宋体"/>
          <w:b/>
          <w:color w:val="000000"/>
        </w:rPr>
      </w:pPr>
      <w:r>
        <w:rPr>
          <w:rFonts w:hint="eastAsia" w:ascii="宋体" w:hAnsi="宋体"/>
          <w:b/>
          <w:color w:val="000000"/>
        </w:rPr>
        <w:t>养护期间一旦发生与本项目相关安全责任事故时，由</w:t>
      </w:r>
      <w:r>
        <w:rPr>
          <w:rFonts w:hint="eastAsia" w:ascii="宋体" w:hAnsi="宋体"/>
          <w:b/>
          <w:color w:val="000000"/>
          <w:lang w:val="en-US" w:eastAsia="zh-CN"/>
        </w:rPr>
        <w:t>供应商</w:t>
      </w:r>
      <w:r>
        <w:rPr>
          <w:rFonts w:hint="eastAsia" w:ascii="宋体" w:hAnsi="宋体"/>
          <w:b/>
          <w:color w:val="000000"/>
        </w:rPr>
        <w:t>负责</w:t>
      </w:r>
      <w:r>
        <w:rPr>
          <w:rFonts w:ascii="宋体" w:hAnsi="宋体"/>
          <w:b/>
          <w:color w:val="000000"/>
        </w:rPr>
        <w:t>人</w:t>
      </w:r>
      <w:r>
        <w:rPr>
          <w:rFonts w:hint="eastAsia" w:ascii="宋体" w:hAnsi="宋体"/>
          <w:b/>
          <w:color w:val="000000"/>
        </w:rPr>
        <w:t>负责协调处理事故各项事宜。</w:t>
      </w:r>
    </w:p>
    <w:p>
      <w:pPr>
        <w:spacing w:line="420" w:lineRule="exact"/>
        <w:ind w:firstLine="420" w:firstLineChars="200"/>
        <w:rPr>
          <w:rFonts w:hint="eastAsia" w:ascii="宋体" w:hAnsi="宋体"/>
          <w:b/>
          <w:color w:val="000000"/>
        </w:rPr>
      </w:pPr>
      <w:r>
        <w:rPr>
          <w:rFonts w:hint="eastAsia" w:ascii="宋体" w:hAnsi="宋体"/>
          <w:color w:val="000000"/>
          <w:szCs w:val="21"/>
        </w:rPr>
        <w:t>4.发包人有权向承包人课以违约金，具体约定如下</w:t>
      </w:r>
      <w:r>
        <w:rPr>
          <w:rFonts w:hint="eastAsia" w:hAnsi="宋体"/>
          <w:color w:val="000000"/>
          <w:szCs w:val="21"/>
        </w:rPr>
        <w:t>：</w:t>
      </w:r>
    </w:p>
    <w:p>
      <w:pPr>
        <w:spacing w:line="360" w:lineRule="auto"/>
        <w:ind w:firstLine="420" w:firstLineChars="200"/>
        <w:rPr>
          <w:rFonts w:hint="eastAsia" w:ascii="宋体" w:hAnsi="宋体"/>
          <w:color w:val="000000"/>
          <w:szCs w:val="21"/>
        </w:rPr>
      </w:pPr>
      <w:r>
        <w:rPr>
          <w:rFonts w:hint="eastAsia" w:ascii="宋体" w:hAnsi="宋体"/>
          <w:color w:val="000000"/>
          <w:szCs w:val="21"/>
        </w:rPr>
        <w:t>（1）</w:t>
      </w:r>
      <w:r>
        <w:rPr>
          <w:rFonts w:hint="eastAsia" w:ascii="宋体" w:hAnsi="宋体" w:cs="宋体"/>
          <w:color w:val="000000"/>
          <w:szCs w:val="21"/>
          <w:lang w:val="en-US" w:eastAsia="zh-CN"/>
        </w:rPr>
        <w:t>供应商</w:t>
      </w:r>
      <w:r>
        <w:rPr>
          <w:rFonts w:hint="eastAsia" w:ascii="宋体" w:hAnsi="宋体"/>
          <w:color w:val="000000"/>
          <w:szCs w:val="21"/>
        </w:rPr>
        <w:t>未建立规定台账资料的每发现一次扣款2000元，未及时提交资料台账每延期1天扣100元，发现资料不真实、不齐全的每处扣100元。</w:t>
      </w:r>
    </w:p>
    <w:p>
      <w:pPr>
        <w:spacing w:line="360" w:lineRule="auto"/>
        <w:ind w:firstLine="420" w:firstLineChars="200"/>
        <w:rPr>
          <w:rFonts w:hint="eastAsia" w:ascii="宋体" w:hAnsi="宋体"/>
          <w:color w:val="000000"/>
          <w:szCs w:val="21"/>
        </w:rPr>
      </w:pPr>
      <w:r>
        <w:rPr>
          <w:rFonts w:hint="eastAsia" w:ascii="宋体" w:hAnsi="宋体"/>
          <w:color w:val="000000"/>
          <w:szCs w:val="21"/>
        </w:rPr>
        <w:t>（2）</w:t>
      </w:r>
      <w:r>
        <w:rPr>
          <w:rFonts w:hint="eastAsia" w:ascii="宋体" w:hAnsi="宋体" w:cs="宋体"/>
          <w:color w:val="000000"/>
          <w:szCs w:val="21"/>
          <w:lang w:val="en-US" w:eastAsia="zh-CN"/>
        </w:rPr>
        <w:t>供应商</w:t>
      </w:r>
      <w:r>
        <w:rPr>
          <w:rFonts w:hint="eastAsia" w:ascii="宋体" w:hAnsi="宋体"/>
          <w:color w:val="000000"/>
          <w:szCs w:val="21"/>
        </w:rPr>
        <w:t>未经</w:t>
      </w:r>
      <w:r>
        <w:rPr>
          <w:rFonts w:hint="eastAsia" w:hAnsi="宋体"/>
          <w:color w:val="000000"/>
          <w:szCs w:val="21"/>
          <w:lang w:val="en-US" w:eastAsia="zh-CN"/>
        </w:rPr>
        <w:t>采购人</w:t>
      </w:r>
      <w:r>
        <w:rPr>
          <w:rFonts w:hint="eastAsia" w:ascii="宋体" w:hAnsi="宋体"/>
          <w:color w:val="000000"/>
          <w:szCs w:val="21"/>
        </w:rPr>
        <w:t>审批擅自变更计划或者没有按照计划执行工作，每发现一次扣款1000元；没有完成计划内容而导致延期的（人力不可抗拒因素除外），每处扣款1000元。</w:t>
      </w:r>
    </w:p>
    <w:p>
      <w:pPr>
        <w:spacing w:line="360" w:lineRule="auto"/>
        <w:ind w:firstLine="420" w:firstLineChars="200"/>
        <w:rPr>
          <w:rFonts w:hint="eastAsia" w:ascii="宋体" w:hAnsi="宋体"/>
          <w:color w:val="000000"/>
          <w:szCs w:val="21"/>
        </w:rPr>
      </w:pPr>
      <w:r>
        <w:rPr>
          <w:rFonts w:hint="eastAsia" w:ascii="宋体" w:hAnsi="宋体"/>
          <w:color w:val="000000"/>
          <w:szCs w:val="21"/>
        </w:rPr>
        <w:t>（3）未按</w:t>
      </w:r>
      <w:r>
        <w:rPr>
          <w:rFonts w:hint="eastAsia" w:hAnsi="宋体"/>
          <w:color w:val="000000"/>
          <w:szCs w:val="21"/>
          <w:lang w:val="en-US" w:eastAsia="zh-CN"/>
        </w:rPr>
        <w:t>采购人</w:t>
      </w:r>
      <w:r>
        <w:rPr>
          <w:rFonts w:hint="eastAsia" w:ascii="宋体" w:hAnsi="宋体"/>
          <w:color w:val="000000"/>
          <w:szCs w:val="21"/>
        </w:rPr>
        <w:t>提出的整改意见整改的或整改不到位的，每发现一次课以违约金2000元；拒不整改的，按合同违约处理。</w:t>
      </w:r>
    </w:p>
    <w:p>
      <w:pPr>
        <w:spacing w:line="360" w:lineRule="auto"/>
        <w:ind w:firstLine="420" w:firstLineChars="200"/>
        <w:rPr>
          <w:rFonts w:hint="eastAsia" w:ascii="宋体" w:hAnsi="宋体"/>
          <w:color w:val="000000"/>
          <w:szCs w:val="21"/>
        </w:rPr>
      </w:pPr>
      <w:r>
        <w:rPr>
          <w:rFonts w:hint="eastAsia" w:ascii="宋体" w:hAnsi="宋体"/>
          <w:color w:val="000000"/>
          <w:szCs w:val="21"/>
        </w:rPr>
        <w:t>（4）按照</w:t>
      </w:r>
      <w:r>
        <w:rPr>
          <w:rFonts w:hint="eastAsia" w:hAnsi="宋体"/>
          <w:color w:val="000000"/>
          <w:szCs w:val="21"/>
          <w:lang w:val="en-US" w:eastAsia="zh-CN"/>
        </w:rPr>
        <w:t>采购人</w:t>
      </w:r>
      <w:r>
        <w:rPr>
          <w:rFonts w:hint="eastAsia" w:ascii="宋体" w:hAnsi="宋体"/>
          <w:color w:val="000000"/>
          <w:szCs w:val="21"/>
        </w:rPr>
        <w:t>认可的计划，由于</w:t>
      </w:r>
      <w:r>
        <w:rPr>
          <w:rFonts w:hint="eastAsia" w:ascii="宋体" w:hAnsi="宋体" w:cs="宋体"/>
          <w:color w:val="000000"/>
          <w:szCs w:val="21"/>
          <w:lang w:val="en-US" w:eastAsia="zh-CN"/>
        </w:rPr>
        <w:t>供应商</w:t>
      </w:r>
      <w:r>
        <w:rPr>
          <w:rFonts w:hint="eastAsia" w:ascii="宋体" w:hAnsi="宋体"/>
          <w:color w:val="000000"/>
          <w:szCs w:val="21"/>
        </w:rPr>
        <w:t>自身原因造成工作延期的，对</w:t>
      </w:r>
      <w:r>
        <w:rPr>
          <w:rFonts w:hint="eastAsia" w:ascii="宋体" w:hAnsi="宋体" w:cs="宋体"/>
          <w:color w:val="000000"/>
          <w:szCs w:val="21"/>
          <w:lang w:val="en-US" w:eastAsia="zh-CN"/>
        </w:rPr>
        <w:t>供应商</w:t>
      </w:r>
      <w:r>
        <w:rPr>
          <w:rFonts w:hint="eastAsia" w:ascii="宋体" w:hAnsi="宋体"/>
          <w:color w:val="000000"/>
          <w:szCs w:val="21"/>
        </w:rPr>
        <w:t>每处课以2000元违约金；对</w:t>
      </w:r>
      <w:r>
        <w:rPr>
          <w:rFonts w:hint="eastAsia" w:hAnsi="宋体"/>
          <w:color w:val="000000"/>
          <w:szCs w:val="21"/>
          <w:lang w:val="en-US" w:eastAsia="zh-CN"/>
        </w:rPr>
        <w:t>采购人</w:t>
      </w:r>
      <w:r>
        <w:rPr>
          <w:rFonts w:hint="eastAsia" w:ascii="宋体" w:hAnsi="宋体"/>
          <w:color w:val="000000"/>
          <w:szCs w:val="21"/>
        </w:rPr>
        <w:t>提出的赶工措施不切实落实整改的，视情每次承包人课以3000-5000元违约金；按照</w:t>
      </w:r>
      <w:r>
        <w:rPr>
          <w:rFonts w:hint="eastAsia" w:hAnsi="宋体"/>
          <w:color w:val="000000"/>
          <w:szCs w:val="21"/>
          <w:lang w:val="en-US" w:eastAsia="zh-CN"/>
        </w:rPr>
        <w:t>采购人</w:t>
      </w:r>
      <w:r>
        <w:rPr>
          <w:rFonts w:hint="eastAsia" w:ascii="宋体" w:hAnsi="宋体"/>
          <w:color w:val="000000"/>
          <w:szCs w:val="21"/>
        </w:rPr>
        <w:t>认可的进度计划，由于</w:t>
      </w:r>
      <w:r>
        <w:rPr>
          <w:rFonts w:hint="eastAsia" w:ascii="宋体" w:hAnsi="宋体" w:cs="宋体"/>
          <w:color w:val="000000"/>
          <w:szCs w:val="21"/>
          <w:lang w:val="en-US" w:eastAsia="zh-CN"/>
        </w:rPr>
        <w:t>供应商</w:t>
      </w:r>
      <w:r>
        <w:rPr>
          <w:rFonts w:hint="eastAsia" w:ascii="宋体" w:hAnsi="宋体"/>
          <w:color w:val="000000"/>
          <w:szCs w:val="21"/>
        </w:rPr>
        <w:t>自身原因造成的连续三个月严重滞后，则对</w:t>
      </w:r>
      <w:r>
        <w:rPr>
          <w:rFonts w:hint="eastAsia" w:ascii="宋体" w:hAnsi="宋体" w:cs="宋体"/>
          <w:color w:val="000000"/>
          <w:szCs w:val="21"/>
          <w:lang w:val="en-US" w:eastAsia="zh-CN"/>
        </w:rPr>
        <w:t>供应商</w:t>
      </w:r>
      <w:r>
        <w:rPr>
          <w:rFonts w:hint="eastAsia" w:ascii="宋体" w:hAnsi="宋体"/>
          <w:color w:val="000000"/>
          <w:szCs w:val="21"/>
        </w:rPr>
        <w:t>课以合同价1%的违约金处罚。</w:t>
      </w:r>
    </w:p>
    <w:p>
      <w:pPr>
        <w:spacing w:line="360" w:lineRule="auto"/>
        <w:ind w:firstLine="420" w:firstLineChars="200"/>
        <w:rPr>
          <w:rFonts w:hint="eastAsia" w:ascii="宋体" w:hAnsi="宋体"/>
          <w:color w:val="000000"/>
          <w:szCs w:val="21"/>
        </w:rPr>
      </w:pPr>
      <w:r>
        <w:rPr>
          <w:rFonts w:hint="eastAsia" w:ascii="宋体" w:hAnsi="宋体"/>
          <w:color w:val="000000"/>
          <w:szCs w:val="21"/>
        </w:rPr>
        <w:t>（5）</w:t>
      </w:r>
      <w:r>
        <w:rPr>
          <w:rFonts w:hint="eastAsia" w:ascii="宋体" w:hAnsi="宋体" w:cs="宋体"/>
          <w:color w:val="000000"/>
          <w:szCs w:val="21"/>
          <w:lang w:val="en-US" w:eastAsia="zh-CN"/>
        </w:rPr>
        <w:t>供应商</w:t>
      </w:r>
      <w:r>
        <w:rPr>
          <w:rFonts w:hint="eastAsia" w:ascii="宋体" w:hAnsi="宋体"/>
          <w:color w:val="000000"/>
          <w:szCs w:val="21"/>
        </w:rPr>
        <w:t>未按规定开展日常小修工作，导致第三方责任事故，由</w:t>
      </w:r>
      <w:r>
        <w:rPr>
          <w:rFonts w:hint="eastAsia" w:ascii="宋体" w:hAnsi="宋体" w:cs="宋体"/>
          <w:color w:val="000000"/>
          <w:szCs w:val="21"/>
          <w:lang w:val="en-US" w:eastAsia="zh-CN"/>
        </w:rPr>
        <w:t>供应商</w:t>
      </w:r>
      <w:r>
        <w:rPr>
          <w:rFonts w:hint="eastAsia" w:ascii="宋体" w:hAnsi="宋体"/>
          <w:color w:val="000000"/>
          <w:szCs w:val="21"/>
        </w:rPr>
        <w:t>自行负责处理。</w:t>
      </w:r>
    </w:p>
    <w:p>
      <w:pPr>
        <w:spacing w:line="360" w:lineRule="auto"/>
        <w:ind w:firstLine="420" w:firstLineChars="200"/>
        <w:rPr>
          <w:rFonts w:hint="eastAsia" w:ascii="宋体" w:hAnsi="宋体"/>
          <w:color w:val="000000"/>
          <w:szCs w:val="21"/>
        </w:rPr>
      </w:pPr>
      <w:r>
        <w:rPr>
          <w:rFonts w:hint="eastAsia" w:ascii="宋体" w:hAnsi="宋体"/>
          <w:color w:val="000000"/>
          <w:szCs w:val="21"/>
        </w:rPr>
        <w:t>（6）养护作业未做到随产随清：其中公路及桥涵小修施工产生的建筑垃圾未在24小时内完成进行清理，每发现一次扣1000元。</w:t>
      </w:r>
    </w:p>
    <w:p>
      <w:pPr>
        <w:spacing w:line="360" w:lineRule="auto"/>
        <w:ind w:firstLine="420" w:firstLineChars="200"/>
        <w:rPr>
          <w:rFonts w:hint="eastAsia" w:ascii="宋体" w:hAnsi="宋体"/>
          <w:color w:val="000000"/>
          <w:szCs w:val="21"/>
        </w:rPr>
      </w:pPr>
      <w:r>
        <w:rPr>
          <w:rFonts w:hint="eastAsia" w:ascii="宋体" w:hAnsi="宋体"/>
          <w:color w:val="000000"/>
          <w:szCs w:val="21"/>
        </w:rPr>
        <w:t>（7）</w:t>
      </w:r>
      <w:r>
        <w:rPr>
          <w:rFonts w:hint="eastAsia" w:ascii="宋体" w:hAnsi="宋体" w:cs="宋体"/>
          <w:color w:val="000000"/>
          <w:szCs w:val="21"/>
          <w:lang w:val="en-US" w:eastAsia="zh-CN"/>
        </w:rPr>
        <w:t>供应商</w:t>
      </w:r>
      <w:r>
        <w:rPr>
          <w:rFonts w:hint="eastAsia" w:ascii="宋体" w:hAnsi="宋体"/>
          <w:color w:val="000000"/>
          <w:szCs w:val="21"/>
        </w:rPr>
        <w:t>上报的计量中审核出有弄虚作假、虚报计量情况的，视情节对承包人按该项虚报部分上报计量金额10%～100%处罚；存在计算错误的，按该页计量表中错误项目上报计量金额的5%处罚。所有罚款均在承包人当期计量中扣除。</w:t>
      </w:r>
    </w:p>
    <w:p>
      <w:pPr>
        <w:spacing w:line="420" w:lineRule="exact"/>
        <w:ind w:firstLine="435"/>
        <w:rPr>
          <w:rFonts w:hint="eastAsia" w:ascii="宋体" w:hAnsi="宋体"/>
          <w:b/>
          <w:color w:val="000000"/>
        </w:rPr>
      </w:pPr>
      <w:r>
        <w:rPr>
          <w:rFonts w:hint="eastAsia" w:ascii="宋体" w:hAnsi="宋体"/>
          <w:color w:val="000000"/>
          <w:szCs w:val="21"/>
        </w:rPr>
        <w:t>上述（1）-（6）违约金应在支付</w:t>
      </w:r>
      <w:r>
        <w:rPr>
          <w:rFonts w:hint="eastAsia" w:ascii="宋体" w:hAnsi="宋体" w:cs="宋体"/>
          <w:color w:val="000000"/>
          <w:szCs w:val="21"/>
          <w:lang w:val="en-US" w:eastAsia="zh-CN"/>
        </w:rPr>
        <w:t>供应商</w:t>
      </w:r>
      <w:r>
        <w:rPr>
          <w:rFonts w:hint="eastAsia" w:ascii="宋体" w:hAnsi="宋体"/>
          <w:color w:val="000000"/>
          <w:szCs w:val="21"/>
        </w:rPr>
        <w:t>的款项中扣除，扣除违约金支配权归</w:t>
      </w:r>
      <w:r>
        <w:rPr>
          <w:rFonts w:hint="eastAsia" w:hAnsi="宋体"/>
          <w:color w:val="000000"/>
          <w:szCs w:val="21"/>
          <w:lang w:val="en-US" w:eastAsia="zh-CN"/>
        </w:rPr>
        <w:t>采购人</w:t>
      </w:r>
      <w:r>
        <w:rPr>
          <w:rFonts w:hint="eastAsia" w:ascii="宋体" w:hAnsi="宋体"/>
          <w:color w:val="000000"/>
          <w:szCs w:val="21"/>
        </w:rPr>
        <w:t>所有。其他未尽事项，按</w:t>
      </w:r>
      <w:r>
        <w:rPr>
          <w:rFonts w:hint="eastAsia" w:hAnsi="宋体"/>
          <w:color w:val="000000"/>
          <w:szCs w:val="21"/>
          <w:lang w:val="en-US" w:eastAsia="zh-CN"/>
        </w:rPr>
        <w:t>采购人</w:t>
      </w:r>
      <w:r>
        <w:rPr>
          <w:rFonts w:hint="eastAsia" w:hAnsi="宋体"/>
          <w:color w:val="000000"/>
          <w:szCs w:val="21"/>
        </w:rPr>
        <w:t>相关管理</w:t>
      </w:r>
      <w:r>
        <w:rPr>
          <w:rFonts w:hint="eastAsia" w:ascii="宋体" w:hAnsi="宋体"/>
          <w:color w:val="000000"/>
          <w:szCs w:val="21"/>
        </w:rPr>
        <w:t>规定执行。</w:t>
      </w:r>
    </w:p>
    <w:p>
      <w:pPr>
        <w:spacing w:line="360" w:lineRule="auto"/>
        <w:ind w:firstLine="420" w:firstLineChars="200"/>
        <w:rPr>
          <w:rFonts w:hint="eastAsia" w:ascii="宋体" w:hAnsi="宋体" w:cs="宋体"/>
          <w:color w:val="000000"/>
          <w:szCs w:val="21"/>
        </w:rPr>
      </w:pPr>
    </w:p>
    <w:p>
      <w:pPr>
        <w:snapToGrid w:val="0"/>
        <w:spacing w:line="360" w:lineRule="auto"/>
        <w:ind w:firstLine="422" w:firstLineChars="200"/>
        <w:rPr>
          <w:rFonts w:hint="eastAsia"/>
          <w:b/>
          <w:color w:val="000000"/>
          <w:szCs w:val="21"/>
        </w:rPr>
      </w:pPr>
      <w:bookmarkStart w:id="20" w:name="_Toc87888463"/>
      <w:r>
        <w:rPr>
          <w:rFonts w:hint="eastAsia" w:ascii="宋体" w:hAnsi="宋体" w:cs="宋体"/>
          <w:b/>
          <w:color w:val="000000"/>
          <w:szCs w:val="21"/>
        </w:rPr>
        <w:t>▲</w:t>
      </w:r>
      <w:r>
        <w:rPr>
          <w:rFonts w:hint="eastAsia"/>
          <w:b/>
          <w:color w:val="000000"/>
          <w:szCs w:val="21"/>
        </w:rPr>
        <w:t>三、人员要求：</w:t>
      </w:r>
    </w:p>
    <w:p>
      <w:pPr>
        <w:numPr>
          <w:ilvl w:val="0"/>
          <w:numId w:val="7"/>
        </w:numPr>
        <w:spacing w:line="360" w:lineRule="auto"/>
        <w:ind w:firstLine="843"/>
        <w:rPr>
          <w:rFonts w:hint="eastAsia" w:ascii="宋体" w:hAnsi="宋体"/>
          <w:color w:val="000000"/>
        </w:rPr>
      </w:pPr>
      <w:r>
        <w:rPr>
          <w:rFonts w:hint="eastAsia" w:ascii="宋体" w:hAnsi="宋体"/>
          <w:color w:val="000000"/>
        </w:rPr>
        <w:t>项目经理：1）、担任过自2018年7月1日以来成功完成单个项目的公路养护工程（不含新改建工程）沥青砼路面1000 m³以上（即须同时体现：①路面为沥青砼路面②沥青砼1000m³以上；③在单个项目）的项目经理（或项目副经理或项目总工），持有公路工程专业二级及以上注册建造师证书，工程师及以上技术职称，并具有有效期内的 公路水运 施工企业项目负责人安全生产考核合格证书（B类）。</w:t>
      </w:r>
      <w:r>
        <w:rPr>
          <w:rFonts w:hint="eastAsia"/>
          <w:b/>
          <w:color w:val="000000"/>
          <w:szCs w:val="21"/>
        </w:rPr>
        <w:t>附项目经理的身份证（双面扫描、职称资格证书、安全生产考核合格证书、公路工程专业二级及以上注册建造师证书的扫描件。 项目经理的建造师注册证书、安全生产考核合格证书书上的企业名称应与投标人名称一致。附项目经理担任类似项目的项目经理或项目副经理、项目总工的相关业绩证明材料（应附中标通知书，或合同协议书，或由发包人或主管部门或质量监督机构出具的公路工程（标段）竣（交）工验收证明文件，如上述资料中均未体现人员姓名、任职、业绩规模等内容的，则还须提供项目发包人或项目质量管理部门或项目所在地行发包人管部门出具的证明材料）清晰可辨的复印件。</w:t>
      </w:r>
      <w:r>
        <w:rPr>
          <w:rFonts w:hint="eastAsia"/>
          <w:color w:val="000000"/>
          <w:szCs w:val="21"/>
          <w:lang w:val="en-US" w:eastAsia="zh-CN"/>
        </w:rPr>
        <w:t>投标人提供的证明材料为中标通知书</w:t>
      </w:r>
      <w:r>
        <w:rPr>
          <w:rFonts w:hint="eastAsia"/>
          <w:color w:val="000000"/>
          <w:szCs w:val="21"/>
        </w:rPr>
        <w:t>或合同协议书或由发包人或主管部门或质量监督机构出具的公路工程（标段）竣（交）工验收证明文件</w:t>
      </w:r>
      <w:r>
        <w:rPr>
          <w:rFonts w:hint="eastAsia"/>
          <w:color w:val="000000"/>
          <w:szCs w:val="21"/>
          <w:lang w:val="en-US" w:eastAsia="zh-CN"/>
        </w:rPr>
        <w:t>三者之一的，时间已该证明材料上的时间为准，如为三者中两个及以上的，提供的上述任一证明材料能体现为</w:t>
      </w:r>
      <w:r>
        <w:rPr>
          <w:rFonts w:hint="eastAsia"/>
          <w:color w:val="000000"/>
          <w:szCs w:val="21"/>
        </w:rPr>
        <w:t>2018年7月1日以来</w:t>
      </w:r>
      <w:r>
        <w:rPr>
          <w:rFonts w:hint="eastAsia"/>
          <w:color w:val="000000"/>
          <w:szCs w:val="21"/>
          <w:lang w:eastAsia="zh-CN"/>
        </w:rPr>
        <w:t>的</w:t>
      </w:r>
      <w:r>
        <w:rPr>
          <w:rFonts w:hint="eastAsia"/>
          <w:color w:val="000000"/>
          <w:szCs w:val="21"/>
          <w:lang w:val="en-US" w:eastAsia="zh-CN"/>
        </w:rPr>
        <w:t>业绩均予以认可。</w:t>
      </w:r>
    </w:p>
    <w:p>
      <w:pPr>
        <w:spacing w:line="360" w:lineRule="auto"/>
        <w:ind w:left="630"/>
        <w:rPr>
          <w:rFonts w:hint="eastAsia" w:ascii="宋体" w:hAnsi="宋体"/>
          <w:color w:val="000000"/>
        </w:rPr>
      </w:pPr>
      <w:r>
        <w:rPr>
          <w:rFonts w:hint="eastAsia" w:ascii="宋体" w:hAnsi="宋体"/>
          <w:color w:val="000000"/>
        </w:rPr>
        <w:t>2）、拟委任项目经理未在（或未曾在）其他在建项目（不分投资性质的省内外所有项目）上任项目经理。</w:t>
      </w:r>
    </w:p>
    <w:p>
      <w:pPr>
        <w:spacing w:line="360" w:lineRule="auto"/>
        <w:ind w:left="630"/>
        <w:rPr>
          <w:rFonts w:hint="eastAsia" w:ascii="宋体" w:hAnsi="宋体"/>
          <w:color w:val="000000"/>
        </w:rPr>
      </w:pPr>
      <w:r>
        <w:rPr>
          <w:rFonts w:hint="eastAsia" w:ascii="宋体" w:hAnsi="宋体"/>
          <w:color w:val="000000"/>
        </w:rPr>
        <w:t>3）、自2018年7月1日以来，拟委任项目经理无行贿犯罪行为。</w:t>
      </w:r>
    </w:p>
    <w:p>
      <w:pPr>
        <w:snapToGrid w:val="0"/>
        <w:spacing w:line="360" w:lineRule="auto"/>
        <w:ind w:firstLine="422" w:firstLineChars="200"/>
        <w:rPr>
          <w:rFonts w:hint="eastAsia"/>
          <w:b/>
          <w:color w:val="000000"/>
          <w:szCs w:val="21"/>
        </w:rPr>
      </w:pPr>
      <w:r>
        <w:rPr>
          <w:rFonts w:hint="eastAsia"/>
          <w:b/>
          <w:color w:val="000000"/>
          <w:szCs w:val="21"/>
        </w:rPr>
        <w:t>四、计量</w:t>
      </w:r>
      <w:bookmarkEnd w:id="20"/>
    </w:p>
    <w:p>
      <w:pPr>
        <w:spacing w:line="420" w:lineRule="exact"/>
        <w:ind w:firstLine="420" w:firstLineChars="200"/>
        <w:rPr>
          <w:rFonts w:hint="eastAsia"/>
          <w:color w:val="000000"/>
          <w:szCs w:val="21"/>
        </w:rPr>
      </w:pPr>
      <w:r>
        <w:rPr>
          <w:rFonts w:hint="eastAsia"/>
          <w:color w:val="000000"/>
          <w:szCs w:val="21"/>
        </w:rPr>
        <w:t>按照合同文件、业主相关文件要求，发包人对公路小修实际计量情况组织一次验收，考核验收完成后方可计量支付。承包人凭养护作业任务单、养护作业验收单计量，需要现场确认工程数量的作业，计量时还应附有发包人签认的工程数量确认单。不符合有关规定和计量要求的项目将不予支付。</w:t>
      </w:r>
    </w:p>
    <w:p>
      <w:pPr>
        <w:spacing w:line="420" w:lineRule="exact"/>
        <w:ind w:firstLine="420" w:firstLineChars="200"/>
        <w:rPr>
          <w:rFonts w:hint="eastAsia"/>
          <w:color w:val="000000"/>
          <w:szCs w:val="21"/>
        </w:rPr>
      </w:pPr>
      <w:r>
        <w:rPr>
          <w:rFonts w:hint="eastAsia"/>
          <w:color w:val="000000"/>
          <w:szCs w:val="21"/>
        </w:rPr>
        <w:t>承包人应按发包人指令开展公路小修作业，在指令范围外作业的工作量将不予计量。</w:t>
      </w:r>
    </w:p>
    <w:p>
      <w:pPr>
        <w:spacing w:line="420" w:lineRule="exact"/>
        <w:ind w:firstLine="420" w:firstLineChars="200"/>
        <w:rPr>
          <w:rFonts w:hint="eastAsia"/>
          <w:color w:val="000000"/>
          <w:szCs w:val="21"/>
        </w:rPr>
      </w:pPr>
      <w:r>
        <w:rPr>
          <w:rFonts w:hint="eastAsia"/>
          <w:color w:val="000000"/>
          <w:szCs w:val="21"/>
        </w:rPr>
        <w:t>大面积小修（单块50平方米以上或单条线路总面积不少于500平方米）作业计量验收规定：小修施工厚度以发包人现场测量为准，且测量点数不低于每百平方米3个，取加权平均厚度为计量厚度；小修面积以发包人组织计量验收为准。小面积小修作业计量验收规定：厚度：根据承包人施工图片台账等资料，按实计算；小修面积以发包人组织计量验收为准。</w:t>
      </w:r>
    </w:p>
    <w:p>
      <w:pPr>
        <w:snapToGrid w:val="0"/>
        <w:spacing w:line="360" w:lineRule="auto"/>
        <w:ind w:firstLine="422" w:firstLineChars="200"/>
        <w:rPr>
          <w:rFonts w:hint="eastAsia"/>
          <w:b/>
          <w:color w:val="000000"/>
          <w:szCs w:val="21"/>
        </w:rPr>
      </w:pPr>
      <w:r>
        <w:rPr>
          <w:rFonts w:hint="eastAsia"/>
          <w:b/>
          <w:color w:val="000000"/>
          <w:szCs w:val="21"/>
        </w:rPr>
        <w:t>五、报价要求</w:t>
      </w:r>
    </w:p>
    <w:p>
      <w:pPr>
        <w:spacing w:line="420" w:lineRule="exact"/>
        <w:ind w:firstLine="420" w:firstLineChars="200"/>
        <w:rPr>
          <w:color w:val="000000"/>
          <w:szCs w:val="21"/>
        </w:rPr>
      </w:pPr>
      <w:r>
        <w:rPr>
          <w:rFonts w:hint="eastAsia"/>
          <w:color w:val="000000"/>
          <w:szCs w:val="21"/>
        </w:rPr>
        <w:t>本项目费用包括人员工资、设备使用费用、材料费用、管理、保险、交通食宿费用、税金、利润及政策性文件规定等各项应有费用等为完成本项目所需要的全部费用。具体按照进报价明细表行报价。</w:t>
      </w:r>
    </w:p>
    <w:p>
      <w:pPr>
        <w:snapToGrid w:val="0"/>
        <w:spacing w:line="360" w:lineRule="auto"/>
        <w:ind w:firstLine="422" w:firstLineChars="200"/>
        <w:rPr>
          <w:b/>
          <w:color w:val="000000"/>
          <w:szCs w:val="21"/>
        </w:rPr>
      </w:pPr>
      <w:r>
        <w:rPr>
          <w:rFonts w:hint="eastAsia"/>
          <w:b/>
          <w:color w:val="000000"/>
          <w:szCs w:val="21"/>
        </w:rPr>
        <w:t>六、付款条件</w:t>
      </w:r>
    </w:p>
    <w:p>
      <w:pPr>
        <w:spacing w:line="420" w:lineRule="exact"/>
        <w:ind w:firstLine="420" w:firstLineChars="200"/>
        <w:rPr>
          <w:rFonts w:hint="eastAsia"/>
          <w:b/>
          <w:bCs/>
          <w:color w:val="000000"/>
          <w:szCs w:val="21"/>
        </w:rPr>
      </w:pPr>
      <w:r>
        <w:rPr>
          <w:rFonts w:hint="eastAsia" w:cs="宋体"/>
          <w:color w:val="000000"/>
          <w:szCs w:val="21"/>
        </w:rPr>
        <w:t>根据实际完成并经发包人验收合格的工程量乘以相应细目单价，按计量支付。</w:t>
      </w:r>
      <w:r>
        <w:rPr>
          <w:rFonts w:hint="eastAsia" w:ascii="宋体" w:hAnsi="宋体"/>
          <w:b/>
          <w:color w:val="000000"/>
          <w:szCs w:val="21"/>
        </w:rPr>
        <w:t>质保期为三个月，质保期内出现施工质量问题无条件返工，不及时整改的在下期计量中扣除。</w:t>
      </w:r>
      <w:r>
        <w:rPr>
          <w:rFonts w:hint="eastAsia"/>
          <w:b/>
          <w:bCs/>
          <w:color w:val="000000"/>
          <w:szCs w:val="21"/>
        </w:rPr>
        <w:t>注：上述具体支付时间以财政拨款为准。</w:t>
      </w:r>
    </w:p>
    <w:p>
      <w:pPr>
        <w:spacing w:line="360" w:lineRule="auto"/>
        <w:rPr>
          <w:color w:val="000000"/>
          <w:sz w:val="24"/>
          <w:szCs w:val="21"/>
        </w:rPr>
      </w:pPr>
    </w:p>
    <w:p>
      <w:pPr>
        <w:spacing w:line="600" w:lineRule="exact"/>
        <w:jc w:val="center"/>
        <w:rPr>
          <w:rFonts w:hint="eastAsia" w:ascii="黑体" w:eastAsia="黑体"/>
          <w:color w:val="000000"/>
          <w:sz w:val="28"/>
          <w:szCs w:val="28"/>
        </w:rPr>
      </w:pPr>
      <w:r>
        <w:rPr>
          <w:color w:val="000000"/>
          <w:sz w:val="24"/>
          <w:szCs w:val="21"/>
        </w:rPr>
        <w:br w:type="page"/>
      </w:r>
      <w:r>
        <w:rPr>
          <w:rFonts w:hint="eastAsia" w:ascii="黑体" w:eastAsia="黑体"/>
          <w:color w:val="000000"/>
          <w:sz w:val="28"/>
          <w:szCs w:val="28"/>
        </w:rPr>
        <w:t>工程量清单</w:t>
      </w:r>
    </w:p>
    <w:p>
      <w:pPr>
        <w:rPr>
          <w:rFonts w:hint="eastAsia" w:ascii="黑体" w:hAnsi="宋体" w:eastAsia="黑体"/>
          <w:color w:val="000000"/>
          <w:szCs w:val="21"/>
        </w:rPr>
      </w:pPr>
    </w:p>
    <w:p>
      <w:pPr>
        <w:outlineLvl w:val="0"/>
        <w:rPr>
          <w:rFonts w:hint="eastAsia" w:ascii="宋体" w:hAnsi="宋体"/>
          <w:b/>
          <w:bCs/>
          <w:color w:val="000000"/>
          <w:sz w:val="24"/>
        </w:rPr>
      </w:pPr>
      <w:bookmarkStart w:id="21" w:name="_Toc496620377"/>
      <w:bookmarkStart w:id="22" w:name="_Toc87531971"/>
      <w:r>
        <w:rPr>
          <w:rFonts w:hint="eastAsia" w:ascii="宋体" w:hAnsi="宋体"/>
          <w:b/>
          <w:bCs/>
          <w:color w:val="000000"/>
          <w:sz w:val="24"/>
        </w:rPr>
        <w:t>1．工程量清单说明</w:t>
      </w:r>
      <w:bookmarkEnd w:id="21"/>
      <w:bookmarkEnd w:id="22"/>
    </w:p>
    <w:p>
      <w:pPr>
        <w:widowControl/>
        <w:numPr>
          <w:ilvl w:val="0"/>
          <w:numId w:val="8"/>
        </w:numPr>
        <w:shd w:val="clear" w:color="FFFFFF" w:fill="FFFFFF"/>
        <w:tabs>
          <w:tab w:val="left" w:pos="360"/>
        </w:tabs>
        <w:spacing w:line="420" w:lineRule="exact"/>
        <w:ind w:firstLine="420" w:firstLineChars="200"/>
        <w:jc w:val="left"/>
        <w:rPr>
          <w:color w:val="000000"/>
          <w:kern w:val="0"/>
          <w:szCs w:val="21"/>
        </w:rPr>
      </w:pPr>
      <w:bookmarkStart w:id="23" w:name="_Toc282779151"/>
      <w:bookmarkStart w:id="24" w:name="_Toc372885951"/>
      <w:bookmarkStart w:id="25" w:name="_Toc373401438"/>
      <w:bookmarkStart w:id="26" w:name="_Toc288546801"/>
      <w:bookmarkStart w:id="27" w:name="_Toc373348552"/>
      <w:bookmarkStart w:id="28" w:name="_Toc282787615"/>
      <w:bookmarkStart w:id="29" w:name="_Toc373494744"/>
      <w:bookmarkStart w:id="30" w:name="_Toc288491677"/>
      <w:bookmarkStart w:id="31" w:name="_Toc373147109"/>
      <w:bookmarkStart w:id="32" w:name="_Toc283794348"/>
      <w:bookmarkStart w:id="33" w:name="_Toc373132375"/>
      <w:bookmarkStart w:id="34" w:name="_Toc372902097"/>
      <w:bookmarkStart w:id="35" w:name="_Toc373399869"/>
      <w:bookmarkStart w:id="36" w:name="_Toc20795"/>
      <w:bookmarkStart w:id="37" w:name="_Toc282784935"/>
      <w:bookmarkStart w:id="38" w:name="_Toc288546289"/>
      <w:bookmarkStart w:id="39" w:name="_Toc372886131"/>
      <w:bookmarkStart w:id="40" w:name="_Toc282779660"/>
      <w:bookmarkStart w:id="41" w:name="_Toc287853501"/>
      <w:r>
        <w:rPr>
          <w:rFonts w:eastAsia="黑体"/>
          <w:color w:val="000000"/>
          <w:kern w:val="0"/>
          <w:szCs w:val="21"/>
        </w:rPr>
        <w:t>1.1</w:t>
      </w:r>
      <w:r>
        <w:rPr>
          <w:rFonts w:hint="eastAsia" w:ascii="黑体" w:eastAsia="黑体"/>
          <w:color w:val="000000"/>
          <w:kern w:val="0"/>
          <w:szCs w:val="21"/>
        </w:rPr>
        <w:t xml:space="preserve">  </w:t>
      </w:r>
      <w:r>
        <w:rPr>
          <w:rFonts w:hint="eastAsia" w:ascii="宋体" w:hAnsi="宋体"/>
          <w:color w:val="000000"/>
          <w:kern w:val="0"/>
          <w:szCs w:val="21"/>
        </w:rPr>
        <w:t>本</w:t>
      </w:r>
      <w:r>
        <w:rPr>
          <w:rFonts w:ascii="宋体" w:hAnsi="宋体"/>
          <w:color w:val="000000"/>
          <w:kern w:val="0"/>
          <w:szCs w:val="21"/>
        </w:rPr>
        <w:t>工程量清单</w:t>
      </w:r>
      <w:r>
        <w:rPr>
          <w:rFonts w:hint="eastAsia" w:ascii="宋体" w:hAnsi="宋体"/>
          <w:color w:val="000000"/>
          <w:kern w:val="0"/>
          <w:szCs w:val="21"/>
        </w:rPr>
        <w:t>是根据招标文件中包括的、有合同约束力的图纸以及有关工程量清单的国家标准、地方标准、行业标准、合同条款中约定的工程量计算规则编制；</w:t>
      </w:r>
      <w:r>
        <w:rPr>
          <w:rFonts w:hAnsi="宋体"/>
          <w:color w:val="000000"/>
          <w:kern w:val="0"/>
          <w:szCs w:val="21"/>
        </w:rPr>
        <w:t>依据浙江省《交通养护工程工程量清单计价规范》（</w:t>
      </w:r>
      <w:r>
        <w:rPr>
          <w:color w:val="000000"/>
          <w:kern w:val="0"/>
          <w:szCs w:val="21"/>
        </w:rPr>
        <w:t>DB33/T751-2009</w:t>
      </w:r>
      <w:r>
        <w:rPr>
          <w:rFonts w:hAnsi="宋体"/>
          <w:color w:val="000000"/>
          <w:kern w:val="0"/>
          <w:szCs w:val="21"/>
        </w:rPr>
        <w:t>）</w:t>
      </w:r>
      <w:r>
        <w:rPr>
          <w:rFonts w:hAnsi="宋体"/>
          <w:bCs/>
          <w:color w:val="000000"/>
          <w:kern w:val="0"/>
          <w:szCs w:val="21"/>
        </w:rPr>
        <w:t>第一部分</w:t>
      </w:r>
      <w:r>
        <w:rPr>
          <w:rFonts w:hint="eastAsia"/>
          <w:bCs/>
          <w:color w:val="000000"/>
          <w:kern w:val="0"/>
          <w:szCs w:val="21"/>
        </w:rPr>
        <w:t xml:space="preserve"> “</w:t>
      </w:r>
      <w:r>
        <w:rPr>
          <w:rFonts w:hAnsi="宋体"/>
          <w:bCs/>
          <w:color w:val="000000"/>
          <w:kern w:val="0"/>
          <w:szCs w:val="21"/>
        </w:rPr>
        <w:t>公路小修保养工程工程量清单计价规范</w:t>
      </w:r>
      <w:r>
        <w:rPr>
          <w:rFonts w:hint="eastAsia"/>
          <w:bCs/>
          <w:color w:val="000000"/>
          <w:kern w:val="0"/>
          <w:szCs w:val="21"/>
        </w:rPr>
        <w:t>”</w:t>
      </w:r>
      <w:r>
        <w:rPr>
          <w:rFonts w:hAnsi="宋体"/>
          <w:bCs/>
          <w:color w:val="000000"/>
          <w:kern w:val="0"/>
          <w:szCs w:val="21"/>
        </w:rPr>
        <w:t xml:space="preserve"> 中</w:t>
      </w:r>
      <w:r>
        <w:rPr>
          <w:rFonts w:hint="eastAsia" w:hAnsi="宋体"/>
          <w:bCs/>
          <w:color w:val="000000"/>
          <w:kern w:val="0"/>
          <w:szCs w:val="21"/>
        </w:rPr>
        <w:t>的</w:t>
      </w:r>
      <w:r>
        <w:rPr>
          <w:rFonts w:hAnsi="宋体"/>
          <w:color w:val="000000"/>
          <w:kern w:val="0"/>
          <w:szCs w:val="21"/>
        </w:rPr>
        <w:t>工程量清单计价、工程量清单计价格式和计价要求等进行编制</w:t>
      </w:r>
      <w:r>
        <w:rPr>
          <w:rFonts w:hint="eastAsia" w:hAnsi="宋体"/>
          <w:color w:val="000000"/>
          <w:kern w:val="0"/>
          <w:szCs w:val="21"/>
        </w:rPr>
        <w:t>。</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spacing w:line="420" w:lineRule="exact"/>
        <w:ind w:firstLine="420" w:firstLineChars="200"/>
        <w:jc w:val="left"/>
        <w:rPr>
          <w:rFonts w:hint="eastAsia"/>
          <w:color w:val="000000"/>
          <w:szCs w:val="21"/>
        </w:rPr>
      </w:pPr>
      <w:r>
        <w:rPr>
          <w:color w:val="000000"/>
          <w:szCs w:val="21"/>
        </w:rPr>
        <w:t>1.2  本工程量清单应与招标文件中的投标人须知、通用合同条款、</w:t>
      </w:r>
      <w:r>
        <w:rPr>
          <w:rFonts w:hint="eastAsia"/>
          <w:color w:val="000000"/>
          <w:szCs w:val="21"/>
        </w:rPr>
        <w:t>项目</w:t>
      </w:r>
      <w:r>
        <w:rPr>
          <w:color w:val="000000"/>
          <w:szCs w:val="21"/>
        </w:rPr>
        <w:t>专用合同条款、技术规范等一起阅读和理解</w:t>
      </w:r>
      <w:r>
        <w:rPr>
          <w:rFonts w:hint="eastAsia"/>
          <w:color w:val="000000"/>
          <w:szCs w:val="21"/>
        </w:rPr>
        <w:t>。</w:t>
      </w:r>
    </w:p>
    <w:p>
      <w:pPr>
        <w:spacing w:line="420" w:lineRule="exact"/>
        <w:ind w:firstLine="420" w:firstLineChars="200"/>
        <w:rPr>
          <w:rFonts w:hint="eastAsia"/>
          <w:color w:val="000000"/>
          <w:szCs w:val="21"/>
        </w:rPr>
      </w:pPr>
      <w:r>
        <w:rPr>
          <w:color w:val="000000"/>
          <w:szCs w:val="21"/>
        </w:rPr>
        <w:t>1.3  本工程量清单中所列</w:t>
      </w:r>
      <w:r>
        <w:rPr>
          <w:rFonts w:hint="eastAsia"/>
          <w:color w:val="000000"/>
          <w:szCs w:val="21"/>
        </w:rPr>
        <w:t>“一类项目”（指工程量清单第1000章中项目名称）</w:t>
      </w:r>
      <w:r>
        <w:rPr>
          <w:color w:val="000000"/>
          <w:szCs w:val="21"/>
        </w:rPr>
        <w:t>工程量是</w:t>
      </w:r>
      <w:r>
        <w:rPr>
          <w:rFonts w:hint="eastAsia"/>
          <w:color w:val="000000"/>
          <w:szCs w:val="21"/>
        </w:rPr>
        <w:t>根据实际情况确定的工程数量；“二类项目”（指工程量清单第100章</w:t>
      </w:r>
      <w:r>
        <w:rPr>
          <w:color w:val="000000"/>
          <w:szCs w:val="21"/>
        </w:rPr>
        <w:t>~</w:t>
      </w:r>
      <w:r>
        <w:rPr>
          <w:rFonts w:hint="eastAsia"/>
          <w:color w:val="000000"/>
          <w:szCs w:val="21"/>
        </w:rPr>
        <w:t>第700章中子目名称）工程量为暂定的工程数量，是</w:t>
      </w:r>
      <w:r>
        <w:rPr>
          <w:color w:val="000000"/>
          <w:szCs w:val="21"/>
        </w:rPr>
        <w:t>估算的或</w:t>
      </w:r>
      <w:r>
        <w:rPr>
          <w:rFonts w:hint="eastAsia"/>
          <w:color w:val="000000"/>
          <w:szCs w:val="21"/>
        </w:rPr>
        <w:t>是</w:t>
      </w:r>
      <w:r>
        <w:rPr>
          <w:color w:val="000000"/>
          <w:szCs w:val="21"/>
        </w:rPr>
        <w:t>预计的数量，仅作为投标报价的共同基础，不能作为最终结算与支付的依据</w:t>
      </w:r>
      <w:r>
        <w:rPr>
          <w:rFonts w:hint="eastAsia"/>
          <w:color w:val="000000"/>
          <w:szCs w:val="21"/>
        </w:rPr>
        <w:t>，</w:t>
      </w:r>
      <w:r>
        <w:rPr>
          <w:color w:val="000000"/>
          <w:szCs w:val="21"/>
        </w:rPr>
        <w:t>实际支付应按</w:t>
      </w:r>
      <w:r>
        <w:rPr>
          <w:rFonts w:hint="eastAsia"/>
          <w:color w:val="000000"/>
          <w:szCs w:val="21"/>
        </w:rPr>
        <w:t>承包人</w:t>
      </w:r>
      <w:r>
        <w:rPr>
          <w:color w:val="000000"/>
          <w:szCs w:val="21"/>
        </w:rPr>
        <w:t>完成的实际工程量，由承包人按技术规范规定的计量方法，以</w:t>
      </w:r>
      <w:r>
        <w:rPr>
          <w:rFonts w:hint="eastAsia"/>
          <w:color w:val="000000"/>
          <w:szCs w:val="21"/>
        </w:rPr>
        <w:t>发包</w:t>
      </w:r>
      <w:r>
        <w:rPr>
          <w:color w:val="000000"/>
          <w:szCs w:val="21"/>
        </w:rPr>
        <w:t>人认可的尺寸、断面计量，按本工程量清单的单价和总额价计算支付金额；或者根据具体情况，按合同条款第15.4款的规定，由</w:t>
      </w:r>
      <w:r>
        <w:rPr>
          <w:rFonts w:hint="eastAsia"/>
          <w:color w:val="000000"/>
          <w:szCs w:val="21"/>
        </w:rPr>
        <w:t>发包</w:t>
      </w:r>
      <w:r>
        <w:rPr>
          <w:color w:val="000000"/>
          <w:szCs w:val="21"/>
        </w:rPr>
        <w:t>人确定的单价或总额价计算支付额。</w:t>
      </w:r>
    </w:p>
    <w:p>
      <w:pPr>
        <w:spacing w:line="420" w:lineRule="exact"/>
        <w:ind w:firstLine="420" w:firstLineChars="200"/>
        <w:rPr>
          <w:rFonts w:hint="eastAsia"/>
          <w:color w:val="000000"/>
          <w:szCs w:val="21"/>
        </w:rPr>
      </w:pPr>
      <w:r>
        <w:rPr>
          <w:rFonts w:hint="eastAsia"/>
          <w:color w:val="000000"/>
          <w:szCs w:val="21"/>
        </w:rPr>
        <w:t xml:space="preserve">1.4  </w:t>
      </w:r>
      <w:r>
        <w:rPr>
          <w:color w:val="000000"/>
          <w:szCs w:val="21"/>
        </w:rPr>
        <w:t>工程量清单</w:t>
      </w:r>
      <w:r>
        <w:rPr>
          <w:rFonts w:hint="eastAsia"/>
          <w:color w:val="000000"/>
          <w:szCs w:val="21"/>
        </w:rPr>
        <w:t>各章是按第七章“技术规范”的相应章次编号的，“技术规范” 中计量与支付条款中的“支付子目”里所标注的“相应计价规范子目”栏的子目编号，即与</w:t>
      </w:r>
      <w:r>
        <w:rPr>
          <w:rFonts w:hAnsi="宋体"/>
          <w:color w:val="000000"/>
          <w:szCs w:val="21"/>
        </w:rPr>
        <w:t>《交通养护工程工程量清单计价规范》</w:t>
      </w:r>
      <w:r>
        <w:rPr>
          <w:rFonts w:hAnsi="宋体"/>
          <w:bCs/>
          <w:color w:val="000000"/>
          <w:szCs w:val="21"/>
        </w:rPr>
        <w:t>第一部分中</w:t>
      </w:r>
      <w:r>
        <w:rPr>
          <w:rFonts w:hint="eastAsia"/>
          <w:bCs/>
          <w:color w:val="000000"/>
          <w:szCs w:val="21"/>
        </w:rPr>
        <w:t>“</w:t>
      </w:r>
      <w:r>
        <w:rPr>
          <w:rFonts w:hAnsi="宋体"/>
          <w:bCs/>
          <w:color w:val="000000"/>
          <w:szCs w:val="21"/>
        </w:rPr>
        <w:t>公路小修保养工程工程量清单计价规范</w:t>
      </w:r>
      <w:r>
        <w:rPr>
          <w:rFonts w:hint="eastAsia"/>
          <w:bCs/>
          <w:color w:val="000000"/>
          <w:szCs w:val="21"/>
        </w:rPr>
        <w:t>”</w:t>
      </w:r>
      <w:r>
        <w:rPr>
          <w:rFonts w:hint="eastAsia"/>
          <w:color w:val="000000"/>
          <w:szCs w:val="21"/>
        </w:rPr>
        <w:t>的相应细目号相衔接。因此，工程量清单中各章工程子目的范围与计量等应与“技术规范”及</w:t>
      </w:r>
      <w:r>
        <w:rPr>
          <w:rFonts w:hint="eastAsia"/>
          <w:bCs/>
          <w:color w:val="000000"/>
          <w:szCs w:val="21"/>
        </w:rPr>
        <w:t>“</w:t>
      </w:r>
      <w:r>
        <w:rPr>
          <w:rFonts w:hAnsi="宋体"/>
          <w:bCs/>
          <w:color w:val="000000"/>
          <w:szCs w:val="21"/>
        </w:rPr>
        <w:t>公路小修保养工程工程量清单计价规范</w:t>
      </w:r>
      <w:r>
        <w:rPr>
          <w:rFonts w:hint="eastAsia"/>
          <w:bCs/>
          <w:color w:val="000000"/>
          <w:szCs w:val="21"/>
        </w:rPr>
        <w:t>”</w:t>
      </w:r>
      <w:r>
        <w:rPr>
          <w:rFonts w:hint="eastAsia"/>
          <w:color w:val="000000"/>
          <w:szCs w:val="21"/>
        </w:rPr>
        <w:t>的相应细目的范围、计量与支付条款结合起来理解或解释。</w:t>
      </w:r>
    </w:p>
    <w:p>
      <w:pPr>
        <w:spacing w:line="420" w:lineRule="exact"/>
        <w:ind w:firstLine="420" w:firstLineChars="200"/>
        <w:rPr>
          <w:rFonts w:hint="eastAsia"/>
          <w:color w:val="000000"/>
          <w:szCs w:val="21"/>
        </w:rPr>
      </w:pPr>
      <w:r>
        <w:rPr>
          <w:rFonts w:hint="eastAsia"/>
          <w:color w:val="000000"/>
          <w:szCs w:val="21"/>
        </w:rPr>
        <w:t>1.5  对养护作业和材料的一般说明或规定，未重复写入工程量清单内，在给工程量</w:t>
      </w:r>
      <w:r>
        <w:rPr>
          <w:color w:val="000000"/>
          <w:szCs w:val="21"/>
        </w:rPr>
        <w:t>清单</w:t>
      </w:r>
      <w:r>
        <w:rPr>
          <w:rFonts w:hint="eastAsia"/>
          <w:color w:val="000000"/>
          <w:szCs w:val="21"/>
        </w:rPr>
        <w:t>各子目标价前，应参阅第七章“技术规范”的有关内容。</w:t>
      </w:r>
    </w:p>
    <w:p>
      <w:pPr>
        <w:spacing w:line="420" w:lineRule="exact"/>
        <w:ind w:firstLine="420" w:firstLineChars="200"/>
        <w:rPr>
          <w:rFonts w:hint="eastAsia"/>
          <w:color w:val="000000"/>
          <w:szCs w:val="21"/>
        </w:rPr>
      </w:pPr>
      <w:r>
        <w:rPr>
          <w:rFonts w:hint="eastAsia"/>
          <w:color w:val="000000"/>
          <w:szCs w:val="21"/>
        </w:rPr>
        <w:t xml:space="preserve">1.6  </w:t>
      </w:r>
      <w:r>
        <w:rPr>
          <w:color w:val="000000"/>
          <w:szCs w:val="21"/>
        </w:rPr>
        <w:t>工程量清单</w:t>
      </w:r>
      <w:r>
        <w:rPr>
          <w:rFonts w:hint="eastAsia"/>
          <w:color w:val="000000"/>
          <w:szCs w:val="21"/>
        </w:rPr>
        <w:t>中所列工程量的变动，丝毫不会降低或影响合同条款的效力，也不免除承包人按规定的标准进行施工和修复缺陷的责任。</w:t>
      </w:r>
    </w:p>
    <w:p>
      <w:pPr>
        <w:spacing w:line="420" w:lineRule="exact"/>
        <w:ind w:firstLine="420" w:firstLineChars="200"/>
        <w:rPr>
          <w:rFonts w:hint="eastAsia" w:ascii="宋体" w:hAnsi="宋体"/>
          <w:color w:val="000000"/>
          <w:szCs w:val="21"/>
        </w:rPr>
      </w:pPr>
    </w:p>
    <w:p>
      <w:pPr>
        <w:outlineLvl w:val="0"/>
        <w:rPr>
          <w:rFonts w:hint="eastAsia" w:ascii="宋体" w:hAnsi="宋体"/>
          <w:b/>
          <w:bCs/>
          <w:color w:val="000000"/>
          <w:sz w:val="24"/>
        </w:rPr>
      </w:pPr>
      <w:bookmarkStart w:id="42" w:name="_Toc87531972"/>
      <w:bookmarkStart w:id="43" w:name="_Toc496620378"/>
      <w:r>
        <w:rPr>
          <w:rFonts w:hint="eastAsia" w:ascii="宋体" w:hAnsi="宋体"/>
          <w:b/>
          <w:bCs/>
          <w:color w:val="000000"/>
          <w:sz w:val="24"/>
        </w:rPr>
        <w:t>2．投标报价说明</w:t>
      </w:r>
      <w:bookmarkEnd w:id="42"/>
      <w:bookmarkEnd w:id="43"/>
    </w:p>
    <w:p>
      <w:pPr>
        <w:spacing w:line="420" w:lineRule="exact"/>
        <w:ind w:firstLine="420" w:firstLineChars="200"/>
        <w:rPr>
          <w:rFonts w:hint="eastAsia" w:ascii="宋体" w:hAnsi="宋体"/>
          <w:color w:val="000000"/>
          <w:szCs w:val="21"/>
        </w:rPr>
      </w:pPr>
      <w:r>
        <w:rPr>
          <w:rFonts w:hint="eastAsia" w:ascii="宋体" w:hAnsi="宋体"/>
          <w:color w:val="000000"/>
          <w:szCs w:val="21"/>
        </w:rPr>
        <w:t>2.1  工程量清单中的每一子目须填入单价或价格，且只允许有一个报价。</w:t>
      </w:r>
    </w:p>
    <w:p>
      <w:pPr>
        <w:spacing w:line="420" w:lineRule="exact"/>
        <w:ind w:firstLine="420" w:firstLineChars="200"/>
        <w:rPr>
          <w:rFonts w:hint="eastAsia" w:ascii="宋体" w:hAnsi="宋体"/>
          <w:color w:val="000000"/>
          <w:szCs w:val="21"/>
        </w:rPr>
      </w:pPr>
      <w:r>
        <w:rPr>
          <w:rFonts w:hint="eastAsia" w:ascii="宋体" w:hAnsi="宋体"/>
          <w:color w:val="000000"/>
          <w:szCs w:val="21"/>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pPr>
        <w:spacing w:line="420" w:lineRule="exact"/>
        <w:ind w:firstLine="420" w:firstLineChars="200"/>
        <w:rPr>
          <w:rFonts w:hint="eastAsia" w:ascii="宋体" w:hAnsi="宋体"/>
          <w:color w:val="000000"/>
          <w:szCs w:val="21"/>
        </w:rPr>
      </w:pPr>
      <w:r>
        <w:rPr>
          <w:rFonts w:hint="eastAsia" w:ascii="宋体" w:hAnsi="宋体"/>
          <w:color w:val="000000"/>
          <w:szCs w:val="21"/>
        </w:rPr>
        <w:t>2.3  工程量清单中投标人没有填入单价或价格的子目，其费用视为已分摊在工程量清单中其他相关子目的单价或价格之中。承包人必须按监理人指令完成工程量清单中未填人单价或价格的子目，但不能得到结算与支付。</w:t>
      </w:r>
    </w:p>
    <w:p>
      <w:pPr>
        <w:spacing w:line="420" w:lineRule="exact"/>
        <w:ind w:firstLine="420" w:firstLineChars="200"/>
        <w:rPr>
          <w:rFonts w:hint="eastAsia" w:ascii="宋体" w:hAnsi="宋体"/>
          <w:color w:val="000000"/>
          <w:szCs w:val="21"/>
        </w:rPr>
      </w:pPr>
      <w:r>
        <w:rPr>
          <w:rFonts w:hint="eastAsia" w:ascii="宋体" w:hAnsi="宋体"/>
          <w:color w:val="000000"/>
          <w:szCs w:val="21"/>
        </w:rPr>
        <w:t>2.4  符合合同条款规定的全部费用应认为已被计入有标价的工程量清单所列各子目之中，未列子目不予计量的工作，其费用应视为已分摊在本合同工程的有关子目的单价或总额价之中。</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rPr>
        <w:t>2.5  承包人用于本</w:t>
      </w:r>
      <w:r>
        <w:rPr>
          <w:rFonts w:hint="eastAsia" w:ascii="宋体" w:hAnsi="宋体"/>
          <w:color w:val="000000"/>
          <w:szCs w:val="21"/>
          <w:highlight w:val="none"/>
        </w:rPr>
        <w:t>合同工程的各类装备的提供、运输、维护、拆卸、拼装等支付的费用，已包括在工程量清单的单价与总额价之中。</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2.6  工程量清单中各项金额均以人民币（元）结算。</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2.7  暂列金额（不含计日工总额）的数量及拟用子目的说明：</w:t>
      </w:r>
      <w:r>
        <w:rPr>
          <w:rFonts w:hint="eastAsia" w:ascii="宋体" w:hAnsi="宋体"/>
          <w:color w:val="000000"/>
          <w:szCs w:val="21"/>
          <w:highlight w:val="none"/>
          <w:u w:val="single"/>
        </w:rPr>
        <w:t xml:space="preserve"> </w:t>
      </w:r>
      <w:bookmarkStart w:id="44" w:name="OLE_LINK1"/>
      <w:bookmarkStart w:id="45" w:name="OLE_LINK3"/>
      <w:r>
        <w:rPr>
          <w:rFonts w:hint="eastAsia" w:ascii="宋体" w:hAnsi="宋体"/>
          <w:color w:val="000000"/>
          <w:szCs w:val="21"/>
          <w:highlight w:val="none"/>
          <w:u w:val="single"/>
        </w:rPr>
        <w:t>暂列金额的数量为第100章至300章工程量清单合计的3</w:t>
      </w:r>
      <w:r>
        <w:rPr>
          <w:rFonts w:hint="eastAsia" w:ascii="宋体" w:hAnsi="宋体"/>
          <w:b/>
          <w:color w:val="000000"/>
          <w:szCs w:val="21"/>
          <w:highlight w:val="none"/>
          <w:u w:val="single"/>
        </w:rPr>
        <w:t>％</w:t>
      </w:r>
      <w:bookmarkEnd w:id="44"/>
      <w:bookmarkEnd w:id="45"/>
      <w:r>
        <w:rPr>
          <w:rFonts w:hint="eastAsia" w:ascii="宋体" w:hAnsi="宋体"/>
          <w:color w:val="000000"/>
          <w:szCs w:val="21"/>
          <w:highlight w:val="none"/>
          <w:u w:val="single"/>
        </w:rPr>
        <w:t xml:space="preserve">，除合同另有规定外，应由发包人按合同条款第15条的规定，结合工程具体情况，报经发包人批准后指令全部或部分地使用，或者根本不予动用  </w:t>
      </w:r>
      <w:r>
        <w:rPr>
          <w:rFonts w:hint="eastAsia" w:ascii="宋体" w:hAnsi="宋体"/>
          <w:color w:val="000000"/>
          <w:szCs w:val="21"/>
          <w:highlight w:val="none"/>
        </w:rPr>
        <w:t>。</w:t>
      </w:r>
    </w:p>
    <w:p>
      <w:pPr>
        <w:spacing w:line="420" w:lineRule="exact"/>
        <w:ind w:firstLine="420" w:firstLineChars="200"/>
        <w:rPr>
          <w:rFonts w:hint="eastAsia" w:ascii="宋体" w:hAnsi="宋体"/>
          <w:color w:val="000000"/>
          <w:szCs w:val="21"/>
          <w:highlight w:val="none"/>
          <w:u w:val="single"/>
        </w:rPr>
      </w:pPr>
    </w:p>
    <w:p>
      <w:pPr>
        <w:outlineLvl w:val="0"/>
        <w:rPr>
          <w:rFonts w:hint="eastAsia" w:ascii="宋体" w:hAnsi="宋体"/>
          <w:b/>
          <w:bCs/>
          <w:color w:val="000000"/>
          <w:sz w:val="24"/>
          <w:highlight w:val="none"/>
        </w:rPr>
      </w:pPr>
      <w:bookmarkStart w:id="46" w:name="_Toc496620379"/>
      <w:bookmarkStart w:id="47" w:name="_Toc87531973"/>
      <w:r>
        <w:rPr>
          <w:rFonts w:hint="eastAsia" w:ascii="宋体" w:hAnsi="宋体"/>
          <w:b/>
          <w:bCs/>
          <w:color w:val="000000"/>
          <w:sz w:val="24"/>
          <w:highlight w:val="none"/>
        </w:rPr>
        <w:t>3．其他说明</w:t>
      </w:r>
      <w:bookmarkEnd w:id="46"/>
      <w:bookmarkEnd w:id="47"/>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3.1工程量清单中的任何遗漏，不应免除承包人根据图纸规定完成单项工程的义务。</w:t>
      </w:r>
    </w:p>
    <w:p>
      <w:pPr>
        <w:spacing w:line="420" w:lineRule="exact"/>
        <w:ind w:firstLine="420" w:firstLineChars="200"/>
        <w:rPr>
          <w:rFonts w:hint="eastAsia" w:ascii="宋体" w:hAnsi="宋体"/>
          <w:color w:val="000000"/>
          <w:szCs w:val="21"/>
          <w:highlight w:val="none"/>
        </w:rPr>
      </w:pPr>
      <w:bookmarkStart w:id="48" w:name="_Toc465178067"/>
      <w:bookmarkStart w:id="49" w:name="_Toc465178787"/>
      <w:bookmarkStart w:id="50" w:name="_Toc465179148"/>
      <w:r>
        <w:rPr>
          <w:rFonts w:hint="eastAsia" w:ascii="宋体" w:hAnsi="宋体"/>
          <w:color w:val="000000"/>
          <w:szCs w:val="21"/>
          <w:highlight w:val="none"/>
        </w:rPr>
        <w:t>3.2 安全生产费应不低于投标价（不含安全生产费、建筑工程一切险保险费、安全生产责任险的费用）的2%，交通安全管理费包含在安全生产费内，不单独计列。</w:t>
      </w:r>
      <w:bookmarkEnd w:id="48"/>
      <w:bookmarkEnd w:id="49"/>
      <w:bookmarkEnd w:id="50"/>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3.3工程一切险的投保金额为工程量清单中各章合计金额（不含安全生产费、建筑工程一切险保险费、安全生产责任险的费用），保险费率暂定为3‰；安全生产责任险的投保金额为工程量清单中各章合计金额（不含安全生产费、建筑工程一切险保险费、安全生产责任险的费用），保险费率暂定为2.5‰。</w:t>
      </w:r>
    </w:p>
    <w:p>
      <w:pPr>
        <w:spacing w:line="420" w:lineRule="exact"/>
        <w:ind w:firstLine="420" w:firstLineChars="200"/>
        <w:rPr>
          <w:rFonts w:hint="eastAsia" w:ascii="宋体" w:hAnsi="宋体"/>
          <w:color w:val="000000"/>
          <w:szCs w:val="21"/>
          <w:highlight w:val="none"/>
        </w:rPr>
      </w:pPr>
      <w:bookmarkStart w:id="51" w:name="_Toc465178788"/>
      <w:bookmarkStart w:id="52" w:name="_Toc465179149"/>
      <w:bookmarkStart w:id="53" w:name="_Toc465178068"/>
      <w:r>
        <w:rPr>
          <w:rFonts w:hint="eastAsia" w:ascii="宋体" w:hAnsi="宋体"/>
          <w:color w:val="000000"/>
          <w:szCs w:val="21"/>
          <w:highlight w:val="none"/>
        </w:rPr>
        <w:t>3.4 在签订合同协议书前，招标人对中标人投标文件中的明显不平衡报价，在总价保持不变的前提下，应双方协商调整至双方认可的合理范围。</w:t>
      </w:r>
      <w:bookmarkEnd w:id="51"/>
      <w:bookmarkEnd w:id="52"/>
      <w:bookmarkEnd w:id="53"/>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3.5在签订合同协议书前，中标人应向招标人提供交通运输部《公路工程基本建设项目概算预算编制办法》规定的书面及电子版资料各一套。</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3.6本项目中的</w:t>
      </w:r>
      <w:r>
        <w:rPr>
          <w:rFonts w:ascii="宋体" w:hAnsi="宋体"/>
          <w:color w:val="000000"/>
          <w:szCs w:val="21"/>
          <w:highlight w:val="none"/>
        </w:rPr>
        <w:t>大面积小修</w:t>
      </w:r>
      <w:r>
        <w:rPr>
          <w:rFonts w:hint="eastAsia" w:ascii="宋体" w:hAnsi="宋体"/>
          <w:color w:val="000000"/>
          <w:szCs w:val="21"/>
          <w:highlight w:val="none"/>
        </w:rPr>
        <w:t>是指</w:t>
      </w:r>
      <w:r>
        <w:rPr>
          <w:rFonts w:ascii="宋体" w:hAnsi="宋体"/>
          <w:color w:val="000000"/>
          <w:szCs w:val="21"/>
          <w:highlight w:val="none"/>
        </w:rPr>
        <w:t>单块50平方米以上或单条线路总面积不少于500平方米</w:t>
      </w:r>
      <w:r>
        <w:rPr>
          <w:rFonts w:hint="eastAsia" w:ascii="宋体" w:hAnsi="宋体"/>
          <w:color w:val="000000"/>
          <w:szCs w:val="21"/>
          <w:highlight w:val="none"/>
        </w:rPr>
        <w:t>的小修。</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3.7</w:t>
      </w:r>
      <w:r>
        <w:rPr>
          <w:rFonts w:ascii="宋体" w:hAnsi="宋体"/>
          <w:b/>
          <w:color w:val="000000"/>
          <w:szCs w:val="21"/>
          <w:highlight w:val="none"/>
        </w:rPr>
        <w:t>水泥混凝土路面维修</w:t>
      </w:r>
      <w:r>
        <w:rPr>
          <w:rFonts w:hint="eastAsia" w:ascii="宋体" w:hAnsi="宋体"/>
          <w:b/>
          <w:color w:val="000000"/>
          <w:szCs w:val="21"/>
          <w:highlight w:val="none"/>
        </w:rPr>
        <w:t>已</w:t>
      </w:r>
      <w:r>
        <w:rPr>
          <w:rFonts w:ascii="宋体" w:hAnsi="宋体"/>
          <w:b/>
          <w:color w:val="000000"/>
          <w:szCs w:val="21"/>
          <w:highlight w:val="none"/>
        </w:rPr>
        <w:t>包括施工安全、运行维护，挖、凿破损混凝土，</w:t>
      </w:r>
      <w:r>
        <w:rPr>
          <w:rFonts w:hint="eastAsia" w:ascii="宋体" w:hAnsi="宋体"/>
          <w:b/>
          <w:color w:val="000000"/>
          <w:szCs w:val="21"/>
          <w:highlight w:val="none"/>
        </w:rPr>
        <w:t>废料外运，</w:t>
      </w:r>
      <w:r>
        <w:rPr>
          <w:rFonts w:ascii="宋体" w:hAnsi="宋体"/>
          <w:b/>
          <w:color w:val="000000"/>
          <w:szCs w:val="21"/>
          <w:highlight w:val="none"/>
        </w:rPr>
        <w:t>周边凿毛、冲洗、配料、拌和、填筑、捣固、养生等相关作业所必须的费用</w:t>
      </w:r>
      <w:r>
        <w:rPr>
          <w:rFonts w:hint="eastAsia" w:ascii="宋体" w:hAnsi="宋体"/>
          <w:b/>
          <w:color w:val="000000"/>
          <w:szCs w:val="21"/>
          <w:highlight w:val="none"/>
        </w:rPr>
        <w:t>。</w:t>
      </w:r>
    </w:p>
    <w:p>
      <w:pPr>
        <w:spacing w:line="420" w:lineRule="exact"/>
        <w:ind w:firstLine="422" w:firstLineChars="200"/>
        <w:rPr>
          <w:rFonts w:ascii="宋体" w:hAnsi="宋体"/>
          <w:b/>
          <w:color w:val="000000"/>
          <w:szCs w:val="21"/>
          <w:highlight w:val="none"/>
        </w:rPr>
      </w:pPr>
      <w:r>
        <w:rPr>
          <w:rFonts w:hint="eastAsia" w:ascii="宋体" w:hAnsi="宋体"/>
          <w:b/>
          <w:color w:val="000000"/>
          <w:szCs w:val="21"/>
          <w:highlight w:val="none"/>
        </w:rPr>
        <w:t>3.8沥青路面小修、沥青混凝土路面大面积小修已</w:t>
      </w:r>
      <w:r>
        <w:rPr>
          <w:rFonts w:ascii="宋体" w:hAnsi="宋体"/>
          <w:b/>
          <w:color w:val="000000"/>
          <w:szCs w:val="21"/>
          <w:highlight w:val="none"/>
        </w:rPr>
        <w:t>包括施工安全、运行维护，铣刨，废料外运，清扫，</w:t>
      </w:r>
      <w:r>
        <w:rPr>
          <w:rFonts w:hint="eastAsia" w:ascii="宋体" w:hAnsi="宋体"/>
          <w:b/>
          <w:color w:val="000000"/>
          <w:szCs w:val="21"/>
          <w:highlight w:val="none"/>
        </w:rPr>
        <w:t>裂</w:t>
      </w:r>
      <w:r>
        <w:rPr>
          <w:rFonts w:ascii="宋体" w:hAnsi="宋体"/>
          <w:b/>
          <w:color w:val="000000"/>
          <w:szCs w:val="21"/>
          <w:highlight w:val="none"/>
        </w:rPr>
        <w:t>缝</w:t>
      </w:r>
      <w:r>
        <w:rPr>
          <w:rFonts w:hint="eastAsia" w:ascii="宋体" w:hAnsi="宋体"/>
          <w:b/>
          <w:color w:val="000000"/>
          <w:szCs w:val="21"/>
          <w:highlight w:val="none"/>
        </w:rPr>
        <w:t>封闭，沥青切割封边，沥青混合料的制备及其拌和、运输</w:t>
      </w:r>
      <w:r>
        <w:rPr>
          <w:rFonts w:ascii="宋体" w:hAnsi="宋体"/>
          <w:b/>
          <w:color w:val="000000"/>
          <w:szCs w:val="21"/>
          <w:highlight w:val="none"/>
        </w:rPr>
        <w:t>，摊铺，碾压，养生，清理现场等相关作业所必须的费用。</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3.9裂缝灌缝，包括</w:t>
      </w:r>
      <w:r>
        <w:rPr>
          <w:rFonts w:ascii="宋体" w:hAnsi="宋体"/>
          <w:b/>
          <w:color w:val="000000"/>
          <w:szCs w:val="21"/>
          <w:highlight w:val="none"/>
        </w:rPr>
        <w:t>施工安全、运行维护，清扫裂缝，熬油，运输，喷灯加温，灌缝，撒砂填充，熨平，清理现场等相关作业所必须的费用</w:t>
      </w:r>
      <w:r>
        <w:rPr>
          <w:rFonts w:hint="eastAsia" w:ascii="宋体" w:hAnsi="宋体"/>
          <w:b/>
          <w:color w:val="000000"/>
          <w:szCs w:val="21"/>
          <w:highlight w:val="none"/>
        </w:rPr>
        <w:t>。其中灌缝设备由发包人提供，其余费用由承包人在报价时综合考虑。</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3.10维修用碎石</w:t>
      </w:r>
      <w:r>
        <w:rPr>
          <w:rFonts w:ascii="宋体" w:hAnsi="宋体"/>
          <w:b/>
          <w:color w:val="000000"/>
          <w:szCs w:val="21"/>
          <w:highlight w:val="none"/>
        </w:rPr>
        <w:t>包括施工安全、运行维护，</w:t>
      </w:r>
      <w:r>
        <w:rPr>
          <w:rFonts w:hint="eastAsia" w:ascii="宋体" w:hAnsi="宋体"/>
          <w:b/>
          <w:color w:val="000000"/>
          <w:szCs w:val="21"/>
          <w:highlight w:val="none"/>
        </w:rPr>
        <w:t>病害部位的开槽、挖除、清底</w:t>
      </w:r>
      <w:r>
        <w:rPr>
          <w:rFonts w:ascii="宋体" w:hAnsi="宋体"/>
          <w:b/>
          <w:color w:val="000000"/>
          <w:szCs w:val="21"/>
          <w:highlight w:val="none"/>
        </w:rPr>
        <w:t>，废料外运，配料，铺筑，</w:t>
      </w:r>
      <w:r>
        <w:rPr>
          <w:rFonts w:hint="eastAsia" w:ascii="宋体" w:hAnsi="宋体"/>
          <w:b/>
          <w:color w:val="000000"/>
          <w:szCs w:val="21"/>
          <w:highlight w:val="none"/>
        </w:rPr>
        <w:t>摊平、压实</w:t>
      </w:r>
      <w:r>
        <w:rPr>
          <w:rFonts w:ascii="宋体" w:hAnsi="宋体"/>
          <w:b/>
          <w:color w:val="000000"/>
          <w:szCs w:val="21"/>
          <w:highlight w:val="none"/>
        </w:rPr>
        <w:t>，清理现场等相关作业所必须的费用。</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3.11基层维修</w:t>
      </w:r>
      <w:r>
        <w:rPr>
          <w:rFonts w:ascii="宋体" w:hAnsi="宋体"/>
          <w:b/>
          <w:color w:val="000000"/>
          <w:szCs w:val="21"/>
          <w:highlight w:val="none"/>
        </w:rPr>
        <w:t>包括施工安全、运行维护，</w:t>
      </w:r>
      <w:r>
        <w:rPr>
          <w:rFonts w:hint="eastAsia" w:ascii="宋体" w:hAnsi="宋体"/>
          <w:b/>
          <w:color w:val="000000"/>
          <w:szCs w:val="21"/>
          <w:highlight w:val="none"/>
        </w:rPr>
        <w:t>开槽、挖除、清底</w:t>
      </w:r>
      <w:r>
        <w:rPr>
          <w:rFonts w:ascii="宋体" w:hAnsi="宋体"/>
          <w:b/>
          <w:color w:val="000000"/>
          <w:szCs w:val="21"/>
          <w:highlight w:val="none"/>
        </w:rPr>
        <w:t>，废料外运，清扫，整平路面，洒水，配料，拌和，铺筑，养生，清理现场等相关作业所必须的费用。</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3.12人行道彩砖维修</w:t>
      </w:r>
      <w:r>
        <w:rPr>
          <w:rFonts w:ascii="宋体" w:hAnsi="宋体"/>
          <w:b/>
          <w:color w:val="000000"/>
          <w:szCs w:val="21"/>
          <w:highlight w:val="none"/>
        </w:rPr>
        <w:t>包括施工安全、运行维护，挖</w:t>
      </w:r>
      <w:r>
        <w:rPr>
          <w:rFonts w:hint="eastAsia" w:ascii="宋体" w:hAnsi="宋体"/>
          <w:b/>
          <w:color w:val="000000"/>
          <w:szCs w:val="21"/>
          <w:highlight w:val="none"/>
        </w:rPr>
        <w:t>除</w:t>
      </w:r>
      <w:r>
        <w:rPr>
          <w:rFonts w:ascii="宋体" w:hAnsi="宋体"/>
          <w:b/>
          <w:color w:val="000000"/>
          <w:szCs w:val="21"/>
          <w:highlight w:val="none"/>
        </w:rPr>
        <w:t>破损</w:t>
      </w:r>
      <w:r>
        <w:rPr>
          <w:rFonts w:hint="eastAsia" w:ascii="宋体" w:hAnsi="宋体"/>
          <w:b/>
          <w:color w:val="000000"/>
          <w:szCs w:val="21"/>
          <w:highlight w:val="none"/>
        </w:rPr>
        <w:t>彩砖及基层</w:t>
      </w:r>
      <w:r>
        <w:rPr>
          <w:rFonts w:ascii="宋体" w:hAnsi="宋体"/>
          <w:b/>
          <w:color w:val="000000"/>
          <w:szCs w:val="21"/>
          <w:highlight w:val="none"/>
        </w:rPr>
        <w:t>，</w:t>
      </w:r>
      <w:r>
        <w:rPr>
          <w:rFonts w:hint="eastAsia" w:ascii="宋体" w:hAnsi="宋体"/>
          <w:b/>
          <w:color w:val="000000"/>
          <w:szCs w:val="21"/>
          <w:highlight w:val="none"/>
        </w:rPr>
        <w:t>废料外运，</w:t>
      </w:r>
      <w:r>
        <w:rPr>
          <w:rFonts w:ascii="宋体" w:hAnsi="宋体"/>
          <w:b/>
          <w:color w:val="000000"/>
          <w:szCs w:val="21"/>
          <w:highlight w:val="none"/>
        </w:rPr>
        <w:t>清扫，整平路面，</w:t>
      </w:r>
      <w:r>
        <w:rPr>
          <w:rFonts w:hint="eastAsia" w:ascii="宋体" w:hAnsi="宋体"/>
          <w:b/>
          <w:color w:val="000000"/>
          <w:szCs w:val="21"/>
          <w:highlight w:val="none"/>
        </w:rPr>
        <w:t>水泥砂浆</w:t>
      </w:r>
      <w:r>
        <w:rPr>
          <w:rFonts w:ascii="宋体" w:hAnsi="宋体"/>
          <w:b/>
          <w:color w:val="000000"/>
          <w:szCs w:val="21"/>
          <w:highlight w:val="none"/>
        </w:rPr>
        <w:t>拌和，</w:t>
      </w:r>
      <w:r>
        <w:rPr>
          <w:rFonts w:hint="eastAsia" w:ascii="宋体" w:hAnsi="宋体"/>
          <w:b/>
          <w:color w:val="000000"/>
          <w:szCs w:val="21"/>
          <w:highlight w:val="none"/>
        </w:rPr>
        <w:t>彩砖铺设</w:t>
      </w:r>
      <w:r>
        <w:rPr>
          <w:rFonts w:ascii="宋体" w:hAnsi="宋体"/>
          <w:b/>
          <w:color w:val="000000"/>
          <w:szCs w:val="21"/>
          <w:highlight w:val="none"/>
        </w:rPr>
        <w:t>，清理现场等相关作业所必须的费用</w:t>
      </w:r>
      <w:r>
        <w:rPr>
          <w:rFonts w:hint="eastAsia" w:ascii="宋体" w:hAnsi="宋体"/>
          <w:b/>
          <w:color w:val="000000"/>
          <w:szCs w:val="21"/>
          <w:highlight w:val="none"/>
        </w:rPr>
        <w:t>。</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3.13地聚合物注浆包括施工安全、运行维护，钻孔，场地清理，制备地聚合物浆液，清孔，插拔注浆管，压浆，清洗压浆设备，清理现场等相关作业所必须的费用。</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3.14 针对安全生产责任险，承包人应根据《中华人民共和国安全生产法》（2021 修订版）、《浙江省人民政府办公厅转发省安监局等部门关于在高危行业全面推进安全生产责任保险的通知》（浙政办发〔2017〕146号）、《关于进一步推进我省安全生产责任保险规范化工作的通知》（浙应急法规〔2020〕9号）和《省交通运输厅关于加强公路水运工程疫情防控和安全生产费用保障的指导意见》（浙交〔2022〕116 号）等文件要求办理安全生产责任保险，并包括在价格清单的单价及总额价中，发包人不再另行支付。安全生产责任保险覆盖第三者责任险及人身意外伤害险。其中第三者责任险的投保金额最低为300万元，保险费率暂定为5‰。</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3.15 工伤保险由承包人按照《浙江省人力资源和社会保障厅等六部门转发人力资源社会保障部等六部门关于铁路、公路、水运、水利、能源、机场工程建设项目参加工伤保险工作的通知》（浙人社发〔2018〕29号）进行投保，保费视为已经包含在相应工程的报价中，发包人不另行支付。</w:t>
      </w:r>
    </w:p>
    <w:p>
      <w:pPr>
        <w:spacing w:line="420" w:lineRule="exact"/>
        <w:ind w:firstLine="420" w:firstLineChars="200"/>
        <w:rPr>
          <w:rFonts w:hint="eastAsia" w:ascii="宋体" w:hAnsi="宋体"/>
          <w:color w:val="000000"/>
          <w:szCs w:val="21"/>
          <w:highlight w:val="none"/>
        </w:rPr>
      </w:pPr>
    </w:p>
    <w:p>
      <w:pPr>
        <w:spacing w:line="420" w:lineRule="exact"/>
        <w:ind w:firstLine="420" w:firstLineChars="200"/>
        <w:rPr>
          <w:rFonts w:hint="eastAsia" w:ascii="宋体" w:hAnsi="宋体"/>
          <w:color w:val="000000"/>
          <w:szCs w:val="21"/>
          <w:highlight w:val="none"/>
        </w:rPr>
      </w:pPr>
    </w:p>
    <w:p>
      <w:pPr>
        <w:spacing w:line="420" w:lineRule="exact"/>
        <w:ind w:firstLine="420" w:firstLineChars="200"/>
        <w:rPr>
          <w:rFonts w:hint="eastAsia" w:ascii="宋体" w:hAnsi="宋体"/>
          <w:color w:val="000000"/>
          <w:szCs w:val="21"/>
          <w:highlight w:val="none"/>
        </w:rPr>
      </w:pPr>
    </w:p>
    <w:p>
      <w:pPr>
        <w:spacing w:line="420" w:lineRule="exact"/>
        <w:ind w:firstLine="420" w:firstLineChars="200"/>
        <w:rPr>
          <w:rFonts w:hint="eastAsia" w:ascii="宋体" w:hAnsi="宋体"/>
          <w:color w:val="000000"/>
          <w:szCs w:val="21"/>
          <w:highlight w:val="none"/>
        </w:rPr>
      </w:pPr>
    </w:p>
    <w:p>
      <w:pPr>
        <w:spacing w:line="420" w:lineRule="exact"/>
        <w:ind w:firstLine="420" w:firstLineChars="200"/>
        <w:rPr>
          <w:rFonts w:hint="eastAsia" w:ascii="宋体" w:hAnsi="宋体"/>
          <w:color w:val="000000"/>
          <w:szCs w:val="21"/>
          <w:highlight w:val="none"/>
        </w:rPr>
      </w:pPr>
    </w:p>
    <w:p>
      <w:pPr>
        <w:spacing w:line="360" w:lineRule="auto"/>
        <w:outlineLvl w:val="0"/>
        <w:rPr>
          <w:rFonts w:hint="eastAsia" w:ascii="宋体" w:hAnsi="宋体"/>
          <w:b/>
          <w:bCs/>
          <w:color w:val="000000"/>
          <w:sz w:val="24"/>
          <w:highlight w:val="none"/>
        </w:rPr>
      </w:pPr>
      <w:bookmarkStart w:id="54" w:name="_Toc87531974"/>
      <w:bookmarkStart w:id="55" w:name="_Toc496620380"/>
      <w:r>
        <w:rPr>
          <w:rFonts w:hint="eastAsia" w:ascii="宋体" w:hAnsi="宋体"/>
          <w:b/>
          <w:bCs/>
          <w:color w:val="000000"/>
          <w:sz w:val="24"/>
          <w:highlight w:val="none"/>
        </w:rPr>
        <w:br w:type="page"/>
      </w:r>
      <w:r>
        <w:rPr>
          <w:rFonts w:hint="eastAsia" w:ascii="宋体" w:hAnsi="宋体"/>
          <w:b/>
          <w:bCs/>
          <w:color w:val="000000"/>
          <w:sz w:val="24"/>
          <w:highlight w:val="none"/>
        </w:rPr>
        <w:t>4.工程量清单</w:t>
      </w:r>
      <w:bookmarkEnd w:id="54"/>
      <w:bookmarkEnd w:id="55"/>
    </w:p>
    <w:p>
      <w:pPr>
        <w:spacing w:line="360" w:lineRule="auto"/>
        <w:outlineLvl w:val="0"/>
        <w:rPr>
          <w:rFonts w:hint="eastAsia" w:ascii="宋体" w:hAnsi="宋体"/>
          <w:b/>
          <w:bCs/>
          <w:color w:val="000000"/>
          <w:sz w:val="24"/>
          <w:highlight w:val="none"/>
        </w:rPr>
      </w:pPr>
      <w:bookmarkStart w:id="56" w:name="_Toc26506"/>
      <w:bookmarkStart w:id="57" w:name="_Toc465178789"/>
      <w:bookmarkStart w:id="58" w:name="_Toc87531975"/>
      <w:bookmarkStart w:id="59" w:name="_Toc465178069"/>
      <w:bookmarkStart w:id="60" w:name="_Toc465179150"/>
      <w:bookmarkStart w:id="61" w:name="_Toc496620381"/>
      <w:bookmarkStart w:id="62" w:name="_Toc435864321"/>
      <w:r>
        <w:rPr>
          <w:rFonts w:hint="eastAsia" w:ascii="宋体" w:hAnsi="宋体"/>
          <w:b/>
          <w:bCs/>
          <w:color w:val="000000"/>
          <w:sz w:val="24"/>
          <w:highlight w:val="none"/>
        </w:rPr>
        <w:t>4.1 工程量清单表</w:t>
      </w:r>
      <w:bookmarkEnd w:id="56"/>
      <w:bookmarkEnd w:id="57"/>
      <w:bookmarkEnd w:id="58"/>
      <w:bookmarkEnd w:id="59"/>
      <w:bookmarkEnd w:id="60"/>
      <w:bookmarkEnd w:id="61"/>
      <w:bookmarkEnd w:id="62"/>
    </w:p>
    <w:p>
      <w:pPr>
        <w:spacing w:before="240" w:beforeLines="100" w:after="240" w:afterLines="100"/>
        <w:jc w:val="center"/>
        <w:rPr>
          <w:rFonts w:hint="eastAsia" w:ascii="黑体" w:hAnsi="宋体" w:eastAsia="黑体"/>
          <w:color w:val="000000"/>
          <w:sz w:val="30"/>
          <w:szCs w:val="30"/>
          <w:highlight w:val="none"/>
        </w:rPr>
      </w:pPr>
      <w:r>
        <w:rPr>
          <w:rFonts w:hint="eastAsia" w:ascii="黑体" w:hAnsi="宋体" w:eastAsia="黑体"/>
          <w:color w:val="000000"/>
          <w:sz w:val="30"/>
          <w:szCs w:val="30"/>
          <w:highlight w:val="none"/>
        </w:rPr>
        <w:t>工程量清单</w:t>
      </w:r>
    </w:p>
    <w:p>
      <w:pPr>
        <w:tabs>
          <w:tab w:val="left" w:pos="3885"/>
        </w:tabs>
        <w:rPr>
          <w:rFonts w:hint="eastAsia"/>
          <w:color w:val="000000"/>
          <w:highlight w:val="none"/>
        </w:rPr>
      </w:pPr>
      <w:r>
        <w:rPr>
          <w:color w:val="000000"/>
          <w:highlight w:val="none"/>
        </w:rPr>
        <w:tab/>
      </w:r>
    </w:p>
    <w:tbl>
      <w:tblPr>
        <w:tblStyle w:val="49"/>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pPr>
              <w:ind w:firstLine="103" w:firstLineChars="49"/>
              <w:jc w:val="center"/>
              <w:rPr>
                <w:rFonts w:hint="eastAsia" w:ascii="宋体" w:hAnsi="宋体"/>
                <w:b/>
                <w:bCs/>
                <w:color w:val="000000"/>
                <w:highlight w:val="none"/>
              </w:rPr>
            </w:pPr>
            <w:r>
              <w:rPr>
                <w:rFonts w:hint="eastAsia" w:ascii="宋体" w:hAnsi="宋体"/>
                <w:b/>
                <w:bCs/>
                <w:color w:val="000000"/>
                <w:highlight w:val="none"/>
              </w:rPr>
              <w:t>清单      第100章      总  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r>
              <w:rPr>
                <w:rFonts w:hint="eastAsia" w:ascii="宋体" w:hAnsi="宋体"/>
                <w:color w:val="000000"/>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通则</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101-1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保险费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按合同条款规定，提供建筑工程一切险</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-b</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按合同条款规定，提供安全生产责任险</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102</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工程管理</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102-1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档案资料编制费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102-2</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施工环保费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102-4</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安全生产费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104</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104-1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105</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巡查费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105-1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汽车巡查费（1辆）</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24</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widowControl/>
              <w:jc w:val="center"/>
              <w:textAlignment w:val="center"/>
              <w:rPr>
                <w:rFonts w:hint="eastAsia" w:ascii="宋体" w:hAnsi="宋体" w:cs="宋体"/>
                <w:color w:val="000000"/>
                <w:kern w:val="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widowControl/>
              <w:jc w:val="left"/>
              <w:textAlignment w:val="center"/>
              <w:rPr>
                <w:rFonts w:hint="eastAsia" w:ascii="宋体" w:hAnsi="宋体" w:cs="宋体"/>
                <w:color w:val="000000"/>
                <w:kern w:val="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000000"/>
                <w:kern w:val="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right"/>
              <w:rPr>
                <w:rFonts w:hint="eastAsia" w:ascii="宋体" w:hAnsi="宋体" w:cs="宋体"/>
                <w:color w:val="000000"/>
                <w:kern w:val="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spacing w:line="260" w:lineRule="exact"/>
              <w:jc w:val="center"/>
              <w:rPr>
                <w:rFonts w:hint="eastAsia" w:ascii="宋体" w:hAnsi="宋体" w:cs="宋体"/>
                <w:color w:val="00000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spacing w:line="260" w:lineRule="exact"/>
              <w:rPr>
                <w:rFonts w:hint="eastAsia" w:ascii="宋体" w:hAnsi="宋体" w:cs="宋体"/>
                <w:color w:val="00000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6" w:space="0"/>
              <w:left w:val="single" w:color="auto" w:sz="12" w:space="0"/>
              <w:bottom w:val="single" w:color="auto" w:sz="12" w:space="0"/>
              <w:right w:val="single" w:color="auto" w:sz="12" w:space="0"/>
            </w:tcBorders>
            <w:noWrap w:val="0"/>
            <w:vAlign w:val="center"/>
          </w:tcPr>
          <w:p>
            <w:pPr>
              <w:ind w:firstLine="1973" w:firstLineChars="936"/>
              <w:rPr>
                <w:rFonts w:hint="eastAsia" w:ascii="宋体" w:hAnsi="宋体"/>
                <w:b/>
                <w:bCs/>
                <w:color w:val="000000"/>
                <w:highlight w:val="none"/>
                <w:u w:val="single"/>
              </w:rPr>
            </w:pPr>
            <w:r>
              <w:rPr>
                <w:rFonts w:hint="eastAsia" w:ascii="宋体" w:hAnsi="宋体"/>
                <w:b/>
                <w:bCs/>
                <w:color w:val="000000"/>
                <w:highlight w:val="none"/>
              </w:rPr>
              <w:t>清单100章合计   人民币</w:t>
            </w:r>
            <w:r>
              <w:rPr>
                <w:rFonts w:hint="eastAsia" w:ascii="宋体" w:hAnsi="宋体"/>
                <w:b/>
                <w:bCs/>
                <w:color w:val="000000"/>
                <w:highlight w:val="none"/>
                <w:u w:val="single"/>
              </w:rPr>
              <w:t xml:space="preserve">           </w:t>
            </w:r>
            <w:r>
              <w:rPr>
                <w:rFonts w:hint="eastAsia" w:ascii="宋体" w:hAnsi="宋体"/>
                <w:b/>
                <w:bCs/>
                <w:color w:val="000000"/>
                <w:highlight w:val="none"/>
              </w:rPr>
              <w:t>元</w:t>
            </w:r>
          </w:p>
        </w:tc>
      </w:tr>
    </w:tbl>
    <w:p>
      <w:pPr>
        <w:spacing w:before="240" w:beforeLines="100" w:after="240" w:afterLines="100"/>
        <w:jc w:val="center"/>
        <w:rPr>
          <w:rFonts w:hint="eastAsia" w:ascii="黑体" w:hAnsi="宋体" w:eastAsia="黑体"/>
          <w:color w:val="000000"/>
          <w:sz w:val="30"/>
          <w:szCs w:val="30"/>
          <w:highlight w:val="none"/>
        </w:rPr>
      </w:pPr>
    </w:p>
    <w:p>
      <w:pPr>
        <w:spacing w:before="240" w:beforeLines="100" w:after="240" w:afterLines="100"/>
        <w:jc w:val="center"/>
        <w:rPr>
          <w:rFonts w:hint="eastAsia" w:ascii="黑体" w:hAnsi="宋体" w:eastAsia="黑体"/>
          <w:color w:val="000000"/>
          <w:sz w:val="30"/>
          <w:szCs w:val="30"/>
          <w:highlight w:val="none"/>
        </w:rPr>
      </w:pPr>
      <w:r>
        <w:rPr>
          <w:rFonts w:hint="eastAsia" w:ascii="黑体" w:hAnsi="宋体" w:eastAsia="黑体"/>
          <w:color w:val="000000"/>
          <w:sz w:val="30"/>
          <w:szCs w:val="30"/>
          <w:highlight w:val="none"/>
        </w:rPr>
        <w:t>工程量清单</w:t>
      </w:r>
    </w:p>
    <w:tbl>
      <w:tblPr>
        <w:tblStyle w:val="49"/>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ind w:firstLine="103" w:firstLineChars="49"/>
              <w:jc w:val="center"/>
              <w:rPr>
                <w:rFonts w:ascii="宋体" w:hAnsi="宋体"/>
                <w:b/>
                <w:bCs/>
                <w:color w:val="000000"/>
                <w:highlight w:val="none"/>
              </w:rPr>
            </w:pPr>
            <w:r>
              <w:rPr>
                <w:rFonts w:hint="eastAsia" w:ascii="宋体" w:hAnsi="宋体"/>
                <w:b/>
                <w:bCs/>
                <w:color w:val="000000"/>
                <w:highlight w:val="none"/>
              </w:rPr>
              <w:t>清单      第200章      路  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子目号</w:t>
            </w:r>
          </w:p>
        </w:tc>
        <w:tc>
          <w:tcPr>
            <w:tcW w:w="4572"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子  目  名  称</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单位</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数量</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单价</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202</w:t>
            </w:r>
          </w:p>
        </w:tc>
        <w:tc>
          <w:tcPr>
            <w:tcW w:w="4572"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202-8</w:t>
            </w:r>
          </w:p>
        </w:tc>
        <w:tc>
          <w:tcPr>
            <w:tcW w:w="4572"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宕渣</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1200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widowControl/>
              <w:jc w:val="center"/>
              <w:rPr>
                <w:rFonts w:ascii="宋体" w:hAnsi="宋体" w:cs="宋体"/>
                <w:b/>
                <w:color w:val="000000"/>
                <w:kern w:val="0"/>
                <w:szCs w:val="21"/>
                <w:highlight w:val="none"/>
              </w:rPr>
            </w:pPr>
            <w:r>
              <w:rPr>
                <w:rFonts w:hint="eastAsia" w:ascii="宋体" w:hAnsi="宋体" w:cs="宋体"/>
                <w:b/>
                <w:color w:val="000000"/>
                <w:kern w:val="0"/>
                <w:szCs w:val="21"/>
                <w:highlight w:val="none"/>
              </w:rPr>
              <w:t>清单200章合计   人民币</w:t>
            </w:r>
            <w:r>
              <w:rPr>
                <w:rFonts w:hint="eastAsia" w:ascii="宋体" w:hAnsi="宋体" w:cs="宋体"/>
                <w:b/>
                <w:color w:val="000000"/>
                <w:kern w:val="0"/>
                <w:szCs w:val="21"/>
                <w:highlight w:val="none"/>
                <w:u w:val="single"/>
              </w:rPr>
              <w:t xml:space="preserve">       </w:t>
            </w:r>
            <w:r>
              <w:rPr>
                <w:rFonts w:hint="eastAsia" w:ascii="宋体" w:hAnsi="宋体" w:cs="宋体"/>
                <w:b/>
                <w:color w:val="000000"/>
                <w:kern w:val="0"/>
                <w:szCs w:val="21"/>
                <w:highlight w:val="none"/>
              </w:rPr>
              <w:t>元</w:t>
            </w:r>
          </w:p>
        </w:tc>
      </w:tr>
    </w:tbl>
    <w:p>
      <w:pPr>
        <w:spacing w:before="240" w:beforeLines="100" w:after="240" w:afterLines="100"/>
        <w:jc w:val="center"/>
        <w:rPr>
          <w:rFonts w:hint="eastAsia" w:ascii="黑体" w:hAnsi="宋体" w:eastAsia="黑体"/>
          <w:color w:val="000000"/>
          <w:sz w:val="30"/>
          <w:szCs w:val="30"/>
          <w:highlight w:val="none"/>
        </w:rPr>
      </w:pPr>
    </w:p>
    <w:p>
      <w:pPr>
        <w:spacing w:before="240" w:beforeLines="100" w:after="240" w:afterLines="100"/>
        <w:jc w:val="center"/>
        <w:rPr>
          <w:rFonts w:hint="eastAsia" w:ascii="黑体" w:hAnsi="宋体" w:eastAsia="黑体"/>
          <w:color w:val="000000"/>
          <w:sz w:val="30"/>
          <w:szCs w:val="30"/>
          <w:highlight w:val="none"/>
        </w:rPr>
      </w:pPr>
      <w:r>
        <w:rPr>
          <w:rFonts w:ascii="黑体" w:hAnsi="宋体" w:eastAsia="黑体"/>
          <w:color w:val="000000"/>
          <w:sz w:val="30"/>
          <w:szCs w:val="30"/>
          <w:highlight w:val="none"/>
        </w:rPr>
        <w:br w:type="page"/>
      </w:r>
      <w:r>
        <w:rPr>
          <w:rFonts w:hint="eastAsia" w:ascii="黑体" w:hAnsi="宋体" w:eastAsia="黑体"/>
          <w:color w:val="000000"/>
          <w:sz w:val="30"/>
          <w:szCs w:val="30"/>
          <w:highlight w:val="none"/>
        </w:rPr>
        <w:t>工程量清单</w:t>
      </w:r>
    </w:p>
    <w:p>
      <w:pPr>
        <w:tabs>
          <w:tab w:val="left" w:pos="3885"/>
        </w:tabs>
        <w:rPr>
          <w:rFonts w:hint="eastAsia"/>
          <w:color w:val="000000"/>
          <w:highlight w:val="none"/>
        </w:rPr>
      </w:pPr>
      <w:r>
        <w:rPr>
          <w:color w:val="000000"/>
          <w:highlight w:val="none"/>
        </w:rPr>
        <w:tab/>
      </w:r>
    </w:p>
    <w:tbl>
      <w:tblPr>
        <w:tblStyle w:val="49"/>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ind w:firstLine="103" w:firstLineChars="49"/>
              <w:jc w:val="center"/>
              <w:rPr>
                <w:rFonts w:ascii="宋体" w:hAnsi="宋体"/>
                <w:b/>
                <w:bCs/>
                <w:color w:val="000000"/>
                <w:highlight w:val="none"/>
              </w:rPr>
            </w:pPr>
            <w:r>
              <w:rPr>
                <w:rFonts w:hint="eastAsia" w:ascii="宋体" w:hAnsi="宋体"/>
                <w:b/>
                <w:bCs/>
                <w:color w:val="000000"/>
                <w:highlight w:val="none"/>
              </w:rPr>
              <w:t>清单      第300章      路  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子目号</w:t>
            </w:r>
          </w:p>
        </w:tc>
        <w:tc>
          <w:tcPr>
            <w:tcW w:w="4572"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子  目  名  称</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单位</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数量</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单价</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302</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302-1</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破板修复</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-a</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C40混凝土修复</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200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-b</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沥青混凝土路面局部小修（AC-13C)</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2000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沥青混凝土路面大面积小修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-c1</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普通热拌沥青混凝土（AC-13C)</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3000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-c2</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普通热拌沥青混凝土(AC-20C)</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1600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-c3</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普通热拌沥青混凝土(ATB-25)</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500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-c4</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改性沥青混凝土(AC-13C SBS)</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400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-c5</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改性沥青混凝土(SMA-13）</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300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-d</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乳化沥青粘层</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m2</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95000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302-2</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地聚合物注浆</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m2</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600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303</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沥青混凝土路面维修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303-1</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纵横向裂缝维修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-a</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裂缝灌缝</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160000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304</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结构物接顺及其它路面维修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304-1</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碎石</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750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304-3</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基层维修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-a</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5%水泥稳定碎石基层</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1000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bl>
    <w:p>
      <w:pPr>
        <w:widowControl/>
        <w:jc w:val="center"/>
        <w:rPr>
          <w:rFonts w:hint="eastAsia" w:ascii="宋体" w:hAnsi="宋体" w:cs="宋体"/>
          <w:color w:val="000000"/>
          <w:kern w:val="0"/>
          <w:szCs w:val="21"/>
          <w:highlight w:val="none"/>
        </w:rPr>
      </w:pPr>
      <w:bookmarkStart w:id="63" w:name="_Toc465178790"/>
      <w:bookmarkStart w:id="64" w:name="_Toc496620382"/>
      <w:bookmarkStart w:id="65" w:name="_Toc27352"/>
      <w:bookmarkStart w:id="66" w:name="_Toc465178070"/>
      <w:bookmarkStart w:id="67" w:name="_Toc435864322"/>
      <w:bookmarkStart w:id="68" w:name="_Toc465179151"/>
    </w:p>
    <w:p>
      <w:pPr>
        <w:spacing w:before="240" w:beforeLines="100" w:after="240" w:afterLines="100"/>
        <w:jc w:val="center"/>
        <w:rPr>
          <w:rFonts w:hint="eastAsia" w:ascii="黑体" w:hAnsi="宋体" w:eastAsia="黑体"/>
          <w:color w:val="000000"/>
          <w:sz w:val="30"/>
          <w:szCs w:val="30"/>
          <w:highlight w:val="none"/>
        </w:rPr>
      </w:pPr>
      <w:bookmarkStart w:id="69" w:name="_Toc87531976"/>
    </w:p>
    <w:p>
      <w:pPr>
        <w:spacing w:before="240" w:beforeLines="100" w:after="240" w:afterLines="100"/>
        <w:jc w:val="center"/>
        <w:rPr>
          <w:rFonts w:hint="eastAsia" w:ascii="黑体" w:hAnsi="宋体" w:eastAsia="黑体"/>
          <w:color w:val="000000"/>
          <w:sz w:val="30"/>
          <w:szCs w:val="30"/>
          <w:highlight w:val="none"/>
        </w:rPr>
      </w:pPr>
    </w:p>
    <w:p>
      <w:pPr>
        <w:spacing w:before="240" w:beforeLines="100" w:after="240" w:afterLines="100"/>
        <w:jc w:val="center"/>
        <w:rPr>
          <w:rFonts w:hint="eastAsia" w:ascii="黑体" w:hAnsi="宋体" w:eastAsia="黑体"/>
          <w:color w:val="000000"/>
          <w:sz w:val="30"/>
          <w:szCs w:val="30"/>
          <w:highlight w:val="none"/>
        </w:rPr>
      </w:pPr>
      <w:r>
        <w:rPr>
          <w:rFonts w:hint="eastAsia" w:ascii="黑体" w:hAnsi="宋体" w:eastAsia="黑体"/>
          <w:color w:val="000000"/>
          <w:sz w:val="30"/>
          <w:szCs w:val="30"/>
          <w:highlight w:val="none"/>
        </w:rPr>
        <w:t>工程量清单</w:t>
      </w:r>
    </w:p>
    <w:p>
      <w:pPr>
        <w:tabs>
          <w:tab w:val="left" w:pos="3885"/>
        </w:tabs>
        <w:rPr>
          <w:rFonts w:hint="eastAsia"/>
          <w:color w:val="000000"/>
          <w:highlight w:val="none"/>
        </w:rPr>
      </w:pPr>
      <w:r>
        <w:rPr>
          <w:color w:val="000000"/>
          <w:highlight w:val="none"/>
        </w:rPr>
        <w:tab/>
      </w:r>
    </w:p>
    <w:tbl>
      <w:tblPr>
        <w:tblStyle w:val="49"/>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ind w:firstLine="103" w:firstLineChars="49"/>
              <w:jc w:val="center"/>
              <w:rPr>
                <w:rFonts w:ascii="宋体" w:hAnsi="宋体"/>
                <w:b/>
                <w:bCs/>
                <w:color w:val="000000"/>
                <w:highlight w:val="none"/>
              </w:rPr>
            </w:pPr>
            <w:r>
              <w:rPr>
                <w:rFonts w:hint="eastAsia" w:ascii="宋体" w:hAnsi="宋体"/>
                <w:b/>
                <w:bCs/>
                <w:color w:val="000000"/>
                <w:highlight w:val="none"/>
              </w:rPr>
              <w:t>清单      第300章      路  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子目号</w:t>
            </w:r>
          </w:p>
        </w:tc>
        <w:tc>
          <w:tcPr>
            <w:tcW w:w="4572"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子  目  名  称</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单位</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数量</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单价</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-b</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C15素混凝土基层</w:t>
            </w:r>
          </w:p>
        </w:tc>
        <w:tc>
          <w:tcPr>
            <w:tcW w:w="899"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350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304-5</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其他路面维修</w:t>
            </w:r>
          </w:p>
        </w:tc>
        <w:tc>
          <w:tcPr>
            <w:tcW w:w="899" w:type="dxa"/>
            <w:noWrap w:val="0"/>
            <w:vAlign w:val="center"/>
          </w:tcPr>
          <w:p>
            <w:pPr>
              <w:widowControl/>
              <w:jc w:val="left"/>
              <w:rPr>
                <w:rFonts w:hint="eastAsia" w:ascii="宋体" w:hAnsi="宋体" w:cs="宋体"/>
                <w:color w:val="000000"/>
                <w:kern w:val="0"/>
                <w:szCs w:val="21"/>
                <w:highlight w:val="none"/>
              </w:rPr>
            </w:pPr>
          </w:p>
        </w:tc>
        <w:tc>
          <w:tcPr>
            <w:tcW w:w="899" w:type="dxa"/>
            <w:noWrap w:val="0"/>
            <w:vAlign w:val="center"/>
          </w:tcPr>
          <w:p>
            <w:pPr>
              <w:widowControl/>
              <w:jc w:val="lef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-a</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人行道彩砖维修</w:t>
            </w:r>
          </w:p>
        </w:tc>
        <w:tc>
          <w:tcPr>
            <w:tcW w:w="899"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m2</w:t>
            </w:r>
          </w:p>
        </w:tc>
        <w:tc>
          <w:tcPr>
            <w:tcW w:w="899" w:type="dxa"/>
            <w:noWrap w:val="0"/>
            <w:vAlign w:val="center"/>
          </w:tcPr>
          <w:p>
            <w:pPr>
              <w:widowControl/>
              <w:jc w:val="left"/>
              <w:rPr>
                <w:rFonts w:hint="eastAsia" w:ascii="宋体" w:hAnsi="宋体" w:cs="宋体"/>
                <w:color w:val="000000"/>
                <w:kern w:val="0"/>
                <w:szCs w:val="21"/>
                <w:highlight w:val="none"/>
              </w:rPr>
            </w:pPr>
            <w:r>
              <w:rPr>
                <w:rFonts w:ascii="宋体" w:hAnsi="宋体" w:cs="宋体"/>
                <w:color w:val="000000"/>
                <w:kern w:val="0"/>
                <w:szCs w:val="21"/>
                <w:highlight w:val="none"/>
              </w:rPr>
              <w:t>2500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hint="eastAsia" w:ascii="宋体" w:hAnsi="宋体" w:cs="宋体"/>
                <w:color w:val="000000"/>
                <w:kern w:val="0"/>
                <w:szCs w:val="21"/>
                <w:highlight w:val="none"/>
              </w:rPr>
            </w:pPr>
          </w:p>
        </w:tc>
        <w:tc>
          <w:tcPr>
            <w:tcW w:w="4572" w:type="dxa"/>
            <w:noWrap w:val="0"/>
            <w:vAlign w:val="center"/>
          </w:tcPr>
          <w:p>
            <w:pPr>
              <w:widowControl/>
              <w:jc w:val="left"/>
              <w:rPr>
                <w:rFonts w:hint="eastAsia" w:ascii="宋体" w:hAnsi="宋体" w:cs="宋体"/>
                <w:color w:val="000000"/>
                <w:kern w:val="0"/>
                <w:szCs w:val="21"/>
                <w:highlight w:val="none"/>
              </w:rPr>
            </w:pPr>
          </w:p>
        </w:tc>
        <w:tc>
          <w:tcPr>
            <w:tcW w:w="899" w:type="dxa"/>
            <w:noWrap w:val="0"/>
            <w:vAlign w:val="center"/>
          </w:tcPr>
          <w:p>
            <w:pPr>
              <w:widowControl/>
              <w:jc w:val="left"/>
              <w:rPr>
                <w:rFonts w:hint="eastAsia" w:ascii="宋体" w:hAnsi="宋体" w:cs="宋体"/>
                <w:color w:val="000000"/>
                <w:kern w:val="0"/>
                <w:szCs w:val="21"/>
                <w:highlight w:val="none"/>
              </w:rPr>
            </w:pPr>
          </w:p>
        </w:tc>
        <w:tc>
          <w:tcPr>
            <w:tcW w:w="899" w:type="dxa"/>
            <w:noWrap w:val="0"/>
            <w:vAlign w:val="center"/>
          </w:tcPr>
          <w:p>
            <w:pPr>
              <w:widowControl/>
              <w:jc w:val="lef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widowControl/>
              <w:jc w:val="center"/>
              <w:rPr>
                <w:rFonts w:ascii="宋体" w:hAnsi="宋体" w:cs="宋体"/>
                <w:b/>
                <w:color w:val="000000"/>
                <w:kern w:val="0"/>
                <w:szCs w:val="21"/>
                <w:highlight w:val="none"/>
              </w:rPr>
            </w:pPr>
            <w:r>
              <w:rPr>
                <w:rFonts w:hint="eastAsia" w:ascii="宋体" w:hAnsi="宋体" w:cs="宋体"/>
                <w:b/>
                <w:color w:val="000000"/>
                <w:kern w:val="0"/>
                <w:szCs w:val="21"/>
                <w:highlight w:val="none"/>
              </w:rPr>
              <w:t>清单300章合计   人民币</w:t>
            </w:r>
            <w:r>
              <w:rPr>
                <w:rFonts w:hint="eastAsia" w:ascii="宋体" w:hAnsi="宋体" w:cs="宋体"/>
                <w:b/>
                <w:color w:val="000000"/>
                <w:kern w:val="0"/>
                <w:szCs w:val="21"/>
                <w:highlight w:val="none"/>
                <w:u w:val="single"/>
              </w:rPr>
              <w:t xml:space="preserve">       </w:t>
            </w:r>
            <w:r>
              <w:rPr>
                <w:rFonts w:hint="eastAsia" w:ascii="宋体" w:hAnsi="宋体" w:cs="宋体"/>
                <w:b/>
                <w:color w:val="000000"/>
                <w:kern w:val="0"/>
                <w:szCs w:val="21"/>
                <w:highlight w:val="none"/>
              </w:rPr>
              <w:t>元</w:t>
            </w:r>
          </w:p>
        </w:tc>
      </w:tr>
    </w:tbl>
    <w:p>
      <w:pPr>
        <w:rPr>
          <w:rFonts w:hint="eastAsia" w:ascii="宋体" w:hAnsi="宋体"/>
          <w:bCs/>
          <w:color w:val="000000"/>
          <w:sz w:val="24"/>
          <w:highlight w:val="none"/>
        </w:rPr>
      </w:pPr>
    </w:p>
    <w:p>
      <w:pPr>
        <w:spacing w:line="360" w:lineRule="auto"/>
        <w:outlineLvl w:val="0"/>
        <w:rPr>
          <w:rFonts w:hint="eastAsia" w:ascii="宋体" w:hAnsi="宋体"/>
          <w:b/>
          <w:bCs/>
          <w:color w:val="000000"/>
          <w:sz w:val="24"/>
          <w:highlight w:val="none"/>
        </w:rPr>
      </w:pPr>
    </w:p>
    <w:p>
      <w:pPr>
        <w:spacing w:line="360" w:lineRule="auto"/>
        <w:outlineLvl w:val="0"/>
        <w:rPr>
          <w:rFonts w:hint="eastAsia" w:ascii="宋体" w:hAnsi="宋体"/>
          <w:b/>
          <w:bCs/>
          <w:color w:val="000000"/>
          <w:sz w:val="24"/>
          <w:highlight w:val="none"/>
        </w:rPr>
      </w:pPr>
    </w:p>
    <w:p>
      <w:pPr>
        <w:spacing w:line="360" w:lineRule="auto"/>
        <w:outlineLvl w:val="0"/>
        <w:rPr>
          <w:rFonts w:hint="eastAsia" w:ascii="宋体" w:hAnsi="宋体"/>
          <w:b/>
          <w:bCs/>
          <w:color w:val="000000"/>
          <w:sz w:val="24"/>
          <w:highlight w:val="none"/>
        </w:rPr>
      </w:pPr>
      <w:r>
        <w:rPr>
          <w:rFonts w:hint="eastAsia" w:ascii="宋体" w:hAnsi="宋体"/>
          <w:b/>
          <w:bCs/>
          <w:color w:val="000000"/>
          <w:sz w:val="24"/>
          <w:highlight w:val="none"/>
        </w:rPr>
        <w:t>4.2  投标报价汇总表</w:t>
      </w:r>
      <w:bookmarkEnd w:id="63"/>
      <w:bookmarkEnd w:id="64"/>
      <w:bookmarkEnd w:id="65"/>
      <w:bookmarkEnd w:id="66"/>
      <w:bookmarkEnd w:id="67"/>
      <w:bookmarkEnd w:id="68"/>
      <w:bookmarkEnd w:id="69"/>
    </w:p>
    <w:p>
      <w:pPr>
        <w:rPr>
          <w:rFonts w:hint="eastAsia"/>
          <w:color w:val="000000"/>
          <w:highlight w:val="none"/>
        </w:rPr>
      </w:pPr>
    </w:p>
    <w:tbl>
      <w:tblPr>
        <w:tblStyle w:val="49"/>
        <w:tblW w:w="92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0" w:type="dxa"/>
        </w:tblCellMar>
      </w:tblPr>
      <w:tblGrid>
        <w:gridCol w:w="1270"/>
        <w:gridCol w:w="1449"/>
        <w:gridCol w:w="4554"/>
        <w:gridCol w:w="19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序号</w:t>
            </w:r>
          </w:p>
        </w:tc>
        <w:tc>
          <w:tcPr>
            <w:tcW w:w="1449"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章次</w:t>
            </w:r>
          </w:p>
        </w:tc>
        <w:tc>
          <w:tcPr>
            <w:tcW w:w="4554"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科目名称</w:t>
            </w:r>
          </w:p>
        </w:tc>
        <w:tc>
          <w:tcPr>
            <w:tcW w:w="1955"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1</w:t>
            </w:r>
          </w:p>
        </w:tc>
        <w:tc>
          <w:tcPr>
            <w:tcW w:w="1449"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100</w:t>
            </w:r>
          </w:p>
        </w:tc>
        <w:tc>
          <w:tcPr>
            <w:tcW w:w="4554"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清单第100章总则</w:t>
            </w:r>
          </w:p>
        </w:tc>
        <w:tc>
          <w:tcPr>
            <w:tcW w:w="1955" w:type="dxa"/>
            <w:noWrap w:val="0"/>
            <w:vAlign w:val="center"/>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bidi="ar"/>
              </w:rPr>
              <w:t>2</w:t>
            </w:r>
          </w:p>
        </w:tc>
        <w:tc>
          <w:tcPr>
            <w:tcW w:w="1449" w:type="dxa"/>
            <w:noWrap w:val="0"/>
            <w:vAlign w:val="center"/>
          </w:tcPr>
          <w:p>
            <w:pPr>
              <w:widowControl/>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bidi="ar"/>
              </w:rPr>
              <w:t>200</w:t>
            </w:r>
          </w:p>
        </w:tc>
        <w:tc>
          <w:tcPr>
            <w:tcW w:w="4554" w:type="dxa"/>
            <w:noWrap w:val="0"/>
            <w:vAlign w:val="center"/>
          </w:tcPr>
          <w:p>
            <w:pPr>
              <w:widowControl/>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bidi="ar"/>
              </w:rPr>
              <w:t>清单第200章路基</w:t>
            </w:r>
          </w:p>
        </w:tc>
        <w:tc>
          <w:tcPr>
            <w:tcW w:w="1955" w:type="dxa"/>
            <w:noWrap w:val="0"/>
            <w:vAlign w:val="center"/>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bidi="ar"/>
              </w:rPr>
              <w:t>3</w:t>
            </w:r>
          </w:p>
        </w:tc>
        <w:tc>
          <w:tcPr>
            <w:tcW w:w="1449"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300</w:t>
            </w:r>
          </w:p>
        </w:tc>
        <w:tc>
          <w:tcPr>
            <w:tcW w:w="4554"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清单第300章路面</w:t>
            </w:r>
          </w:p>
        </w:tc>
        <w:tc>
          <w:tcPr>
            <w:tcW w:w="1955" w:type="dxa"/>
            <w:noWrap w:val="0"/>
            <w:vAlign w:val="center"/>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4</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第100章至第300章合计</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5</w:t>
            </w:r>
          </w:p>
        </w:tc>
        <w:tc>
          <w:tcPr>
            <w:tcW w:w="6003" w:type="dxa"/>
            <w:gridSpan w:val="2"/>
            <w:noWrap w:val="0"/>
            <w:vAlign w:val="center"/>
          </w:tcPr>
          <w:p>
            <w:pPr>
              <w:widowControl/>
              <w:jc w:val="center"/>
              <w:textAlignment w:val="center"/>
              <w:rPr>
                <w:rFonts w:ascii="宋体" w:hAnsi="宋体"/>
                <w:color w:val="000000"/>
                <w:highlight w:val="none"/>
              </w:rPr>
            </w:pPr>
            <w:r>
              <w:rPr>
                <w:rFonts w:hint="eastAsia" w:ascii="宋体" w:hAnsi="宋体" w:cs="宋体"/>
                <w:color w:val="000000"/>
                <w:kern w:val="0"/>
                <w:szCs w:val="21"/>
                <w:highlight w:val="none"/>
                <w:lang w:bidi="ar"/>
              </w:rPr>
              <w:t>已包含在清单合计中的材料、工程设备、专业工程暂估价合计</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6</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清单合计减去材料、工程设备、专业工程暂估价合计</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7</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计日工合计</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8</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暂列金额（不含计日工总额）</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9</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投标报价</w:t>
            </w:r>
          </w:p>
        </w:tc>
        <w:tc>
          <w:tcPr>
            <w:tcW w:w="1955" w:type="dxa"/>
            <w:noWrap w:val="0"/>
            <w:vAlign w:val="top"/>
          </w:tcPr>
          <w:p>
            <w:pPr>
              <w:jc w:val="center"/>
              <w:rPr>
                <w:rFonts w:hint="eastAsia" w:ascii="宋体" w:hAnsi="宋体"/>
                <w:color w:val="000000"/>
                <w:szCs w:val="21"/>
                <w:highlight w:val="none"/>
              </w:rPr>
            </w:pPr>
          </w:p>
        </w:tc>
      </w:tr>
    </w:tbl>
    <w:p>
      <w:pPr>
        <w:spacing w:line="340" w:lineRule="exact"/>
        <w:rPr>
          <w:rFonts w:hint="eastAsia" w:ascii="黑体" w:hAnsi="华文楷体" w:eastAsia="黑体"/>
          <w:color w:val="000000"/>
          <w:sz w:val="44"/>
          <w:highlight w:val="none"/>
        </w:rPr>
      </w:pPr>
      <w:r>
        <w:rPr>
          <w:color w:val="000000"/>
          <w:sz w:val="24"/>
          <w:szCs w:val="21"/>
          <w:highlight w:val="none"/>
        </w:rPr>
        <w:br w:type="page"/>
      </w:r>
      <w:bookmarkStart w:id="70" w:name="_Toc307474695"/>
      <w:bookmarkStart w:id="71" w:name="_Toc385598097"/>
      <w:bookmarkStart w:id="72" w:name="_Toc243305374"/>
      <w:bookmarkStart w:id="73" w:name="_Toc302652426"/>
    </w:p>
    <w:p>
      <w:pPr>
        <w:tabs>
          <w:tab w:val="left" w:pos="3120"/>
        </w:tabs>
        <w:jc w:val="center"/>
        <w:outlineLvl w:val="2"/>
        <w:rPr>
          <w:rFonts w:hint="eastAsia" w:ascii="黑体" w:hAnsi="华文楷体" w:eastAsia="黑体"/>
          <w:color w:val="000000"/>
          <w:sz w:val="44"/>
          <w:highlight w:val="none"/>
        </w:rPr>
      </w:pPr>
      <w:bookmarkStart w:id="74" w:name="_Toc496620390"/>
      <w:bookmarkStart w:id="75" w:name="_Toc87531984"/>
      <w:bookmarkStart w:id="76" w:name="_Toc435864329"/>
      <w:bookmarkStart w:id="77" w:name="_Toc496619691"/>
      <w:bookmarkStart w:id="78" w:name="_Toc29803"/>
      <w:bookmarkStart w:id="79" w:name="_Toc394582542"/>
      <w:r>
        <w:rPr>
          <w:rFonts w:hint="eastAsia" w:ascii="黑体" w:hAnsi="华文楷体" w:eastAsia="黑体"/>
          <w:color w:val="000000"/>
          <w:sz w:val="44"/>
          <w:highlight w:val="none"/>
        </w:rPr>
        <w:t>第</w:t>
      </w:r>
      <w:r>
        <w:rPr>
          <w:rFonts w:ascii="黑体" w:hAnsi="华文楷体" w:eastAsia="黑体"/>
          <w:color w:val="000000"/>
          <w:sz w:val="44"/>
          <w:highlight w:val="none"/>
        </w:rPr>
        <w:t>100</w:t>
      </w:r>
      <w:r>
        <w:rPr>
          <w:rFonts w:hint="eastAsia" w:ascii="黑体" w:hAnsi="华文楷体" w:eastAsia="黑体"/>
          <w:color w:val="000000"/>
          <w:sz w:val="44"/>
          <w:highlight w:val="none"/>
        </w:rPr>
        <w:t>章  总  则</w:t>
      </w:r>
      <w:bookmarkEnd w:id="70"/>
      <w:bookmarkEnd w:id="71"/>
      <w:bookmarkEnd w:id="72"/>
      <w:bookmarkEnd w:id="73"/>
      <w:bookmarkEnd w:id="74"/>
      <w:bookmarkEnd w:id="75"/>
      <w:bookmarkEnd w:id="76"/>
      <w:bookmarkEnd w:id="77"/>
      <w:bookmarkEnd w:id="78"/>
      <w:bookmarkEnd w:id="79"/>
    </w:p>
    <w:p>
      <w:pPr>
        <w:tabs>
          <w:tab w:val="left" w:pos="3120"/>
        </w:tabs>
        <w:jc w:val="center"/>
        <w:rPr>
          <w:rFonts w:hint="eastAsia" w:ascii="黑体" w:hAnsi="华文楷体" w:eastAsia="黑体"/>
          <w:color w:val="000000"/>
          <w:sz w:val="44"/>
          <w:highlight w:val="none"/>
        </w:rPr>
      </w:pPr>
    </w:p>
    <w:p>
      <w:pPr>
        <w:tabs>
          <w:tab w:val="left" w:pos="3120"/>
        </w:tabs>
        <w:jc w:val="center"/>
        <w:rPr>
          <w:rFonts w:hint="eastAsia" w:ascii="黑体" w:eastAsia="黑体"/>
          <w:color w:val="000000"/>
          <w:sz w:val="32"/>
          <w:highlight w:val="none"/>
        </w:rPr>
      </w:pPr>
      <w:r>
        <w:rPr>
          <w:rFonts w:hint="eastAsia" w:ascii="黑体" w:eastAsia="黑体"/>
          <w:color w:val="000000"/>
          <w:sz w:val="32"/>
          <w:highlight w:val="none"/>
        </w:rPr>
        <w:t>第1</w:t>
      </w:r>
      <w:r>
        <w:rPr>
          <w:rFonts w:ascii="黑体" w:eastAsia="黑体"/>
          <w:color w:val="000000"/>
          <w:sz w:val="32"/>
          <w:highlight w:val="none"/>
        </w:rPr>
        <w:t>01</w:t>
      </w:r>
      <w:r>
        <w:rPr>
          <w:rFonts w:hint="eastAsia" w:ascii="黑体" w:eastAsia="黑体"/>
          <w:color w:val="000000"/>
          <w:sz w:val="32"/>
          <w:highlight w:val="none"/>
        </w:rPr>
        <w:t>节  通    则</w:t>
      </w:r>
    </w:p>
    <w:p>
      <w:pPr>
        <w:tabs>
          <w:tab w:val="left" w:pos="3120"/>
        </w:tabs>
        <w:spacing w:line="360" w:lineRule="auto"/>
        <w:outlineLvl w:val="0"/>
        <w:rPr>
          <w:rFonts w:hint="eastAsia"/>
          <w:color w:val="000000"/>
          <w:highlight w:val="none"/>
        </w:rPr>
      </w:pPr>
      <w:bookmarkStart w:id="80" w:name="_Toc435864330"/>
      <w:bookmarkStart w:id="81" w:name="_Toc465178078"/>
      <w:bookmarkStart w:id="82" w:name="_Toc496619692"/>
      <w:bookmarkStart w:id="83" w:name="_Toc87531985"/>
      <w:bookmarkStart w:id="84" w:name="_Toc10382"/>
      <w:bookmarkStart w:id="85" w:name="_Toc465178798"/>
      <w:bookmarkStart w:id="86" w:name="_Toc496620391"/>
      <w:bookmarkStart w:id="87" w:name="_Toc465179159"/>
      <w:r>
        <w:rPr>
          <w:rFonts w:hint="eastAsia" w:eastAsia="黑体"/>
          <w:color w:val="000000"/>
          <w:sz w:val="28"/>
          <w:szCs w:val="28"/>
          <w:highlight w:val="none"/>
        </w:rPr>
        <w:t>1</w:t>
      </w:r>
      <w:r>
        <w:rPr>
          <w:rFonts w:eastAsia="黑体"/>
          <w:color w:val="000000"/>
          <w:sz w:val="28"/>
          <w:szCs w:val="28"/>
          <w:highlight w:val="none"/>
        </w:rPr>
        <w:t>01.0</w:t>
      </w:r>
      <w:r>
        <w:rPr>
          <w:rFonts w:hint="eastAsia" w:eastAsia="黑体"/>
          <w:color w:val="000000"/>
          <w:sz w:val="28"/>
          <w:szCs w:val="28"/>
          <w:highlight w:val="none"/>
        </w:rPr>
        <w:t>1</w:t>
      </w:r>
      <w:r>
        <w:rPr>
          <w:rFonts w:ascii="黑体" w:eastAsia="黑体"/>
          <w:color w:val="000000"/>
          <w:sz w:val="28"/>
          <w:szCs w:val="28"/>
          <w:highlight w:val="none"/>
        </w:rPr>
        <w:t xml:space="preserve">  </w:t>
      </w:r>
      <w:r>
        <w:rPr>
          <w:rFonts w:hint="eastAsia" w:ascii="黑体" w:eastAsia="黑体"/>
          <w:color w:val="000000"/>
          <w:sz w:val="28"/>
          <w:szCs w:val="28"/>
          <w:highlight w:val="none"/>
        </w:rPr>
        <w:t>范围</w:t>
      </w:r>
      <w:bookmarkEnd w:id="80"/>
      <w:bookmarkEnd w:id="81"/>
      <w:bookmarkEnd w:id="82"/>
      <w:bookmarkEnd w:id="83"/>
      <w:bookmarkEnd w:id="84"/>
      <w:bookmarkEnd w:id="85"/>
      <w:bookmarkEnd w:id="86"/>
      <w:bookmarkEnd w:id="87"/>
    </w:p>
    <w:p>
      <w:pPr>
        <w:tabs>
          <w:tab w:val="left" w:pos="3120"/>
        </w:tabs>
        <w:spacing w:line="360" w:lineRule="auto"/>
        <w:ind w:firstLine="397"/>
        <w:rPr>
          <w:rFonts w:hint="eastAsia"/>
          <w:color w:val="000000"/>
          <w:highlight w:val="none"/>
        </w:rPr>
      </w:pPr>
      <w:r>
        <w:rPr>
          <w:rFonts w:hint="eastAsia"/>
          <w:color w:val="000000"/>
          <w:highlight w:val="none"/>
        </w:rPr>
        <w:t>第</w:t>
      </w:r>
      <w:r>
        <w:rPr>
          <w:color w:val="000000"/>
          <w:highlight w:val="none"/>
        </w:rPr>
        <w:t>1</w:t>
      </w:r>
      <w:r>
        <w:rPr>
          <w:rFonts w:hint="eastAsia"/>
          <w:color w:val="000000"/>
          <w:highlight w:val="none"/>
        </w:rPr>
        <w:t>条修改为：</w:t>
      </w:r>
    </w:p>
    <w:p>
      <w:pPr>
        <w:tabs>
          <w:tab w:val="left" w:pos="3120"/>
        </w:tabs>
        <w:spacing w:line="360" w:lineRule="auto"/>
        <w:ind w:firstLine="397"/>
        <w:rPr>
          <w:rFonts w:hint="eastAsia"/>
          <w:color w:val="000000"/>
          <w:highlight w:val="none"/>
        </w:rPr>
      </w:pPr>
      <w:r>
        <w:rPr>
          <w:color w:val="000000"/>
          <w:highlight w:val="none"/>
        </w:rPr>
        <w:t>1．</w:t>
      </w:r>
      <w:r>
        <w:rPr>
          <w:rFonts w:hint="eastAsia"/>
          <w:color w:val="000000"/>
          <w:highlight w:val="none"/>
        </w:rPr>
        <w:t>本“项目专用技术规范”结合本工程特点编写，连同“通用技术规范”，统称“本规范”，适用于2024-2025年度秀洲区公路小修项目。</w:t>
      </w:r>
    </w:p>
    <w:p>
      <w:pPr>
        <w:tabs>
          <w:tab w:val="left" w:pos="3120"/>
        </w:tabs>
        <w:spacing w:line="360" w:lineRule="auto"/>
        <w:outlineLvl w:val="0"/>
        <w:rPr>
          <w:rFonts w:hint="eastAsia"/>
          <w:color w:val="000000"/>
          <w:highlight w:val="none"/>
        </w:rPr>
      </w:pPr>
      <w:bookmarkStart w:id="88" w:name="_Toc465178079"/>
      <w:bookmarkStart w:id="89" w:name="_Toc496619693"/>
      <w:bookmarkStart w:id="90" w:name="_Toc465178799"/>
      <w:bookmarkStart w:id="91" w:name="_Toc28735"/>
      <w:bookmarkStart w:id="92" w:name="_Toc87531986"/>
      <w:bookmarkStart w:id="93" w:name="_Toc435864331"/>
      <w:bookmarkStart w:id="94" w:name="_Toc496620392"/>
      <w:bookmarkStart w:id="95" w:name="_Toc465179160"/>
      <w:r>
        <w:rPr>
          <w:rFonts w:hint="eastAsia" w:eastAsia="黑体"/>
          <w:color w:val="000000"/>
          <w:sz w:val="28"/>
          <w:szCs w:val="28"/>
          <w:highlight w:val="none"/>
        </w:rPr>
        <w:t>1</w:t>
      </w:r>
      <w:r>
        <w:rPr>
          <w:rFonts w:eastAsia="黑体"/>
          <w:color w:val="000000"/>
          <w:sz w:val="28"/>
          <w:szCs w:val="28"/>
          <w:highlight w:val="none"/>
        </w:rPr>
        <w:t>01.0</w:t>
      </w:r>
      <w:r>
        <w:rPr>
          <w:rFonts w:hint="eastAsia" w:eastAsia="黑体"/>
          <w:color w:val="000000"/>
          <w:sz w:val="28"/>
          <w:szCs w:val="28"/>
          <w:highlight w:val="none"/>
        </w:rPr>
        <w:t>3</w:t>
      </w:r>
      <w:r>
        <w:rPr>
          <w:rFonts w:ascii="黑体" w:eastAsia="黑体"/>
          <w:color w:val="000000"/>
          <w:sz w:val="28"/>
          <w:szCs w:val="28"/>
          <w:highlight w:val="none"/>
        </w:rPr>
        <w:t xml:space="preserve">  </w:t>
      </w:r>
      <w:r>
        <w:rPr>
          <w:rFonts w:hint="eastAsia" w:ascii="黑体" w:eastAsia="黑体"/>
          <w:color w:val="000000"/>
          <w:sz w:val="28"/>
          <w:szCs w:val="28"/>
          <w:highlight w:val="none"/>
        </w:rPr>
        <w:t>标准与规范</w:t>
      </w:r>
      <w:bookmarkEnd w:id="88"/>
      <w:bookmarkEnd w:id="89"/>
      <w:bookmarkEnd w:id="90"/>
      <w:bookmarkEnd w:id="91"/>
      <w:bookmarkEnd w:id="92"/>
      <w:bookmarkEnd w:id="93"/>
      <w:bookmarkEnd w:id="94"/>
      <w:bookmarkEnd w:id="95"/>
    </w:p>
    <w:p>
      <w:pPr>
        <w:tabs>
          <w:tab w:val="left" w:pos="3120"/>
        </w:tabs>
        <w:spacing w:line="360" w:lineRule="auto"/>
        <w:ind w:firstLine="397"/>
        <w:rPr>
          <w:rFonts w:hint="eastAsia"/>
          <w:color w:val="000000"/>
          <w:highlight w:val="none"/>
        </w:rPr>
      </w:pPr>
      <w:r>
        <w:rPr>
          <w:rFonts w:hint="eastAsia"/>
          <w:color w:val="000000"/>
          <w:highlight w:val="none"/>
        </w:rPr>
        <w:t>第4条修改为：</w:t>
      </w:r>
    </w:p>
    <w:p>
      <w:pPr>
        <w:tabs>
          <w:tab w:val="left" w:pos="3120"/>
        </w:tabs>
        <w:spacing w:line="360" w:lineRule="auto"/>
        <w:ind w:firstLine="397"/>
        <w:rPr>
          <w:rFonts w:hint="eastAsia"/>
          <w:color w:val="000000"/>
          <w:highlight w:val="none"/>
        </w:rPr>
      </w:pPr>
      <w:r>
        <w:rPr>
          <w:rFonts w:hint="eastAsia"/>
          <w:color w:val="000000"/>
          <w:highlight w:val="none"/>
        </w:rPr>
        <w:t>4</w:t>
      </w:r>
      <w:r>
        <w:rPr>
          <w:color w:val="000000"/>
          <w:highlight w:val="none"/>
        </w:rPr>
        <w:t>．</w:t>
      </w:r>
      <w:r>
        <w:rPr>
          <w:rFonts w:hint="eastAsia"/>
          <w:color w:val="000000"/>
          <w:highlight w:val="none"/>
        </w:rPr>
        <w:t>当适用于工程的几种标准与规范出现意义不明或不一致时，应由监理人作出解释和校正，并就此向承包人发出指令。若在引用的标准或规范发生分歧时，应按以下顺序优先考虑：</w:t>
      </w:r>
    </w:p>
    <w:p>
      <w:pPr>
        <w:tabs>
          <w:tab w:val="left" w:pos="3120"/>
        </w:tabs>
        <w:spacing w:line="360" w:lineRule="auto"/>
        <w:ind w:firstLine="397"/>
        <w:rPr>
          <w:rFonts w:hint="eastAsia"/>
          <w:color w:val="000000"/>
          <w:highlight w:val="none"/>
        </w:rPr>
      </w:pPr>
      <w:r>
        <w:rPr>
          <w:rFonts w:hint="eastAsia"/>
          <w:color w:val="000000"/>
          <w:highlight w:val="none"/>
        </w:rPr>
        <w:t>a</w:t>
      </w:r>
      <w:r>
        <w:rPr>
          <w:color w:val="000000"/>
          <w:highlight w:val="none"/>
        </w:rPr>
        <w:t>．</w:t>
      </w:r>
      <w:r>
        <w:rPr>
          <w:rFonts w:hint="eastAsia"/>
          <w:color w:val="000000"/>
          <w:highlight w:val="none"/>
        </w:rPr>
        <w:t>本</w:t>
      </w:r>
      <w:r>
        <w:rPr>
          <w:rFonts w:hint="eastAsia" w:eastAsia="隶书"/>
          <w:color w:val="000000"/>
          <w:highlight w:val="none"/>
        </w:rPr>
        <w:t>“</w:t>
      </w:r>
      <w:r>
        <w:rPr>
          <w:rFonts w:hint="eastAsia"/>
          <w:color w:val="000000"/>
          <w:highlight w:val="none"/>
        </w:rPr>
        <w:t>项目专用技术规范</w:t>
      </w:r>
      <w:r>
        <w:rPr>
          <w:rFonts w:hint="eastAsia" w:eastAsia="隶书"/>
          <w:color w:val="000000"/>
          <w:highlight w:val="none"/>
        </w:rPr>
        <w:t>”</w:t>
      </w:r>
      <w:r>
        <w:rPr>
          <w:rFonts w:hint="eastAsia"/>
          <w:color w:val="000000"/>
          <w:highlight w:val="none"/>
        </w:rPr>
        <w:t>。</w:t>
      </w:r>
    </w:p>
    <w:p>
      <w:pPr>
        <w:tabs>
          <w:tab w:val="left" w:pos="3120"/>
        </w:tabs>
        <w:spacing w:line="360" w:lineRule="auto"/>
        <w:ind w:firstLine="397"/>
        <w:rPr>
          <w:rFonts w:hint="eastAsia"/>
          <w:color w:val="000000"/>
          <w:highlight w:val="none"/>
        </w:rPr>
      </w:pPr>
      <w:r>
        <w:rPr>
          <w:rFonts w:hint="eastAsia"/>
          <w:color w:val="000000"/>
          <w:highlight w:val="none"/>
        </w:rPr>
        <w:t>b</w:t>
      </w:r>
      <w:r>
        <w:rPr>
          <w:color w:val="000000"/>
          <w:highlight w:val="none"/>
        </w:rPr>
        <w:t>．</w:t>
      </w:r>
      <w:r>
        <w:rPr>
          <w:rFonts w:hint="eastAsia" w:eastAsia="隶书"/>
          <w:color w:val="000000"/>
          <w:highlight w:val="none"/>
        </w:rPr>
        <w:t>“</w:t>
      </w:r>
      <w:r>
        <w:rPr>
          <w:rFonts w:hint="eastAsia"/>
          <w:color w:val="000000"/>
          <w:highlight w:val="none"/>
        </w:rPr>
        <w:t>通用技术规范</w:t>
      </w:r>
      <w:r>
        <w:rPr>
          <w:rFonts w:hint="eastAsia" w:eastAsia="隶书"/>
          <w:color w:val="000000"/>
          <w:highlight w:val="none"/>
        </w:rPr>
        <w:t>”</w:t>
      </w:r>
      <w:r>
        <w:rPr>
          <w:rFonts w:hint="eastAsia"/>
          <w:color w:val="000000"/>
          <w:highlight w:val="none"/>
        </w:rPr>
        <w:t>《浙江省公路养护工程施工招标文件范本（2011年版）》（下册）中的《技术规范》。</w:t>
      </w:r>
    </w:p>
    <w:p>
      <w:pPr>
        <w:tabs>
          <w:tab w:val="left" w:pos="3120"/>
        </w:tabs>
        <w:spacing w:line="360" w:lineRule="auto"/>
        <w:ind w:firstLine="397"/>
        <w:rPr>
          <w:rFonts w:hint="eastAsia"/>
          <w:color w:val="000000"/>
          <w:highlight w:val="none"/>
        </w:rPr>
      </w:pPr>
      <w:r>
        <w:rPr>
          <w:rFonts w:hint="eastAsia"/>
          <w:color w:val="000000"/>
          <w:highlight w:val="none"/>
        </w:rPr>
        <w:t>c</w:t>
      </w:r>
      <w:r>
        <w:rPr>
          <w:color w:val="000000"/>
          <w:highlight w:val="none"/>
        </w:rPr>
        <w:t>．</w:t>
      </w:r>
      <w:r>
        <w:rPr>
          <w:rFonts w:hint="eastAsia"/>
          <w:color w:val="000000"/>
          <w:highlight w:val="none"/>
        </w:rPr>
        <w:t>中华人民共和国国家标准。</w:t>
      </w:r>
    </w:p>
    <w:p>
      <w:pPr>
        <w:tabs>
          <w:tab w:val="left" w:pos="3120"/>
        </w:tabs>
        <w:spacing w:line="360" w:lineRule="auto"/>
        <w:ind w:firstLine="397"/>
        <w:rPr>
          <w:rFonts w:hint="eastAsia"/>
          <w:color w:val="000000"/>
          <w:highlight w:val="none"/>
        </w:rPr>
      </w:pPr>
      <w:r>
        <w:rPr>
          <w:rFonts w:hint="eastAsia"/>
          <w:color w:val="000000"/>
          <w:highlight w:val="none"/>
        </w:rPr>
        <w:t>d</w:t>
      </w:r>
      <w:r>
        <w:rPr>
          <w:color w:val="000000"/>
          <w:highlight w:val="none"/>
        </w:rPr>
        <w:t>．</w:t>
      </w:r>
      <w:r>
        <w:rPr>
          <w:rFonts w:hint="eastAsia"/>
          <w:color w:val="000000"/>
          <w:highlight w:val="none"/>
        </w:rPr>
        <w:t>有关部门标准与规范。</w:t>
      </w:r>
    </w:p>
    <w:p>
      <w:pPr>
        <w:tabs>
          <w:tab w:val="left" w:pos="3120"/>
        </w:tabs>
        <w:spacing w:line="360" w:lineRule="auto"/>
        <w:ind w:firstLine="397"/>
        <w:rPr>
          <w:rFonts w:hint="eastAsia"/>
          <w:color w:val="000000"/>
          <w:highlight w:val="none"/>
        </w:rPr>
      </w:pPr>
    </w:p>
    <w:p>
      <w:pPr>
        <w:tabs>
          <w:tab w:val="left" w:pos="3120"/>
        </w:tabs>
        <w:jc w:val="center"/>
        <w:rPr>
          <w:rFonts w:hint="eastAsia" w:ascii="黑体" w:eastAsia="黑体"/>
          <w:color w:val="000000"/>
          <w:sz w:val="32"/>
          <w:highlight w:val="none"/>
        </w:rPr>
      </w:pPr>
      <w:r>
        <w:rPr>
          <w:rFonts w:hint="eastAsia" w:ascii="黑体" w:eastAsia="黑体"/>
          <w:color w:val="000000"/>
          <w:sz w:val="32"/>
          <w:highlight w:val="none"/>
        </w:rPr>
        <w:t>第</w:t>
      </w:r>
      <w:r>
        <w:rPr>
          <w:rFonts w:hint="eastAsia" w:eastAsia="黑体"/>
          <w:color w:val="000000"/>
          <w:sz w:val="32"/>
          <w:highlight w:val="none"/>
        </w:rPr>
        <w:t>1</w:t>
      </w:r>
      <w:r>
        <w:rPr>
          <w:rFonts w:eastAsia="黑体"/>
          <w:color w:val="000000"/>
          <w:sz w:val="32"/>
          <w:highlight w:val="none"/>
        </w:rPr>
        <w:t>0</w:t>
      </w:r>
      <w:r>
        <w:rPr>
          <w:rFonts w:hint="eastAsia" w:eastAsia="黑体"/>
          <w:color w:val="000000"/>
          <w:sz w:val="32"/>
          <w:highlight w:val="none"/>
        </w:rPr>
        <w:t>2</w:t>
      </w:r>
      <w:r>
        <w:rPr>
          <w:rFonts w:hint="eastAsia" w:ascii="黑体" w:eastAsia="黑体"/>
          <w:color w:val="000000"/>
          <w:sz w:val="32"/>
          <w:highlight w:val="none"/>
        </w:rPr>
        <w:t>节  工程管理</w:t>
      </w:r>
    </w:p>
    <w:p>
      <w:pPr>
        <w:tabs>
          <w:tab w:val="left" w:pos="3120"/>
        </w:tabs>
        <w:spacing w:line="360" w:lineRule="auto"/>
        <w:rPr>
          <w:rFonts w:hint="eastAsia" w:eastAsia="黑体"/>
          <w:color w:val="000000"/>
          <w:sz w:val="28"/>
          <w:szCs w:val="28"/>
          <w:highlight w:val="none"/>
        </w:rPr>
      </w:pPr>
      <w:bookmarkStart w:id="96" w:name="_Toc324319676"/>
      <w:bookmarkStart w:id="97" w:name="_Toc355703693"/>
    </w:p>
    <w:p>
      <w:pPr>
        <w:tabs>
          <w:tab w:val="left" w:pos="3120"/>
        </w:tabs>
        <w:spacing w:line="360" w:lineRule="auto"/>
        <w:outlineLvl w:val="0"/>
        <w:rPr>
          <w:rFonts w:hint="eastAsia" w:eastAsia="黑体"/>
          <w:color w:val="000000"/>
          <w:sz w:val="28"/>
          <w:szCs w:val="28"/>
          <w:highlight w:val="none"/>
        </w:rPr>
      </w:pPr>
      <w:bookmarkStart w:id="98" w:name="_Toc465178080"/>
      <w:bookmarkStart w:id="99" w:name="_Toc496619694"/>
      <w:bookmarkStart w:id="100" w:name="_Toc465178800"/>
      <w:bookmarkStart w:id="101" w:name="_Toc435864332"/>
      <w:bookmarkStart w:id="102" w:name="_Toc465179161"/>
      <w:bookmarkStart w:id="103" w:name="_Toc87531987"/>
      <w:bookmarkStart w:id="104" w:name="_Toc496620393"/>
      <w:bookmarkStart w:id="105" w:name="_Toc9680"/>
      <w:r>
        <w:rPr>
          <w:rFonts w:hint="eastAsia" w:eastAsia="黑体"/>
          <w:color w:val="000000"/>
          <w:sz w:val="28"/>
          <w:szCs w:val="28"/>
          <w:highlight w:val="none"/>
        </w:rPr>
        <w:t>102.01一般要求</w:t>
      </w:r>
      <w:bookmarkEnd w:id="98"/>
      <w:bookmarkEnd w:id="99"/>
      <w:bookmarkEnd w:id="100"/>
      <w:bookmarkEnd w:id="101"/>
      <w:bookmarkEnd w:id="102"/>
      <w:bookmarkEnd w:id="103"/>
      <w:bookmarkEnd w:id="104"/>
      <w:bookmarkEnd w:id="105"/>
    </w:p>
    <w:p>
      <w:pPr>
        <w:spacing w:before="120" w:beforeLines="50" w:after="120" w:afterLines="50" w:line="360" w:lineRule="exact"/>
        <w:ind w:firstLine="420"/>
        <w:jc w:val="left"/>
        <w:rPr>
          <w:rFonts w:hint="eastAsia" w:ascii="宋体" w:hAnsi="宋体" w:cs="宋体"/>
          <w:bCs/>
          <w:color w:val="000000"/>
          <w:szCs w:val="21"/>
          <w:highlight w:val="none"/>
        </w:rPr>
      </w:pPr>
      <w:r>
        <w:rPr>
          <w:rFonts w:hint="eastAsia" w:ascii="宋体" w:hAnsi="宋体" w:cs="宋体"/>
          <w:bCs/>
          <w:color w:val="000000"/>
          <w:szCs w:val="21"/>
          <w:highlight w:val="none"/>
        </w:rPr>
        <w:t>增加第6、7款：</w:t>
      </w:r>
    </w:p>
    <w:p>
      <w:pPr>
        <w:spacing w:before="120" w:beforeLines="50" w:after="120" w:afterLines="50" w:line="360" w:lineRule="exact"/>
        <w:ind w:firstLine="420"/>
        <w:jc w:val="left"/>
        <w:rPr>
          <w:rFonts w:hint="eastAsia" w:ascii="宋体" w:hAnsi="宋体" w:cs="宋体"/>
          <w:bCs/>
          <w:color w:val="000000"/>
          <w:szCs w:val="21"/>
          <w:highlight w:val="none"/>
        </w:rPr>
      </w:pPr>
      <w:r>
        <w:rPr>
          <w:rFonts w:hint="eastAsia" w:ascii="宋体" w:hAnsi="宋体" w:cs="宋体"/>
          <w:bCs/>
          <w:color w:val="000000"/>
          <w:szCs w:val="21"/>
          <w:highlight w:val="none"/>
        </w:rPr>
        <w:t>6、除了发生不可抗力事件外，在任何情况下，承包人应确保公路畅通，公路结构物处于完好的技术状态。</w:t>
      </w:r>
    </w:p>
    <w:p>
      <w:pPr>
        <w:spacing w:before="120" w:beforeLines="50" w:after="120" w:afterLines="50" w:line="360" w:lineRule="exact"/>
        <w:ind w:firstLine="420"/>
        <w:jc w:val="left"/>
        <w:rPr>
          <w:rFonts w:hint="eastAsia" w:ascii="宋体" w:hAnsi="宋体" w:cs="宋体"/>
          <w:bCs/>
          <w:color w:val="000000"/>
          <w:szCs w:val="21"/>
          <w:highlight w:val="none"/>
        </w:rPr>
      </w:pPr>
      <w:r>
        <w:rPr>
          <w:rFonts w:hint="eastAsia" w:ascii="宋体" w:hAnsi="宋体" w:cs="宋体"/>
          <w:bCs/>
          <w:color w:val="000000"/>
          <w:szCs w:val="21"/>
          <w:highlight w:val="none"/>
        </w:rPr>
        <w:t>7、</w:t>
      </w:r>
      <w:r>
        <w:rPr>
          <w:rFonts w:hint="eastAsia"/>
          <w:color w:val="000000"/>
          <w:highlight w:val="none"/>
        </w:rPr>
        <w:t>承包人应按发包人要求及时填报、维护公路养护站管理系统（包括日常巡查、台账及相关记录）。</w:t>
      </w:r>
    </w:p>
    <w:p>
      <w:pPr>
        <w:spacing w:before="120" w:beforeLines="50" w:after="120" w:afterLines="50" w:line="360" w:lineRule="exact"/>
        <w:ind w:firstLine="420" w:firstLineChars="200"/>
        <w:jc w:val="left"/>
        <w:rPr>
          <w:rFonts w:hint="eastAsia" w:ascii="宋体" w:hAnsi="宋体" w:cs="宋体"/>
          <w:bCs/>
          <w:color w:val="000000"/>
          <w:szCs w:val="21"/>
          <w:highlight w:val="none"/>
        </w:rPr>
      </w:pPr>
      <w:r>
        <w:rPr>
          <w:rFonts w:hint="eastAsia" w:ascii="宋体" w:hAnsi="宋体" w:cs="宋体"/>
          <w:bCs/>
          <w:color w:val="000000"/>
          <w:szCs w:val="21"/>
          <w:highlight w:val="none"/>
        </w:rPr>
        <w:t>增加</w:t>
      </w:r>
      <w:r>
        <w:rPr>
          <w:color w:val="000000"/>
          <w:szCs w:val="21"/>
          <w:highlight w:val="none"/>
        </w:rPr>
        <w:t>102.03</w:t>
      </w:r>
      <w:r>
        <w:rPr>
          <w:rFonts w:hint="eastAsia" w:ascii="宋体" w:hAnsi="宋体" w:cs="宋体"/>
          <w:bCs/>
          <w:color w:val="000000"/>
          <w:szCs w:val="21"/>
          <w:highlight w:val="none"/>
        </w:rPr>
        <w:t>人员培训</w:t>
      </w:r>
    </w:p>
    <w:p>
      <w:pPr>
        <w:spacing w:before="120" w:beforeLines="50" w:after="120" w:afterLines="50" w:line="360" w:lineRule="exact"/>
        <w:ind w:firstLine="420" w:firstLineChars="200"/>
        <w:jc w:val="left"/>
        <w:rPr>
          <w:rFonts w:hint="eastAsia" w:ascii="宋体" w:hAnsi="宋体" w:cs="宋体"/>
          <w:bCs/>
          <w:color w:val="000000"/>
          <w:szCs w:val="21"/>
          <w:highlight w:val="none"/>
        </w:rPr>
      </w:pPr>
      <w:r>
        <w:rPr>
          <w:rFonts w:hint="eastAsia" w:ascii="宋体" w:hAnsi="宋体" w:cs="宋体"/>
          <w:bCs/>
          <w:color w:val="000000"/>
          <w:szCs w:val="21"/>
          <w:highlight w:val="none"/>
        </w:rPr>
        <w:t>承包人应加强现场养护人员的岗位和工序教育，加强质量、安全知识的岗位培训，做到人人重视质量、人人重视安全，做到科学管理、文明养护。</w:t>
      </w:r>
    </w:p>
    <w:p>
      <w:pPr>
        <w:tabs>
          <w:tab w:val="left" w:pos="3120"/>
        </w:tabs>
        <w:spacing w:line="360" w:lineRule="auto"/>
        <w:outlineLvl w:val="0"/>
        <w:rPr>
          <w:rFonts w:hint="eastAsia" w:eastAsia="黑体"/>
          <w:color w:val="000000"/>
          <w:sz w:val="28"/>
          <w:szCs w:val="28"/>
          <w:highlight w:val="none"/>
        </w:rPr>
      </w:pPr>
      <w:bookmarkStart w:id="106" w:name="_Toc496620394"/>
      <w:bookmarkStart w:id="107" w:name="_Toc465179162"/>
      <w:bookmarkStart w:id="108" w:name="_Toc435864333"/>
      <w:bookmarkStart w:id="109" w:name="_Toc465178081"/>
      <w:bookmarkStart w:id="110" w:name="_Toc87531988"/>
      <w:bookmarkStart w:id="111" w:name="_Toc29794"/>
      <w:bookmarkStart w:id="112" w:name="_Toc465178801"/>
      <w:bookmarkStart w:id="113" w:name="_Toc496619695"/>
      <w:r>
        <w:rPr>
          <w:rFonts w:hint="eastAsia" w:eastAsia="黑体"/>
          <w:color w:val="000000"/>
          <w:sz w:val="28"/>
          <w:szCs w:val="28"/>
          <w:highlight w:val="none"/>
        </w:rPr>
        <w:t>102.04 养护记录</w:t>
      </w:r>
      <w:bookmarkEnd w:id="106"/>
      <w:bookmarkEnd w:id="107"/>
      <w:bookmarkEnd w:id="108"/>
      <w:bookmarkEnd w:id="109"/>
      <w:bookmarkEnd w:id="110"/>
      <w:bookmarkEnd w:id="111"/>
      <w:bookmarkEnd w:id="112"/>
      <w:bookmarkEnd w:id="113"/>
    </w:p>
    <w:p>
      <w:pPr>
        <w:spacing w:before="120" w:beforeLines="50" w:after="120" w:afterLines="50" w:line="360" w:lineRule="exact"/>
        <w:ind w:firstLine="420" w:firstLineChars="200"/>
        <w:jc w:val="left"/>
        <w:rPr>
          <w:rFonts w:hint="eastAsia" w:ascii="宋体" w:hAnsi="宋体" w:cs="宋体"/>
          <w:color w:val="000000"/>
          <w:szCs w:val="21"/>
          <w:highlight w:val="none"/>
        </w:rPr>
      </w:pPr>
      <w:r>
        <w:rPr>
          <w:rFonts w:hint="eastAsia" w:ascii="宋体" w:hAnsi="宋体" w:cs="宋体"/>
          <w:color w:val="000000"/>
          <w:szCs w:val="21"/>
          <w:highlight w:val="none"/>
        </w:rPr>
        <w:t>修改为：</w:t>
      </w:r>
    </w:p>
    <w:p>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1、承包人应与养护承包进程同步形成、积累、整理及保管所有养护记录。</w:t>
      </w:r>
    </w:p>
    <w:p>
      <w:pPr>
        <w:spacing w:line="360" w:lineRule="auto"/>
        <w:rPr>
          <w:rFonts w:hint="eastAsia" w:ascii="宋体" w:hAnsi="宋体" w:cs="宋体"/>
          <w:color w:val="000000"/>
          <w:highlight w:val="none"/>
        </w:rPr>
      </w:pPr>
      <w:r>
        <w:rPr>
          <w:rFonts w:hint="eastAsia" w:ascii="宋体" w:hAnsi="宋体" w:cs="宋体"/>
          <w:color w:val="000000"/>
          <w:highlight w:val="none"/>
        </w:rPr>
        <w:t xml:space="preserve">    2、承包人应搜集、掌握下列信息：</w:t>
      </w:r>
    </w:p>
    <w:p>
      <w:pPr>
        <w:spacing w:line="360" w:lineRule="auto"/>
        <w:rPr>
          <w:rFonts w:hint="eastAsia" w:ascii="宋体" w:hAnsi="宋体" w:cs="宋体"/>
          <w:color w:val="000000"/>
          <w:highlight w:val="none"/>
        </w:rPr>
      </w:pPr>
      <w:r>
        <w:rPr>
          <w:rFonts w:hint="eastAsia" w:ascii="宋体" w:hAnsi="宋体" w:cs="宋体"/>
          <w:color w:val="000000"/>
          <w:highlight w:val="none"/>
        </w:rPr>
        <w:t xml:space="preserve">    (1)路况信息：包括动态信息和静态信息，动态信息指有关公路设施的路况、受灾等信息，静态信息指公路、桥梁、隧道等构造物的形状、尺寸等信息。</w:t>
      </w:r>
    </w:p>
    <w:p>
      <w:pPr>
        <w:spacing w:line="360" w:lineRule="auto"/>
        <w:rPr>
          <w:rFonts w:hint="eastAsia" w:ascii="宋体" w:hAnsi="宋体" w:cs="宋体"/>
          <w:color w:val="000000"/>
          <w:highlight w:val="none"/>
        </w:rPr>
      </w:pPr>
      <w:r>
        <w:rPr>
          <w:rFonts w:hint="eastAsia" w:ascii="宋体" w:hAnsi="宋体" w:cs="宋体"/>
          <w:color w:val="000000"/>
          <w:highlight w:val="none"/>
        </w:rPr>
        <w:t xml:space="preserve">    (2)交通信息：有关交通量、车辆荷载、行驶速度、交通阻塞等信息。</w:t>
      </w:r>
    </w:p>
    <w:p>
      <w:pPr>
        <w:spacing w:line="360" w:lineRule="auto"/>
        <w:rPr>
          <w:rFonts w:hint="eastAsia" w:ascii="宋体" w:hAnsi="宋体" w:cs="宋体"/>
          <w:color w:val="000000"/>
          <w:highlight w:val="none"/>
        </w:rPr>
      </w:pPr>
      <w:r>
        <w:rPr>
          <w:rFonts w:hint="eastAsia" w:ascii="宋体" w:hAnsi="宋体" w:cs="宋体"/>
          <w:color w:val="000000"/>
          <w:highlight w:val="none"/>
        </w:rPr>
        <w:t xml:space="preserve">    (3)气象信息：有关雨、雪、雾、风、冰冻等信息。</w:t>
      </w:r>
    </w:p>
    <w:p>
      <w:pPr>
        <w:spacing w:line="360" w:lineRule="auto"/>
        <w:rPr>
          <w:rFonts w:hint="eastAsia" w:ascii="宋体" w:hAnsi="宋体" w:cs="宋体"/>
          <w:color w:val="000000"/>
          <w:highlight w:val="none"/>
        </w:rPr>
      </w:pPr>
      <w:r>
        <w:rPr>
          <w:rFonts w:hint="eastAsia" w:ascii="宋体" w:hAnsi="宋体" w:cs="宋体"/>
          <w:color w:val="000000"/>
          <w:highlight w:val="none"/>
        </w:rPr>
        <w:t xml:space="preserve">    (4)路产信息：有关由于外来因素，路产受损时信息。</w:t>
      </w:r>
    </w:p>
    <w:p>
      <w:pPr>
        <w:spacing w:line="360" w:lineRule="auto"/>
        <w:rPr>
          <w:rFonts w:hint="eastAsia" w:ascii="宋体" w:hAnsi="宋体" w:cs="宋体"/>
          <w:color w:val="000000"/>
          <w:highlight w:val="none"/>
        </w:rPr>
      </w:pPr>
      <w:r>
        <w:rPr>
          <w:rFonts w:hint="eastAsia" w:ascii="宋体" w:hAnsi="宋体" w:cs="宋体"/>
          <w:color w:val="000000"/>
          <w:highlight w:val="none"/>
        </w:rPr>
        <w:t xml:space="preserve">    3、承包人应掌握和上报的资料：</w:t>
      </w:r>
    </w:p>
    <w:p>
      <w:pPr>
        <w:spacing w:line="360" w:lineRule="auto"/>
        <w:rPr>
          <w:rFonts w:hint="eastAsia" w:ascii="宋体" w:hAnsi="宋体" w:cs="宋体"/>
          <w:color w:val="000000"/>
          <w:highlight w:val="none"/>
        </w:rPr>
      </w:pPr>
      <w:r>
        <w:rPr>
          <w:rFonts w:hint="eastAsia" w:ascii="宋体" w:hAnsi="宋体" w:cs="宋体"/>
          <w:color w:val="000000"/>
          <w:highlight w:val="none"/>
        </w:rPr>
        <w:t xml:space="preserve">    (1)承包人应根据发包人提供的资料，通过调查建立路况及养护工作台帐，格式应按公路行业管理部门规定的格式进行，并必须在规定时间上报各类由公路行业管理部门规定的报表。</w:t>
      </w:r>
    </w:p>
    <w:p>
      <w:pPr>
        <w:spacing w:line="360" w:lineRule="auto"/>
        <w:ind w:firstLine="420"/>
        <w:rPr>
          <w:rFonts w:hint="eastAsia" w:ascii="宋体" w:hAnsi="宋体" w:cs="宋体"/>
          <w:color w:val="000000"/>
          <w:highlight w:val="none"/>
        </w:rPr>
      </w:pPr>
      <w:r>
        <w:rPr>
          <w:rFonts w:hint="eastAsia" w:ascii="宋体" w:hAnsi="宋体" w:cs="宋体"/>
          <w:color w:val="000000"/>
          <w:highlight w:val="none"/>
        </w:rPr>
        <w:t>(2)承包人应努力提高管理水平，配合做好发包人或公路行业管理部门推广的设施管理系统等基础资料收集、管理系统的应用工作。</w:t>
      </w:r>
    </w:p>
    <w:p>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4、公路养护档案工作应贯彻执行《中华人民共和国档案法》和《中华人民共和国档案法实施办法》，并符合《交通档案管理办法》的有关规定，既要执行交通行业档案管理的制度、规范、标准，又要接受所在地区档案行政管理部门的业务指导与监督。</w:t>
      </w:r>
    </w:p>
    <w:p>
      <w:pPr>
        <w:tabs>
          <w:tab w:val="left" w:pos="3120"/>
        </w:tabs>
        <w:spacing w:line="360" w:lineRule="auto"/>
        <w:outlineLvl w:val="0"/>
        <w:rPr>
          <w:rFonts w:hint="eastAsia" w:eastAsia="黑体"/>
          <w:color w:val="000000"/>
          <w:sz w:val="28"/>
          <w:szCs w:val="28"/>
          <w:highlight w:val="none"/>
        </w:rPr>
      </w:pPr>
      <w:bookmarkStart w:id="114" w:name="_Toc496619696"/>
      <w:bookmarkStart w:id="115" w:name="_Toc435864334"/>
      <w:bookmarkStart w:id="116" w:name="_Toc87531989"/>
      <w:bookmarkStart w:id="117" w:name="_Toc465178802"/>
      <w:bookmarkStart w:id="118" w:name="_Toc465178082"/>
      <w:bookmarkStart w:id="119" w:name="_Toc496620395"/>
      <w:bookmarkStart w:id="120" w:name="_Toc15179"/>
      <w:bookmarkStart w:id="121" w:name="_Toc465179163"/>
      <w:r>
        <w:rPr>
          <w:rFonts w:hint="eastAsia" w:eastAsia="黑体"/>
          <w:color w:val="000000"/>
          <w:sz w:val="28"/>
          <w:szCs w:val="28"/>
          <w:highlight w:val="none"/>
        </w:rPr>
        <w:t>102.08养护作业安全措施</w:t>
      </w:r>
      <w:bookmarkEnd w:id="114"/>
      <w:bookmarkEnd w:id="115"/>
      <w:bookmarkEnd w:id="116"/>
      <w:bookmarkEnd w:id="117"/>
      <w:bookmarkEnd w:id="118"/>
      <w:bookmarkEnd w:id="119"/>
      <w:bookmarkEnd w:id="120"/>
      <w:bookmarkEnd w:id="121"/>
    </w:p>
    <w:p>
      <w:pPr>
        <w:spacing w:line="360" w:lineRule="auto"/>
        <w:ind w:firstLine="420"/>
        <w:rPr>
          <w:rFonts w:hint="eastAsia" w:ascii="宋体" w:hAnsi="宋体" w:cs="宋体"/>
          <w:color w:val="000000"/>
          <w:highlight w:val="none"/>
        </w:rPr>
      </w:pPr>
      <w:r>
        <w:rPr>
          <w:rFonts w:hint="eastAsia" w:ascii="宋体" w:hAnsi="宋体" w:cs="宋体"/>
          <w:color w:val="000000"/>
          <w:highlight w:val="none"/>
        </w:rPr>
        <w:t>增加第12～16项：</w:t>
      </w:r>
    </w:p>
    <w:p>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12. 施工作业人员，应遵守交通管理法规并具有高度的安全责任感，统一着安全标志服，夜间还须穿着反光背心，不得随意在非封闭区域的行车道上活动或停留，必须穿越车道的，不准妨碍过往车辆，在确保安全情况下迅速通过。</w:t>
      </w:r>
    </w:p>
    <w:p>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13. 公路主线零星坑槽修补、维修保养作业及专项、大修（如有）施工必须设置统一、规范、标准、清晰的标志标牌。</w:t>
      </w:r>
    </w:p>
    <w:p>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14. 在施工作业区或在封闭车道、改变车辆流向时应设置防撞桶并采用警示锥形筒隔离，锥形筒（高度75CM）间距一般不大于15米；同一地点较长时间作业的，应视情况采用硬隔离；标志标牌等安全设施应有专人负责管理。</w:t>
      </w:r>
    </w:p>
    <w:p>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15. 利用车辆进行养护维修施工作业时，应在作业车辆上设置鲜明、规范的作业标志。养护维修作业车、交通管理车等相关车辆应保持车况良好，遵守交通法规。需停留的，应停放在封闭区域内，进出施工区域应避让过往车辆，专人指挥，确保安全。</w:t>
      </w:r>
    </w:p>
    <w:p>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16. 承包人应严格按照浙交监【2013】43号文《关于进一步加强我省交通建设工程施工安全生产用管理的通知》、浙交〔2021〕12号《省交通运输厅关于印发《浙江省交通建设工程安全生产费用管理办法》的通知》和《公路养护安全作业规程》的规定采取安全措施，从而保证现场工作人员和第三方人员的人身财产安全。</w:t>
      </w:r>
    </w:p>
    <w:p>
      <w:pPr>
        <w:tabs>
          <w:tab w:val="left" w:pos="3120"/>
        </w:tabs>
        <w:spacing w:line="360" w:lineRule="auto"/>
        <w:outlineLvl w:val="0"/>
        <w:rPr>
          <w:rFonts w:hint="eastAsia" w:eastAsia="黑体"/>
          <w:color w:val="000000"/>
          <w:sz w:val="28"/>
          <w:szCs w:val="28"/>
          <w:highlight w:val="none"/>
        </w:rPr>
      </w:pPr>
      <w:bookmarkStart w:id="122" w:name="_Toc465178083"/>
      <w:bookmarkStart w:id="123" w:name="_Toc496619697"/>
      <w:bookmarkStart w:id="124" w:name="_Toc87531990"/>
      <w:bookmarkStart w:id="125" w:name="_Toc3425"/>
      <w:bookmarkStart w:id="126" w:name="_Toc496620396"/>
      <w:bookmarkStart w:id="127" w:name="_Toc465179164"/>
      <w:bookmarkStart w:id="128" w:name="_Toc465178803"/>
      <w:bookmarkStart w:id="129" w:name="_Toc435864335"/>
      <w:r>
        <w:rPr>
          <w:rFonts w:hint="eastAsia" w:eastAsia="黑体"/>
          <w:color w:val="000000"/>
          <w:sz w:val="28"/>
          <w:szCs w:val="28"/>
          <w:highlight w:val="none"/>
        </w:rPr>
        <w:t>102.10计量与支付</w:t>
      </w:r>
      <w:bookmarkEnd w:id="122"/>
      <w:bookmarkEnd w:id="123"/>
      <w:bookmarkEnd w:id="124"/>
      <w:bookmarkEnd w:id="125"/>
      <w:bookmarkEnd w:id="126"/>
      <w:bookmarkEnd w:id="127"/>
      <w:bookmarkEnd w:id="128"/>
      <w:bookmarkEnd w:id="129"/>
    </w:p>
    <w:p>
      <w:pPr>
        <w:spacing w:line="360" w:lineRule="auto"/>
        <w:outlineLvl w:val="0"/>
        <w:rPr>
          <w:rFonts w:hint="eastAsia" w:ascii="宋体" w:hAnsi="宋体" w:cs="宋体"/>
          <w:color w:val="000000"/>
          <w:highlight w:val="none"/>
        </w:rPr>
      </w:pPr>
      <w:bookmarkStart w:id="130" w:name="_Toc496619698"/>
      <w:bookmarkStart w:id="131" w:name="_Toc465179165"/>
      <w:bookmarkStart w:id="132" w:name="_Toc496620397"/>
      <w:bookmarkStart w:id="133" w:name="_Toc87531991"/>
      <w:bookmarkStart w:id="134" w:name="_Toc9885"/>
      <w:bookmarkStart w:id="135" w:name="_Toc465178084"/>
      <w:bookmarkStart w:id="136" w:name="_Toc465178804"/>
      <w:bookmarkStart w:id="137" w:name="_Toc435864336"/>
      <w:r>
        <w:rPr>
          <w:rFonts w:hint="eastAsia" w:ascii="宋体" w:hAnsi="宋体" w:cs="宋体"/>
          <w:color w:val="000000"/>
          <w:highlight w:val="none"/>
        </w:rPr>
        <w:t>1. 计量</w:t>
      </w:r>
      <w:bookmarkEnd w:id="130"/>
      <w:bookmarkEnd w:id="131"/>
      <w:bookmarkEnd w:id="132"/>
      <w:bookmarkEnd w:id="133"/>
      <w:bookmarkEnd w:id="134"/>
      <w:bookmarkEnd w:id="135"/>
      <w:bookmarkEnd w:id="136"/>
      <w:bookmarkEnd w:id="137"/>
    </w:p>
    <w:p>
      <w:pPr>
        <w:spacing w:line="360" w:lineRule="auto"/>
        <w:ind w:firstLine="420" w:firstLineChars="200"/>
        <w:rPr>
          <w:rFonts w:hint="eastAsia" w:ascii="宋体" w:hAnsi="宋体" w:cs="宋体"/>
          <w:color w:val="000000"/>
          <w:highlight w:val="none"/>
        </w:rPr>
      </w:pPr>
      <w:r>
        <w:rPr>
          <w:rFonts w:hint="eastAsia" w:ascii="宋体" w:hAnsi="宋体" w:cs="宋体"/>
          <w:color w:val="000000"/>
          <w:highlight w:val="none"/>
        </w:rPr>
        <w:t>第（4）款修改为：</w:t>
      </w:r>
      <w:r>
        <w:rPr>
          <w:rFonts w:hint="eastAsia" w:hAnsi="宋体"/>
          <w:color w:val="000000"/>
          <w:szCs w:val="21"/>
          <w:highlight w:val="none"/>
        </w:rPr>
        <w:t>安全生产费应不低于投标价（不含安全生产费、建筑工程一切险保险费、安全生产责任险的费用）的2%，</w:t>
      </w:r>
      <w:r>
        <w:rPr>
          <w:rFonts w:hint="eastAsia" w:ascii="宋体" w:hAnsi="宋体" w:cs="宋体"/>
          <w:color w:val="000000"/>
          <w:highlight w:val="none"/>
        </w:rPr>
        <w:t>包含安全维护、安全教育投入、安全评审费、安全协调费、交通安全管理费等</w:t>
      </w:r>
      <w:r>
        <w:rPr>
          <w:rFonts w:hint="eastAsia" w:ascii="宋体" w:hAnsi="宋体" w:cs="宋体"/>
          <w:color w:val="000000"/>
          <w:kern w:val="0"/>
          <w:sz w:val="18"/>
          <w:szCs w:val="18"/>
          <w:highlight w:val="none"/>
        </w:rPr>
        <w:t>。</w:t>
      </w:r>
      <w:r>
        <w:rPr>
          <w:rFonts w:hint="eastAsia" w:ascii="宋体" w:hAnsi="宋体" w:cs="宋体"/>
          <w:color w:val="000000"/>
          <w:highlight w:val="none"/>
        </w:rPr>
        <w:t>承包人如需在安全生产费以外增加安全投入，应在其他单价中予以考虑。</w:t>
      </w:r>
    </w:p>
    <w:p>
      <w:pPr>
        <w:spacing w:line="360" w:lineRule="auto"/>
        <w:outlineLvl w:val="0"/>
        <w:rPr>
          <w:rFonts w:hint="eastAsia" w:ascii="宋体" w:hAnsi="宋体" w:cs="宋体"/>
          <w:color w:val="000000"/>
          <w:highlight w:val="none"/>
        </w:rPr>
      </w:pPr>
      <w:bookmarkStart w:id="138" w:name="_Toc465178085"/>
      <w:bookmarkStart w:id="139" w:name="_Toc465178805"/>
      <w:bookmarkStart w:id="140" w:name="_Toc435864337"/>
      <w:bookmarkStart w:id="141" w:name="_Toc496619699"/>
      <w:bookmarkStart w:id="142" w:name="_Toc87531992"/>
      <w:bookmarkStart w:id="143" w:name="_Toc24731"/>
      <w:bookmarkStart w:id="144" w:name="_Toc465179166"/>
      <w:bookmarkStart w:id="145" w:name="_Toc496620398"/>
      <w:r>
        <w:rPr>
          <w:rFonts w:hint="eastAsia" w:ascii="宋体" w:hAnsi="宋体" w:cs="宋体"/>
          <w:color w:val="000000"/>
          <w:highlight w:val="none"/>
        </w:rPr>
        <w:t>2. 支付</w:t>
      </w:r>
      <w:bookmarkEnd w:id="138"/>
      <w:bookmarkEnd w:id="139"/>
      <w:bookmarkEnd w:id="140"/>
      <w:bookmarkEnd w:id="141"/>
      <w:bookmarkEnd w:id="142"/>
      <w:bookmarkEnd w:id="143"/>
      <w:bookmarkEnd w:id="144"/>
      <w:bookmarkEnd w:id="145"/>
    </w:p>
    <w:p>
      <w:pPr>
        <w:tabs>
          <w:tab w:val="left" w:pos="3120"/>
        </w:tabs>
        <w:spacing w:line="360" w:lineRule="auto"/>
        <w:ind w:firstLine="397"/>
        <w:rPr>
          <w:rFonts w:hint="eastAsia"/>
          <w:color w:val="000000"/>
          <w:highlight w:val="none"/>
        </w:rPr>
      </w:pPr>
      <w:r>
        <w:rPr>
          <w:rFonts w:hint="eastAsia" w:ascii="宋体" w:hAnsi="宋体" w:cs="宋体"/>
          <w:color w:val="000000"/>
          <w:highlight w:val="none"/>
        </w:rPr>
        <w:t>修改为：安全生产费按实计量支付，在竣工结算时按照浙交监【2013】43号文《关于进一步加强我省交通建设工程施工安全生产用管理的通知》、浙交〔2021〕12号《省交通运输厅关于印发《浙江省交通建设工程安全生产费用管理办法》的通知》要求按实际提供发票金额结算。</w:t>
      </w:r>
    </w:p>
    <w:p>
      <w:pPr>
        <w:tabs>
          <w:tab w:val="left" w:pos="3120"/>
        </w:tabs>
        <w:jc w:val="center"/>
        <w:rPr>
          <w:rFonts w:hint="eastAsia" w:ascii="黑体" w:eastAsia="黑体"/>
          <w:color w:val="000000"/>
          <w:sz w:val="32"/>
          <w:highlight w:val="none"/>
        </w:rPr>
      </w:pPr>
    </w:p>
    <w:p>
      <w:pPr>
        <w:tabs>
          <w:tab w:val="left" w:pos="3120"/>
        </w:tabs>
        <w:jc w:val="center"/>
        <w:rPr>
          <w:rFonts w:hint="eastAsia" w:ascii="黑体" w:eastAsia="黑体"/>
          <w:color w:val="000000"/>
          <w:sz w:val="32"/>
          <w:highlight w:val="none"/>
        </w:rPr>
      </w:pPr>
      <w:r>
        <w:rPr>
          <w:rFonts w:hint="eastAsia" w:ascii="黑体" w:eastAsia="黑体"/>
          <w:color w:val="000000"/>
          <w:sz w:val="32"/>
          <w:highlight w:val="none"/>
        </w:rPr>
        <w:t xml:space="preserve">   第</w:t>
      </w:r>
      <w:r>
        <w:rPr>
          <w:rFonts w:hint="eastAsia" w:eastAsia="黑体"/>
          <w:color w:val="000000"/>
          <w:sz w:val="32"/>
          <w:highlight w:val="none"/>
        </w:rPr>
        <w:t>1</w:t>
      </w:r>
      <w:r>
        <w:rPr>
          <w:rFonts w:eastAsia="黑体"/>
          <w:color w:val="000000"/>
          <w:sz w:val="32"/>
          <w:highlight w:val="none"/>
        </w:rPr>
        <w:t>0</w:t>
      </w:r>
      <w:r>
        <w:rPr>
          <w:rFonts w:hint="eastAsia" w:eastAsia="黑体"/>
          <w:color w:val="000000"/>
          <w:sz w:val="32"/>
          <w:highlight w:val="none"/>
        </w:rPr>
        <w:t>4</w:t>
      </w:r>
      <w:r>
        <w:rPr>
          <w:rFonts w:hint="eastAsia" w:ascii="黑体" w:eastAsia="黑体"/>
          <w:color w:val="000000"/>
          <w:sz w:val="32"/>
          <w:highlight w:val="none"/>
        </w:rPr>
        <w:t>节  承包人驻地建设</w:t>
      </w:r>
    </w:p>
    <w:p>
      <w:pPr>
        <w:tabs>
          <w:tab w:val="left" w:pos="3120"/>
        </w:tabs>
        <w:jc w:val="center"/>
        <w:rPr>
          <w:rFonts w:hint="eastAsia" w:ascii="黑体" w:eastAsia="黑体"/>
          <w:color w:val="000000"/>
          <w:sz w:val="32"/>
          <w:highlight w:val="none"/>
        </w:rPr>
      </w:pPr>
    </w:p>
    <w:p>
      <w:pPr>
        <w:numPr>
          <w:ilvl w:val="1"/>
          <w:numId w:val="9"/>
        </w:numPr>
        <w:tabs>
          <w:tab w:val="left" w:pos="3120"/>
        </w:tabs>
        <w:spacing w:line="360" w:lineRule="auto"/>
        <w:rPr>
          <w:rFonts w:hint="eastAsia" w:ascii="黑体" w:eastAsia="黑体"/>
          <w:color w:val="000000"/>
          <w:sz w:val="28"/>
          <w:szCs w:val="28"/>
          <w:highlight w:val="none"/>
        </w:rPr>
      </w:pPr>
      <w:r>
        <w:rPr>
          <w:rFonts w:hint="eastAsia" w:ascii="黑体" w:eastAsia="黑体"/>
          <w:color w:val="000000"/>
          <w:sz w:val="28"/>
          <w:szCs w:val="28"/>
          <w:highlight w:val="none"/>
        </w:rPr>
        <w:t>一般要求</w:t>
      </w:r>
    </w:p>
    <w:p>
      <w:pPr>
        <w:tabs>
          <w:tab w:val="left" w:pos="3120"/>
        </w:tabs>
        <w:spacing w:line="360" w:lineRule="auto"/>
        <w:ind w:firstLine="210" w:firstLineChars="100"/>
        <w:rPr>
          <w:rFonts w:hint="eastAsia"/>
          <w:color w:val="000000"/>
          <w:highlight w:val="none"/>
        </w:rPr>
      </w:pPr>
      <w:r>
        <w:rPr>
          <w:rFonts w:hint="eastAsia"/>
          <w:color w:val="000000"/>
          <w:highlight w:val="none"/>
        </w:rPr>
        <w:t>删除第2、5条，补充第6条：</w:t>
      </w:r>
    </w:p>
    <w:p>
      <w:pPr>
        <w:tabs>
          <w:tab w:val="left" w:pos="3120"/>
        </w:tabs>
        <w:jc w:val="center"/>
        <w:rPr>
          <w:rFonts w:hint="eastAsia" w:ascii="黑体" w:eastAsia="黑体"/>
          <w:color w:val="000000"/>
          <w:sz w:val="32"/>
          <w:highlight w:val="none"/>
        </w:rPr>
      </w:pPr>
      <w:r>
        <w:rPr>
          <w:rFonts w:hint="eastAsia"/>
          <w:color w:val="000000"/>
          <w:highlight w:val="none"/>
        </w:rPr>
        <w:t>6、养护人员工作服的配置和使用应符合相关文件要求，工作服上均应有所在单位的标识。</w:t>
      </w:r>
      <w:r>
        <w:rPr>
          <w:rFonts w:hint="eastAsia" w:ascii="黑体" w:eastAsia="黑体"/>
          <w:color w:val="000000"/>
          <w:sz w:val="32"/>
          <w:highlight w:val="none"/>
        </w:rPr>
        <w:t>第</w:t>
      </w:r>
      <w:r>
        <w:rPr>
          <w:rFonts w:hint="eastAsia" w:eastAsia="黑体"/>
          <w:color w:val="000000"/>
          <w:sz w:val="32"/>
          <w:highlight w:val="none"/>
        </w:rPr>
        <w:t>1</w:t>
      </w:r>
      <w:r>
        <w:rPr>
          <w:rFonts w:eastAsia="黑体"/>
          <w:color w:val="000000"/>
          <w:sz w:val="32"/>
          <w:highlight w:val="none"/>
        </w:rPr>
        <w:t>0</w:t>
      </w:r>
      <w:r>
        <w:rPr>
          <w:rFonts w:hint="eastAsia" w:eastAsia="黑体"/>
          <w:color w:val="000000"/>
          <w:sz w:val="32"/>
          <w:highlight w:val="none"/>
        </w:rPr>
        <w:t>5</w:t>
      </w:r>
      <w:r>
        <w:rPr>
          <w:rFonts w:hint="eastAsia" w:ascii="黑体" w:eastAsia="黑体"/>
          <w:color w:val="000000"/>
          <w:sz w:val="32"/>
          <w:highlight w:val="none"/>
        </w:rPr>
        <w:t>节  养护巡查</w:t>
      </w:r>
    </w:p>
    <w:p>
      <w:pPr>
        <w:tabs>
          <w:tab w:val="left" w:pos="3120"/>
        </w:tabs>
        <w:spacing w:line="360" w:lineRule="auto"/>
        <w:rPr>
          <w:rFonts w:eastAsia="黑体"/>
          <w:color w:val="000000"/>
          <w:sz w:val="28"/>
          <w:szCs w:val="28"/>
          <w:highlight w:val="none"/>
        </w:rPr>
      </w:pPr>
      <w:r>
        <w:rPr>
          <w:rFonts w:hint="eastAsia" w:eastAsia="黑体"/>
          <w:color w:val="000000"/>
          <w:sz w:val="28"/>
          <w:szCs w:val="28"/>
          <w:highlight w:val="none"/>
        </w:rPr>
        <w:t>105</w:t>
      </w:r>
      <w:r>
        <w:rPr>
          <w:rFonts w:eastAsia="黑体"/>
          <w:color w:val="000000"/>
          <w:sz w:val="28"/>
          <w:szCs w:val="28"/>
          <w:highlight w:val="none"/>
        </w:rPr>
        <w:t>.</w:t>
      </w:r>
      <w:r>
        <w:rPr>
          <w:rFonts w:hint="eastAsia" w:eastAsia="黑体"/>
          <w:color w:val="000000"/>
          <w:sz w:val="28"/>
          <w:szCs w:val="28"/>
          <w:highlight w:val="none"/>
        </w:rPr>
        <w:t>02</w:t>
      </w:r>
      <w:r>
        <w:rPr>
          <w:rFonts w:eastAsia="黑体"/>
          <w:color w:val="000000"/>
          <w:sz w:val="28"/>
          <w:szCs w:val="28"/>
          <w:highlight w:val="none"/>
        </w:rPr>
        <w:t xml:space="preserve">  </w:t>
      </w:r>
      <w:r>
        <w:rPr>
          <w:rFonts w:hint="eastAsia" w:eastAsia="黑体"/>
          <w:color w:val="000000"/>
          <w:sz w:val="28"/>
          <w:szCs w:val="28"/>
          <w:highlight w:val="none"/>
        </w:rPr>
        <w:t>具体要求</w:t>
      </w:r>
    </w:p>
    <w:p>
      <w:pPr>
        <w:spacing w:line="36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1．施工单位应组织人员日常巡查，</w:t>
      </w:r>
      <w:r>
        <w:rPr>
          <w:rFonts w:ascii="宋体" w:hAnsi="宋体"/>
          <w:color w:val="000000"/>
          <w:szCs w:val="21"/>
          <w:highlight w:val="none"/>
        </w:rPr>
        <w:t>巡查作业中，巡查人员应强化自我保护意识，按规定穿着安全标志服。</w:t>
      </w:r>
    </w:p>
    <w:p>
      <w:pPr>
        <w:spacing w:line="360" w:lineRule="exact"/>
        <w:ind w:firstLine="420" w:firstLineChars="200"/>
        <w:jc w:val="left"/>
        <w:rPr>
          <w:rFonts w:ascii="宋体" w:hAnsi="宋体"/>
          <w:color w:val="000000"/>
          <w:szCs w:val="21"/>
          <w:highlight w:val="none"/>
        </w:rPr>
      </w:pPr>
      <w:r>
        <w:rPr>
          <w:rFonts w:hint="eastAsia" w:ascii="宋体" w:hAnsi="宋体"/>
          <w:color w:val="000000"/>
          <w:szCs w:val="21"/>
          <w:highlight w:val="none"/>
        </w:rPr>
        <w:t>2</w:t>
      </w:r>
      <w:r>
        <w:rPr>
          <w:rFonts w:ascii="宋体" w:hAnsi="宋体"/>
          <w:color w:val="000000"/>
          <w:szCs w:val="21"/>
          <w:highlight w:val="none"/>
        </w:rPr>
        <w:t>．巡查作业中应有专人记录巡查情况，巡查结束后应尽快整理、汇总巡查记录，并通知养护作业部门采取相应措施。</w:t>
      </w:r>
    </w:p>
    <w:p>
      <w:pPr>
        <w:spacing w:before="120" w:beforeLines="50" w:after="120" w:afterLines="50" w:line="360" w:lineRule="exact"/>
        <w:jc w:val="left"/>
        <w:rPr>
          <w:rFonts w:hint="eastAsia"/>
          <w:b/>
          <w:color w:val="000000"/>
          <w:sz w:val="28"/>
          <w:szCs w:val="28"/>
          <w:highlight w:val="none"/>
        </w:rPr>
      </w:pPr>
      <w:r>
        <w:rPr>
          <w:b/>
          <w:color w:val="000000"/>
          <w:sz w:val="28"/>
          <w:szCs w:val="28"/>
          <w:highlight w:val="none"/>
        </w:rPr>
        <w:t>10</w:t>
      </w:r>
      <w:r>
        <w:rPr>
          <w:rFonts w:hint="eastAsia"/>
          <w:b/>
          <w:color w:val="000000"/>
          <w:sz w:val="28"/>
          <w:szCs w:val="28"/>
          <w:highlight w:val="none"/>
        </w:rPr>
        <w:t>5</w:t>
      </w:r>
      <w:r>
        <w:rPr>
          <w:b/>
          <w:color w:val="000000"/>
          <w:sz w:val="28"/>
          <w:szCs w:val="28"/>
          <w:highlight w:val="none"/>
        </w:rPr>
        <w:t>.0</w:t>
      </w:r>
      <w:r>
        <w:rPr>
          <w:rFonts w:hint="eastAsia"/>
          <w:b/>
          <w:color w:val="000000"/>
          <w:sz w:val="28"/>
          <w:szCs w:val="28"/>
          <w:highlight w:val="none"/>
        </w:rPr>
        <w:t>3</w:t>
      </w:r>
      <w:r>
        <w:rPr>
          <w:b/>
          <w:color w:val="000000"/>
          <w:sz w:val="28"/>
          <w:szCs w:val="28"/>
          <w:highlight w:val="none"/>
        </w:rPr>
        <w:t xml:space="preserve">  </w:t>
      </w:r>
      <w:r>
        <w:rPr>
          <w:rFonts w:hint="eastAsia" w:ascii="黑体" w:eastAsia="黑体"/>
          <w:color w:val="000000"/>
          <w:sz w:val="28"/>
          <w:szCs w:val="28"/>
          <w:highlight w:val="none"/>
        </w:rPr>
        <w:t>计量与支付</w:t>
      </w:r>
    </w:p>
    <w:p>
      <w:pPr>
        <w:spacing w:line="360" w:lineRule="exact"/>
        <w:ind w:firstLine="420" w:firstLineChars="200"/>
        <w:jc w:val="left"/>
        <w:rPr>
          <w:rFonts w:ascii="宋体" w:hAnsi="宋体" w:cs="宋体"/>
          <w:color w:val="000000"/>
          <w:szCs w:val="21"/>
          <w:highlight w:val="none"/>
        </w:rPr>
      </w:pPr>
      <w:r>
        <w:rPr>
          <w:rFonts w:ascii="宋体" w:hAnsi="宋体" w:cs="宋体"/>
          <w:color w:val="000000"/>
          <w:szCs w:val="21"/>
          <w:highlight w:val="none"/>
        </w:rPr>
        <w:t>1．计量</w:t>
      </w:r>
    </w:p>
    <w:p>
      <w:pPr>
        <w:spacing w:line="360" w:lineRule="exact"/>
        <w:ind w:firstLine="420" w:firstLineChars="200"/>
        <w:jc w:val="left"/>
        <w:rPr>
          <w:rFonts w:ascii="宋体" w:hAnsi="宋体" w:cs="宋体"/>
          <w:color w:val="000000"/>
          <w:szCs w:val="21"/>
          <w:highlight w:val="none"/>
        </w:rPr>
      </w:pPr>
      <w:r>
        <w:rPr>
          <w:rFonts w:ascii="宋体" w:hAnsi="宋体" w:cs="宋体"/>
          <w:color w:val="000000"/>
          <w:szCs w:val="21"/>
          <w:highlight w:val="none"/>
        </w:rPr>
        <w:t>养护合同承包期内的巡查费用</w:t>
      </w:r>
      <w:r>
        <w:rPr>
          <w:rFonts w:hint="eastAsia" w:ascii="宋体" w:hAnsi="宋体" w:cs="宋体"/>
          <w:color w:val="000000"/>
          <w:szCs w:val="21"/>
          <w:highlight w:val="none"/>
        </w:rPr>
        <w:t>根据巡查情况并结合养护管理手册相关考核办法，</w:t>
      </w:r>
      <w:r>
        <w:rPr>
          <w:rFonts w:ascii="宋体" w:hAnsi="宋体" w:cs="宋体"/>
          <w:color w:val="000000"/>
          <w:szCs w:val="21"/>
          <w:highlight w:val="none"/>
        </w:rPr>
        <w:t>以计</w:t>
      </w:r>
      <w:r>
        <w:rPr>
          <w:rFonts w:hint="eastAsia" w:ascii="宋体" w:hAnsi="宋体" w:cs="宋体"/>
          <w:color w:val="000000"/>
          <w:szCs w:val="21"/>
          <w:highlight w:val="none"/>
        </w:rPr>
        <w:t>量。</w:t>
      </w:r>
    </w:p>
    <w:p>
      <w:pPr>
        <w:spacing w:line="360" w:lineRule="exact"/>
        <w:ind w:firstLine="420" w:firstLineChars="200"/>
        <w:jc w:val="left"/>
        <w:rPr>
          <w:rFonts w:ascii="宋体" w:hAnsi="宋体" w:cs="宋体"/>
          <w:color w:val="000000"/>
          <w:szCs w:val="21"/>
          <w:highlight w:val="none"/>
        </w:rPr>
      </w:pPr>
      <w:r>
        <w:rPr>
          <w:rFonts w:ascii="宋体" w:hAnsi="宋体" w:cs="宋体"/>
          <w:color w:val="000000"/>
          <w:szCs w:val="21"/>
          <w:highlight w:val="none"/>
        </w:rPr>
        <w:t>2．支付</w:t>
      </w:r>
    </w:p>
    <w:p>
      <w:pPr>
        <w:spacing w:after="120" w:afterLines="50" w:line="340" w:lineRule="exact"/>
        <w:ind w:firstLine="420" w:firstLineChars="200"/>
        <w:jc w:val="left"/>
        <w:rPr>
          <w:rFonts w:hint="eastAsia" w:cs="宋体"/>
          <w:color w:val="000000"/>
          <w:szCs w:val="21"/>
          <w:highlight w:val="none"/>
        </w:rPr>
      </w:pPr>
      <w:r>
        <w:rPr>
          <w:rFonts w:hint="eastAsia" w:cs="宋体"/>
          <w:color w:val="000000"/>
          <w:szCs w:val="21"/>
          <w:highlight w:val="none"/>
        </w:rPr>
        <w:t>根据实际完成并经发包人确认的工程量乘以相应细目单价，按期支付。此项费用包括承包人巡查路面、桥头跳车、路基、坑洞等所有路况信息和发包人要求的“三防”期间的排查理等相关工作内容所需要的费用。</w:t>
      </w:r>
    </w:p>
    <w:p>
      <w:pPr>
        <w:spacing w:after="120" w:afterLines="50" w:line="340" w:lineRule="exact"/>
        <w:ind w:firstLine="420" w:firstLineChars="200"/>
        <w:jc w:val="left"/>
        <w:rPr>
          <w:rFonts w:ascii="宋体" w:hAnsi="宋体" w:cs="宋体"/>
          <w:color w:val="000000"/>
          <w:szCs w:val="21"/>
          <w:highlight w:val="none"/>
        </w:rPr>
      </w:pPr>
      <w:r>
        <w:rPr>
          <w:rFonts w:ascii="宋体" w:hAnsi="宋体" w:cs="宋体"/>
          <w:color w:val="000000"/>
          <w:szCs w:val="21"/>
          <w:highlight w:val="none"/>
        </w:rPr>
        <w:t>3．支付子目</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67"/>
        <w:gridCol w:w="5950"/>
        <w:gridCol w:w="157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26" w:hRule="atLeast"/>
          <w:jc w:val="center"/>
        </w:trPr>
        <w:tc>
          <w:tcPr>
            <w:tcW w:w="1367"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子目号</w:t>
            </w:r>
          </w:p>
        </w:tc>
        <w:tc>
          <w:tcPr>
            <w:tcW w:w="5950"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子目名称</w:t>
            </w:r>
          </w:p>
        </w:tc>
        <w:tc>
          <w:tcPr>
            <w:tcW w:w="1574"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单 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367"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105</w:t>
            </w:r>
          </w:p>
        </w:tc>
        <w:tc>
          <w:tcPr>
            <w:tcW w:w="5950" w:type="dxa"/>
            <w:noWrap w:val="0"/>
            <w:vAlign w:val="center"/>
          </w:tcPr>
          <w:p>
            <w:pPr>
              <w:spacing w:line="240" w:lineRule="exact"/>
              <w:rPr>
                <w:rFonts w:hint="eastAsia" w:ascii="宋体" w:hAnsi="宋体" w:cs="宋体"/>
                <w:color w:val="000000"/>
                <w:szCs w:val="21"/>
                <w:highlight w:val="none"/>
              </w:rPr>
            </w:pPr>
            <w:r>
              <w:rPr>
                <w:rFonts w:hint="eastAsia" w:ascii="宋体" w:hAnsi="宋体" w:cs="宋体"/>
                <w:color w:val="000000"/>
                <w:szCs w:val="21"/>
                <w:highlight w:val="none"/>
              </w:rPr>
              <w:t>巡查费</w:t>
            </w:r>
          </w:p>
        </w:tc>
        <w:tc>
          <w:tcPr>
            <w:tcW w:w="1574"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367" w:type="dxa"/>
            <w:noWrap w:val="0"/>
            <w:vAlign w:val="center"/>
          </w:tcPr>
          <w:p>
            <w:pPr>
              <w:jc w:val="center"/>
              <w:rPr>
                <w:rFonts w:hint="eastAsia" w:ascii="宋体" w:hAnsi="宋体"/>
                <w:bCs/>
                <w:color w:val="000000"/>
                <w:szCs w:val="21"/>
                <w:highlight w:val="none"/>
              </w:rPr>
            </w:pPr>
            <w:r>
              <w:rPr>
                <w:rFonts w:hint="eastAsia" w:ascii="宋体" w:hAnsi="宋体"/>
                <w:bCs/>
                <w:color w:val="000000"/>
                <w:szCs w:val="21"/>
                <w:highlight w:val="none"/>
              </w:rPr>
              <w:t>-a</w:t>
            </w:r>
          </w:p>
        </w:tc>
        <w:tc>
          <w:tcPr>
            <w:tcW w:w="5950" w:type="dxa"/>
            <w:noWrap w:val="0"/>
            <w:vAlign w:val="center"/>
          </w:tcPr>
          <w:p>
            <w:pPr>
              <w:rPr>
                <w:rFonts w:hint="eastAsia" w:ascii="宋体" w:hAnsi="宋体"/>
                <w:color w:val="000000"/>
                <w:szCs w:val="21"/>
                <w:highlight w:val="none"/>
              </w:rPr>
            </w:pPr>
            <w:r>
              <w:rPr>
                <w:rFonts w:hint="eastAsia" w:ascii="宋体" w:hAnsi="宋体"/>
                <w:color w:val="000000"/>
                <w:szCs w:val="21"/>
                <w:highlight w:val="none"/>
              </w:rPr>
              <w:t>汽车巡查费（1辆）</w:t>
            </w:r>
          </w:p>
        </w:tc>
        <w:tc>
          <w:tcPr>
            <w:tcW w:w="1574"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月</w:t>
            </w:r>
          </w:p>
        </w:tc>
      </w:tr>
    </w:tbl>
    <w:p>
      <w:pPr>
        <w:spacing w:line="360" w:lineRule="auto"/>
        <w:ind w:firstLine="420" w:firstLineChars="200"/>
        <w:rPr>
          <w:rFonts w:hint="eastAsia" w:ascii="宋体" w:hAnsi="宋体"/>
          <w:color w:val="000000"/>
          <w:szCs w:val="21"/>
          <w:highlight w:val="none"/>
        </w:rPr>
      </w:pPr>
    </w:p>
    <w:p>
      <w:pPr>
        <w:tabs>
          <w:tab w:val="left" w:pos="3120"/>
        </w:tabs>
        <w:spacing w:line="360" w:lineRule="auto"/>
        <w:ind w:firstLine="420" w:firstLineChars="200"/>
        <w:rPr>
          <w:color w:val="000000"/>
          <w:highlight w:val="none"/>
        </w:rPr>
      </w:pPr>
    </w:p>
    <w:p>
      <w:pPr>
        <w:tabs>
          <w:tab w:val="left" w:pos="3120"/>
        </w:tabs>
        <w:spacing w:line="360" w:lineRule="auto"/>
        <w:ind w:firstLine="420" w:firstLineChars="200"/>
        <w:rPr>
          <w:rFonts w:hint="eastAsia"/>
          <w:color w:val="000000"/>
          <w:highlight w:val="none"/>
        </w:rPr>
      </w:pPr>
    </w:p>
    <w:bookmarkEnd w:id="96"/>
    <w:bookmarkEnd w:id="97"/>
    <w:p>
      <w:pPr>
        <w:jc w:val="center"/>
        <w:outlineLvl w:val="2"/>
        <w:rPr>
          <w:rFonts w:hint="eastAsia" w:ascii="黑体" w:hAnsi="宋体" w:eastAsia="黑体"/>
          <w:color w:val="000000"/>
          <w:sz w:val="44"/>
          <w:highlight w:val="none"/>
        </w:rPr>
      </w:pPr>
      <w:bookmarkStart w:id="146" w:name="_Toc496620404"/>
      <w:bookmarkStart w:id="147" w:name="_Toc87531998"/>
      <w:bookmarkStart w:id="148" w:name="_Toc496619705"/>
      <w:r>
        <w:rPr>
          <w:rFonts w:hint="eastAsia" w:ascii="黑体" w:hAnsi="宋体" w:eastAsia="黑体"/>
          <w:color w:val="000000"/>
          <w:sz w:val="44"/>
          <w:highlight w:val="none"/>
        </w:rPr>
        <w:t>第200章  路    基</w:t>
      </w:r>
      <w:bookmarkEnd w:id="146"/>
      <w:bookmarkEnd w:id="147"/>
      <w:bookmarkEnd w:id="148"/>
    </w:p>
    <w:p>
      <w:pPr>
        <w:tabs>
          <w:tab w:val="left" w:pos="3120"/>
        </w:tabs>
        <w:jc w:val="center"/>
        <w:rPr>
          <w:rFonts w:hint="eastAsia" w:ascii="黑体" w:eastAsia="黑体"/>
          <w:color w:val="000000"/>
          <w:sz w:val="32"/>
          <w:highlight w:val="none"/>
        </w:rPr>
      </w:pPr>
      <w:bookmarkStart w:id="149" w:name="_Toc306811457"/>
      <w:bookmarkStart w:id="150" w:name="_Toc242940961"/>
      <w:bookmarkStart w:id="151" w:name="_Toc247705125"/>
      <w:r>
        <w:rPr>
          <w:rFonts w:hint="eastAsia" w:ascii="黑体" w:eastAsia="黑体"/>
          <w:color w:val="000000"/>
          <w:sz w:val="32"/>
          <w:highlight w:val="none"/>
        </w:rPr>
        <w:t>第</w:t>
      </w:r>
      <w:r>
        <w:rPr>
          <w:rFonts w:hint="eastAsia" w:eastAsia="黑体"/>
          <w:color w:val="000000"/>
          <w:sz w:val="32"/>
          <w:highlight w:val="none"/>
        </w:rPr>
        <w:t>2</w:t>
      </w:r>
      <w:r>
        <w:rPr>
          <w:rFonts w:eastAsia="黑体"/>
          <w:color w:val="000000"/>
          <w:sz w:val="32"/>
          <w:highlight w:val="none"/>
        </w:rPr>
        <w:t>0</w:t>
      </w:r>
      <w:r>
        <w:rPr>
          <w:rFonts w:hint="eastAsia" w:eastAsia="黑体"/>
          <w:color w:val="000000"/>
          <w:sz w:val="32"/>
          <w:highlight w:val="none"/>
        </w:rPr>
        <w:t>2</w:t>
      </w:r>
      <w:r>
        <w:rPr>
          <w:rFonts w:hint="eastAsia" w:ascii="黑体" w:eastAsia="黑体"/>
          <w:color w:val="000000"/>
          <w:sz w:val="32"/>
          <w:highlight w:val="none"/>
        </w:rPr>
        <w:t>节  维  修</w:t>
      </w:r>
    </w:p>
    <w:p>
      <w:pPr>
        <w:tabs>
          <w:tab w:val="left" w:pos="3120"/>
        </w:tabs>
        <w:spacing w:line="360" w:lineRule="auto"/>
        <w:outlineLvl w:val="0"/>
        <w:rPr>
          <w:rFonts w:hint="eastAsia" w:eastAsia="黑体"/>
          <w:color w:val="000000"/>
          <w:sz w:val="28"/>
          <w:szCs w:val="28"/>
          <w:highlight w:val="none"/>
        </w:rPr>
      </w:pPr>
      <w:bookmarkStart w:id="152" w:name="_Toc87531999"/>
      <w:r>
        <w:rPr>
          <w:rFonts w:hint="eastAsia" w:eastAsia="黑体"/>
          <w:color w:val="000000"/>
          <w:sz w:val="28"/>
          <w:szCs w:val="28"/>
          <w:highlight w:val="none"/>
        </w:rPr>
        <w:t>202.07计量支付</w:t>
      </w:r>
      <w:bookmarkEnd w:id="152"/>
    </w:p>
    <w:p>
      <w:pPr>
        <w:tabs>
          <w:tab w:val="left" w:pos="3120"/>
        </w:tabs>
        <w:spacing w:line="360" w:lineRule="auto"/>
        <w:rPr>
          <w:rFonts w:hint="eastAsia"/>
          <w:color w:val="000000"/>
          <w:highlight w:val="none"/>
        </w:rPr>
      </w:pPr>
      <w:r>
        <w:rPr>
          <w:rFonts w:hint="eastAsia"/>
          <w:color w:val="000000"/>
          <w:highlight w:val="none"/>
        </w:rPr>
        <w:t>1.计量</w:t>
      </w:r>
    </w:p>
    <w:p>
      <w:pPr>
        <w:tabs>
          <w:tab w:val="left" w:pos="3120"/>
        </w:tabs>
        <w:spacing w:line="360" w:lineRule="auto"/>
        <w:rPr>
          <w:rFonts w:hint="eastAsia"/>
          <w:color w:val="000000"/>
          <w:highlight w:val="none"/>
        </w:rPr>
      </w:pPr>
      <w:r>
        <w:rPr>
          <w:rFonts w:hint="eastAsia"/>
          <w:color w:val="000000"/>
          <w:highlight w:val="none"/>
        </w:rPr>
        <w:t>增加第（5）条：</w:t>
      </w:r>
    </w:p>
    <w:p>
      <w:pPr>
        <w:tabs>
          <w:tab w:val="left" w:pos="3120"/>
        </w:tabs>
        <w:spacing w:line="360" w:lineRule="auto"/>
        <w:rPr>
          <w:rFonts w:hint="eastAsia"/>
          <w:color w:val="000000"/>
          <w:highlight w:val="none"/>
        </w:rPr>
      </w:pPr>
      <w:r>
        <w:rPr>
          <w:rFonts w:hint="eastAsia"/>
          <w:color w:val="000000"/>
          <w:highlight w:val="none"/>
        </w:rPr>
        <w:t>（5）宕渣按实际完成并经碾压后的工程量以m</w:t>
      </w:r>
      <w:r>
        <w:rPr>
          <w:rFonts w:hint="eastAsia"/>
          <w:color w:val="000000"/>
          <w:highlight w:val="none"/>
          <w:vertAlign w:val="superscript"/>
        </w:rPr>
        <w:t>3</w:t>
      </w:r>
      <w:r>
        <w:rPr>
          <w:rFonts w:hint="eastAsia"/>
          <w:color w:val="000000"/>
          <w:highlight w:val="none"/>
        </w:rPr>
        <w:t>计量。</w:t>
      </w:r>
    </w:p>
    <w:p>
      <w:pPr>
        <w:tabs>
          <w:tab w:val="left" w:pos="3120"/>
        </w:tabs>
        <w:spacing w:line="360" w:lineRule="auto"/>
        <w:rPr>
          <w:rFonts w:hint="eastAsia"/>
          <w:color w:val="000000"/>
          <w:highlight w:val="none"/>
        </w:rPr>
      </w:pPr>
      <w:r>
        <w:rPr>
          <w:rFonts w:hint="eastAsia"/>
          <w:color w:val="000000"/>
          <w:highlight w:val="none"/>
        </w:rPr>
        <w:t>3.支付子目</w:t>
      </w:r>
    </w:p>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0"/>
        <w:gridCol w:w="4946"/>
        <w:gridCol w:w="18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pPr>
              <w:spacing w:line="260" w:lineRule="exact"/>
              <w:jc w:val="center"/>
              <w:rPr>
                <w:rFonts w:hint="eastAsia"/>
                <w:color w:val="000000"/>
                <w:sz w:val="18"/>
                <w:szCs w:val="18"/>
                <w:highlight w:val="none"/>
              </w:rPr>
            </w:pPr>
            <w:r>
              <w:rPr>
                <w:rFonts w:hint="eastAsia"/>
                <w:color w:val="000000"/>
                <w:sz w:val="18"/>
                <w:szCs w:val="18"/>
                <w:highlight w:val="none"/>
              </w:rPr>
              <w:t>子目号</w:t>
            </w:r>
          </w:p>
        </w:tc>
        <w:tc>
          <w:tcPr>
            <w:tcW w:w="4946" w:type="dxa"/>
            <w:noWrap w:val="0"/>
            <w:vAlign w:val="center"/>
          </w:tcPr>
          <w:p>
            <w:pPr>
              <w:spacing w:line="260" w:lineRule="exact"/>
              <w:jc w:val="center"/>
              <w:rPr>
                <w:rFonts w:hint="eastAsia"/>
                <w:color w:val="000000"/>
                <w:sz w:val="18"/>
                <w:szCs w:val="18"/>
                <w:highlight w:val="none"/>
              </w:rPr>
            </w:pPr>
            <w:r>
              <w:rPr>
                <w:rFonts w:hint="eastAsia"/>
                <w:color w:val="000000"/>
                <w:sz w:val="18"/>
                <w:szCs w:val="18"/>
                <w:highlight w:val="none"/>
              </w:rPr>
              <w:t>子目名称</w:t>
            </w:r>
          </w:p>
        </w:tc>
        <w:tc>
          <w:tcPr>
            <w:tcW w:w="1879" w:type="dxa"/>
            <w:noWrap w:val="0"/>
            <w:vAlign w:val="center"/>
          </w:tcPr>
          <w:p>
            <w:pPr>
              <w:spacing w:line="260" w:lineRule="exact"/>
              <w:jc w:val="center"/>
              <w:rPr>
                <w:rFonts w:hint="eastAsia"/>
                <w:color w:val="000000"/>
                <w:sz w:val="18"/>
                <w:szCs w:val="18"/>
                <w:highlight w:val="none"/>
              </w:rPr>
            </w:pPr>
            <w:r>
              <w:rPr>
                <w:rFonts w:hint="eastAsia"/>
                <w:color w:val="000000"/>
                <w:sz w:val="18"/>
                <w:szCs w:val="18"/>
                <w:highlight w:val="none"/>
              </w:rPr>
              <w:t>单 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2030" w:type="dxa"/>
            <w:noWrap w:val="0"/>
            <w:vAlign w:val="center"/>
          </w:tcPr>
          <w:p>
            <w:pPr>
              <w:spacing w:line="26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202-8</w:t>
            </w:r>
          </w:p>
        </w:tc>
        <w:tc>
          <w:tcPr>
            <w:tcW w:w="4946" w:type="dxa"/>
            <w:noWrap w:val="0"/>
            <w:vAlign w:val="center"/>
          </w:tcPr>
          <w:p>
            <w:pPr>
              <w:spacing w:line="260" w:lineRule="exact"/>
              <w:ind w:left="105" w:leftChars="50"/>
              <w:rPr>
                <w:rFonts w:hint="eastAsia" w:ascii="宋体" w:hAnsi="宋体" w:cs="宋体"/>
                <w:color w:val="000000"/>
                <w:szCs w:val="21"/>
                <w:highlight w:val="none"/>
              </w:rPr>
            </w:pPr>
            <w:r>
              <w:rPr>
                <w:rFonts w:hint="eastAsia" w:ascii="宋体" w:hAnsi="宋体" w:cs="宋体"/>
                <w:color w:val="000000"/>
                <w:szCs w:val="21"/>
                <w:highlight w:val="none"/>
              </w:rPr>
              <w:t>宕渣</w:t>
            </w:r>
          </w:p>
        </w:tc>
        <w:tc>
          <w:tcPr>
            <w:tcW w:w="1879" w:type="dxa"/>
            <w:noWrap w:val="0"/>
            <w:vAlign w:val="center"/>
          </w:tcPr>
          <w:p>
            <w:pPr>
              <w:spacing w:line="260" w:lineRule="exact"/>
              <w:jc w:val="center"/>
              <w:rPr>
                <w:rFonts w:hint="eastAsia" w:ascii="宋体" w:hAnsi="宋体" w:cs="宋体"/>
                <w:color w:val="000000"/>
                <w:szCs w:val="21"/>
                <w:highlight w:val="none"/>
              </w:rPr>
            </w:pPr>
            <w:r>
              <w:rPr>
                <w:rFonts w:hint="eastAsia"/>
                <w:color w:val="000000"/>
                <w:highlight w:val="none"/>
              </w:rPr>
              <w:t>m3</w:t>
            </w:r>
          </w:p>
        </w:tc>
      </w:tr>
    </w:tbl>
    <w:p>
      <w:pPr>
        <w:tabs>
          <w:tab w:val="left" w:pos="3120"/>
        </w:tabs>
        <w:spacing w:line="360" w:lineRule="exact"/>
        <w:rPr>
          <w:rFonts w:hint="eastAsia"/>
          <w:color w:val="000000"/>
          <w:highlight w:val="none"/>
        </w:rPr>
      </w:pPr>
    </w:p>
    <w:p>
      <w:pPr>
        <w:jc w:val="center"/>
        <w:outlineLvl w:val="2"/>
        <w:rPr>
          <w:rFonts w:hint="eastAsia" w:ascii="方正姚体" w:eastAsia="方正姚体"/>
          <w:color w:val="000000"/>
          <w:sz w:val="32"/>
          <w:highlight w:val="none"/>
        </w:rPr>
      </w:pPr>
      <w:bookmarkStart w:id="153" w:name="_Toc87532000"/>
      <w:bookmarkStart w:id="154" w:name="_Toc435864344"/>
      <w:bookmarkStart w:id="155" w:name="_Toc496619706"/>
      <w:bookmarkStart w:id="156" w:name="_Toc394582544"/>
      <w:bookmarkStart w:id="157" w:name="_Toc496620405"/>
      <w:bookmarkStart w:id="158" w:name="_Toc28590"/>
      <w:r>
        <w:rPr>
          <w:rFonts w:hint="eastAsia" w:ascii="黑体" w:hAnsi="宋体" w:eastAsia="黑体"/>
          <w:color w:val="000000"/>
          <w:sz w:val="44"/>
          <w:highlight w:val="none"/>
        </w:rPr>
        <w:t>第</w:t>
      </w:r>
      <w:r>
        <w:rPr>
          <w:rFonts w:eastAsia="黑体"/>
          <w:color w:val="000000"/>
          <w:sz w:val="44"/>
          <w:highlight w:val="none"/>
        </w:rPr>
        <w:t>300</w:t>
      </w:r>
      <w:r>
        <w:rPr>
          <w:rFonts w:hint="eastAsia" w:ascii="黑体" w:hAnsi="宋体" w:eastAsia="黑体"/>
          <w:color w:val="000000"/>
          <w:sz w:val="44"/>
          <w:highlight w:val="none"/>
        </w:rPr>
        <w:t>章  路    面</w:t>
      </w:r>
      <w:bookmarkEnd w:id="153"/>
      <w:bookmarkEnd w:id="154"/>
      <w:bookmarkEnd w:id="155"/>
      <w:bookmarkEnd w:id="156"/>
      <w:bookmarkEnd w:id="157"/>
      <w:bookmarkEnd w:id="158"/>
    </w:p>
    <w:p>
      <w:pPr>
        <w:tabs>
          <w:tab w:val="left" w:pos="3120"/>
        </w:tabs>
        <w:jc w:val="center"/>
        <w:rPr>
          <w:rFonts w:hint="eastAsia" w:ascii="黑体" w:eastAsia="黑体"/>
          <w:color w:val="000000"/>
          <w:sz w:val="32"/>
          <w:highlight w:val="none"/>
        </w:rPr>
      </w:pPr>
    </w:p>
    <w:p>
      <w:pPr>
        <w:tabs>
          <w:tab w:val="left" w:pos="3120"/>
        </w:tabs>
        <w:jc w:val="center"/>
        <w:rPr>
          <w:rFonts w:hint="eastAsia" w:ascii="黑体" w:eastAsia="黑体"/>
          <w:color w:val="000000"/>
          <w:sz w:val="32"/>
          <w:highlight w:val="none"/>
        </w:rPr>
      </w:pPr>
      <w:r>
        <w:rPr>
          <w:rFonts w:hint="eastAsia" w:ascii="黑体" w:eastAsia="黑体"/>
          <w:color w:val="000000"/>
          <w:sz w:val="32"/>
          <w:highlight w:val="none"/>
        </w:rPr>
        <w:t>第</w:t>
      </w:r>
      <w:r>
        <w:rPr>
          <w:rFonts w:eastAsia="黑体"/>
          <w:color w:val="000000"/>
          <w:sz w:val="32"/>
          <w:highlight w:val="none"/>
        </w:rPr>
        <w:t>30</w:t>
      </w:r>
      <w:r>
        <w:rPr>
          <w:rFonts w:hint="eastAsia" w:eastAsia="黑体"/>
          <w:color w:val="000000"/>
          <w:sz w:val="32"/>
          <w:highlight w:val="none"/>
        </w:rPr>
        <w:t>2</w:t>
      </w:r>
      <w:r>
        <w:rPr>
          <w:rFonts w:hint="eastAsia" w:ascii="黑体" w:eastAsia="黑体"/>
          <w:color w:val="000000"/>
          <w:sz w:val="32"/>
          <w:highlight w:val="none"/>
        </w:rPr>
        <w:t>节  维  修</w:t>
      </w:r>
    </w:p>
    <w:p>
      <w:pPr>
        <w:spacing w:before="120" w:beforeLines="50" w:after="120" w:afterLines="50" w:line="360" w:lineRule="exact"/>
        <w:jc w:val="left"/>
        <w:rPr>
          <w:rFonts w:hint="eastAsia"/>
          <w:color w:val="000000"/>
          <w:sz w:val="28"/>
          <w:szCs w:val="28"/>
          <w:highlight w:val="none"/>
        </w:rPr>
      </w:pPr>
      <w:r>
        <w:rPr>
          <w:rFonts w:hint="eastAsia"/>
          <w:b/>
          <w:color w:val="000000"/>
          <w:sz w:val="28"/>
          <w:szCs w:val="28"/>
          <w:highlight w:val="none"/>
        </w:rPr>
        <w:t>302</w:t>
      </w:r>
      <w:r>
        <w:rPr>
          <w:b/>
          <w:color w:val="000000"/>
          <w:sz w:val="28"/>
          <w:szCs w:val="28"/>
          <w:highlight w:val="none"/>
        </w:rPr>
        <w:t>.0</w:t>
      </w:r>
      <w:r>
        <w:rPr>
          <w:rFonts w:hint="eastAsia"/>
          <w:b/>
          <w:color w:val="000000"/>
          <w:sz w:val="28"/>
          <w:szCs w:val="28"/>
          <w:highlight w:val="none"/>
        </w:rPr>
        <w:t>2</w:t>
      </w:r>
      <w:r>
        <w:rPr>
          <w:b/>
          <w:color w:val="000000"/>
          <w:sz w:val="28"/>
          <w:szCs w:val="28"/>
          <w:highlight w:val="none"/>
        </w:rPr>
        <w:t xml:space="preserve">  </w:t>
      </w:r>
      <w:r>
        <w:rPr>
          <w:rFonts w:hint="eastAsia" w:ascii="黑体" w:eastAsia="黑体"/>
          <w:color w:val="000000"/>
          <w:sz w:val="28"/>
          <w:szCs w:val="28"/>
          <w:highlight w:val="none"/>
        </w:rPr>
        <w:t>水泥混凝土路面病害的维修</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1．水泥混凝土路面的接缝应保持完好，表面平顺。保养及填缝料更换应符合下列要求：</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（1）填缝料凸出板面，高速公路、一级公路超出3mm，其它等级公路超过5mm时应铲平；</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（2）填缝料外溢流淌到接缝两侧面板，影响路面平整度和路容时应予清除；</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（3）杂物嵌入接缝时应予清除，若杂物系小石块及其它坚硬物时，应及时剔除。</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4）应对填缝料进行周期性或日常性的更换。更换周期一般为2～3年；如填缝料局部脱落时应进行灌缝填补；填缝料脱落缺失大于三分之一缝长或填缝料老化、接缝渗水严重时应立即进行整条接缝的填缝料更换，更换前应清除原接缝内的填缝料和杂物，新灌注填缝料时应做到饱满、密实、粘结牢固；</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（5）填缝料技术要求应符合《公路水泥混凝土路面养护技术规范》（JTJ 073.1-2001）附录A.2的规定。</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2．裂缝维修方法</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（1）对宽度小于3mm的轻微裂缝，可采取扩缝灌浆</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a．顺着裂缝扩宽成1.5～2.0cm的沟槽，槽深可根据裂缝深度确定，最大深度不得超过2/3板厚；</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b．清除混凝土碎屑，吹净灰尘后，填入粒径0.3～0.6cm的清洁石屑；</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c．根据选用的灌缝材料，按《公路水泥混凝土路面养护技术规范》（JTJ 073.1-2001）附录A规定进行配比，混合均匀后，灌入扩缝内。</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d．灌缝材料固化后，达到通车强度，即可开放交通。</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（2）对贯穿全厚的大于3mm小于15mm的中等裂缝，可采取条带罩面进行补缝</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a．在裂缝两侧切缝时，应平行于缩缝，且距裂缝距离不小于15cm（见图302-1-a）；</w:t>
      </w:r>
    </w:p>
    <w:p>
      <w:pPr>
        <w:jc w:val="center"/>
        <w:rPr>
          <w:rFonts w:ascii="宋体" w:hAnsi="宋体"/>
          <w:color w:val="000000"/>
          <w:szCs w:val="21"/>
          <w:highlight w:val="none"/>
        </w:rPr>
      </w:pPr>
      <w:r>
        <w:rPr>
          <w:rFonts w:ascii="宋体" w:hAnsi="宋体"/>
          <w:color w:val="000000"/>
          <w:szCs w:val="21"/>
          <w:highlight w:val="none"/>
        </w:rPr>
        <w:drawing>
          <wp:inline distT="0" distB="0" distL="114300" distR="114300">
            <wp:extent cx="3637915" cy="1504315"/>
            <wp:effectExtent l="0" t="0" r="635"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3637915" cy="1504315"/>
                    </a:xfrm>
                    <a:prstGeom prst="rect">
                      <a:avLst/>
                    </a:prstGeom>
                    <a:noFill/>
                    <a:ln>
                      <a:noFill/>
                    </a:ln>
                  </pic:spPr>
                </pic:pic>
              </a:graphicData>
            </a:graphic>
          </wp:inline>
        </w:drawing>
      </w:r>
    </w:p>
    <w:p>
      <w:pPr>
        <w:spacing w:line="360" w:lineRule="exact"/>
        <w:ind w:firstLine="2835" w:firstLineChars="1350"/>
        <w:jc w:val="left"/>
        <w:rPr>
          <w:rFonts w:hint="eastAsia" w:ascii="宋体" w:hAnsi="宋体"/>
          <w:color w:val="000000"/>
          <w:szCs w:val="21"/>
          <w:highlight w:val="none"/>
        </w:rPr>
      </w:pPr>
      <w:r>
        <w:rPr>
          <w:rFonts w:hint="eastAsia" w:ascii="宋体" w:hAnsi="宋体"/>
          <w:color w:val="000000"/>
          <w:szCs w:val="21"/>
          <w:highlight w:val="none"/>
        </w:rPr>
        <w:t>（</w:t>
      </w:r>
      <w:r>
        <w:rPr>
          <w:rFonts w:ascii="宋体" w:hAnsi="宋体"/>
          <w:color w:val="000000"/>
          <w:szCs w:val="21"/>
          <w:highlight w:val="none"/>
        </w:rPr>
        <w:t>a</w:t>
      </w:r>
      <w:r>
        <w:rPr>
          <w:rFonts w:hint="eastAsia" w:ascii="宋体" w:hAnsi="宋体"/>
          <w:color w:val="000000"/>
          <w:szCs w:val="21"/>
          <w:highlight w:val="none"/>
        </w:rPr>
        <w:t>）                           （</w:t>
      </w:r>
      <w:r>
        <w:rPr>
          <w:rFonts w:ascii="宋体" w:hAnsi="宋体"/>
          <w:color w:val="000000"/>
          <w:szCs w:val="21"/>
          <w:highlight w:val="none"/>
        </w:rPr>
        <w:t>b</w:t>
      </w:r>
      <w:r>
        <w:rPr>
          <w:rFonts w:hint="eastAsia" w:ascii="宋体" w:hAnsi="宋体"/>
          <w:color w:val="000000"/>
          <w:szCs w:val="21"/>
          <w:highlight w:val="none"/>
        </w:rPr>
        <w:t>）</w:t>
      </w:r>
    </w:p>
    <w:p>
      <w:pPr>
        <w:spacing w:after="120" w:afterLines="50" w:line="360" w:lineRule="exact"/>
        <w:ind w:firstLine="2835" w:firstLineChars="1350"/>
        <w:jc w:val="left"/>
        <w:rPr>
          <w:rFonts w:hint="eastAsia" w:ascii="宋体" w:hAnsi="宋体"/>
          <w:color w:val="000000"/>
          <w:szCs w:val="21"/>
          <w:highlight w:val="none"/>
        </w:rPr>
      </w:pPr>
      <w:r>
        <w:rPr>
          <w:rFonts w:hint="eastAsia" w:ascii="宋体" w:hAnsi="宋体"/>
          <w:color w:val="000000"/>
          <w:szCs w:val="21"/>
          <w:highlight w:val="none"/>
        </w:rPr>
        <w:t>图302-1    条带补缝（单位：</w:t>
      </w:r>
      <w:r>
        <w:rPr>
          <w:rFonts w:ascii="宋体" w:hAnsi="宋体"/>
          <w:color w:val="000000"/>
          <w:szCs w:val="21"/>
          <w:highlight w:val="none"/>
        </w:rPr>
        <w:t>mm</w:t>
      </w:r>
      <w:r>
        <w:rPr>
          <w:rFonts w:hint="eastAsia" w:ascii="宋体" w:hAnsi="宋体"/>
          <w:color w:val="000000"/>
          <w:szCs w:val="21"/>
          <w:highlight w:val="none"/>
        </w:rPr>
        <w:t>）</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b．凿除两横缝内混凝土的深度以7cm为宜；</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c．每间隔50cm打一对钯钉孔，钯钉孔的大小应略大于钯钉直径2～4mm。并在两钯钉孔之间打一对与钯钉孔直径相一致的钯钉槽；</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d．钯钉宜采用</w:t>
      </w:r>
      <w:r>
        <w:rPr>
          <w:rFonts w:ascii="宋体" w:hAnsi="宋体"/>
          <w:i/>
          <w:color w:val="000000"/>
          <w:szCs w:val="21"/>
          <w:highlight w:val="none"/>
        </w:rPr>
        <w:t>φ</w:t>
      </w:r>
      <w:r>
        <w:rPr>
          <w:rFonts w:ascii="宋体" w:hAnsi="宋体"/>
          <w:color w:val="000000"/>
          <w:szCs w:val="21"/>
          <w:highlight w:val="none"/>
        </w:rPr>
        <w:t>16螺纹钢筋，使用前应予以除锈。钯钉长度不小于20cm，弯钩长度为7cm；</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e．钯钉孔必须填满砂浆，方可将钯钉插入孔内安装；</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f．切割的缝内壁应凿毛，并清除松动的混凝土碎块及表面尘土、裸石；</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g．浇筑混凝土应及时振捣密实、抹平，并喷洒养护剂；</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h．修补块面板两侧，应加深缩缝，并灌注填缝料（见图302-1-b）。</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（3）对宽度大于15mm的严重裂缝可采用全深度补块。</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全深度补块可采用分集料嵌锁法、刨挖法、设置传力杆法。</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a．集料嵌锁法</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① 在修补的混凝土路面位置上，平行于缩缝划线，沿划线位置进行全深度切割。在保留板块边部，沿内侧4cm位置，锯5cm深的缝，全深锯口和半深锯口之间的4cm宽条混凝土垂直面应凿成毛面。见图302-2。</w:t>
      </w:r>
    </w:p>
    <w:p>
      <w:pPr>
        <w:jc w:val="center"/>
        <w:rPr>
          <w:rFonts w:ascii="宋体" w:hAnsi="宋体"/>
          <w:color w:val="000000"/>
          <w:szCs w:val="21"/>
          <w:highlight w:val="none"/>
        </w:rPr>
      </w:pPr>
      <w:r>
        <w:rPr>
          <w:rFonts w:ascii="宋体" w:hAnsi="宋体"/>
          <w:color w:val="000000"/>
          <w:szCs w:val="21"/>
          <w:highlight w:val="none"/>
        </w:rPr>
        <w:drawing>
          <wp:inline distT="0" distB="0" distL="114300" distR="114300">
            <wp:extent cx="4464685" cy="1336040"/>
            <wp:effectExtent l="0" t="0" r="12065" b="165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a:lum contrast="12000"/>
                    </a:blip>
                    <a:srcRect l="23869" t="83881" r="22009" b="3947"/>
                    <a:stretch>
                      <a:fillRect/>
                    </a:stretch>
                  </pic:blipFill>
                  <pic:spPr>
                    <a:xfrm>
                      <a:off x="0" y="0"/>
                      <a:ext cx="4464685" cy="1336040"/>
                    </a:xfrm>
                    <a:prstGeom prst="rect">
                      <a:avLst/>
                    </a:prstGeom>
                    <a:noFill/>
                    <a:ln>
                      <a:noFill/>
                    </a:ln>
                  </pic:spPr>
                </pic:pic>
              </a:graphicData>
            </a:graphic>
          </wp:inline>
        </w:drawing>
      </w:r>
    </w:p>
    <w:p>
      <w:pPr>
        <w:spacing w:after="120" w:afterLines="50" w:line="360" w:lineRule="exact"/>
        <w:ind w:firstLine="420" w:firstLineChars="200"/>
        <w:jc w:val="center"/>
        <w:rPr>
          <w:rFonts w:hint="eastAsia" w:ascii="宋体" w:hAnsi="宋体"/>
          <w:color w:val="000000"/>
          <w:szCs w:val="21"/>
          <w:highlight w:val="none"/>
        </w:rPr>
      </w:pPr>
      <w:r>
        <w:rPr>
          <w:rFonts w:hint="eastAsia" w:ascii="宋体" w:hAnsi="宋体"/>
          <w:color w:val="000000"/>
          <w:szCs w:val="21"/>
          <w:highlight w:val="none"/>
        </w:rPr>
        <w:t>图302-2    集料嵌锁法（单位：</w:t>
      </w:r>
      <w:r>
        <w:rPr>
          <w:rFonts w:ascii="宋体" w:hAnsi="宋体"/>
          <w:color w:val="000000"/>
          <w:szCs w:val="21"/>
          <w:highlight w:val="none"/>
        </w:rPr>
        <w:t>cm</w:t>
      </w:r>
      <w:r>
        <w:rPr>
          <w:rFonts w:hint="eastAsia" w:ascii="宋体" w:hAnsi="宋体"/>
          <w:color w:val="000000"/>
          <w:szCs w:val="21"/>
          <w:highlight w:val="none"/>
        </w:rPr>
        <w:t>）</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② 破碎、清查旧混凝土过程中不得伤及基层、相邻面板和路肩。若破除的旧混凝土面积当天完不成混凝土浇筑时，其补块位置应作临时补块；</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③ 处理基层时，基层强度符合规范要求，应整平基层；基层强度低于规范要求，应予以补强，并严格整平；若基层全部损坏或松软，应按原设计基层材料重作基层，其技术要求应符合现行《公路路面基层施工技术规范》（JTJ 034-2000）的规定；</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④ 混凝土配合比应根据设计弯拉强度、耐久性、耐磨性、和易性等要求，先用原材料进行配合比设计，各种材料的物理性能及化学成分应符合现行《公路水泥混凝土路面设计规范》（JTG D40-2003）规定；</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⑤ 用水量应控制在混合料运到工地最佳和易性所需要的最小值，最大水灰比为0.4。如采用jk系列混凝土快速修补材料，水灰比以0.30～0.40为宜，坍落度宜控制在2cm内。混凝土24h弯拉强度应不低于3.0MPa；</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⑥ 混凝土摊铺应在混凝土拌和后30～40min内卸到补块区内，并振捣密实；</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⑦ 浇筑的混凝土面层应与相邻路面的横断面吻合，其表面平整度应符合现行《公路工程质量检验评定标准 第一册 土建工程》（JTG F80/1-2004）规定，补块的表面纹理应与原路面吻合；</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⑧ 补块养生宜采用养护剂，其用量根据养护材料性能确定；</w:t>
      </w:r>
    </w:p>
    <w:p>
      <w:pPr>
        <w:jc w:val="center"/>
        <w:rPr>
          <w:rFonts w:ascii="宋体" w:hAnsi="宋体"/>
          <w:color w:val="000000"/>
          <w:szCs w:val="21"/>
          <w:highlight w:val="none"/>
        </w:rPr>
      </w:pPr>
      <w:r>
        <w:rPr>
          <w:rFonts w:ascii="宋体" w:hAnsi="宋体"/>
          <w:color w:val="000000"/>
          <w:szCs w:val="21"/>
          <w:highlight w:val="none"/>
        </w:rPr>
        <w:drawing>
          <wp:inline distT="0" distB="0" distL="114300" distR="114300">
            <wp:extent cx="4733290" cy="1973580"/>
            <wp:effectExtent l="0" t="0" r="10160"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4733290" cy="1973580"/>
                    </a:xfrm>
                    <a:prstGeom prst="rect">
                      <a:avLst/>
                    </a:prstGeom>
                    <a:noFill/>
                    <a:ln>
                      <a:noFill/>
                    </a:ln>
                  </pic:spPr>
                </pic:pic>
              </a:graphicData>
            </a:graphic>
          </wp:inline>
        </w:drawing>
      </w:r>
    </w:p>
    <w:p>
      <w:pPr>
        <w:spacing w:after="120" w:afterLines="50" w:line="360" w:lineRule="exact"/>
        <w:ind w:firstLine="420" w:firstLineChars="200"/>
        <w:jc w:val="center"/>
        <w:rPr>
          <w:rFonts w:hint="eastAsia" w:ascii="宋体" w:hAnsi="宋体"/>
          <w:color w:val="000000"/>
          <w:szCs w:val="21"/>
          <w:highlight w:val="none"/>
        </w:rPr>
      </w:pPr>
      <w:r>
        <w:rPr>
          <w:rFonts w:hint="eastAsia" w:ascii="宋体" w:hAnsi="宋体"/>
          <w:color w:val="000000"/>
          <w:szCs w:val="21"/>
          <w:highlight w:val="none"/>
        </w:rPr>
        <w:t>图302-3   刨挖法（单位：</w:t>
      </w:r>
      <w:r>
        <w:rPr>
          <w:rFonts w:ascii="宋体" w:hAnsi="宋体"/>
          <w:color w:val="000000"/>
          <w:szCs w:val="21"/>
          <w:highlight w:val="none"/>
        </w:rPr>
        <w:t>cm</w:t>
      </w:r>
      <w:r>
        <w:rPr>
          <w:rFonts w:hint="eastAsia" w:ascii="宋体" w:hAnsi="宋体"/>
          <w:color w:val="000000"/>
          <w:szCs w:val="21"/>
          <w:highlight w:val="none"/>
        </w:rPr>
        <w:t>）</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⑨ 做接缝时，将板中间的各缩缝锯切到1/4板厚处，将接缝材料填入缩缝内；</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⑩ 混凝土达到通车强度后，即可开放交通。</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b．刨挖法亦称倒T形法（见图302-3）</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① </w:t>
      </w:r>
      <w:r>
        <w:rPr>
          <w:rFonts w:hint="eastAsia" w:ascii="宋体" w:hAnsi="宋体"/>
          <w:color w:val="000000"/>
          <w:szCs w:val="21"/>
          <w:highlight w:val="none"/>
        </w:rPr>
        <w:t>施工要求按本规范302.02-2（3）项执行。</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② </w:t>
      </w:r>
      <w:r>
        <w:rPr>
          <w:rFonts w:hint="eastAsia" w:ascii="宋体" w:hAnsi="宋体"/>
          <w:color w:val="000000"/>
          <w:szCs w:val="21"/>
          <w:highlight w:val="none"/>
        </w:rPr>
        <w:t>在相邻板块横边的下方暗挖15</w:t>
      </w:r>
      <w:r>
        <w:rPr>
          <w:rFonts w:ascii="宋体" w:hAnsi="宋体"/>
          <w:color w:val="000000"/>
          <w:szCs w:val="21"/>
          <w:highlight w:val="none"/>
        </w:rPr>
        <w:t>cm</w:t>
      </w:r>
      <w:r>
        <w:rPr>
          <w:rFonts w:hint="eastAsia" w:ascii="宋体" w:hAnsi="宋体"/>
          <w:color w:val="000000"/>
          <w:szCs w:val="21"/>
          <w:highlight w:val="none"/>
        </w:rPr>
        <w:t>×</w:t>
      </w:r>
      <w:r>
        <w:rPr>
          <w:rFonts w:ascii="宋体" w:hAnsi="宋体"/>
          <w:color w:val="000000"/>
          <w:szCs w:val="21"/>
          <w:highlight w:val="none"/>
        </w:rPr>
        <w:t>15cm</w:t>
      </w:r>
      <w:r>
        <w:rPr>
          <w:rFonts w:hint="eastAsia" w:ascii="宋体" w:hAnsi="宋体"/>
          <w:color w:val="000000"/>
          <w:szCs w:val="21"/>
          <w:highlight w:val="none"/>
        </w:rPr>
        <w:t>的一块面积用于荷载传递；</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c</w:t>
      </w:r>
      <w:r>
        <w:rPr>
          <w:rFonts w:hint="eastAsia" w:ascii="宋体" w:hAnsi="宋体"/>
          <w:color w:val="000000"/>
          <w:szCs w:val="21"/>
          <w:highlight w:val="none"/>
        </w:rPr>
        <w:t>．设置传力杆法</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① </w:t>
      </w:r>
      <w:r>
        <w:rPr>
          <w:rFonts w:hint="eastAsia" w:ascii="宋体" w:hAnsi="宋体"/>
          <w:color w:val="000000"/>
          <w:szCs w:val="21"/>
          <w:highlight w:val="none"/>
        </w:rPr>
        <w:t>设置传力杆法，见图302-4。施工要求按本规范302.02-2（3）</w:t>
      </w:r>
      <w:r>
        <w:rPr>
          <w:rFonts w:ascii="宋体" w:hAnsi="宋体"/>
          <w:color w:val="000000"/>
          <w:szCs w:val="21"/>
          <w:highlight w:val="none"/>
        </w:rPr>
        <w:t>a</w:t>
      </w:r>
      <w:r>
        <w:rPr>
          <w:rFonts w:hint="eastAsia" w:ascii="宋体" w:hAnsi="宋体"/>
          <w:color w:val="000000"/>
          <w:szCs w:val="21"/>
          <w:highlight w:val="none"/>
        </w:rPr>
        <w:t>项执行。</w:t>
      </w:r>
    </w:p>
    <w:p>
      <w:pPr>
        <w:jc w:val="center"/>
        <w:rPr>
          <w:rFonts w:ascii="宋体" w:hAnsi="宋体"/>
          <w:color w:val="000000"/>
          <w:szCs w:val="21"/>
          <w:highlight w:val="none"/>
        </w:rPr>
      </w:pPr>
      <w:r>
        <w:rPr>
          <w:rFonts w:ascii="宋体" w:hAnsi="宋体"/>
          <w:color w:val="000000"/>
          <w:szCs w:val="21"/>
          <w:highlight w:val="none"/>
        </w:rPr>
        <w:drawing>
          <wp:inline distT="0" distB="0" distL="114300" distR="114300">
            <wp:extent cx="5264785" cy="1273175"/>
            <wp:effectExtent l="0" t="0" r="12065"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rcRect b="28889"/>
                    <a:stretch>
                      <a:fillRect/>
                    </a:stretch>
                  </pic:blipFill>
                  <pic:spPr>
                    <a:xfrm>
                      <a:off x="0" y="0"/>
                      <a:ext cx="5264785" cy="1273175"/>
                    </a:xfrm>
                    <a:prstGeom prst="rect">
                      <a:avLst/>
                    </a:prstGeom>
                    <a:noFill/>
                    <a:ln>
                      <a:noFill/>
                    </a:ln>
                  </pic:spPr>
                </pic:pic>
              </a:graphicData>
            </a:graphic>
          </wp:inline>
        </w:drawing>
      </w:r>
    </w:p>
    <w:p>
      <w:pPr>
        <w:spacing w:after="120" w:afterLines="50" w:line="360" w:lineRule="exact"/>
        <w:ind w:firstLine="420" w:firstLineChars="200"/>
        <w:jc w:val="center"/>
        <w:rPr>
          <w:rFonts w:hint="eastAsia" w:ascii="宋体" w:hAnsi="宋体"/>
          <w:color w:val="000000"/>
          <w:szCs w:val="21"/>
          <w:highlight w:val="none"/>
        </w:rPr>
      </w:pPr>
      <w:r>
        <w:rPr>
          <w:rFonts w:hint="eastAsia" w:ascii="宋体" w:hAnsi="宋体"/>
          <w:color w:val="000000"/>
          <w:szCs w:val="21"/>
          <w:highlight w:val="none"/>
        </w:rPr>
        <w:t>图302-4   设置传力杆法（单位：</w:t>
      </w:r>
      <w:r>
        <w:rPr>
          <w:rFonts w:ascii="宋体" w:hAnsi="宋体"/>
          <w:color w:val="000000"/>
          <w:szCs w:val="21"/>
          <w:highlight w:val="none"/>
        </w:rPr>
        <w:t>cm</w:t>
      </w:r>
      <w:r>
        <w:rPr>
          <w:rFonts w:hint="eastAsia" w:ascii="宋体" w:hAnsi="宋体"/>
          <w:color w:val="000000"/>
          <w:szCs w:val="21"/>
          <w:highlight w:val="none"/>
        </w:rPr>
        <w:t>）</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② 处理基层后，应修复、安设传力杆和拉杆。</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③ 原混凝土面板没有传力杆或拉杆折断时，应用与原规格相同的钢筋焊接或重新安设。安装时应在板厚1/2处钻出比传力杆直径大约2～4mm的孔，孔中心距30cm，其误差不应超过3mm。</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④ 横向施工缝传力杆直径为</w:t>
      </w:r>
      <w:r>
        <w:rPr>
          <w:rFonts w:ascii="宋体" w:hAnsi="宋体"/>
          <w:i/>
          <w:color w:val="000000"/>
          <w:szCs w:val="21"/>
          <w:highlight w:val="none"/>
        </w:rPr>
        <w:t>φ</w:t>
      </w:r>
      <w:r>
        <w:rPr>
          <w:rFonts w:ascii="宋体" w:hAnsi="宋体"/>
          <w:color w:val="000000"/>
          <w:szCs w:val="21"/>
          <w:highlight w:val="none"/>
        </w:rPr>
        <w:t>25mm，长度为45cm，嵌入相邻保留板内深22.5cm。</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⑤ 拉杆孔直径宜比拉杆直径大2～4mm，并应沿相邻板块间的纵向接缝板厚1/2处钻孔，中心距80cm。拉杆采用</w:t>
      </w:r>
      <w:r>
        <w:rPr>
          <w:rFonts w:ascii="宋体" w:hAnsi="宋体"/>
          <w:i/>
          <w:color w:val="000000"/>
          <w:szCs w:val="21"/>
          <w:highlight w:val="none"/>
        </w:rPr>
        <w:t>φ</w:t>
      </w:r>
      <w:r>
        <w:rPr>
          <w:rFonts w:ascii="宋体" w:hAnsi="宋体"/>
          <w:color w:val="000000"/>
          <w:szCs w:val="21"/>
          <w:highlight w:val="none"/>
        </w:rPr>
        <w:t>16螺纹钢筋，长80cm，40cm嵌入相邻车道的板内。</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⑥ 传力杆和拉杆宜用环氧砂浆牢牢地固定在规定位置，摊铺混凝土前，光圆传力杆的伸出端应涂少许润滑油。</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⑦ 新补板块与沥青路肩相接时，应和现有路肩齐平。</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⑧ 传力杆若安装倾斜或松动失效，应予以更换。</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3．板边、板角修补</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（1）板边修补基本要求：</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a．当对水泥混凝土面板轻度剥落进行修补时，应将剥落的表面清理干净，用沥青混合料或接缝材料修补平整。</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b．当板边严重剥落时，其修补方法参照本规范第302.02-2（2）项进行。</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c．当板边全深度破碎，其修补方法参照本规范第302.02-2（3）项进行。</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（2）板边修补基本要求：</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a．板角断裂应按破裂面的大小确定切割范围。</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b．切缝后凿除破损部位时，应凿成规则的垂直面。对原有钢筋不应切断，如果钢筋难以全部保留，至少也要保留20～30cm长的钢筋头，且应长短交错。</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c．原有活动传力杆，如果有缺陷应予以更换并在新老混凝土之间加设传力杆，传力杆间距控制在30cm。</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d．基层不良时，可采用C15号混凝土浇筑基层。</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e．与原有路面板的接缝面应涂刷沥青。如为胀缝，应设置接缝板。</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f．现浇混凝土，与老混凝土面板之间的接缝应切出宽3mm深4mm的接缝槽，并灌入填缝材料。</w:t>
      </w:r>
    </w:p>
    <w:p>
      <w:pPr>
        <w:spacing w:line="360" w:lineRule="exact"/>
        <w:ind w:firstLine="420" w:firstLineChars="200"/>
        <w:jc w:val="left"/>
        <w:rPr>
          <w:rFonts w:ascii="宋体" w:hAnsi="宋体"/>
          <w:color w:val="000000"/>
          <w:szCs w:val="21"/>
          <w:highlight w:val="none"/>
        </w:rPr>
      </w:pPr>
      <w:bookmarkStart w:id="159" w:name="_Toc18482"/>
      <w:bookmarkStart w:id="160" w:name="_Toc465179175"/>
      <w:bookmarkStart w:id="161" w:name="_Toc435864345"/>
      <w:bookmarkStart w:id="162" w:name="_Toc465178814"/>
      <w:bookmarkStart w:id="163" w:name="_Toc465178094"/>
      <w:r>
        <w:rPr>
          <w:rFonts w:ascii="宋体" w:hAnsi="宋体"/>
          <w:color w:val="000000"/>
          <w:szCs w:val="21"/>
          <w:highlight w:val="none"/>
        </w:rPr>
        <w:t>4．唧泥处理</w:t>
      </w:r>
      <w:bookmarkEnd w:id="159"/>
      <w:bookmarkEnd w:id="160"/>
      <w:bookmarkEnd w:id="161"/>
      <w:bookmarkEnd w:id="162"/>
      <w:bookmarkEnd w:id="163"/>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（1）水泥混凝土路面唧泥病害，应结合大中修工程采取压浆办法进行处治。</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（2）水泥混凝土路面板进行压浆处理后，应对接缝及时灌缝，其要求按本规范第203.01款执行。</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（3）设置排水设施基本要求：</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a．路面和路肩应该保持设计横坡，宜铺设硬路肩；</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b．路面裂缝、接缝以及路面与硬路肩接缝应进行密封；</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c．设置纵向积水管和横向出水管。</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① 在水泥路面的外侧边缘挖一条纵向沟，宽约15～25cm，沟深挖至集料基层之下15cm，横沟与纵沟的交角应在45～90°之间，横沟间的距离约30m，见图302-6。</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② 积水管一般采用</w:t>
      </w:r>
      <w:r>
        <w:rPr>
          <w:rFonts w:hint="eastAsia" w:ascii="宋体" w:hAnsi="宋体"/>
          <w:color w:val="000000"/>
          <w:szCs w:val="21"/>
          <w:highlight w:val="none"/>
        </w:rPr>
        <w:t>φ</w:t>
      </w:r>
      <w:r>
        <w:rPr>
          <w:rFonts w:ascii="宋体" w:hAnsi="宋体"/>
          <w:color w:val="000000"/>
          <w:szCs w:val="21"/>
          <w:highlight w:val="none"/>
        </w:rPr>
        <w:t>7.5cm多孔塑料管，出水管为无孔塑料管；</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③ 设置纵向和横向水管，并按设计的距离将积水管和出水管连接起来；</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④ 纵向多孔管应包一层渗透性较强的土工织物；</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⑤ 积水管和出水管放入沟槽时，其底部应平顺，横向出水管的坡度应大于或等于纵向排水坡度，出水管的管端应延伸到排水沟内，并设端墙；</w:t>
      </w:r>
    </w:p>
    <w:p>
      <w:pPr>
        <w:jc w:val="center"/>
        <w:rPr>
          <w:rFonts w:ascii="宋体" w:hAnsi="宋体"/>
          <w:color w:val="000000"/>
          <w:szCs w:val="21"/>
          <w:highlight w:val="none"/>
        </w:rPr>
      </w:pPr>
      <w:r>
        <w:rPr>
          <w:rFonts w:ascii="宋体" w:hAnsi="宋体"/>
          <w:color w:val="000000"/>
          <w:szCs w:val="21"/>
          <w:highlight w:val="none"/>
        </w:rPr>
        <w:drawing>
          <wp:inline distT="0" distB="0" distL="114300" distR="114300">
            <wp:extent cx="3413125" cy="2422525"/>
            <wp:effectExtent l="0" t="0" r="1587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rcRect b="6314"/>
                    <a:stretch>
                      <a:fillRect/>
                    </a:stretch>
                  </pic:blipFill>
                  <pic:spPr>
                    <a:xfrm>
                      <a:off x="0" y="0"/>
                      <a:ext cx="3413125" cy="2422525"/>
                    </a:xfrm>
                    <a:prstGeom prst="rect">
                      <a:avLst/>
                    </a:prstGeom>
                    <a:noFill/>
                    <a:ln>
                      <a:noFill/>
                    </a:ln>
                  </pic:spPr>
                </pic:pic>
              </a:graphicData>
            </a:graphic>
          </wp:inline>
        </w:drawing>
      </w:r>
    </w:p>
    <w:p>
      <w:pPr>
        <w:spacing w:after="120" w:afterLines="50" w:line="360" w:lineRule="exact"/>
        <w:jc w:val="center"/>
        <w:rPr>
          <w:rFonts w:hint="eastAsia" w:ascii="宋体" w:hAnsi="宋体"/>
          <w:color w:val="000000"/>
          <w:szCs w:val="21"/>
          <w:highlight w:val="none"/>
        </w:rPr>
      </w:pPr>
      <w:r>
        <w:rPr>
          <w:rFonts w:hint="eastAsia" w:ascii="宋体" w:hAnsi="宋体"/>
          <w:color w:val="000000"/>
          <w:szCs w:val="21"/>
          <w:highlight w:val="none"/>
        </w:rPr>
        <w:t>图302-6   边部排水管布置图（单位：cm）</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⑥ </w:t>
      </w:r>
      <w:r>
        <w:rPr>
          <w:rFonts w:hint="eastAsia" w:ascii="宋体" w:hAnsi="宋体"/>
          <w:color w:val="000000"/>
          <w:szCs w:val="21"/>
          <w:highlight w:val="none"/>
        </w:rPr>
        <w:t>管的外围应填放粗砂等渗滤集料，并振动压实；</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⑦ </w:t>
      </w:r>
      <w:r>
        <w:rPr>
          <w:rFonts w:hint="eastAsia" w:ascii="宋体" w:hAnsi="宋体"/>
          <w:color w:val="000000"/>
          <w:szCs w:val="21"/>
          <w:highlight w:val="none"/>
        </w:rPr>
        <w:t>回填沟槽时，应采用与原路肩相同的材料恢复原状。</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d</w:t>
      </w:r>
      <w:r>
        <w:rPr>
          <w:rFonts w:hint="eastAsia" w:ascii="宋体" w:hAnsi="宋体"/>
          <w:color w:val="000000"/>
          <w:szCs w:val="21"/>
          <w:highlight w:val="none"/>
        </w:rPr>
        <w:t>．盲沟设置基本要求</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① </w:t>
      </w:r>
      <w:r>
        <w:rPr>
          <w:rFonts w:hint="eastAsia" w:ascii="宋体" w:hAnsi="宋体"/>
          <w:color w:val="000000"/>
          <w:szCs w:val="21"/>
          <w:highlight w:val="none"/>
        </w:rPr>
        <w:t>在沿水泥路面外侧挖纵向沟时，沟底应低于面板以下1</w:t>
      </w:r>
      <w:r>
        <w:rPr>
          <w:rFonts w:ascii="宋体" w:hAnsi="宋体"/>
          <w:color w:val="000000"/>
          <w:szCs w:val="21"/>
          <w:highlight w:val="none"/>
        </w:rPr>
        <w:t>0cm</w:t>
      </w:r>
      <w:r>
        <w:rPr>
          <w:rFonts w:hint="eastAsia" w:ascii="宋体" w:hAnsi="宋体"/>
          <w:color w:val="000000"/>
          <w:szCs w:val="21"/>
          <w:highlight w:val="none"/>
        </w:rPr>
        <w:t>，在水泥路面接缝处挖横向沟，见图302-7</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② </w:t>
      </w:r>
      <w:r>
        <w:rPr>
          <w:rFonts w:hint="eastAsia" w:ascii="宋体" w:hAnsi="宋体"/>
          <w:color w:val="000000"/>
          <w:szCs w:val="21"/>
          <w:highlight w:val="none"/>
        </w:rPr>
        <w:t>沟槽底面及外侧铺油毡隔离层，沿水泥路面交界处及盲沟顶部铺设土工布过滤层；</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③ </w:t>
      </w:r>
      <w:r>
        <w:rPr>
          <w:rFonts w:hint="eastAsia" w:ascii="宋体" w:hAnsi="宋体"/>
          <w:color w:val="000000"/>
          <w:szCs w:val="21"/>
          <w:highlight w:val="none"/>
        </w:rPr>
        <w:t>盲沟内宜填筑碎（砾）石过滤材料；</w:t>
      </w:r>
    </w:p>
    <w:p>
      <w:pPr>
        <w:jc w:val="center"/>
        <w:rPr>
          <w:rFonts w:ascii="宋体" w:hAnsi="宋体"/>
          <w:color w:val="000000"/>
          <w:szCs w:val="21"/>
          <w:highlight w:val="none"/>
        </w:rPr>
      </w:pPr>
      <w:r>
        <w:rPr>
          <w:rFonts w:ascii="宋体" w:hAnsi="宋体"/>
          <w:color w:val="000000"/>
          <w:szCs w:val="21"/>
          <w:highlight w:val="none"/>
        </w:rPr>
        <w:drawing>
          <wp:inline distT="0" distB="0" distL="114300" distR="114300">
            <wp:extent cx="4683125" cy="1753870"/>
            <wp:effectExtent l="0" t="0" r="3175" b="177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lum contrast="12000"/>
                    </a:blip>
                    <a:srcRect l="19963" t="79974" r="13493"/>
                    <a:stretch>
                      <a:fillRect/>
                    </a:stretch>
                  </pic:blipFill>
                  <pic:spPr>
                    <a:xfrm>
                      <a:off x="0" y="0"/>
                      <a:ext cx="4683125" cy="1753870"/>
                    </a:xfrm>
                    <a:prstGeom prst="rect">
                      <a:avLst/>
                    </a:prstGeom>
                    <a:noFill/>
                    <a:ln>
                      <a:noFill/>
                    </a:ln>
                  </pic:spPr>
                </pic:pic>
              </a:graphicData>
            </a:graphic>
          </wp:inline>
        </w:drawing>
      </w:r>
    </w:p>
    <w:p>
      <w:pPr>
        <w:spacing w:line="200" w:lineRule="exact"/>
        <w:ind w:firstLine="2415" w:firstLineChars="1150"/>
        <w:jc w:val="left"/>
        <w:rPr>
          <w:rFonts w:hint="eastAsia" w:ascii="宋体" w:hAnsi="宋体"/>
          <w:color w:val="000000"/>
          <w:szCs w:val="21"/>
          <w:highlight w:val="none"/>
        </w:rPr>
      </w:pPr>
      <w:r>
        <w:rPr>
          <w:rFonts w:hint="eastAsia" w:ascii="宋体" w:hAnsi="宋体"/>
          <w:color w:val="000000"/>
          <w:szCs w:val="21"/>
          <w:highlight w:val="none"/>
        </w:rPr>
        <w:t>盲沟布置图                             盲沟构造图（单位：</w:t>
      </w:r>
      <w:r>
        <w:rPr>
          <w:rFonts w:ascii="宋体" w:hAnsi="宋体"/>
          <w:color w:val="000000"/>
          <w:szCs w:val="21"/>
          <w:highlight w:val="none"/>
        </w:rPr>
        <w:t>cm</w:t>
      </w:r>
      <w:r>
        <w:rPr>
          <w:rFonts w:hint="eastAsia" w:ascii="宋体" w:hAnsi="宋体"/>
          <w:color w:val="000000"/>
          <w:szCs w:val="21"/>
          <w:highlight w:val="none"/>
        </w:rPr>
        <w:t>）</w:t>
      </w:r>
    </w:p>
    <w:p>
      <w:pPr>
        <w:spacing w:line="360" w:lineRule="exact"/>
        <w:jc w:val="center"/>
        <w:rPr>
          <w:rFonts w:hint="eastAsia" w:ascii="宋体" w:hAnsi="宋体"/>
          <w:color w:val="000000"/>
          <w:szCs w:val="21"/>
          <w:highlight w:val="none"/>
        </w:rPr>
      </w:pPr>
      <w:r>
        <w:rPr>
          <w:rFonts w:hint="eastAsia" w:ascii="宋体" w:hAnsi="宋体"/>
          <w:color w:val="000000"/>
          <w:szCs w:val="21"/>
          <w:highlight w:val="none"/>
        </w:rPr>
        <w:t>图302-7</w:t>
      </w:r>
    </w:p>
    <w:p>
      <w:pPr>
        <w:spacing w:line="360" w:lineRule="exact"/>
        <w:ind w:firstLine="420" w:firstLineChars="200"/>
        <w:jc w:val="left"/>
        <w:rPr>
          <w:rFonts w:hint="eastAsia" w:ascii="宋体" w:hAnsi="宋体"/>
          <w:color w:val="000000"/>
          <w:szCs w:val="21"/>
          <w:highlight w:val="none"/>
        </w:rPr>
      </w:pPr>
      <w:r>
        <w:rPr>
          <w:rFonts w:hint="eastAsia" w:ascii="宋体" w:hAnsi="宋体" w:cs="宋体"/>
          <w:color w:val="000000"/>
          <w:szCs w:val="21"/>
          <w:highlight w:val="none"/>
        </w:rPr>
        <w:t xml:space="preserve">④ </w:t>
      </w:r>
      <w:r>
        <w:rPr>
          <w:rFonts w:hint="eastAsia" w:ascii="宋体" w:hAnsi="宋体"/>
          <w:color w:val="000000"/>
          <w:szCs w:val="21"/>
          <w:highlight w:val="none"/>
        </w:rPr>
        <w:t>盲沟上应用相同材料恢复路面（路肩）。</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5．错台处治</w:t>
      </w:r>
    </w:p>
    <w:p>
      <w:pPr>
        <w:spacing w:line="36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（1）错台的处治方法有磨平法和填补法两种，可按错台的轻重程度选定。</w:t>
      </w:r>
    </w:p>
    <w:p>
      <w:pPr>
        <w:spacing w:line="36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（2）高差小于等于</w:t>
      </w:r>
      <w:r>
        <w:rPr>
          <w:rFonts w:ascii="宋体" w:hAnsi="宋体"/>
          <w:color w:val="000000"/>
          <w:szCs w:val="21"/>
          <w:highlight w:val="none"/>
        </w:rPr>
        <w:t>10mm</w:t>
      </w:r>
      <w:r>
        <w:rPr>
          <w:rFonts w:hint="eastAsia" w:ascii="宋体" w:hAnsi="宋体"/>
          <w:color w:val="000000"/>
          <w:szCs w:val="21"/>
          <w:highlight w:val="none"/>
        </w:rPr>
        <w:t>的错台，可采用磨平机磨平，或人工磨平。</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a</w:t>
      </w:r>
      <w:r>
        <w:rPr>
          <w:rFonts w:hint="eastAsia" w:ascii="宋体" w:hAnsi="宋体"/>
          <w:color w:val="000000"/>
          <w:szCs w:val="21"/>
          <w:highlight w:val="none"/>
        </w:rPr>
        <w:t>．应从错台最高点开始向四周扩展，边磨边用三米直尺找平，直至相邻两块板齐平为止；</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b</w:t>
      </w:r>
      <w:r>
        <w:rPr>
          <w:rFonts w:hint="eastAsia" w:ascii="宋体" w:hAnsi="宋体"/>
          <w:color w:val="000000"/>
          <w:szCs w:val="21"/>
          <w:highlight w:val="none"/>
        </w:rPr>
        <w:t>．磨平后，接缝内应将杂物清除干净，并吹净灰尘，及时将嵌缝料填入。</w:t>
      </w:r>
    </w:p>
    <w:p>
      <w:pPr>
        <w:spacing w:line="36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（3）高差大于</w:t>
      </w:r>
      <w:r>
        <w:rPr>
          <w:rFonts w:ascii="宋体" w:hAnsi="宋体"/>
          <w:color w:val="000000"/>
          <w:szCs w:val="21"/>
          <w:highlight w:val="none"/>
        </w:rPr>
        <w:t>10mm</w:t>
      </w:r>
      <w:r>
        <w:rPr>
          <w:rFonts w:hint="eastAsia" w:ascii="宋体" w:hAnsi="宋体"/>
          <w:color w:val="000000"/>
          <w:szCs w:val="21"/>
          <w:highlight w:val="none"/>
        </w:rPr>
        <w:t>的严重错台，可采取沥青砂或水泥混凝土进行处治。</w:t>
      </w:r>
    </w:p>
    <w:p>
      <w:pPr>
        <w:spacing w:line="360" w:lineRule="exact"/>
        <w:ind w:firstLine="420" w:firstLineChars="200"/>
        <w:jc w:val="left"/>
        <w:rPr>
          <w:rFonts w:ascii="宋体" w:hAnsi="宋体"/>
          <w:color w:val="000000"/>
          <w:szCs w:val="21"/>
          <w:highlight w:val="none"/>
        </w:rPr>
      </w:pPr>
      <w:r>
        <w:rPr>
          <w:rFonts w:ascii="宋体" w:hAnsi="宋体"/>
          <w:color w:val="000000"/>
          <w:szCs w:val="21"/>
          <w:highlight w:val="none"/>
        </w:rPr>
        <w:t>6．坑洞修补</w:t>
      </w:r>
    </w:p>
    <w:p>
      <w:pPr>
        <w:spacing w:line="36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坑洞修补应根据不同情况采取相应措施进行。</w:t>
      </w:r>
    </w:p>
    <w:p>
      <w:pPr>
        <w:spacing w:line="36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（1）对个别的坑洞，应清除洞内杂物，用水泥砂浆等材料填充，达到平整密实；</w:t>
      </w:r>
    </w:p>
    <w:p>
      <w:pPr>
        <w:spacing w:line="36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（2）对较多坑洞且连成一片的，应采取以下薄层修补方法进行修补：</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a</w:t>
      </w:r>
      <w:r>
        <w:rPr>
          <w:rFonts w:hint="eastAsia" w:ascii="宋体" w:hAnsi="宋体"/>
          <w:color w:val="000000"/>
          <w:szCs w:val="21"/>
          <w:highlight w:val="none"/>
        </w:rPr>
        <w:t>．切割面积的图形边线，应与路面中心线平行或垂直；</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b</w:t>
      </w:r>
      <w:r>
        <w:rPr>
          <w:rFonts w:hint="eastAsia" w:ascii="宋体" w:hAnsi="宋体"/>
          <w:color w:val="000000"/>
          <w:szCs w:val="21"/>
          <w:highlight w:val="none"/>
        </w:rPr>
        <w:t>．切割的深度应在6</w:t>
      </w:r>
      <w:r>
        <w:rPr>
          <w:rFonts w:ascii="宋体" w:hAnsi="宋体"/>
          <w:color w:val="000000"/>
          <w:szCs w:val="21"/>
          <w:highlight w:val="none"/>
        </w:rPr>
        <w:t>cm</w:t>
      </w:r>
      <w:r>
        <w:rPr>
          <w:rFonts w:hint="eastAsia" w:ascii="宋体" w:hAnsi="宋体"/>
          <w:color w:val="000000"/>
          <w:szCs w:val="21"/>
          <w:highlight w:val="none"/>
        </w:rPr>
        <w:t>以上，并将切割面内的光滑面凿毛；</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c</w:t>
      </w:r>
      <w:r>
        <w:rPr>
          <w:rFonts w:hint="eastAsia" w:ascii="宋体" w:hAnsi="宋体"/>
          <w:color w:val="000000"/>
          <w:szCs w:val="21"/>
          <w:highlight w:val="none"/>
        </w:rPr>
        <w:t>．应清除槽内的混凝土碎屑；</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d</w:t>
      </w:r>
      <w:r>
        <w:rPr>
          <w:rFonts w:hint="eastAsia" w:ascii="宋体" w:hAnsi="宋体"/>
          <w:color w:val="000000"/>
          <w:szCs w:val="21"/>
          <w:highlight w:val="none"/>
        </w:rPr>
        <w:t>．混凝土拌和物填入槽内，振捣密实，并保持与原混凝土面板齐平。</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e</w:t>
      </w:r>
      <w:r>
        <w:rPr>
          <w:rFonts w:hint="eastAsia" w:ascii="宋体" w:hAnsi="宋体"/>
          <w:color w:val="000000"/>
          <w:szCs w:val="21"/>
          <w:highlight w:val="none"/>
        </w:rPr>
        <w:t>．宜喷洒养护剂养生；</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f</w:t>
      </w:r>
      <w:r>
        <w:rPr>
          <w:rFonts w:hint="eastAsia" w:ascii="宋体" w:hAnsi="宋体"/>
          <w:color w:val="000000"/>
          <w:szCs w:val="21"/>
          <w:highlight w:val="none"/>
        </w:rPr>
        <w:t>．待混凝土达到通车强度后方可开放交通。</w:t>
      </w:r>
    </w:p>
    <w:p>
      <w:pPr>
        <w:spacing w:line="36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（3）低等级公路对面积较大，深度在3</w:t>
      </w:r>
      <w:r>
        <w:rPr>
          <w:rFonts w:ascii="宋体" w:hAnsi="宋体"/>
          <w:color w:val="000000"/>
          <w:szCs w:val="21"/>
          <w:highlight w:val="none"/>
        </w:rPr>
        <w:t>cm</w:t>
      </w:r>
      <w:r>
        <w:rPr>
          <w:rFonts w:hint="eastAsia" w:ascii="宋体" w:hAnsi="宋体"/>
          <w:color w:val="000000"/>
          <w:szCs w:val="21"/>
          <w:highlight w:val="none"/>
        </w:rPr>
        <w:t>以内，成片的坑洞，可用以下沥青混凝土修补方法进行修补：</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a</w:t>
      </w:r>
      <w:r>
        <w:rPr>
          <w:rFonts w:hint="eastAsia" w:ascii="宋体" w:hAnsi="宋体"/>
          <w:color w:val="000000"/>
          <w:szCs w:val="21"/>
          <w:highlight w:val="none"/>
        </w:rPr>
        <w:t>．用风镐凿除一个处治区，其图形边线应与路中心线平行或垂直；</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b</w:t>
      </w:r>
      <w:r>
        <w:rPr>
          <w:rFonts w:hint="eastAsia" w:ascii="宋体" w:hAnsi="宋体"/>
          <w:color w:val="000000"/>
          <w:szCs w:val="21"/>
          <w:highlight w:val="none"/>
        </w:rPr>
        <w:t>．凿除深度以2～3</w:t>
      </w:r>
      <w:r>
        <w:rPr>
          <w:rFonts w:ascii="宋体" w:hAnsi="宋体"/>
          <w:color w:val="000000"/>
          <w:szCs w:val="21"/>
          <w:highlight w:val="none"/>
        </w:rPr>
        <w:t>cm</w:t>
      </w:r>
      <w:r>
        <w:rPr>
          <w:rFonts w:hint="eastAsia" w:ascii="宋体" w:hAnsi="宋体"/>
          <w:color w:val="000000"/>
          <w:szCs w:val="21"/>
          <w:highlight w:val="none"/>
        </w:rPr>
        <w:t>为宜，并清除混凝土碎屑；</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c</w:t>
      </w:r>
      <w:r>
        <w:rPr>
          <w:rFonts w:hint="eastAsia" w:ascii="宋体" w:hAnsi="宋体"/>
          <w:color w:val="000000"/>
          <w:szCs w:val="21"/>
          <w:highlight w:val="none"/>
        </w:rPr>
        <w:t>．铺筑沥青混凝土前，应将凿除的槽底面和槽壁洒黏层沥青，其用量为0.4～0.6</w:t>
      </w:r>
      <w:r>
        <w:rPr>
          <w:rFonts w:ascii="宋体" w:hAnsi="宋体"/>
          <w:color w:val="000000"/>
          <w:szCs w:val="21"/>
          <w:highlight w:val="none"/>
        </w:rPr>
        <w:t>kg/m</w:t>
      </w:r>
      <w:r>
        <w:rPr>
          <w:rFonts w:ascii="宋体" w:hAnsi="宋体"/>
          <w:color w:val="000000"/>
          <w:szCs w:val="21"/>
          <w:highlight w:val="none"/>
          <w:vertAlign w:val="superscript"/>
        </w:rPr>
        <w:t>2</w:t>
      </w:r>
      <w:r>
        <w:rPr>
          <w:rFonts w:hint="eastAsia" w:ascii="宋体" w:hAnsi="宋体"/>
          <w:color w:val="000000"/>
          <w:szCs w:val="21"/>
          <w:highlight w:val="none"/>
        </w:rPr>
        <w:t>；</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d</w:t>
      </w:r>
      <w:r>
        <w:rPr>
          <w:rFonts w:hint="eastAsia" w:ascii="宋体" w:hAnsi="宋体"/>
          <w:color w:val="000000"/>
          <w:szCs w:val="21"/>
          <w:highlight w:val="none"/>
        </w:rPr>
        <w:t>．沥青混凝土应碾压密实平整；</w:t>
      </w:r>
    </w:p>
    <w:p>
      <w:pPr>
        <w:spacing w:line="36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e</w:t>
      </w:r>
      <w:r>
        <w:rPr>
          <w:rFonts w:hint="eastAsia" w:ascii="宋体" w:hAnsi="宋体"/>
          <w:color w:val="000000"/>
          <w:szCs w:val="21"/>
          <w:highlight w:val="none"/>
        </w:rPr>
        <w:t>．待沥青混凝土冷却后，控制车速通行。</w:t>
      </w:r>
    </w:p>
    <w:p>
      <w:pPr>
        <w:tabs>
          <w:tab w:val="left" w:pos="3120"/>
        </w:tabs>
        <w:jc w:val="center"/>
        <w:rPr>
          <w:rFonts w:hint="eastAsia" w:ascii="黑体" w:eastAsia="黑体"/>
          <w:color w:val="000000"/>
          <w:sz w:val="32"/>
          <w:highlight w:val="none"/>
        </w:rPr>
      </w:pPr>
    </w:p>
    <w:p>
      <w:pPr>
        <w:tabs>
          <w:tab w:val="left" w:pos="3120"/>
        </w:tabs>
        <w:spacing w:line="360" w:lineRule="auto"/>
        <w:rPr>
          <w:rFonts w:hint="eastAsia" w:eastAsia="黑体"/>
          <w:color w:val="000000"/>
          <w:sz w:val="28"/>
          <w:szCs w:val="28"/>
          <w:highlight w:val="none"/>
        </w:rPr>
      </w:pPr>
      <w:r>
        <w:rPr>
          <w:rFonts w:hint="eastAsia" w:eastAsia="黑体"/>
          <w:color w:val="000000"/>
          <w:sz w:val="28"/>
          <w:szCs w:val="28"/>
          <w:highlight w:val="none"/>
        </w:rPr>
        <w:t>302</w:t>
      </w:r>
      <w:r>
        <w:rPr>
          <w:rFonts w:eastAsia="黑体"/>
          <w:color w:val="000000"/>
          <w:sz w:val="28"/>
          <w:szCs w:val="28"/>
          <w:highlight w:val="none"/>
        </w:rPr>
        <w:t>.0</w:t>
      </w:r>
      <w:r>
        <w:rPr>
          <w:rFonts w:hint="eastAsia" w:eastAsia="黑体"/>
          <w:color w:val="000000"/>
          <w:sz w:val="28"/>
          <w:szCs w:val="28"/>
          <w:highlight w:val="none"/>
        </w:rPr>
        <w:t xml:space="preserve">3 </w:t>
      </w:r>
      <w:r>
        <w:rPr>
          <w:rFonts w:eastAsia="黑体"/>
          <w:color w:val="000000"/>
          <w:sz w:val="28"/>
          <w:szCs w:val="28"/>
          <w:highlight w:val="none"/>
        </w:rPr>
        <w:t xml:space="preserve"> </w:t>
      </w:r>
      <w:r>
        <w:rPr>
          <w:rFonts w:hint="eastAsia" w:eastAsia="黑体"/>
          <w:color w:val="000000"/>
          <w:sz w:val="28"/>
          <w:szCs w:val="28"/>
          <w:highlight w:val="none"/>
        </w:rPr>
        <w:t>沥青路面病害的维修</w:t>
      </w:r>
    </w:p>
    <w:p>
      <w:pPr>
        <w:spacing w:line="360" w:lineRule="auto"/>
        <w:ind w:firstLine="420" w:firstLineChars="200"/>
        <w:jc w:val="left"/>
        <w:rPr>
          <w:color w:val="000000"/>
          <w:highlight w:val="none"/>
        </w:rPr>
      </w:pPr>
      <w:r>
        <w:rPr>
          <w:color w:val="000000"/>
          <w:highlight w:val="none"/>
        </w:rPr>
        <w:t>1．一般要求</w:t>
      </w:r>
    </w:p>
    <w:p>
      <w:pPr>
        <w:spacing w:line="360" w:lineRule="auto"/>
        <w:ind w:firstLine="420" w:firstLineChars="200"/>
        <w:jc w:val="left"/>
        <w:rPr>
          <w:color w:val="000000"/>
          <w:highlight w:val="none"/>
        </w:rPr>
      </w:pPr>
      <w:r>
        <w:rPr>
          <w:color w:val="000000"/>
          <w:highlight w:val="none"/>
        </w:rPr>
        <w:t>（1）承包人应分析路面病害产生的原因，根据路面的结构类型、设计年限、维修季节、气温等具体情况采取相应的维修措施；</w:t>
      </w:r>
    </w:p>
    <w:p>
      <w:pPr>
        <w:spacing w:line="360" w:lineRule="auto"/>
        <w:ind w:firstLine="420" w:firstLineChars="200"/>
        <w:jc w:val="left"/>
        <w:rPr>
          <w:color w:val="000000"/>
          <w:highlight w:val="none"/>
        </w:rPr>
      </w:pPr>
      <w:r>
        <w:rPr>
          <w:color w:val="000000"/>
          <w:highlight w:val="none"/>
        </w:rPr>
        <w:t>（2）路面产生的各种病害应及时进行处理；</w:t>
      </w:r>
    </w:p>
    <w:p>
      <w:pPr>
        <w:spacing w:line="360" w:lineRule="auto"/>
        <w:ind w:firstLine="420" w:firstLineChars="200"/>
        <w:jc w:val="left"/>
        <w:rPr>
          <w:color w:val="000000"/>
          <w:highlight w:val="none"/>
        </w:rPr>
      </w:pPr>
      <w:r>
        <w:rPr>
          <w:color w:val="000000"/>
          <w:highlight w:val="none"/>
        </w:rPr>
        <w:t>（3）</w:t>
      </w:r>
      <w:r>
        <w:rPr>
          <w:rFonts w:hint="eastAsia"/>
          <w:color w:val="000000"/>
          <w:highlight w:val="none"/>
        </w:rPr>
        <w:t>沥青路面</w:t>
      </w:r>
      <w:r>
        <w:rPr>
          <w:color w:val="000000"/>
          <w:highlight w:val="none"/>
        </w:rPr>
        <w:t>病害</w:t>
      </w:r>
      <w:r>
        <w:rPr>
          <w:rFonts w:hint="eastAsia"/>
          <w:color w:val="000000"/>
          <w:highlight w:val="none"/>
        </w:rPr>
        <w:t>2</w:t>
      </w:r>
      <w:r>
        <w:rPr>
          <w:rFonts w:ascii="宋体" w:hAnsi="宋体"/>
          <w:color w:val="000000"/>
          <w:szCs w:val="21"/>
          <w:highlight w:val="none"/>
        </w:rPr>
        <w:t>m</w:t>
      </w:r>
      <w:r>
        <w:rPr>
          <w:rFonts w:ascii="宋体" w:hAnsi="宋体"/>
          <w:color w:val="000000"/>
          <w:szCs w:val="21"/>
          <w:highlight w:val="none"/>
          <w:vertAlign w:val="superscript"/>
        </w:rPr>
        <w:t>2</w:t>
      </w:r>
      <w:r>
        <w:rPr>
          <w:rFonts w:hint="eastAsia"/>
          <w:color w:val="000000"/>
          <w:highlight w:val="none"/>
        </w:rPr>
        <w:t>以上</w:t>
      </w:r>
      <w:r>
        <w:rPr>
          <w:color w:val="000000"/>
          <w:highlight w:val="none"/>
        </w:rPr>
        <w:t>的维修应采用机械作业，需要使用的沥青混合料应集中厂拌，并采取保温措施；</w:t>
      </w:r>
    </w:p>
    <w:p>
      <w:pPr>
        <w:spacing w:line="360" w:lineRule="auto"/>
        <w:ind w:firstLine="420" w:firstLineChars="200"/>
        <w:jc w:val="left"/>
        <w:rPr>
          <w:color w:val="000000"/>
          <w:highlight w:val="none"/>
        </w:rPr>
      </w:pPr>
      <w:r>
        <w:rPr>
          <w:color w:val="000000"/>
          <w:highlight w:val="none"/>
        </w:rPr>
        <w:t>（4）雨后检查发现的病害，对需要挖除面层后进行机械修补的病害，必须当日开挖当日修补。因此，应有充分的材料准备和周密的工作计划，保证养护工作的有序衔接；</w:t>
      </w:r>
    </w:p>
    <w:p>
      <w:pPr>
        <w:spacing w:line="360" w:lineRule="auto"/>
        <w:ind w:firstLine="420" w:firstLineChars="200"/>
        <w:jc w:val="left"/>
        <w:rPr>
          <w:color w:val="000000"/>
          <w:highlight w:val="none"/>
        </w:rPr>
      </w:pPr>
      <w:r>
        <w:rPr>
          <w:color w:val="000000"/>
          <w:highlight w:val="none"/>
        </w:rPr>
        <w:t>（5）修补沥青路面病害的面积应大于其实际面积，修补范围的轮廓线应与路面中心线平行或垂直且在病害面积范围以外10～15cm，并使修补部分与原路面联结紧密。</w:t>
      </w:r>
    </w:p>
    <w:p>
      <w:pPr>
        <w:spacing w:line="360" w:lineRule="auto"/>
        <w:ind w:firstLine="420" w:firstLineChars="200"/>
        <w:jc w:val="left"/>
        <w:rPr>
          <w:color w:val="000000"/>
          <w:highlight w:val="none"/>
        </w:rPr>
      </w:pPr>
      <w:r>
        <w:rPr>
          <w:color w:val="000000"/>
          <w:highlight w:val="none"/>
        </w:rPr>
        <w:t>2．裂缝的维修</w:t>
      </w:r>
    </w:p>
    <w:p>
      <w:pPr>
        <w:spacing w:line="360" w:lineRule="auto"/>
        <w:ind w:firstLine="420" w:firstLineChars="200"/>
        <w:jc w:val="left"/>
        <w:rPr>
          <w:color w:val="000000"/>
          <w:highlight w:val="none"/>
        </w:rPr>
      </w:pPr>
      <w:r>
        <w:rPr>
          <w:color w:val="000000"/>
          <w:highlight w:val="none"/>
        </w:rPr>
        <w:t>（1）轻微裂缝</w:t>
      </w:r>
    </w:p>
    <w:p>
      <w:pPr>
        <w:spacing w:line="360" w:lineRule="auto"/>
        <w:ind w:firstLine="420" w:firstLineChars="200"/>
        <w:jc w:val="left"/>
        <w:rPr>
          <w:color w:val="000000"/>
          <w:highlight w:val="none"/>
        </w:rPr>
      </w:pPr>
      <w:r>
        <w:rPr>
          <w:color w:val="000000"/>
          <w:highlight w:val="none"/>
        </w:rPr>
        <w:t>a．将有裂缝的路段清扫干净并均匀喷洒少量沥青（在低温、潮湿季节宜喷洒乳化沥青），再匀撒一层2～5mm的干燥洁净石屑或粗砂，最后用压路机将矿料碾压。</w:t>
      </w:r>
    </w:p>
    <w:p>
      <w:pPr>
        <w:spacing w:line="360" w:lineRule="auto"/>
        <w:ind w:firstLine="420" w:firstLineChars="200"/>
        <w:jc w:val="left"/>
        <w:rPr>
          <w:color w:val="000000"/>
          <w:highlight w:val="none"/>
        </w:rPr>
      </w:pPr>
      <w:r>
        <w:rPr>
          <w:color w:val="000000"/>
          <w:highlight w:val="none"/>
        </w:rPr>
        <w:t>b．沿裂缝涂刷少量稠度较低的沥青。</w:t>
      </w:r>
    </w:p>
    <w:p>
      <w:pPr>
        <w:spacing w:line="360" w:lineRule="auto"/>
        <w:ind w:firstLine="420" w:firstLineChars="200"/>
        <w:jc w:val="left"/>
        <w:rPr>
          <w:color w:val="000000"/>
          <w:highlight w:val="none"/>
        </w:rPr>
      </w:pPr>
      <w:r>
        <w:rPr>
          <w:color w:val="000000"/>
          <w:highlight w:val="none"/>
        </w:rPr>
        <w:t>（2）纵向、横向裂缝</w:t>
      </w:r>
    </w:p>
    <w:p>
      <w:pPr>
        <w:spacing w:line="360" w:lineRule="auto"/>
        <w:ind w:firstLine="420" w:firstLineChars="200"/>
        <w:jc w:val="left"/>
        <w:rPr>
          <w:color w:val="000000"/>
          <w:highlight w:val="none"/>
        </w:rPr>
      </w:pPr>
      <w:r>
        <w:rPr>
          <w:color w:val="000000"/>
          <w:highlight w:val="none"/>
        </w:rPr>
        <w:t>a．缝宽在5mm以内：</w:t>
      </w:r>
    </w:p>
    <w:p>
      <w:pPr>
        <w:spacing w:line="360" w:lineRule="auto"/>
        <w:ind w:firstLine="420" w:firstLineChars="200"/>
        <w:jc w:val="left"/>
        <w:rPr>
          <w:color w:val="000000"/>
          <w:highlight w:val="none"/>
        </w:rPr>
      </w:pPr>
      <w:r>
        <w:rPr>
          <w:rFonts w:hint="eastAsia" w:ascii="宋体" w:hAnsi="宋体" w:cs="宋体"/>
          <w:color w:val="000000"/>
          <w:highlight w:val="none"/>
        </w:rPr>
        <w:t>①</w:t>
      </w:r>
      <w:r>
        <w:rPr>
          <w:color w:val="000000"/>
          <w:highlight w:val="none"/>
        </w:rPr>
        <w:t xml:space="preserve"> 清除缝中杂物及尘土；</w:t>
      </w:r>
    </w:p>
    <w:p>
      <w:pPr>
        <w:spacing w:line="360" w:lineRule="auto"/>
        <w:ind w:firstLine="420" w:firstLineChars="200"/>
        <w:jc w:val="left"/>
        <w:rPr>
          <w:color w:val="000000"/>
          <w:highlight w:val="none"/>
        </w:rPr>
      </w:pPr>
      <w:r>
        <w:rPr>
          <w:rFonts w:hint="eastAsia" w:ascii="宋体" w:hAnsi="宋体" w:cs="宋体"/>
          <w:color w:val="000000"/>
          <w:highlight w:val="none"/>
        </w:rPr>
        <w:t>②</w:t>
      </w:r>
      <w:r>
        <w:rPr>
          <w:color w:val="000000"/>
          <w:highlight w:val="none"/>
        </w:rPr>
        <w:t xml:space="preserve"> 将稠度较低的热沥青（缝内潮湿时应采用乳化沥青）灌入缝内，灌入深度约为缝深的2/3；</w:t>
      </w:r>
    </w:p>
    <w:p>
      <w:pPr>
        <w:spacing w:line="360" w:lineRule="auto"/>
        <w:ind w:firstLine="420" w:firstLineChars="200"/>
        <w:jc w:val="left"/>
        <w:rPr>
          <w:color w:val="000000"/>
          <w:highlight w:val="none"/>
        </w:rPr>
      </w:pPr>
      <w:r>
        <w:rPr>
          <w:rFonts w:hint="eastAsia" w:ascii="宋体" w:hAnsi="宋体" w:cs="宋体"/>
          <w:color w:val="000000"/>
          <w:highlight w:val="none"/>
        </w:rPr>
        <w:t>③</w:t>
      </w:r>
      <w:r>
        <w:rPr>
          <w:color w:val="000000"/>
          <w:highlight w:val="none"/>
        </w:rPr>
        <w:t xml:space="preserve"> 填入干净石屑或粗砂，并捣实；</w:t>
      </w:r>
    </w:p>
    <w:p>
      <w:pPr>
        <w:spacing w:line="360" w:lineRule="auto"/>
        <w:ind w:firstLine="420" w:firstLineChars="200"/>
        <w:jc w:val="left"/>
        <w:rPr>
          <w:color w:val="000000"/>
          <w:highlight w:val="none"/>
        </w:rPr>
      </w:pPr>
      <w:r>
        <w:rPr>
          <w:rFonts w:hint="eastAsia" w:ascii="宋体" w:hAnsi="宋体" w:cs="宋体"/>
          <w:color w:val="000000"/>
          <w:highlight w:val="none"/>
        </w:rPr>
        <w:t>④</w:t>
      </w:r>
      <w:r>
        <w:rPr>
          <w:color w:val="000000"/>
          <w:highlight w:val="none"/>
        </w:rPr>
        <w:t xml:space="preserve"> 将溢出缝外的沥青石屑、砂清除。</w:t>
      </w:r>
    </w:p>
    <w:p>
      <w:pPr>
        <w:spacing w:line="360" w:lineRule="auto"/>
        <w:ind w:firstLine="420" w:firstLineChars="200"/>
        <w:jc w:val="left"/>
        <w:rPr>
          <w:color w:val="000000"/>
          <w:highlight w:val="none"/>
        </w:rPr>
      </w:pPr>
      <w:r>
        <w:rPr>
          <w:color w:val="000000"/>
          <w:highlight w:val="none"/>
        </w:rPr>
        <w:t>b．缝宽在5mm以上：</w:t>
      </w:r>
    </w:p>
    <w:p>
      <w:pPr>
        <w:spacing w:line="360" w:lineRule="auto"/>
        <w:ind w:firstLine="420" w:firstLineChars="200"/>
        <w:jc w:val="left"/>
        <w:rPr>
          <w:color w:val="000000"/>
          <w:highlight w:val="none"/>
        </w:rPr>
      </w:pPr>
      <w:r>
        <w:rPr>
          <w:rFonts w:hint="eastAsia" w:ascii="宋体" w:hAnsi="宋体" w:cs="宋体"/>
          <w:color w:val="000000"/>
          <w:highlight w:val="none"/>
        </w:rPr>
        <w:t>①</w:t>
      </w:r>
      <w:r>
        <w:rPr>
          <w:color w:val="000000"/>
          <w:highlight w:val="none"/>
        </w:rPr>
        <w:t xml:space="preserve"> 除去已松动的裂缝边缘；</w:t>
      </w:r>
    </w:p>
    <w:p>
      <w:pPr>
        <w:spacing w:line="360" w:lineRule="auto"/>
        <w:ind w:firstLine="420" w:firstLineChars="200"/>
        <w:jc w:val="left"/>
        <w:rPr>
          <w:color w:val="000000"/>
          <w:highlight w:val="none"/>
        </w:rPr>
      </w:pPr>
      <w:r>
        <w:rPr>
          <w:rFonts w:hint="eastAsia" w:ascii="宋体" w:hAnsi="宋体" w:cs="宋体"/>
          <w:color w:val="000000"/>
          <w:highlight w:val="none"/>
        </w:rPr>
        <w:t>②</w:t>
      </w:r>
      <w:r>
        <w:rPr>
          <w:color w:val="000000"/>
          <w:highlight w:val="none"/>
        </w:rPr>
        <w:t xml:space="preserve"> 用</w:t>
      </w:r>
      <w:r>
        <w:rPr>
          <w:rFonts w:hint="eastAsia"/>
          <w:color w:val="000000"/>
          <w:highlight w:val="none"/>
        </w:rPr>
        <w:t>灌缝胶</w:t>
      </w:r>
      <w:r>
        <w:rPr>
          <w:color w:val="000000"/>
          <w:highlight w:val="none"/>
        </w:rPr>
        <w:t>填入缝中，捣实</w:t>
      </w:r>
      <w:r>
        <w:rPr>
          <w:rFonts w:hint="eastAsia"/>
          <w:color w:val="000000"/>
          <w:highlight w:val="none"/>
        </w:rPr>
        <w:t>，在灌缝前应保证缝内干燥</w:t>
      </w:r>
      <w:r>
        <w:rPr>
          <w:color w:val="000000"/>
          <w:highlight w:val="none"/>
        </w:rPr>
        <w:t>。</w:t>
      </w:r>
    </w:p>
    <w:p>
      <w:pPr>
        <w:spacing w:line="360" w:lineRule="auto"/>
        <w:ind w:firstLine="420" w:firstLineChars="200"/>
        <w:jc w:val="left"/>
        <w:rPr>
          <w:color w:val="000000"/>
          <w:highlight w:val="none"/>
        </w:rPr>
      </w:pPr>
      <w:r>
        <w:rPr>
          <w:color w:val="000000"/>
          <w:highlight w:val="none"/>
        </w:rPr>
        <w:t>3．拥包的维修</w:t>
      </w:r>
    </w:p>
    <w:p>
      <w:pPr>
        <w:spacing w:line="360" w:lineRule="auto"/>
        <w:ind w:firstLine="420" w:firstLineChars="200"/>
        <w:jc w:val="left"/>
        <w:rPr>
          <w:color w:val="000000"/>
          <w:highlight w:val="none"/>
        </w:rPr>
      </w:pPr>
      <w:r>
        <w:rPr>
          <w:color w:val="000000"/>
          <w:highlight w:val="none"/>
        </w:rPr>
        <w:t>（1）已趋于稳定的轻微拥包，应将拥包用机械刨削或人工挖除。如除去拥包后路表不平整，应予以处治。</w:t>
      </w:r>
    </w:p>
    <w:p>
      <w:pPr>
        <w:spacing w:line="360" w:lineRule="auto"/>
        <w:ind w:firstLine="420" w:firstLineChars="200"/>
        <w:jc w:val="left"/>
        <w:rPr>
          <w:color w:val="000000"/>
          <w:highlight w:val="none"/>
        </w:rPr>
      </w:pPr>
      <w:r>
        <w:rPr>
          <w:color w:val="000000"/>
          <w:highlight w:val="none"/>
        </w:rPr>
        <w:t>（2）因面层沥青用量过多或细料集中而产生较严重拥包，或路面连续多次出现拥包且面积较大，但路面基层仍属稳定，则应用机械或人工将拥包全部除去，并低于路表面约10mm。扫尽碎屑、杂物及粉尘后用热沥青混合料重做面层。</w:t>
      </w:r>
    </w:p>
    <w:p>
      <w:pPr>
        <w:spacing w:line="360" w:lineRule="auto"/>
        <w:ind w:firstLine="420" w:firstLineChars="200"/>
        <w:jc w:val="left"/>
        <w:rPr>
          <w:color w:val="000000"/>
          <w:highlight w:val="none"/>
        </w:rPr>
      </w:pPr>
      <w:r>
        <w:rPr>
          <w:color w:val="000000"/>
          <w:highlight w:val="none"/>
        </w:rPr>
        <w:t>（3）因基层局部含水量过大，使面层与基层间结合不良而被推移变形造成的拥包，应把拥包连同面层挖除，将水分晾晒干，或用水稳定性较好的材料更换已变形的基层，再重作面层；</w:t>
      </w:r>
    </w:p>
    <w:p>
      <w:pPr>
        <w:spacing w:line="360" w:lineRule="auto"/>
        <w:ind w:firstLine="420" w:firstLineChars="200"/>
        <w:jc w:val="left"/>
        <w:rPr>
          <w:color w:val="000000"/>
          <w:highlight w:val="none"/>
        </w:rPr>
      </w:pPr>
      <w:r>
        <w:rPr>
          <w:color w:val="000000"/>
          <w:highlight w:val="none"/>
        </w:rPr>
        <w:t>（4）由于基层局部强度不足或水稳性不好，使基层松软而导致的拥包，应将面层和基层完全挖除。如土基中含有淤泥，还应将淤泥彻底挖除，换填新料并夯实。在地下水位较高的潮湿路段，应采取措施引出地下水并在基层下面加铺一层水稳性好的材料，最后重作面层。</w:t>
      </w:r>
    </w:p>
    <w:p>
      <w:pPr>
        <w:spacing w:line="360" w:lineRule="auto"/>
        <w:ind w:firstLine="420" w:firstLineChars="200"/>
        <w:jc w:val="left"/>
        <w:rPr>
          <w:color w:val="000000"/>
          <w:highlight w:val="none"/>
        </w:rPr>
      </w:pPr>
      <w:r>
        <w:rPr>
          <w:color w:val="000000"/>
          <w:highlight w:val="none"/>
        </w:rPr>
        <w:t>4．麻面与松散的维修</w:t>
      </w:r>
    </w:p>
    <w:p>
      <w:pPr>
        <w:spacing w:line="360" w:lineRule="auto"/>
        <w:ind w:firstLine="420" w:firstLineChars="200"/>
        <w:jc w:val="left"/>
        <w:rPr>
          <w:color w:val="000000"/>
          <w:highlight w:val="none"/>
        </w:rPr>
      </w:pPr>
      <w:r>
        <w:rPr>
          <w:color w:val="000000"/>
          <w:highlight w:val="none"/>
        </w:rPr>
        <w:t>（1）因嵌缝料散失出现轻微麻面，在沥青面层不贫油时，可在高温季节撒适当的嵌缝料，并用扫帚扫匀，使嵌缝料填充到石料的空隙中。</w:t>
      </w:r>
    </w:p>
    <w:p>
      <w:pPr>
        <w:spacing w:line="360" w:lineRule="auto"/>
        <w:ind w:firstLine="420" w:firstLineChars="200"/>
        <w:jc w:val="left"/>
        <w:rPr>
          <w:color w:val="000000"/>
          <w:highlight w:val="none"/>
        </w:rPr>
      </w:pPr>
      <w:r>
        <w:rPr>
          <w:color w:val="000000"/>
          <w:highlight w:val="none"/>
        </w:rPr>
        <w:t>（2）大面积麻面应喷洒稠度较高的沥青，并撒适当粒径的嵌缝料，应使麻面部分中部的嵌缝料稍厚，周围与原路面接口要稍薄，定型要整齐，并碾压成型。</w:t>
      </w:r>
    </w:p>
    <w:p>
      <w:pPr>
        <w:spacing w:line="360" w:lineRule="auto"/>
        <w:ind w:firstLine="420" w:firstLineChars="200"/>
        <w:jc w:val="left"/>
        <w:rPr>
          <w:color w:val="000000"/>
          <w:highlight w:val="none"/>
        </w:rPr>
      </w:pPr>
      <w:r>
        <w:rPr>
          <w:color w:val="000000"/>
          <w:highlight w:val="none"/>
        </w:rPr>
        <w:t>（3）因沥青用量偏少或因低气温施工而造成的沥青面层松散，应采用以下方法处治：</w:t>
      </w:r>
    </w:p>
    <w:p>
      <w:pPr>
        <w:spacing w:line="360" w:lineRule="auto"/>
        <w:ind w:firstLine="420" w:firstLineChars="200"/>
        <w:jc w:val="left"/>
        <w:rPr>
          <w:color w:val="000000"/>
          <w:highlight w:val="none"/>
        </w:rPr>
      </w:pPr>
      <w:r>
        <w:rPr>
          <w:color w:val="000000"/>
          <w:highlight w:val="none"/>
        </w:rPr>
        <w:t>a．先将路面上已松动了的矿料收集起来；</w:t>
      </w:r>
    </w:p>
    <w:p>
      <w:pPr>
        <w:spacing w:line="360" w:lineRule="auto"/>
        <w:ind w:firstLine="420" w:firstLineChars="200"/>
        <w:jc w:val="left"/>
        <w:rPr>
          <w:color w:val="000000"/>
          <w:highlight w:val="none"/>
        </w:rPr>
      </w:pPr>
      <w:r>
        <w:rPr>
          <w:color w:val="000000"/>
          <w:highlight w:val="none"/>
        </w:rPr>
        <w:t>b．待气温升至15</w:t>
      </w:r>
      <w:r>
        <w:rPr>
          <w:rFonts w:hint="eastAsia" w:ascii="宋体" w:hAnsi="宋体" w:cs="宋体"/>
          <w:color w:val="000000"/>
          <w:highlight w:val="none"/>
        </w:rPr>
        <w:t>℃</w:t>
      </w:r>
      <w:r>
        <w:rPr>
          <w:color w:val="000000"/>
          <w:highlight w:val="none"/>
        </w:rPr>
        <w:t>以上时，按0.8～1.0kg/m2的用量喷洒沥青，再均匀撒上3～6mm的石屑或粗砂（5～8m3/1000m2）；</w:t>
      </w:r>
    </w:p>
    <w:p>
      <w:pPr>
        <w:spacing w:line="360" w:lineRule="auto"/>
        <w:ind w:firstLine="420" w:firstLineChars="200"/>
        <w:jc w:val="left"/>
        <w:rPr>
          <w:color w:val="000000"/>
          <w:highlight w:val="none"/>
        </w:rPr>
      </w:pPr>
      <w:r>
        <w:rPr>
          <w:color w:val="000000"/>
          <w:highlight w:val="none"/>
        </w:rPr>
        <w:t>c．用轻型压路机压实。</w:t>
      </w:r>
    </w:p>
    <w:p>
      <w:pPr>
        <w:spacing w:line="360" w:lineRule="auto"/>
        <w:ind w:firstLine="420" w:firstLineChars="200"/>
        <w:jc w:val="left"/>
        <w:rPr>
          <w:color w:val="000000"/>
          <w:highlight w:val="none"/>
        </w:rPr>
      </w:pPr>
      <w:r>
        <w:rPr>
          <w:color w:val="000000"/>
          <w:highlight w:val="none"/>
        </w:rPr>
        <w:t>（4）对于因油温过高，沥青老化失去黏结性而造成的松散，应将松散部分全部挖除后，重作面层。</w:t>
      </w:r>
    </w:p>
    <w:p>
      <w:pPr>
        <w:spacing w:line="360" w:lineRule="auto"/>
        <w:ind w:firstLine="420" w:firstLineChars="200"/>
        <w:jc w:val="left"/>
        <w:rPr>
          <w:color w:val="000000"/>
          <w:highlight w:val="none"/>
        </w:rPr>
      </w:pPr>
      <w:r>
        <w:rPr>
          <w:color w:val="000000"/>
          <w:highlight w:val="none"/>
        </w:rPr>
        <w:t>（5）因沥青与酸性石料间的黏附性不良而造成路面松散，应将松散部分全部挖除后，重作面层。重作面层的矿料不应再使用酸性石料。在缺乏碱性石料的地区，应在沥青中掺入抗剥离剂、增黏剂或使用干燥的生石灰、消石灰、水泥等表面活性物质作为填料的一部分，或采用石灰浆处理粗骨料等抗剥离措施，以提高沥青与矿料的黏附力，并增加混合料的水稳性。</w:t>
      </w:r>
    </w:p>
    <w:p>
      <w:pPr>
        <w:spacing w:line="360" w:lineRule="auto"/>
        <w:ind w:firstLine="420" w:firstLineChars="200"/>
        <w:jc w:val="left"/>
        <w:rPr>
          <w:color w:val="000000"/>
          <w:highlight w:val="none"/>
        </w:rPr>
      </w:pPr>
      <w:r>
        <w:rPr>
          <w:color w:val="000000"/>
          <w:highlight w:val="none"/>
        </w:rPr>
        <w:t>（6）由于基层或土基软化变形而造成的路面松散，应参照第302.03-3（4）项的规定先处理好基层后，再重作面层。</w:t>
      </w:r>
    </w:p>
    <w:p>
      <w:pPr>
        <w:spacing w:line="360" w:lineRule="auto"/>
        <w:ind w:firstLine="420" w:firstLineChars="200"/>
        <w:jc w:val="left"/>
        <w:rPr>
          <w:color w:val="000000"/>
          <w:highlight w:val="none"/>
        </w:rPr>
      </w:pPr>
      <w:r>
        <w:rPr>
          <w:color w:val="000000"/>
          <w:highlight w:val="none"/>
        </w:rPr>
        <w:t>5．沉陷的维修</w:t>
      </w:r>
    </w:p>
    <w:p>
      <w:pPr>
        <w:spacing w:line="360" w:lineRule="auto"/>
        <w:ind w:firstLine="420" w:firstLineChars="200"/>
        <w:jc w:val="left"/>
        <w:rPr>
          <w:color w:val="000000"/>
          <w:highlight w:val="none"/>
        </w:rPr>
      </w:pPr>
      <w:r>
        <w:rPr>
          <w:color w:val="000000"/>
          <w:highlight w:val="none"/>
        </w:rPr>
        <w:t>（1）因路基不均匀沉降而引起的局部路面沉陷，若土基和基层已经密实稳定，不再继续下沉，可只修补面层。并根据路面的破损状况分别采取下列处治措施修补面层：</w:t>
      </w:r>
    </w:p>
    <w:p>
      <w:pPr>
        <w:spacing w:line="360" w:lineRule="auto"/>
        <w:ind w:firstLine="420" w:firstLineChars="200"/>
        <w:jc w:val="left"/>
        <w:rPr>
          <w:color w:val="000000"/>
          <w:highlight w:val="none"/>
        </w:rPr>
      </w:pPr>
      <w:r>
        <w:rPr>
          <w:color w:val="000000"/>
          <w:highlight w:val="none"/>
        </w:rPr>
        <w:t>a．路面略有下沉，无破损或仅有少量轻微裂缝，可在沉陷处喷洒或涂刷黏层沥青，再用沥青混合料将沉陷部分填补，并压实平整；</w:t>
      </w:r>
    </w:p>
    <w:p>
      <w:pPr>
        <w:spacing w:line="360" w:lineRule="auto"/>
        <w:ind w:firstLine="420" w:firstLineChars="200"/>
        <w:jc w:val="left"/>
        <w:rPr>
          <w:color w:val="000000"/>
          <w:highlight w:val="none"/>
        </w:rPr>
      </w:pPr>
      <w:r>
        <w:rPr>
          <w:color w:val="000000"/>
          <w:highlight w:val="none"/>
        </w:rPr>
        <w:t>b．因路基沉陷导致路面破损严重，矿料已松动、脱落形成坑槽的，应按照302.03-9款坑槽的维修方法予以处治。</w:t>
      </w:r>
    </w:p>
    <w:p>
      <w:pPr>
        <w:spacing w:line="360" w:lineRule="auto"/>
        <w:ind w:firstLine="420" w:firstLineChars="200"/>
        <w:jc w:val="left"/>
        <w:rPr>
          <w:color w:val="000000"/>
          <w:highlight w:val="none"/>
        </w:rPr>
      </w:pPr>
      <w:r>
        <w:rPr>
          <w:color w:val="000000"/>
          <w:highlight w:val="none"/>
        </w:rPr>
        <w:t>（2）因土基或基层结构遭到破坏而引起的路面沉陷，应参照上述第302.03-3（4）项的要求处治好基层后再重作面层。</w:t>
      </w:r>
    </w:p>
    <w:p>
      <w:pPr>
        <w:spacing w:line="360" w:lineRule="auto"/>
        <w:ind w:firstLine="420" w:firstLineChars="200"/>
        <w:jc w:val="left"/>
        <w:rPr>
          <w:color w:val="000000"/>
          <w:highlight w:val="none"/>
        </w:rPr>
      </w:pPr>
      <w:r>
        <w:rPr>
          <w:color w:val="000000"/>
          <w:highlight w:val="none"/>
        </w:rPr>
        <w:t>（3）桥涵台背因填土不实出现不均匀沉降的，可视情况选择以下处理方法：</w:t>
      </w:r>
    </w:p>
    <w:p>
      <w:pPr>
        <w:spacing w:line="360" w:lineRule="auto"/>
        <w:ind w:firstLine="420" w:firstLineChars="200"/>
        <w:jc w:val="left"/>
        <w:rPr>
          <w:color w:val="000000"/>
          <w:highlight w:val="none"/>
        </w:rPr>
      </w:pPr>
      <w:r>
        <w:rPr>
          <w:color w:val="000000"/>
          <w:highlight w:val="none"/>
        </w:rPr>
        <w:t>a．挖除沥青面层，在沉陷的部分加铺基层后重作面层；</w:t>
      </w:r>
    </w:p>
    <w:p>
      <w:pPr>
        <w:spacing w:line="360" w:lineRule="auto"/>
        <w:ind w:firstLine="420" w:firstLineChars="200"/>
        <w:jc w:val="left"/>
        <w:rPr>
          <w:color w:val="000000"/>
          <w:highlight w:val="none"/>
        </w:rPr>
      </w:pPr>
      <w:r>
        <w:rPr>
          <w:color w:val="000000"/>
          <w:highlight w:val="none"/>
        </w:rPr>
        <w:t>b．对于台背填土密实度不够的，应重新作压实处理，台背死角处的压实宜采用夯实机械；</w:t>
      </w:r>
    </w:p>
    <w:p>
      <w:pPr>
        <w:spacing w:line="360" w:lineRule="auto"/>
        <w:ind w:firstLine="420" w:firstLineChars="200"/>
        <w:jc w:val="left"/>
        <w:rPr>
          <w:color w:val="000000"/>
          <w:highlight w:val="none"/>
        </w:rPr>
      </w:pPr>
      <w:r>
        <w:rPr>
          <w:color w:val="000000"/>
          <w:highlight w:val="none"/>
        </w:rPr>
        <w:t>c．对含水量和空隙比均较大的软基或含有有机物质的黏性土层，宜采取换土处理。换土深度应视软层厚度而定。换填材料首先应选择强度高、透水性好的材料，如碎石土、卵砾土、中粗砂及强度较高的工业废渣，且要求级配合理；</w:t>
      </w:r>
    </w:p>
    <w:p>
      <w:pPr>
        <w:spacing w:line="360" w:lineRule="auto"/>
        <w:ind w:firstLine="420" w:firstLineChars="200"/>
        <w:jc w:val="left"/>
        <w:rPr>
          <w:color w:val="000000"/>
          <w:highlight w:val="none"/>
        </w:rPr>
      </w:pPr>
      <w:r>
        <w:rPr>
          <w:color w:val="000000"/>
          <w:highlight w:val="none"/>
        </w:rPr>
        <w:t xml:space="preserve">d．采用注浆加固处理。 </w:t>
      </w:r>
    </w:p>
    <w:p>
      <w:pPr>
        <w:spacing w:line="360" w:lineRule="auto"/>
        <w:ind w:firstLine="420" w:firstLineChars="200"/>
        <w:jc w:val="left"/>
        <w:rPr>
          <w:color w:val="000000"/>
          <w:highlight w:val="none"/>
        </w:rPr>
      </w:pPr>
      <w:r>
        <w:rPr>
          <w:color w:val="000000"/>
          <w:highlight w:val="none"/>
        </w:rPr>
        <w:t>6．车辙的维修</w:t>
      </w:r>
    </w:p>
    <w:p>
      <w:pPr>
        <w:spacing w:line="360" w:lineRule="auto"/>
        <w:ind w:firstLine="420" w:firstLineChars="200"/>
        <w:jc w:val="left"/>
        <w:rPr>
          <w:color w:val="000000"/>
          <w:highlight w:val="none"/>
        </w:rPr>
      </w:pPr>
      <w:r>
        <w:rPr>
          <w:color w:val="000000"/>
          <w:highlight w:val="none"/>
        </w:rPr>
        <w:t>（1）车道表面因车辆行驶推移而产生的车辙，应将出现车辙的面层切削或铣刨清除，然后重铺沥青面层。在高速公路及一级公路上可采用沥青玛蹄脂碎石混合料（SMA）或SBS改性沥青混合料、或聚乙烯改性沥青混合料来修补车辙；</w:t>
      </w:r>
    </w:p>
    <w:p>
      <w:pPr>
        <w:spacing w:line="360" w:lineRule="auto"/>
        <w:ind w:firstLine="420" w:firstLineChars="200"/>
        <w:jc w:val="left"/>
        <w:rPr>
          <w:color w:val="000000"/>
          <w:highlight w:val="none"/>
        </w:rPr>
      </w:pPr>
      <w:r>
        <w:rPr>
          <w:color w:val="000000"/>
          <w:highlight w:val="none"/>
        </w:rPr>
        <w:t>（2）路面受横向推挤形成的横向波形车辙，如果已经稳定，可将凸出的部分削除，在波谷部分喷洒或涂刷黏结沥青并填补沥青混合料并找平、压实；</w:t>
      </w:r>
    </w:p>
    <w:p>
      <w:pPr>
        <w:spacing w:line="360" w:lineRule="auto"/>
        <w:ind w:firstLine="420" w:firstLineChars="200"/>
        <w:jc w:val="left"/>
        <w:rPr>
          <w:color w:val="000000"/>
          <w:highlight w:val="none"/>
        </w:rPr>
      </w:pPr>
      <w:r>
        <w:rPr>
          <w:color w:val="000000"/>
          <w:highlight w:val="none"/>
        </w:rPr>
        <w:t>（3）因面层与基层间有不稳定的夹层而形成的车辙，应将面层挖除，清除夹层后，重作面层；</w:t>
      </w:r>
    </w:p>
    <w:p>
      <w:pPr>
        <w:spacing w:line="360" w:lineRule="auto"/>
        <w:ind w:firstLine="420" w:firstLineChars="200"/>
        <w:jc w:val="left"/>
        <w:rPr>
          <w:color w:val="000000"/>
          <w:highlight w:val="none"/>
        </w:rPr>
      </w:pPr>
      <w:r>
        <w:rPr>
          <w:color w:val="000000"/>
          <w:highlight w:val="none"/>
        </w:rPr>
        <w:t>（4）由于基层强度不足、水稳性能不好，使基层局部下沉而造成的车辙，应先处治基层。其方法可参照上述第302.03-3（4）项的规定进行。</w:t>
      </w:r>
    </w:p>
    <w:p>
      <w:pPr>
        <w:spacing w:line="360" w:lineRule="auto"/>
        <w:ind w:firstLine="420" w:firstLineChars="200"/>
        <w:jc w:val="left"/>
        <w:rPr>
          <w:color w:val="000000"/>
          <w:highlight w:val="none"/>
        </w:rPr>
      </w:pPr>
      <w:r>
        <w:rPr>
          <w:color w:val="000000"/>
          <w:highlight w:val="none"/>
        </w:rPr>
        <w:t>7．波浪与搓板的维修</w:t>
      </w:r>
    </w:p>
    <w:p>
      <w:pPr>
        <w:spacing w:line="360" w:lineRule="auto"/>
        <w:ind w:firstLine="420" w:firstLineChars="200"/>
        <w:jc w:val="left"/>
        <w:rPr>
          <w:color w:val="000000"/>
          <w:highlight w:val="none"/>
        </w:rPr>
      </w:pPr>
      <w:r>
        <w:rPr>
          <w:color w:val="000000"/>
          <w:highlight w:val="none"/>
        </w:rPr>
        <w:t>（1）属于面层原因形成的波浪或搓板可按下述方法进行维修：</w:t>
      </w:r>
    </w:p>
    <w:p>
      <w:pPr>
        <w:spacing w:line="360" w:lineRule="auto"/>
        <w:ind w:firstLine="420" w:firstLineChars="200"/>
        <w:jc w:val="left"/>
        <w:rPr>
          <w:color w:val="000000"/>
          <w:highlight w:val="none"/>
        </w:rPr>
      </w:pPr>
      <w:r>
        <w:rPr>
          <w:color w:val="000000"/>
          <w:highlight w:val="none"/>
        </w:rPr>
        <w:t>a．路面仅有轻微波浪或搓板，可在波谷部分喷洒沥青，并匀撒适当粒径的矿料，找平后压实。</w:t>
      </w:r>
    </w:p>
    <w:p>
      <w:pPr>
        <w:spacing w:line="360" w:lineRule="auto"/>
        <w:ind w:firstLine="420" w:firstLineChars="200"/>
        <w:jc w:val="left"/>
        <w:rPr>
          <w:color w:val="000000"/>
          <w:highlight w:val="none"/>
        </w:rPr>
      </w:pPr>
      <w:r>
        <w:rPr>
          <w:color w:val="000000"/>
          <w:highlight w:val="none"/>
        </w:rPr>
        <w:t>b．波浪（搓板）的波峰与波谷高差起伏较大时，应顺行车方向将凸出部分铣刨削平，并低于路表面约10mm。削除部分喷洒热沥青，再匀撒一层粒径大于10mm的矿料，扫匀，找平并压实。</w:t>
      </w:r>
    </w:p>
    <w:p>
      <w:pPr>
        <w:spacing w:line="360" w:lineRule="auto"/>
        <w:ind w:firstLine="420" w:firstLineChars="200"/>
        <w:jc w:val="left"/>
        <w:rPr>
          <w:color w:val="000000"/>
          <w:highlight w:val="none"/>
        </w:rPr>
      </w:pPr>
      <w:r>
        <w:rPr>
          <w:color w:val="000000"/>
          <w:highlight w:val="none"/>
        </w:rPr>
        <w:t>c．严重的、大面积波浪或搓板，应将面层全部挖除，然后重铺。</w:t>
      </w:r>
    </w:p>
    <w:p>
      <w:pPr>
        <w:spacing w:line="360" w:lineRule="auto"/>
        <w:ind w:firstLine="420" w:firstLineChars="200"/>
        <w:jc w:val="left"/>
        <w:rPr>
          <w:color w:val="000000"/>
          <w:highlight w:val="none"/>
        </w:rPr>
      </w:pPr>
      <w:r>
        <w:rPr>
          <w:color w:val="000000"/>
          <w:highlight w:val="none"/>
        </w:rPr>
        <w:t>（2）若面层与基层之间存在不稳定的夹层，面层在行车荷载的作用下推移变形而形成波浪（搓板），应挖除面层，清除不稳定的夹层后，喷洒黏结沥青，重铺面层。</w:t>
      </w:r>
    </w:p>
    <w:p>
      <w:pPr>
        <w:spacing w:line="360" w:lineRule="auto"/>
        <w:ind w:firstLine="420" w:firstLineChars="200"/>
        <w:jc w:val="left"/>
        <w:rPr>
          <w:color w:val="000000"/>
          <w:highlight w:val="none"/>
        </w:rPr>
      </w:pPr>
      <w:r>
        <w:rPr>
          <w:color w:val="000000"/>
          <w:highlight w:val="none"/>
        </w:rPr>
        <w:t>（3）因基层局部强度不足，或稳定性差等原因造成的波浪（搓板），应先对基层进行处治，再重作面层。其处治方法可参照上述第302.03-3（4）项的要求。</w:t>
      </w:r>
    </w:p>
    <w:p>
      <w:pPr>
        <w:spacing w:line="360" w:lineRule="auto"/>
        <w:ind w:firstLine="420" w:firstLineChars="200"/>
        <w:jc w:val="left"/>
        <w:rPr>
          <w:color w:val="000000"/>
          <w:highlight w:val="none"/>
        </w:rPr>
      </w:pPr>
      <w:r>
        <w:rPr>
          <w:color w:val="000000"/>
          <w:highlight w:val="none"/>
        </w:rPr>
        <w:t>8．翻浆的维修</w:t>
      </w:r>
    </w:p>
    <w:p>
      <w:pPr>
        <w:spacing w:line="360" w:lineRule="auto"/>
        <w:ind w:firstLine="420" w:firstLineChars="200"/>
        <w:jc w:val="left"/>
        <w:rPr>
          <w:color w:val="000000"/>
          <w:highlight w:val="none"/>
        </w:rPr>
      </w:pPr>
      <w:r>
        <w:rPr>
          <w:color w:val="000000"/>
          <w:highlight w:val="none"/>
        </w:rPr>
        <w:t>（1）因基层水稳定性不良或含水量过大造成的翻浆应挖去面层及基层全部松软的部分。将基层材料晾晒干，并适当增加新的硬粒料（有条件时应换填透水性良好的砂砾或工业废渣等）。分层（每层不超过15cm）填补并压实。最后恢复面层。</w:t>
      </w:r>
    </w:p>
    <w:p>
      <w:pPr>
        <w:spacing w:line="360" w:lineRule="auto"/>
        <w:ind w:firstLine="420" w:firstLineChars="200"/>
        <w:jc w:val="left"/>
        <w:rPr>
          <w:color w:val="000000"/>
          <w:highlight w:val="none"/>
        </w:rPr>
      </w:pPr>
      <w:r>
        <w:rPr>
          <w:color w:val="000000"/>
          <w:highlight w:val="none"/>
        </w:rPr>
        <w:t>（2）低温季节施工的石灰稳定类基层，在板体强度未形成时雨水渗入，其上层发生翻浆的，应将翻浆部分挖除，重作石灰稳定基层或换用其它材料予以填补，然后重作面层。</w:t>
      </w:r>
    </w:p>
    <w:p>
      <w:pPr>
        <w:spacing w:line="360" w:lineRule="auto"/>
        <w:ind w:firstLine="420" w:firstLineChars="200"/>
        <w:jc w:val="left"/>
        <w:rPr>
          <w:color w:val="000000"/>
          <w:highlight w:val="none"/>
        </w:rPr>
      </w:pPr>
      <w:r>
        <w:rPr>
          <w:color w:val="000000"/>
          <w:highlight w:val="none"/>
        </w:rPr>
        <w:t>9．坑槽的维修</w:t>
      </w:r>
    </w:p>
    <w:p>
      <w:pPr>
        <w:spacing w:line="360" w:lineRule="auto"/>
        <w:ind w:firstLine="420" w:firstLineChars="200"/>
        <w:jc w:val="left"/>
        <w:rPr>
          <w:color w:val="000000"/>
          <w:highlight w:val="none"/>
        </w:rPr>
      </w:pPr>
      <w:r>
        <w:rPr>
          <w:color w:val="000000"/>
          <w:highlight w:val="none"/>
        </w:rPr>
        <w:t>（1）基层完好而面层有坑槽时的维修：</w:t>
      </w:r>
    </w:p>
    <w:p>
      <w:pPr>
        <w:spacing w:line="360" w:lineRule="auto"/>
        <w:ind w:firstLine="420" w:firstLineChars="200"/>
        <w:jc w:val="left"/>
        <w:rPr>
          <w:color w:val="000000"/>
          <w:highlight w:val="none"/>
        </w:rPr>
      </w:pPr>
      <w:r>
        <w:rPr>
          <w:color w:val="000000"/>
          <w:highlight w:val="none"/>
        </w:rPr>
        <w:t>a．按</w:t>
      </w:r>
      <w:r>
        <w:rPr>
          <w:rFonts w:hint="eastAsia"/>
          <w:color w:val="000000"/>
          <w:highlight w:val="none"/>
        </w:rPr>
        <w:t>“</w:t>
      </w:r>
      <w:r>
        <w:rPr>
          <w:color w:val="000000"/>
          <w:highlight w:val="none"/>
        </w:rPr>
        <w:t>圆洞方补、斜洞正补</w:t>
      </w:r>
      <w:r>
        <w:rPr>
          <w:rFonts w:hint="eastAsia"/>
          <w:color w:val="000000"/>
          <w:highlight w:val="none"/>
        </w:rPr>
        <w:t>、湿</w:t>
      </w:r>
      <w:r>
        <w:rPr>
          <w:color w:val="000000"/>
          <w:highlight w:val="none"/>
        </w:rPr>
        <w:t>洞</w:t>
      </w:r>
      <w:r>
        <w:rPr>
          <w:rFonts w:hint="eastAsia"/>
          <w:color w:val="000000"/>
          <w:highlight w:val="none"/>
        </w:rPr>
        <w:t>干</w:t>
      </w:r>
      <w:r>
        <w:rPr>
          <w:color w:val="000000"/>
          <w:highlight w:val="none"/>
        </w:rPr>
        <w:t>补</w:t>
      </w:r>
      <w:r>
        <w:rPr>
          <w:rFonts w:hint="eastAsia"/>
          <w:color w:val="000000"/>
          <w:highlight w:val="none"/>
        </w:rPr>
        <w:t>、雨填晴补”</w:t>
      </w:r>
      <w:r>
        <w:rPr>
          <w:color w:val="000000"/>
          <w:highlight w:val="none"/>
        </w:rPr>
        <w:t>的原则，划出所需修补坑槽的轮廓线；</w:t>
      </w:r>
    </w:p>
    <w:p>
      <w:pPr>
        <w:spacing w:line="360" w:lineRule="auto"/>
        <w:ind w:firstLine="420" w:firstLineChars="200"/>
        <w:jc w:val="left"/>
        <w:rPr>
          <w:color w:val="000000"/>
          <w:highlight w:val="none"/>
        </w:rPr>
      </w:pPr>
      <w:r>
        <w:rPr>
          <w:color w:val="000000"/>
          <w:highlight w:val="none"/>
        </w:rPr>
        <w:t>b．沿所划轮廓线开凿至坑底稳定部分，其深度不得小于原坑槽的最大深度；</w:t>
      </w:r>
    </w:p>
    <w:p>
      <w:pPr>
        <w:spacing w:line="360" w:lineRule="auto"/>
        <w:ind w:firstLine="420" w:firstLineChars="200"/>
        <w:jc w:val="left"/>
        <w:rPr>
          <w:color w:val="000000"/>
          <w:highlight w:val="none"/>
        </w:rPr>
      </w:pPr>
      <w:r>
        <w:rPr>
          <w:color w:val="000000"/>
          <w:highlight w:val="none"/>
        </w:rPr>
        <w:t>c．清除槽底、槽壁的松动部分及粉尘、杂物，并涂刷黏层沥青；</w:t>
      </w:r>
    </w:p>
    <w:p>
      <w:pPr>
        <w:spacing w:line="360" w:lineRule="auto"/>
        <w:ind w:firstLine="420" w:firstLineChars="200"/>
        <w:jc w:val="left"/>
        <w:rPr>
          <w:color w:val="000000"/>
          <w:highlight w:val="none"/>
        </w:rPr>
      </w:pPr>
      <w:r>
        <w:rPr>
          <w:color w:val="000000"/>
          <w:highlight w:val="none"/>
        </w:rPr>
        <w:t>d．填入沥青混合料（在潮湿或低温季节，宜采用乳化沥青拌制的混合料）并整平；</w:t>
      </w:r>
    </w:p>
    <w:p>
      <w:pPr>
        <w:spacing w:line="360" w:lineRule="auto"/>
        <w:ind w:firstLine="420" w:firstLineChars="200"/>
        <w:jc w:val="left"/>
        <w:rPr>
          <w:color w:val="000000"/>
          <w:highlight w:val="none"/>
        </w:rPr>
      </w:pPr>
      <w:r>
        <w:rPr>
          <w:color w:val="000000"/>
          <w:highlight w:val="none"/>
        </w:rPr>
        <w:t>e．用小型压实机具或铁制手夯将填补好的部分压（夯）实。新填补的部分应略高于原路面。如坑槽较深（7cm以上），应将沥青混合料分两次或三次摊铺和压实；</w:t>
      </w:r>
    </w:p>
    <w:p>
      <w:pPr>
        <w:spacing w:line="360" w:lineRule="auto"/>
        <w:ind w:firstLine="420" w:firstLineChars="200"/>
        <w:jc w:val="left"/>
        <w:rPr>
          <w:color w:val="000000"/>
          <w:highlight w:val="none"/>
        </w:rPr>
      </w:pPr>
      <w:r>
        <w:rPr>
          <w:color w:val="000000"/>
          <w:highlight w:val="none"/>
        </w:rPr>
        <w:t>（2）热补法修补。采用热补养护车，将加热板加热坑槽处路面，翻松被加热铺装层，喷洒乳化沥青，加入新的沥青混合料，然后搅拌摊铺，压路机压实成型。</w:t>
      </w:r>
    </w:p>
    <w:p>
      <w:pPr>
        <w:spacing w:line="360" w:lineRule="auto"/>
        <w:ind w:firstLine="420" w:firstLineChars="200"/>
        <w:jc w:val="left"/>
        <w:rPr>
          <w:color w:val="000000"/>
          <w:highlight w:val="none"/>
        </w:rPr>
      </w:pPr>
      <w:r>
        <w:rPr>
          <w:color w:val="000000"/>
          <w:highlight w:val="none"/>
        </w:rPr>
        <w:t>上面层产生的坑槽：通常深度为2～4cm，坑槽面积小于1m2，这类坑槽的修补可不对面层进行处理，直接采用热补养护车热再生；</w:t>
      </w:r>
    </w:p>
    <w:p>
      <w:pPr>
        <w:spacing w:line="360" w:lineRule="auto"/>
        <w:ind w:firstLine="420" w:firstLineChars="200"/>
        <w:jc w:val="left"/>
        <w:rPr>
          <w:color w:val="000000"/>
          <w:highlight w:val="none"/>
        </w:rPr>
      </w:pPr>
      <w:r>
        <w:rPr>
          <w:color w:val="000000"/>
          <w:highlight w:val="none"/>
        </w:rPr>
        <w:t>上面层及中面层同时产生的坑槽：深度为4～10cm，坑槽面积为1～2m2，这类坑槽的修补因辐射加热深度有限，会出现上面层过热，而中下面层沥青料加热不足的情况，故需先用风镐对病害路面及周围切割成矩形，并用压缩空气将槽底、壁清理干净后，用加热板加热3～5分钟，烘烤到边缘软化后进行修复，避免弱接缝的产生。</w:t>
      </w:r>
    </w:p>
    <w:p>
      <w:pPr>
        <w:spacing w:line="360" w:lineRule="auto"/>
        <w:ind w:firstLine="420" w:firstLineChars="200"/>
        <w:jc w:val="left"/>
        <w:rPr>
          <w:color w:val="000000"/>
          <w:highlight w:val="none"/>
        </w:rPr>
      </w:pPr>
      <w:r>
        <w:rPr>
          <w:color w:val="000000"/>
          <w:highlight w:val="none"/>
        </w:rPr>
        <w:t>（</w:t>
      </w:r>
      <w:r>
        <w:rPr>
          <w:rFonts w:hint="eastAsia"/>
          <w:color w:val="000000"/>
          <w:highlight w:val="none"/>
        </w:rPr>
        <w:t>3</w:t>
      </w:r>
      <w:r>
        <w:rPr>
          <w:color w:val="000000"/>
          <w:highlight w:val="none"/>
        </w:rPr>
        <w:t>）路段在低温寒冷或阴雨连绵的季节，无法采用常规方法，也无条件采用合适的材料修补坑槽时，为防止坑槽面积的扩大，可采取临时性的措施对坑槽予以处治，待天气好转后再按规范要求重新修补。</w:t>
      </w:r>
    </w:p>
    <w:p>
      <w:pPr>
        <w:spacing w:line="360" w:lineRule="auto"/>
        <w:ind w:firstLine="420" w:firstLineChars="200"/>
        <w:jc w:val="left"/>
        <w:rPr>
          <w:color w:val="000000"/>
          <w:highlight w:val="none"/>
        </w:rPr>
      </w:pPr>
      <w:r>
        <w:rPr>
          <w:color w:val="000000"/>
          <w:highlight w:val="none"/>
        </w:rPr>
        <w:t>（4）若因基层局部强度不足等使基层破坏而形成坑槽，应按照第302.03-3（4）项的要求先处治基层，再修复面层。</w:t>
      </w:r>
    </w:p>
    <w:p>
      <w:pPr>
        <w:spacing w:line="360" w:lineRule="auto"/>
        <w:ind w:firstLine="420" w:firstLineChars="200"/>
        <w:jc w:val="left"/>
        <w:rPr>
          <w:color w:val="000000"/>
          <w:highlight w:val="none"/>
        </w:rPr>
      </w:pPr>
      <w:r>
        <w:rPr>
          <w:color w:val="000000"/>
          <w:highlight w:val="none"/>
        </w:rPr>
        <w:t>10．泛油的维修</w:t>
      </w:r>
    </w:p>
    <w:p>
      <w:pPr>
        <w:spacing w:line="360" w:lineRule="auto"/>
        <w:ind w:firstLine="420" w:firstLineChars="200"/>
        <w:jc w:val="left"/>
        <w:rPr>
          <w:color w:val="000000"/>
          <w:highlight w:val="none"/>
        </w:rPr>
      </w:pPr>
      <w:r>
        <w:rPr>
          <w:color w:val="000000"/>
          <w:highlight w:val="none"/>
        </w:rPr>
        <w:t>（1）只有轻微泛油的路段，可撒上3～5mm粒径的石屑或粗砂，并用压路机或控制行车碾压。</w:t>
      </w:r>
    </w:p>
    <w:p>
      <w:pPr>
        <w:spacing w:line="360" w:lineRule="auto"/>
        <w:ind w:firstLine="420" w:firstLineChars="200"/>
        <w:jc w:val="left"/>
        <w:rPr>
          <w:color w:val="000000"/>
          <w:highlight w:val="none"/>
        </w:rPr>
      </w:pPr>
      <w:r>
        <w:rPr>
          <w:color w:val="000000"/>
          <w:highlight w:val="none"/>
        </w:rPr>
        <w:t>（2）泛油较重的路段，可先撒5～10mm粒径的碎石，用压路机碾压。待稳定后，再撒3～5mm粒径的石屑或粗砂，并用压路机或控制行车碾压。</w:t>
      </w:r>
    </w:p>
    <w:p>
      <w:pPr>
        <w:spacing w:line="360" w:lineRule="auto"/>
        <w:ind w:firstLine="420" w:firstLineChars="200"/>
        <w:jc w:val="left"/>
        <w:rPr>
          <w:color w:val="000000"/>
          <w:highlight w:val="none"/>
        </w:rPr>
      </w:pPr>
      <w:r>
        <w:rPr>
          <w:color w:val="000000"/>
          <w:highlight w:val="none"/>
        </w:rPr>
        <w:t>（3）面层含油量高，且已形成软层的严重泛油路段，可视情况采用下述方法之一进行处治：</w:t>
      </w:r>
    </w:p>
    <w:p>
      <w:pPr>
        <w:spacing w:line="360" w:lineRule="auto"/>
        <w:ind w:firstLine="420" w:firstLineChars="200"/>
        <w:jc w:val="left"/>
        <w:rPr>
          <w:color w:val="000000"/>
          <w:highlight w:val="none"/>
        </w:rPr>
      </w:pPr>
      <w:r>
        <w:rPr>
          <w:color w:val="000000"/>
          <w:highlight w:val="none"/>
        </w:rPr>
        <w:t>a．先撒一层10～15mm粒径（或更大的）碎石，用压路机将其强行压入路面，待稳定后，再分次撒上5～10mm粒径的碎石，并碾压成型；</w:t>
      </w:r>
    </w:p>
    <w:p>
      <w:pPr>
        <w:spacing w:line="360" w:lineRule="auto"/>
        <w:ind w:firstLine="420" w:firstLineChars="200"/>
        <w:jc w:val="left"/>
        <w:rPr>
          <w:color w:val="000000"/>
          <w:highlight w:val="none"/>
        </w:rPr>
      </w:pPr>
      <w:r>
        <w:rPr>
          <w:color w:val="000000"/>
          <w:highlight w:val="none"/>
        </w:rPr>
        <w:t>b．将含油量过高的软层铣刨清除后，重作面层。</w:t>
      </w:r>
    </w:p>
    <w:p>
      <w:pPr>
        <w:spacing w:line="360" w:lineRule="auto"/>
        <w:ind w:firstLine="420" w:firstLineChars="200"/>
        <w:jc w:val="left"/>
        <w:rPr>
          <w:color w:val="000000"/>
          <w:highlight w:val="none"/>
        </w:rPr>
      </w:pPr>
      <w:r>
        <w:rPr>
          <w:color w:val="000000"/>
          <w:highlight w:val="none"/>
        </w:rPr>
        <w:t>（4）处治泛油应注意以下事项：</w:t>
      </w:r>
    </w:p>
    <w:p>
      <w:pPr>
        <w:spacing w:line="360" w:lineRule="auto"/>
        <w:ind w:firstLine="420" w:firstLineChars="200"/>
        <w:jc w:val="left"/>
        <w:rPr>
          <w:color w:val="000000"/>
          <w:highlight w:val="none"/>
        </w:rPr>
      </w:pPr>
      <w:r>
        <w:rPr>
          <w:color w:val="000000"/>
          <w:highlight w:val="none"/>
        </w:rPr>
        <w:t>a．处治时间应选择在泛油路段已出现全面泛油的高温季节；</w:t>
      </w:r>
    </w:p>
    <w:p>
      <w:pPr>
        <w:spacing w:line="360" w:lineRule="auto"/>
        <w:ind w:firstLine="420" w:firstLineChars="200"/>
        <w:jc w:val="left"/>
        <w:rPr>
          <w:color w:val="000000"/>
          <w:highlight w:val="none"/>
        </w:rPr>
      </w:pPr>
      <w:r>
        <w:rPr>
          <w:color w:val="000000"/>
          <w:highlight w:val="none"/>
        </w:rPr>
        <w:t>b．撒料应顺行车方向撒，先粗后细；做到少撒、薄撒、匀撒、无堆积、无空白；</w:t>
      </w:r>
    </w:p>
    <w:p>
      <w:pPr>
        <w:spacing w:line="360" w:lineRule="auto"/>
        <w:ind w:firstLine="420" w:firstLineChars="200"/>
        <w:jc w:val="left"/>
        <w:rPr>
          <w:color w:val="000000"/>
          <w:highlight w:val="none"/>
        </w:rPr>
      </w:pPr>
      <w:r>
        <w:rPr>
          <w:color w:val="000000"/>
          <w:highlight w:val="none"/>
        </w:rPr>
        <w:t>c．禁止使用含有粉粒的细料；</w:t>
      </w:r>
    </w:p>
    <w:p>
      <w:pPr>
        <w:spacing w:line="360" w:lineRule="auto"/>
        <w:ind w:firstLine="420" w:firstLineChars="200"/>
        <w:jc w:val="left"/>
        <w:rPr>
          <w:color w:val="000000"/>
          <w:highlight w:val="none"/>
        </w:rPr>
      </w:pPr>
      <w:r>
        <w:rPr>
          <w:color w:val="000000"/>
          <w:highlight w:val="none"/>
        </w:rPr>
        <w:t>d．采用压路机或引导行车碾压，使所撒石料均匀压入路面；</w:t>
      </w:r>
    </w:p>
    <w:p>
      <w:pPr>
        <w:spacing w:line="360" w:lineRule="auto"/>
        <w:ind w:firstLine="420" w:firstLineChars="200"/>
        <w:jc w:val="left"/>
        <w:rPr>
          <w:color w:val="000000"/>
          <w:highlight w:val="none"/>
        </w:rPr>
      </w:pPr>
      <w:r>
        <w:rPr>
          <w:color w:val="000000"/>
          <w:highlight w:val="none"/>
        </w:rPr>
        <w:t>e．如采用行车碾压，应及时将飞散的粒料扫回，待泛油稳定后，将多余浮动的石料清扫并回收。</w:t>
      </w:r>
    </w:p>
    <w:p>
      <w:pPr>
        <w:spacing w:line="360" w:lineRule="auto"/>
        <w:ind w:firstLine="420" w:firstLineChars="200"/>
        <w:jc w:val="left"/>
        <w:rPr>
          <w:color w:val="000000"/>
          <w:highlight w:val="none"/>
        </w:rPr>
      </w:pPr>
      <w:r>
        <w:rPr>
          <w:color w:val="000000"/>
          <w:highlight w:val="none"/>
        </w:rPr>
        <w:t>11．脱皮的维修</w:t>
      </w:r>
    </w:p>
    <w:p>
      <w:pPr>
        <w:spacing w:line="360" w:lineRule="auto"/>
        <w:ind w:firstLine="420" w:firstLineChars="200"/>
        <w:jc w:val="left"/>
        <w:rPr>
          <w:color w:val="000000"/>
          <w:highlight w:val="none"/>
        </w:rPr>
      </w:pPr>
      <w:r>
        <w:rPr>
          <w:color w:val="000000"/>
          <w:highlight w:val="none"/>
        </w:rPr>
        <w:t>（1）由于沥青面层与上封层之间黏结不好，或初期养护不良引起的脱皮，应清除已脱落和已松动的部分，再重新做上封层，所做封层的沥青用量及矿料粒径规格应视封层的厚度而定。</w:t>
      </w:r>
    </w:p>
    <w:p>
      <w:pPr>
        <w:spacing w:line="360" w:lineRule="auto"/>
        <w:ind w:firstLine="420" w:firstLineChars="200"/>
        <w:jc w:val="left"/>
        <w:rPr>
          <w:color w:val="000000"/>
          <w:highlight w:val="none"/>
        </w:rPr>
      </w:pPr>
      <w:r>
        <w:rPr>
          <w:color w:val="000000"/>
          <w:highlight w:val="none"/>
        </w:rPr>
        <w:t>（2）如沥青面层层间产生脱皮，应将脱落及松动的部分清除，在下层沥青面上涂刷黏结沥青，并重作沥青层。</w:t>
      </w:r>
    </w:p>
    <w:p>
      <w:pPr>
        <w:spacing w:line="360" w:lineRule="auto"/>
        <w:ind w:firstLine="420" w:firstLineChars="200"/>
        <w:jc w:val="left"/>
        <w:rPr>
          <w:color w:val="000000"/>
          <w:highlight w:val="none"/>
        </w:rPr>
      </w:pPr>
      <w:r>
        <w:rPr>
          <w:color w:val="000000"/>
          <w:highlight w:val="none"/>
        </w:rPr>
        <w:t>（3）面层与基层之间因黏结不良而产生的脱皮，应先清除掉脱落、松动的面层，分析黏结不良的原因。若面层与基层间所含水份较多，应晾晒或烘干；若面层与基层之间夹有泥层，则应将泥沙清除干净，喷洒透层沥青后，重作面层。</w:t>
      </w:r>
    </w:p>
    <w:p>
      <w:pPr>
        <w:spacing w:line="360" w:lineRule="auto"/>
        <w:ind w:firstLine="420" w:firstLineChars="200"/>
        <w:jc w:val="left"/>
        <w:rPr>
          <w:color w:val="000000"/>
          <w:highlight w:val="none"/>
        </w:rPr>
      </w:pPr>
      <w:r>
        <w:rPr>
          <w:color w:val="000000"/>
          <w:highlight w:val="none"/>
        </w:rPr>
        <w:t>12．啃边的维修</w:t>
      </w:r>
    </w:p>
    <w:p>
      <w:pPr>
        <w:spacing w:line="360" w:lineRule="auto"/>
        <w:ind w:firstLine="420" w:firstLineChars="200"/>
        <w:jc w:val="left"/>
        <w:rPr>
          <w:color w:val="000000"/>
          <w:highlight w:val="none"/>
        </w:rPr>
      </w:pPr>
      <w:r>
        <w:rPr>
          <w:color w:val="000000"/>
          <w:highlight w:val="none"/>
        </w:rPr>
        <w:t>（1）因路面边缘沥青面层破损而形成啃边应将破损的沥青面层挖除，在接茬处涂刷适量的黏结沥青，用沥青混合料进行填补，再整平压实。修补啃边后的路面边缘应与原路面边缘齐顺。</w:t>
      </w:r>
    </w:p>
    <w:p>
      <w:pPr>
        <w:spacing w:line="360" w:lineRule="auto"/>
        <w:ind w:firstLine="420" w:firstLineChars="200"/>
        <w:jc w:val="left"/>
        <w:rPr>
          <w:color w:val="000000"/>
          <w:highlight w:val="none"/>
        </w:rPr>
      </w:pPr>
      <w:r>
        <w:rPr>
          <w:color w:val="000000"/>
          <w:highlight w:val="none"/>
        </w:rPr>
        <w:t>（2）因基层松软、沉陷而形成的啃边，应先对路面边缘基层局部加强后再恢复面层。</w:t>
      </w:r>
    </w:p>
    <w:p>
      <w:pPr>
        <w:spacing w:line="360" w:lineRule="auto"/>
        <w:ind w:firstLine="420" w:firstLineChars="200"/>
        <w:jc w:val="left"/>
        <w:rPr>
          <w:color w:val="000000"/>
          <w:highlight w:val="none"/>
        </w:rPr>
      </w:pPr>
      <w:r>
        <w:rPr>
          <w:color w:val="000000"/>
          <w:highlight w:val="none"/>
        </w:rPr>
        <w:t>（3）应加强路肩的养护工作，保持路肩稳定；随时注意填补路肩上的车辙、坑洼或沟槽；经常保持路肩与路面衔接平顺，并保持路肩应有的横坡，以利排水。</w:t>
      </w:r>
    </w:p>
    <w:p>
      <w:pPr>
        <w:spacing w:line="360" w:lineRule="auto"/>
        <w:ind w:firstLine="420" w:firstLineChars="200"/>
        <w:jc w:val="left"/>
        <w:rPr>
          <w:color w:val="000000"/>
          <w:highlight w:val="none"/>
        </w:rPr>
      </w:pPr>
      <w:r>
        <w:rPr>
          <w:color w:val="000000"/>
          <w:highlight w:val="none"/>
        </w:rPr>
        <w:t>（4）为防止路面出现啃边，宜采取以下措施：</w:t>
      </w:r>
    </w:p>
    <w:p>
      <w:pPr>
        <w:spacing w:line="360" w:lineRule="auto"/>
        <w:ind w:firstLine="420" w:firstLineChars="200"/>
        <w:jc w:val="left"/>
        <w:rPr>
          <w:color w:val="000000"/>
          <w:highlight w:val="none"/>
        </w:rPr>
      </w:pPr>
      <w:r>
        <w:rPr>
          <w:color w:val="000000"/>
          <w:highlight w:val="none"/>
        </w:rPr>
        <w:t>a．用砂石、碎砖（瓦）、工业废渣等改善、加固路肩或设硬路肩，使路肩平整、坚实。</w:t>
      </w:r>
    </w:p>
    <w:p>
      <w:pPr>
        <w:spacing w:line="360" w:lineRule="auto"/>
        <w:ind w:firstLine="420" w:firstLineChars="200"/>
        <w:jc w:val="left"/>
        <w:rPr>
          <w:color w:val="000000"/>
          <w:highlight w:val="none"/>
        </w:rPr>
      </w:pPr>
      <w:r>
        <w:rPr>
          <w:color w:val="000000"/>
          <w:highlight w:val="none"/>
        </w:rPr>
        <w:t>b．可在路面边缘增设路缘石，或将路面基层加宽到其面层宽度外20～25cm处。</w:t>
      </w:r>
    </w:p>
    <w:p>
      <w:pPr>
        <w:spacing w:line="360" w:lineRule="auto"/>
        <w:ind w:firstLine="420" w:firstLineChars="200"/>
        <w:jc w:val="left"/>
        <w:rPr>
          <w:color w:val="000000"/>
          <w:highlight w:val="none"/>
        </w:rPr>
      </w:pPr>
      <w:r>
        <w:rPr>
          <w:color w:val="000000"/>
          <w:highlight w:val="none"/>
        </w:rPr>
        <w:t>c．在平交道口或曲线半径较小的路面内侧，可适当加宽路面。</w:t>
      </w:r>
    </w:p>
    <w:p>
      <w:pPr>
        <w:spacing w:line="360" w:lineRule="auto"/>
        <w:ind w:firstLine="420" w:firstLineChars="200"/>
        <w:jc w:val="left"/>
        <w:rPr>
          <w:color w:val="000000"/>
          <w:highlight w:val="none"/>
        </w:rPr>
      </w:pPr>
      <w:r>
        <w:rPr>
          <w:color w:val="000000"/>
          <w:highlight w:val="none"/>
        </w:rPr>
        <w:t>13．桥面沥青铺装的维修</w:t>
      </w:r>
    </w:p>
    <w:p>
      <w:pPr>
        <w:spacing w:line="360" w:lineRule="auto"/>
        <w:ind w:firstLine="420" w:firstLineChars="200"/>
        <w:jc w:val="left"/>
        <w:rPr>
          <w:color w:val="000000"/>
          <w:highlight w:val="none"/>
        </w:rPr>
      </w:pPr>
      <w:r>
        <w:rPr>
          <w:color w:val="000000"/>
          <w:highlight w:val="none"/>
        </w:rPr>
        <w:t>（1）桥面沥青铺装出现的各种病害，经检查确系不是由桥梁结构破坏而引起的沥青面层损坏，应按上述有关病害的处治方法进行。</w:t>
      </w:r>
    </w:p>
    <w:p>
      <w:pPr>
        <w:spacing w:line="360" w:lineRule="auto"/>
        <w:ind w:firstLine="420" w:firstLineChars="200"/>
        <w:jc w:val="left"/>
        <w:rPr>
          <w:rFonts w:hint="eastAsia"/>
          <w:color w:val="000000"/>
          <w:highlight w:val="none"/>
        </w:rPr>
      </w:pPr>
      <w:r>
        <w:rPr>
          <w:color w:val="000000"/>
          <w:highlight w:val="none"/>
        </w:rPr>
        <w:t>（2）当沥青铺装中的防水层破坏时，宜采用与原防水层相同材料与结构予以修复。</w:t>
      </w:r>
    </w:p>
    <w:p>
      <w:pPr>
        <w:spacing w:line="360" w:lineRule="auto"/>
        <w:ind w:firstLine="420" w:firstLineChars="200"/>
        <w:jc w:val="left"/>
        <w:rPr>
          <w:rFonts w:hint="eastAsia"/>
          <w:color w:val="000000"/>
          <w:highlight w:val="none"/>
        </w:rPr>
      </w:pPr>
      <w:r>
        <w:rPr>
          <w:rFonts w:hint="eastAsia"/>
          <w:color w:val="000000"/>
          <w:highlight w:val="none"/>
        </w:rPr>
        <w:t>补充：14.人行道彩砖铺设</w:t>
      </w:r>
    </w:p>
    <w:p>
      <w:pPr>
        <w:spacing w:line="360" w:lineRule="auto"/>
        <w:ind w:firstLine="420" w:firstLineChars="200"/>
        <w:jc w:val="left"/>
        <w:rPr>
          <w:color w:val="000000"/>
          <w:highlight w:val="none"/>
        </w:rPr>
      </w:pPr>
      <w:r>
        <w:rPr>
          <w:rFonts w:hint="eastAsia"/>
          <w:color w:val="000000"/>
          <w:highlight w:val="none"/>
        </w:rPr>
        <w:t>（1）人行道彩砖铺设前用</w:t>
      </w:r>
      <w:r>
        <w:rPr>
          <w:color w:val="000000"/>
          <w:highlight w:val="none"/>
        </w:rPr>
        <w:t>水泥砂浆找平，施工时要严格控制含水量，一般要求是捏起来能成团，便于铺设上层的彩色地面砖。</w:t>
      </w:r>
      <w:r>
        <w:rPr>
          <w:rFonts w:hint="eastAsia"/>
          <w:color w:val="000000"/>
          <w:highlight w:val="none"/>
        </w:rPr>
        <w:t>彩砖</w:t>
      </w:r>
      <w:r>
        <w:rPr>
          <w:color w:val="000000"/>
          <w:highlight w:val="none"/>
        </w:rPr>
        <w:t>铺砌时要求表面湿润，有利于砂浆与地面砖的结合。</w:t>
      </w:r>
    </w:p>
    <w:p>
      <w:pPr>
        <w:spacing w:line="360" w:lineRule="auto"/>
        <w:ind w:firstLine="420" w:firstLineChars="200"/>
        <w:jc w:val="left"/>
        <w:rPr>
          <w:color w:val="000000"/>
          <w:highlight w:val="none"/>
        </w:rPr>
      </w:pPr>
      <w:r>
        <w:rPr>
          <w:rFonts w:hint="eastAsia"/>
          <w:color w:val="000000"/>
          <w:highlight w:val="none"/>
        </w:rPr>
        <w:t>（2）人行道彩砖铺设</w:t>
      </w:r>
      <w:r>
        <w:rPr>
          <w:color w:val="000000"/>
          <w:highlight w:val="none"/>
        </w:rPr>
        <w:t>一般采用“放线定位法”顺序铺砌，板底应紧贴砂浆层，砂浆应饱满、密实，不得有“虚空”现象。</w:t>
      </w:r>
    </w:p>
    <w:p>
      <w:pPr>
        <w:spacing w:line="360" w:lineRule="auto"/>
        <w:ind w:firstLine="420" w:firstLineChars="200"/>
        <w:jc w:val="left"/>
        <w:rPr>
          <w:color w:val="000000"/>
          <w:highlight w:val="none"/>
        </w:rPr>
      </w:pPr>
      <w:r>
        <w:rPr>
          <w:rFonts w:hint="eastAsia"/>
          <w:color w:val="000000"/>
          <w:highlight w:val="none"/>
        </w:rPr>
        <w:t>（3）</w:t>
      </w:r>
      <w:r>
        <w:rPr>
          <w:color w:val="000000"/>
          <w:highlight w:val="none"/>
        </w:rPr>
        <w:t>要经常用3米直尺纵横和斜角方向靠量面层平整度，发现不符合要求的及时整修。</w:t>
      </w:r>
    </w:p>
    <w:p>
      <w:pPr>
        <w:spacing w:line="360" w:lineRule="auto"/>
        <w:ind w:firstLine="420" w:firstLineChars="200"/>
        <w:jc w:val="left"/>
        <w:rPr>
          <w:color w:val="000000"/>
          <w:highlight w:val="none"/>
        </w:rPr>
      </w:pPr>
      <w:r>
        <w:rPr>
          <w:rFonts w:hint="eastAsia"/>
          <w:color w:val="000000"/>
          <w:highlight w:val="none"/>
        </w:rPr>
        <w:t>（4）</w:t>
      </w:r>
      <w:r>
        <w:rPr>
          <w:color w:val="000000"/>
          <w:highlight w:val="none"/>
        </w:rPr>
        <w:t>盲道触感导向块材料的色彩与相邻无触感背景区有明显对比，块材表面为深黄色。</w:t>
      </w:r>
    </w:p>
    <w:p>
      <w:pPr>
        <w:spacing w:line="360" w:lineRule="auto"/>
        <w:ind w:firstLine="420" w:firstLineChars="200"/>
        <w:jc w:val="left"/>
        <w:rPr>
          <w:color w:val="000000"/>
          <w:highlight w:val="none"/>
        </w:rPr>
      </w:pPr>
      <w:r>
        <w:rPr>
          <w:rFonts w:hint="eastAsia"/>
          <w:color w:val="000000"/>
          <w:highlight w:val="none"/>
        </w:rPr>
        <w:t>（5）</w:t>
      </w:r>
      <w:r>
        <w:rPr>
          <w:color w:val="000000"/>
          <w:highlight w:val="none"/>
        </w:rPr>
        <w:t>盲道在缘石尽端处及缘石坡道位置要避开雨水口位置。</w:t>
      </w:r>
    </w:p>
    <w:p>
      <w:pPr>
        <w:spacing w:line="360" w:lineRule="auto"/>
        <w:ind w:firstLine="420" w:firstLineChars="200"/>
        <w:jc w:val="left"/>
        <w:rPr>
          <w:color w:val="000000"/>
          <w:highlight w:val="none"/>
        </w:rPr>
      </w:pPr>
      <w:r>
        <w:rPr>
          <w:rFonts w:hint="eastAsia"/>
          <w:color w:val="000000"/>
          <w:highlight w:val="none"/>
        </w:rPr>
        <w:t>（6）</w:t>
      </w:r>
      <w:r>
        <w:rPr>
          <w:color w:val="000000"/>
          <w:highlight w:val="none"/>
        </w:rPr>
        <w:t>人行道中地下管线井盖与地面接平。</w:t>
      </w:r>
    </w:p>
    <w:p>
      <w:pPr>
        <w:spacing w:line="360" w:lineRule="auto"/>
        <w:ind w:firstLine="420" w:firstLineChars="200"/>
        <w:jc w:val="left"/>
        <w:rPr>
          <w:rFonts w:hint="eastAsia"/>
          <w:color w:val="000000"/>
          <w:highlight w:val="none"/>
        </w:rPr>
      </w:pPr>
      <w:r>
        <w:rPr>
          <w:rFonts w:hint="eastAsia"/>
          <w:color w:val="000000"/>
          <w:highlight w:val="none"/>
        </w:rPr>
        <w:t>（7）</w:t>
      </w:r>
      <w:r>
        <w:rPr>
          <w:color w:val="000000"/>
          <w:highlight w:val="none"/>
        </w:rPr>
        <w:t>美观是彩色地面砖人行道施工质量控制的关键，砖底的水泥砂浆找平层应平整、密实，彩色地面砖完全坐实，上下层结成整体，相邻块紧贴，表面平整，线条挺刮，图案拼装正确</w:t>
      </w:r>
      <w:r>
        <w:rPr>
          <w:rFonts w:hint="eastAsia"/>
          <w:color w:val="000000"/>
          <w:highlight w:val="none"/>
        </w:rPr>
        <w:t>。</w:t>
      </w:r>
    </w:p>
    <w:p>
      <w:pPr>
        <w:spacing w:line="360" w:lineRule="auto"/>
        <w:ind w:firstLine="420" w:firstLineChars="200"/>
        <w:jc w:val="left"/>
        <w:rPr>
          <w:rFonts w:hint="eastAsia"/>
          <w:color w:val="000000"/>
          <w:highlight w:val="none"/>
        </w:rPr>
      </w:pPr>
    </w:p>
    <w:p>
      <w:pPr>
        <w:tabs>
          <w:tab w:val="left" w:pos="3120"/>
        </w:tabs>
        <w:spacing w:line="360" w:lineRule="auto"/>
        <w:rPr>
          <w:rFonts w:hint="eastAsia" w:eastAsia="黑体"/>
          <w:color w:val="000000"/>
          <w:sz w:val="28"/>
          <w:szCs w:val="28"/>
          <w:highlight w:val="none"/>
        </w:rPr>
      </w:pPr>
      <w:r>
        <w:rPr>
          <w:rFonts w:hint="eastAsia" w:eastAsia="黑体"/>
          <w:color w:val="000000"/>
          <w:sz w:val="28"/>
          <w:szCs w:val="28"/>
          <w:highlight w:val="none"/>
        </w:rPr>
        <w:t>302</w:t>
      </w:r>
      <w:r>
        <w:rPr>
          <w:rFonts w:eastAsia="黑体"/>
          <w:color w:val="000000"/>
          <w:sz w:val="28"/>
          <w:szCs w:val="28"/>
          <w:highlight w:val="none"/>
        </w:rPr>
        <w:t>.0</w:t>
      </w:r>
      <w:r>
        <w:rPr>
          <w:rFonts w:hint="eastAsia" w:eastAsia="黑体"/>
          <w:color w:val="000000"/>
          <w:sz w:val="28"/>
          <w:szCs w:val="28"/>
          <w:highlight w:val="none"/>
        </w:rPr>
        <w:t xml:space="preserve">5 </w:t>
      </w:r>
      <w:r>
        <w:rPr>
          <w:rFonts w:eastAsia="黑体"/>
          <w:color w:val="000000"/>
          <w:sz w:val="28"/>
          <w:szCs w:val="28"/>
          <w:highlight w:val="none"/>
        </w:rPr>
        <w:t xml:space="preserve"> </w:t>
      </w:r>
      <w:r>
        <w:rPr>
          <w:rFonts w:hint="eastAsia" w:eastAsia="黑体"/>
          <w:color w:val="000000"/>
          <w:sz w:val="28"/>
          <w:szCs w:val="28"/>
          <w:highlight w:val="none"/>
        </w:rPr>
        <w:t>计量与支付</w:t>
      </w:r>
    </w:p>
    <w:p>
      <w:pPr>
        <w:numPr>
          <w:ilvl w:val="0"/>
          <w:numId w:val="10"/>
        </w:numPr>
        <w:spacing w:line="400" w:lineRule="exact"/>
        <w:ind w:firstLine="420" w:firstLineChars="200"/>
        <w:jc w:val="left"/>
        <w:rPr>
          <w:color w:val="000000"/>
          <w:highlight w:val="none"/>
        </w:rPr>
      </w:pPr>
      <w:r>
        <w:rPr>
          <w:color w:val="000000"/>
          <w:highlight w:val="none"/>
        </w:rPr>
        <w:t>计量</w:t>
      </w:r>
    </w:p>
    <w:p>
      <w:pPr>
        <w:spacing w:line="400" w:lineRule="exact"/>
        <w:jc w:val="left"/>
        <w:rPr>
          <w:rFonts w:hint="eastAsia"/>
          <w:color w:val="000000"/>
          <w:highlight w:val="none"/>
        </w:rPr>
      </w:pPr>
      <w:r>
        <w:rPr>
          <w:rFonts w:hint="eastAsia"/>
          <w:color w:val="000000"/>
          <w:highlight w:val="none"/>
        </w:rPr>
        <w:t xml:space="preserve">    第（1）条修改为：</w:t>
      </w:r>
    </w:p>
    <w:p>
      <w:pPr>
        <w:spacing w:line="400" w:lineRule="exact"/>
        <w:jc w:val="left"/>
        <w:rPr>
          <w:rFonts w:hint="eastAsia"/>
          <w:color w:val="000000"/>
          <w:highlight w:val="none"/>
        </w:rPr>
      </w:pPr>
      <w:r>
        <w:rPr>
          <w:rFonts w:hint="eastAsia"/>
          <w:color w:val="000000"/>
          <w:highlight w:val="none"/>
        </w:rPr>
        <w:t xml:space="preserve">    （1）水泥混凝土路面的破板修复根据混凝土板的碎裂、断角、坑洞及混凝土强度，按破板损坏程度以实际完成的数量按m</w:t>
      </w:r>
      <w:r>
        <w:rPr>
          <w:rFonts w:hint="eastAsia"/>
          <w:color w:val="000000"/>
          <w:highlight w:val="none"/>
          <w:vertAlign w:val="superscript"/>
        </w:rPr>
        <w:t>3</w:t>
      </w:r>
      <w:r>
        <w:rPr>
          <w:rFonts w:hint="eastAsia"/>
          <w:color w:val="000000"/>
          <w:highlight w:val="none"/>
        </w:rPr>
        <w:t>计量，包含一切维修材料，设备台班和人工费，承包人报价时已综合考虑。</w:t>
      </w:r>
    </w:p>
    <w:p>
      <w:pPr>
        <w:spacing w:line="400" w:lineRule="exact"/>
        <w:ind w:firstLine="420" w:firstLineChars="200"/>
        <w:jc w:val="left"/>
        <w:rPr>
          <w:rFonts w:hint="eastAsia"/>
          <w:strike/>
          <w:color w:val="000000"/>
          <w:highlight w:val="none"/>
        </w:rPr>
      </w:pPr>
      <w:r>
        <w:rPr>
          <w:rFonts w:hint="eastAsia"/>
          <w:color w:val="000000"/>
          <w:highlight w:val="none"/>
        </w:rPr>
        <w:t>第（2）条修改为：</w:t>
      </w:r>
    </w:p>
    <w:p>
      <w:pPr>
        <w:spacing w:line="400" w:lineRule="exact"/>
        <w:ind w:firstLine="420" w:firstLineChars="200"/>
        <w:jc w:val="left"/>
        <w:rPr>
          <w:rFonts w:hint="eastAsia"/>
          <w:color w:val="000000"/>
          <w:highlight w:val="none"/>
        </w:rPr>
      </w:pPr>
      <w:r>
        <w:rPr>
          <w:rFonts w:hint="eastAsia"/>
          <w:color w:val="000000"/>
          <w:highlight w:val="none"/>
        </w:rPr>
        <w:t>（2）灌缝胶灌缝以实际施工并经发包人验收合格的工程量以m计量。</w:t>
      </w:r>
    </w:p>
    <w:p>
      <w:pPr>
        <w:spacing w:line="400" w:lineRule="exact"/>
        <w:ind w:firstLine="420" w:firstLineChars="200"/>
        <w:jc w:val="left"/>
        <w:rPr>
          <w:rFonts w:hint="eastAsia"/>
          <w:color w:val="000000"/>
          <w:highlight w:val="none"/>
        </w:rPr>
      </w:pPr>
      <w:r>
        <w:rPr>
          <w:rFonts w:hint="eastAsia"/>
          <w:color w:val="000000"/>
          <w:highlight w:val="none"/>
        </w:rPr>
        <w:t>补充第（4）、（5）、（6）、（7）、（8）、（9）条：</w:t>
      </w:r>
    </w:p>
    <w:p>
      <w:pPr>
        <w:spacing w:line="400" w:lineRule="exact"/>
        <w:ind w:firstLine="420" w:firstLineChars="200"/>
        <w:jc w:val="left"/>
        <w:rPr>
          <w:rFonts w:hint="eastAsia"/>
          <w:color w:val="000000"/>
          <w:highlight w:val="none"/>
        </w:rPr>
      </w:pPr>
      <w:r>
        <w:rPr>
          <w:rFonts w:hint="eastAsia"/>
          <w:color w:val="000000"/>
          <w:highlight w:val="none"/>
        </w:rPr>
        <w:t>（4）沥青混凝土路面修复根据修复面积及沥青混凝土的不同分为</w:t>
      </w:r>
      <w:r>
        <w:rPr>
          <w:rFonts w:hint="eastAsia" w:ascii="宋体" w:hAnsi="宋体" w:cs="宋体"/>
          <w:color w:val="000000"/>
          <w:szCs w:val="21"/>
          <w:highlight w:val="none"/>
        </w:rPr>
        <w:t>沥青混凝土路面小修、沥青混凝土路面大面积小修</w:t>
      </w:r>
      <w:r>
        <w:rPr>
          <w:rFonts w:hint="eastAsia"/>
          <w:color w:val="000000"/>
          <w:highlight w:val="none"/>
        </w:rPr>
        <w:t>，分别以实际施工并经发包人验收合格的工程量按相应细目以m</w:t>
      </w:r>
      <w:r>
        <w:rPr>
          <w:rFonts w:hint="eastAsia"/>
          <w:color w:val="000000"/>
          <w:highlight w:val="none"/>
          <w:vertAlign w:val="superscript"/>
        </w:rPr>
        <w:t>3</w:t>
      </w:r>
      <w:r>
        <w:rPr>
          <w:rFonts w:hint="eastAsia"/>
          <w:color w:val="000000"/>
          <w:highlight w:val="none"/>
        </w:rPr>
        <w:t>计量。</w:t>
      </w:r>
      <w:r>
        <w:rPr>
          <w:rFonts w:hint="eastAsia" w:ascii="宋体" w:hAnsi="宋体" w:cs="宋体"/>
          <w:color w:val="000000"/>
          <w:szCs w:val="21"/>
          <w:highlight w:val="none"/>
        </w:rPr>
        <w:t>沥青混凝土路面大面积小修是指单块50平方米以上或单条线路总面积不少于500平方米的小修。</w:t>
      </w:r>
    </w:p>
    <w:p>
      <w:pPr>
        <w:spacing w:line="400" w:lineRule="exact"/>
        <w:ind w:firstLine="420" w:firstLineChars="200"/>
        <w:jc w:val="left"/>
        <w:rPr>
          <w:rFonts w:hint="eastAsia"/>
          <w:color w:val="000000"/>
          <w:highlight w:val="none"/>
        </w:rPr>
      </w:pPr>
      <w:r>
        <w:rPr>
          <w:rFonts w:hint="eastAsia"/>
          <w:color w:val="000000"/>
          <w:highlight w:val="none"/>
        </w:rPr>
        <w:t>（5）粘层应以实际施工并经发包人验收合格的喷洒面积计算（有多层时应分别计算），以m</w:t>
      </w:r>
      <w:r>
        <w:rPr>
          <w:rFonts w:hint="eastAsia"/>
          <w:color w:val="000000"/>
          <w:highlight w:val="none"/>
          <w:vertAlign w:val="superscript"/>
        </w:rPr>
        <w:t>2</w:t>
      </w:r>
      <w:r>
        <w:rPr>
          <w:rFonts w:hint="eastAsia"/>
          <w:color w:val="000000"/>
          <w:highlight w:val="none"/>
        </w:rPr>
        <w:t>计量。</w:t>
      </w:r>
    </w:p>
    <w:p>
      <w:pPr>
        <w:spacing w:line="400" w:lineRule="exact"/>
        <w:ind w:firstLine="420" w:firstLineChars="200"/>
        <w:jc w:val="left"/>
        <w:rPr>
          <w:rFonts w:hint="eastAsia"/>
          <w:color w:val="000000"/>
          <w:highlight w:val="none"/>
        </w:rPr>
      </w:pPr>
      <w:r>
        <w:rPr>
          <w:rFonts w:hint="eastAsia"/>
          <w:color w:val="000000"/>
          <w:highlight w:val="none"/>
        </w:rPr>
        <w:t>（6）维修用碎石经发包人验收合格的工程量以m</w:t>
      </w:r>
      <w:r>
        <w:rPr>
          <w:rFonts w:hint="eastAsia"/>
          <w:color w:val="000000"/>
          <w:highlight w:val="none"/>
          <w:vertAlign w:val="superscript"/>
        </w:rPr>
        <w:t>3</w:t>
      </w:r>
      <w:r>
        <w:rPr>
          <w:rFonts w:hint="eastAsia"/>
          <w:color w:val="000000"/>
          <w:highlight w:val="none"/>
        </w:rPr>
        <w:t>计量。</w:t>
      </w:r>
    </w:p>
    <w:p>
      <w:pPr>
        <w:spacing w:line="400" w:lineRule="exact"/>
        <w:ind w:firstLine="420" w:firstLineChars="200"/>
        <w:jc w:val="left"/>
        <w:rPr>
          <w:rFonts w:hint="eastAsia"/>
          <w:color w:val="000000"/>
          <w:highlight w:val="none"/>
        </w:rPr>
      </w:pPr>
      <w:r>
        <w:rPr>
          <w:rFonts w:hint="eastAsia"/>
          <w:color w:val="000000"/>
          <w:highlight w:val="none"/>
        </w:rPr>
        <w:t>（7）基层维修以</w:t>
      </w:r>
      <w:r>
        <w:rPr>
          <w:color w:val="000000"/>
          <w:highlight w:val="none"/>
        </w:rPr>
        <w:t>完成的病害种类的面积</w:t>
      </w:r>
      <w:r>
        <w:rPr>
          <w:rFonts w:hint="eastAsia"/>
          <w:color w:val="000000"/>
          <w:highlight w:val="none"/>
        </w:rPr>
        <w:t>以m</w:t>
      </w:r>
      <w:r>
        <w:rPr>
          <w:rFonts w:hint="eastAsia"/>
          <w:color w:val="000000"/>
          <w:highlight w:val="none"/>
          <w:vertAlign w:val="superscript"/>
        </w:rPr>
        <w:t>3</w:t>
      </w:r>
      <w:r>
        <w:rPr>
          <w:rFonts w:hint="eastAsia"/>
          <w:color w:val="000000"/>
          <w:highlight w:val="none"/>
        </w:rPr>
        <w:t>计量。</w:t>
      </w:r>
    </w:p>
    <w:p>
      <w:pPr>
        <w:spacing w:line="400" w:lineRule="exact"/>
        <w:ind w:firstLine="420" w:firstLineChars="200"/>
        <w:jc w:val="left"/>
        <w:rPr>
          <w:rFonts w:hint="eastAsia"/>
          <w:color w:val="000000"/>
          <w:highlight w:val="none"/>
        </w:rPr>
      </w:pPr>
      <w:r>
        <w:rPr>
          <w:rFonts w:hint="eastAsia"/>
          <w:color w:val="000000"/>
          <w:highlight w:val="none"/>
        </w:rPr>
        <w:t>（8）</w:t>
      </w:r>
      <w:r>
        <w:rPr>
          <w:rFonts w:hint="eastAsia" w:ascii="宋体" w:hAnsi="宋体" w:cs="宋体"/>
          <w:color w:val="000000"/>
          <w:szCs w:val="21"/>
          <w:highlight w:val="none"/>
        </w:rPr>
        <w:t>人行道彩砖维修</w:t>
      </w:r>
      <w:r>
        <w:rPr>
          <w:rFonts w:hint="eastAsia"/>
          <w:color w:val="000000"/>
          <w:highlight w:val="none"/>
        </w:rPr>
        <w:t>以实际施工并经发包人验收合格的工程量按相应细目以m</w:t>
      </w:r>
      <w:r>
        <w:rPr>
          <w:rFonts w:hint="eastAsia"/>
          <w:color w:val="000000"/>
          <w:highlight w:val="none"/>
          <w:vertAlign w:val="superscript"/>
        </w:rPr>
        <w:t>2</w:t>
      </w:r>
      <w:r>
        <w:rPr>
          <w:rFonts w:hint="eastAsia"/>
          <w:color w:val="000000"/>
          <w:highlight w:val="none"/>
        </w:rPr>
        <w:t>计量。</w:t>
      </w:r>
    </w:p>
    <w:p>
      <w:pPr>
        <w:spacing w:line="400" w:lineRule="exact"/>
        <w:ind w:firstLine="420" w:firstLineChars="200"/>
        <w:jc w:val="left"/>
        <w:rPr>
          <w:color w:val="000000"/>
          <w:highlight w:val="none"/>
        </w:rPr>
      </w:pPr>
      <w:r>
        <w:rPr>
          <w:rFonts w:hint="eastAsia"/>
          <w:color w:val="000000"/>
          <w:highlight w:val="none"/>
        </w:rPr>
        <w:t>（9）地聚合物注浆以实际施工并经发包人验收合格的灌浆面积按相应细目以m</w:t>
      </w:r>
      <w:r>
        <w:rPr>
          <w:rFonts w:hint="eastAsia"/>
          <w:color w:val="000000"/>
          <w:highlight w:val="none"/>
          <w:vertAlign w:val="superscript"/>
        </w:rPr>
        <w:t>2</w:t>
      </w:r>
      <w:r>
        <w:rPr>
          <w:rFonts w:hint="eastAsia"/>
          <w:color w:val="000000"/>
          <w:highlight w:val="none"/>
        </w:rPr>
        <w:t>计量，要求灌浆深度不小于1.2m。</w:t>
      </w:r>
    </w:p>
    <w:p>
      <w:pPr>
        <w:spacing w:line="400" w:lineRule="exact"/>
        <w:ind w:firstLine="420" w:firstLineChars="200"/>
        <w:jc w:val="left"/>
        <w:outlineLvl w:val="0"/>
        <w:rPr>
          <w:rFonts w:hint="eastAsia"/>
          <w:color w:val="000000"/>
          <w:highlight w:val="none"/>
        </w:rPr>
      </w:pPr>
      <w:bookmarkStart w:id="164" w:name="_Toc465179176"/>
      <w:bookmarkStart w:id="165" w:name="_Toc496620406"/>
      <w:bookmarkStart w:id="166" w:name="_Toc465178815"/>
      <w:bookmarkStart w:id="167" w:name="_Toc22104"/>
      <w:bookmarkStart w:id="168" w:name="_Toc87532001"/>
      <w:bookmarkStart w:id="169" w:name="_Toc435864346"/>
      <w:bookmarkStart w:id="170" w:name="_Toc465178095"/>
      <w:bookmarkStart w:id="171" w:name="_Toc496619707"/>
      <w:r>
        <w:rPr>
          <w:color w:val="000000"/>
          <w:highlight w:val="none"/>
        </w:rPr>
        <w:t>2．支付</w:t>
      </w:r>
      <w:bookmarkEnd w:id="164"/>
      <w:bookmarkEnd w:id="165"/>
      <w:bookmarkEnd w:id="166"/>
      <w:bookmarkEnd w:id="167"/>
      <w:bookmarkEnd w:id="168"/>
      <w:bookmarkEnd w:id="169"/>
      <w:bookmarkEnd w:id="170"/>
      <w:bookmarkEnd w:id="171"/>
    </w:p>
    <w:p>
      <w:pPr>
        <w:spacing w:line="400" w:lineRule="exact"/>
        <w:ind w:firstLine="420" w:firstLineChars="200"/>
        <w:jc w:val="left"/>
        <w:rPr>
          <w:rFonts w:hint="eastAsia" w:ascii="宋体" w:hAnsi="宋体" w:cs="宋体"/>
          <w:color w:val="000000"/>
          <w:szCs w:val="21"/>
          <w:highlight w:val="none"/>
        </w:rPr>
      </w:pPr>
      <w:r>
        <w:rPr>
          <w:rFonts w:ascii="宋体" w:hAnsi="宋体" w:cs="宋体"/>
          <w:color w:val="000000"/>
          <w:szCs w:val="21"/>
          <w:highlight w:val="none"/>
        </w:rPr>
        <w:t>（1）水泥混凝土路面维修以实际完成的</w:t>
      </w:r>
      <w:r>
        <w:rPr>
          <w:rFonts w:hint="eastAsia" w:ascii="宋体" w:hAnsi="宋体" w:cs="宋体"/>
          <w:color w:val="000000"/>
          <w:szCs w:val="21"/>
          <w:highlight w:val="none"/>
        </w:rPr>
        <w:t>体</w:t>
      </w:r>
      <w:r>
        <w:rPr>
          <w:rFonts w:ascii="宋体" w:hAnsi="宋体" w:cs="宋体"/>
          <w:color w:val="000000"/>
          <w:szCs w:val="21"/>
          <w:highlight w:val="none"/>
        </w:rPr>
        <w:t>积，按合同单价计算</w:t>
      </w:r>
      <w:r>
        <w:rPr>
          <w:rFonts w:hint="eastAsia"/>
          <w:color w:val="000000"/>
          <w:highlight w:val="none"/>
        </w:rPr>
        <w:t>按期</w:t>
      </w:r>
      <w:r>
        <w:rPr>
          <w:rFonts w:ascii="宋体" w:hAnsi="宋体" w:cs="宋体"/>
          <w:color w:val="000000"/>
          <w:szCs w:val="21"/>
          <w:highlight w:val="none"/>
        </w:rPr>
        <w:t>支付。此项支付包括施工安全、运行维护，挖、凿破损混凝土，</w:t>
      </w:r>
      <w:r>
        <w:rPr>
          <w:rFonts w:hint="eastAsia" w:ascii="宋体" w:hAnsi="宋体" w:cs="宋体"/>
          <w:color w:val="000000"/>
          <w:szCs w:val="21"/>
          <w:highlight w:val="none"/>
        </w:rPr>
        <w:t>废料外运，</w:t>
      </w:r>
      <w:r>
        <w:rPr>
          <w:rFonts w:ascii="宋体" w:hAnsi="宋体" w:cs="宋体"/>
          <w:color w:val="000000"/>
          <w:szCs w:val="21"/>
          <w:highlight w:val="none"/>
        </w:rPr>
        <w:t>周边凿毛、冲洗、配料、拌和、填筑、捣固、养生等相关作业所必须的费用，是对工程的全部偿付。</w:t>
      </w:r>
    </w:p>
    <w:p>
      <w:pPr>
        <w:spacing w:line="400" w:lineRule="exact"/>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(2)</w:t>
      </w:r>
      <w:r>
        <w:rPr>
          <w:rFonts w:ascii="宋体" w:hAnsi="宋体" w:cs="宋体"/>
          <w:color w:val="000000"/>
          <w:szCs w:val="21"/>
          <w:highlight w:val="none"/>
        </w:rPr>
        <w:t xml:space="preserve"> </w:t>
      </w:r>
      <w:r>
        <w:rPr>
          <w:rFonts w:hint="eastAsia" w:ascii="宋体" w:hAnsi="宋体" w:cs="宋体"/>
          <w:color w:val="000000"/>
          <w:szCs w:val="21"/>
          <w:highlight w:val="none"/>
        </w:rPr>
        <w:t>沥青路面小修、沥青混凝土路面大面积小修</w:t>
      </w:r>
      <w:r>
        <w:rPr>
          <w:rFonts w:ascii="宋体" w:hAnsi="宋体" w:cs="宋体"/>
          <w:color w:val="000000"/>
          <w:szCs w:val="21"/>
          <w:highlight w:val="none"/>
        </w:rPr>
        <w:t>以实际完成的</w:t>
      </w:r>
      <w:r>
        <w:rPr>
          <w:rFonts w:hint="eastAsia" w:ascii="宋体" w:hAnsi="宋体" w:cs="宋体"/>
          <w:color w:val="000000"/>
          <w:szCs w:val="21"/>
          <w:highlight w:val="none"/>
        </w:rPr>
        <w:t>体</w:t>
      </w:r>
      <w:r>
        <w:rPr>
          <w:rFonts w:ascii="宋体" w:hAnsi="宋体" w:cs="宋体"/>
          <w:color w:val="000000"/>
          <w:szCs w:val="21"/>
          <w:highlight w:val="none"/>
        </w:rPr>
        <w:t>积，按合同单价计算</w:t>
      </w:r>
      <w:r>
        <w:rPr>
          <w:rFonts w:hint="eastAsia"/>
          <w:color w:val="000000"/>
          <w:highlight w:val="none"/>
        </w:rPr>
        <w:t>按期</w:t>
      </w:r>
      <w:r>
        <w:rPr>
          <w:rFonts w:ascii="宋体" w:hAnsi="宋体" w:cs="宋体"/>
          <w:color w:val="000000"/>
          <w:szCs w:val="21"/>
          <w:highlight w:val="none"/>
        </w:rPr>
        <w:t>支付。此项支付包括施工安全、运行维护，铣刨，废料外运，清扫，</w:t>
      </w:r>
      <w:r>
        <w:rPr>
          <w:rFonts w:hint="eastAsia" w:ascii="宋体" w:hAnsi="宋体" w:cs="宋体"/>
          <w:color w:val="000000"/>
          <w:szCs w:val="21"/>
          <w:highlight w:val="none"/>
        </w:rPr>
        <w:t>裂</w:t>
      </w:r>
      <w:r>
        <w:rPr>
          <w:rFonts w:ascii="宋体" w:hAnsi="宋体" w:cs="宋体"/>
          <w:color w:val="000000"/>
          <w:szCs w:val="21"/>
          <w:highlight w:val="none"/>
        </w:rPr>
        <w:t>缝</w:t>
      </w:r>
      <w:r>
        <w:rPr>
          <w:rFonts w:hint="eastAsia" w:ascii="宋体" w:hAnsi="宋体" w:cs="宋体"/>
          <w:color w:val="000000"/>
          <w:szCs w:val="21"/>
          <w:highlight w:val="none"/>
        </w:rPr>
        <w:t>封闭，沥青切割封边，沥青混合料的制备及其拌和、运输</w:t>
      </w:r>
      <w:r>
        <w:rPr>
          <w:rFonts w:ascii="宋体" w:hAnsi="宋体" w:cs="宋体"/>
          <w:color w:val="000000"/>
          <w:szCs w:val="21"/>
          <w:highlight w:val="none"/>
        </w:rPr>
        <w:t>，摊铺，碾压，养生，清理现场等相关作业所必须的费用，是对工程的全部偿付</w:t>
      </w:r>
      <w:r>
        <w:rPr>
          <w:rFonts w:hint="eastAsia" w:ascii="宋体" w:hAnsi="宋体" w:cs="宋体"/>
          <w:color w:val="000000"/>
          <w:szCs w:val="21"/>
          <w:highlight w:val="none"/>
        </w:rPr>
        <w:t>，其中计量验收未完成封边不予计量</w:t>
      </w:r>
      <w:r>
        <w:rPr>
          <w:rFonts w:ascii="宋体" w:hAnsi="宋体" w:cs="宋体"/>
          <w:color w:val="000000"/>
          <w:szCs w:val="21"/>
          <w:highlight w:val="none"/>
        </w:rPr>
        <w:t>。</w:t>
      </w:r>
    </w:p>
    <w:p>
      <w:pPr>
        <w:spacing w:line="400" w:lineRule="exact"/>
        <w:ind w:firstLine="420" w:firstLineChars="200"/>
        <w:jc w:val="left"/>
        <w:rPr>
          <w:rFonts w:hint="eastAsia"/>
          <w:color w:val="000000"/>
          <w:highlight w:val="none"/>
        </w:rPr>
      </w:pPr>
      <w:r>
        <w:rPr>
          <w:rFonts w:ascii="宋体" w:hAnsi="宋体" w:cs="宋体"/>
          <w:color w:val="000000"/>
          <w:szCs w:val="21"/>
          <w:highlight w:val="none"/>
        </w:rPr>
        <w:t>（</w:t>
      </w:r>
      <w:r>
        <w:rPr>
          <w:rFonts w:hint="eastAsia" w:ascii="宋体" w:hAnsi="宋体" w:cs="宋体"/>
          <w:color w:val="000000"/>
          <w:szCs w:val="21"/>
          <w:highlight w:val="none"/>
        </w:rPr>
        <w:t>3</w:t>
      </w:r>
      <w:r>
        <w:rPr>
          <w:rFonts w:ascii="宋体" w:hAnsi="宋体" w:cs="宋体"/>
          <w:color w:val="000000"/>
          <w:szCs w:val="21"/>
          <w:highlight w:val="none"/>
        </w:rPr>
        <w:t>）裂缝灌缝按实际施工完成的缝的长度，按合同单价计算</w:t>
      </w:r>
      <w:r>
        <w:rPr>
          <w:rFonts w:hint="eastAsia"/>
          <w:color w:val="000000"/>
          <w:highlight w:val="none"/>
        </w:rPr>
        <w:t>按期</w:t>
      </w:r>
      <w:r>
        <w:rPr>
          <w:rFonts w:ascii="宋体" w:hAnsi="宋体" w:cs="宋体"/>
          <w:color w:val="000000"/>
          <w:szCs w:val="21"/>
          <w:highlight w:val="none"/>
        </w:rPr>
        <w:t>支付。此项支付包括施工安全、运行维护，清扫裂缝，熬油，运输，喷灯加温，灌缝，撒砂填充，熨平，清理现场等相关作业所必须的费用，是对工程的全部偿付。</w:t>
      </w:r>
      <w:r>
        <w:rPr>
          <w:rFonts w:hint="eastAsia"/>
          <w:color w:val="000000"/>
          <w:highlight w:val="none"/>
        </w:rPr>
        <w:t>其中灌缝设备由发包人提供，费用由承包人在报价时综合考虑。</w:t>
      </w:r>
    </w:p>
    <w:p>
      <w:pPr>
        <w:spacing w:line="400" w:lineRule="exact"/>
        <w:ind w:firstLine="420" w:firstLineChars="200"/>
        <w:jc w:val="left"/>
        <w:rPr>
          <w:rFonts w:hint="eastAsia" w:ascii="宋体" w:hAnsi="宋体" w:cs="宋体"/>
          <w:color w:val="000000"/>
          <w:szCs w:val="21"/>
          <w:highlight w:val="none"/>
        </w:rPr>
      </w:pPr>
      <w:r>
        <w:rPr>
          <w:rFonts w:ascii="宋体" w:hAnsi="宋体" w:cs="宋体"/>
          <w:color w:val="000000"/>
          <w:szCs w:val="21"/>
          <w:highlight w:val="none"/>
        </w:rPr>
        <w:t>（</w:t>
      </w:r>
      <w:r>
        <w:rPr>
          <w:rFonts w:hint="eastAsia" w:ascii="宋体" w:hAnsi="宋体" w:cs="宋体"/>
          <w:color w:val="000000"/>
          <w:szCs w:val="21"/>
          <w:highlight w:val="none"/>
        </w:rPr>
        <w:t>4</w:t>
      </w:r>
      <w:r>
        <w:rPr>
          <w:rFonts w:ascii="宋体" w:hAnsi="宋体" w:cs="宋体"/>
          <w:color w:val="000000"/>
          <w:szCs w:val="21"/>
          <w:highlight w:val="none"/>
        </w:rPr>
        <w:t>）</w:t>
      </w:r>
      <w:r>
        <w:rPr>
          <w:rFonts w:hint="eastAsia" w:ascii="宋体" w:hAnsi="宋体" w:cs="宋体"/>
          <w:color w:val="000000"/>
          <w:szCs w:val="21"/>
          <w:highlight w:val="none"/>
        </w:rPr>
        <w:t>维修用</w:t>
      </w:r>
      <w:r>
        <w:rPr>
          <w:rFonts w:hint="eastAsia"/>
          <w:color w:val="000000"/>
          <w:highlight w:val="none"/>
        </w:rPr>
        <w:t>碎石</w:t>
      </w:r>
      <w:r>
        <w:rPr>
          <w:rFonts w:ascii="宋体" w:hAnsi="宋体" w:cs="宋体"/>
          <w:color w:val="000000"/>
          <w:szCs w:val="21"/>
          <w:highlight w:val="none"/>
        </w:rPr>
        <w:t>以实际完成的</w:t>
      </w:r>
      <w:r>
        <w:rPr>
          <w:rFonts w:hint="eastAsia" w:ascii="宋体" w:hAnsi="宋体" w:cs="宋体"/>
          <w:color w:val="000000"/>
          <w:szCs w:val="21"/>
          <w:highlight w:val="none"/>
        </w:rPr>
        <w:t>体</w:t>
      </w:r>
      <w:r>
        <w:rPr>
          <w:rFonts w:ascii="宋体" w:hAnsi="宋体" w:cs="宋体"/>
          <w:color w:val="000000"/>
          <w:szCs w:val="21"/>
          <w:highlight w:val="none"/>
        </w:rPr>
        <w:t>积，按合同单价计算</w:t>
      </w:r>
      <w:r>
        <w:rPr>
          <w:rFonts w:hint="eastAsia"/>
          <w:color w:val="000000"/>
          <w:highlight w:val="none"/>
        </w:rPr>
        <w:t>按期</w:t>
      </w:r>
      <w:r>
        <w:rPr>
          <w:rFonts w:ascii="宋体" w:hAnsi="宋体" w:cs="宋体"/>
          <w:color w:val="000000"/>
          <w:szCs w:val="21"/>
          <w:highlight w:val="none"/>
        </w:rPr>
        <w:t>支付。此项支付包括施工安全、运行维护，</w:t>
      </w:r>
      <w:r>
        <w:rPr>
          <w:rFonts w:hint="eastAsia" w:ascii="宋体" w:hAnsi="宋体" w:cs="宋体"/>
          <w:color w:val="000000"/>
          <w:szCs w:val="21"/>
          <w:highlight w:val="none"/>
        </w:rPr>
        <w:t>病害部位的开槽、挖除、清底</w:t>
      </w:r>
      <w:r>
        <w:rPr>
          <w:rFonts w:ascii="宋体" w:hAnsi="宋体" w:cs="宋体"/>
          <w:color w:val="000000"/>
          <w:szCs w:val="21"/>
          <w:highlight w:val="none"/>
        </w:rPr>
        <w:t>，废料外运，配料，铺筑，</w:t>
      </w:r>
      <w:r>
        <w:rPr>
          <w:rFonts w:hint="eastAsia" w:ascii="宋体" w:hAnsi="宋体" w:cs="宋体"/>
          <w:color w:val="000000"/>
          <w:szCs w:val="21"/>
          <w:highlight w:val="none"/>
        </w:rPr>
        <w:t>摊平、压实</w:t>
      </w:r>
      <w:r>
        <w:rPr>
          <w:rFonts w:ascii="宋体" w:hAnsi="宋体" w:cs="宋体"/>
          <w:color w:val="000000"/>
          <w:szCs w:val="21"/>
          <w:highlight w:val="none"/>
        </w:rPr>
        <w:t>，清理现场等相关作业所必须的费用，是对工程的全部偿付。</w:t>
      </w:r>
    </w:p>
    <w:p>
      <w:pPr>
        <w:spacing w:line="400" w:lineRule="exact"/>
        <w:ind w:firstLine="420" w:firstLineChars="200"/>
        <w:jc w:val="left"/>
        <w:rPr>
          <w:rFonts w:hint="eastAsia" w:ascii="宋体" w:hAnsi="宋体" w:cs="宋体"/>
          <w:color w:val="000000"/>
          <w:szCs w:val="21"/>
          <w:highlight w:val="none"/>
        </w:rPr>
      </w:pPr>
      <w:r>
        <w:rPr>
          <w:rFonts w:ascii="宋体" w:hAnsi="宋体" w:cs="宋体"/>
          <w:color w:val="000000"/>
          <w:szCs w:val="21"/>
          <w:highlight w:val="none"/>
        </w:rPr>
        <w:t>（</w:t>
      </w:r>
      <w:r>
        <w:rPr>
          <w:rFonts w:hint="eastAsia" w:ascii="宋体" w:hAnsi="宋体" w:cs="宋体"/>
          <w:color w:val="000000"/>
          <w:szCs w:val="21"/>
          <w:highlight w:val="none"/>
        </w:rPr>
        <w:t>5</w:t>
      </w:r>
      <w:r>
        <w:rPr>
          <w:rFonts w:ascii="宋体" w:hAnsi="宋体" w:cs="宋体"/>
          <w:color w:val="000000"/>
          <w:szCs w:val="21"/>
          <w:highlight w:val="none"/>
        </w:rPr>
        <w:t>）</w:t>
      </w:r>
      <w:r>
        <w:rPr>
          <w:rFonts w:hint="eastAsia"/>
          <w:color w:val="000000"/>
          <w:highlight w:val="none"/>
        </w:rPr>
        <w:t>基层维修以</w:t>
      </w:r>
      <w:r>
        <w:rPr>
          <w:rFonts w:ascii="宋体" w:hAnsi="宋体" w:cs="宋体"/>
          <w:color w:val="000000"/>
          <w:szCs w:val="21"/>
          <w:highlight w:val="none"/>
        </w:rPr>
        <w:t>实际施工完成的病害种类的面积，按合同单价计算</w:t>
      </w:r>
      <w:r>
        <w:rPr>
          <w:rFonts w:hint="eastAsia"/>
          <w:color w:val="000000"/>
          <w:highlight w:val="none"/>
        </w:rPr>
        <w:t>按期</w:t>
      </w:r>
      <w:r>
        <w:rPr>
          <w:rFonts w:ascii="宋体" w:hAnsi="宋体" w:cs="宋体"/>
          <w:color w:val="000000"/>
          <w:szCs w:val="21"/>
          <w:highlight w:val="none"/>
        </w:rPr>
        <w:t>支付。此项支付包括施工安全、运行维护，清扫，整平路面，洒水，配料，拌和，铺筑，养生，清理现场等相关作业所必须的费用，是对工程的全部偿付。</w:t>
      </w:r>
    </w:p>
    <w:p>
      <w:pPr>
        <w:spacing w:line="400" w:lineRule="exact"/>
        <w:ind w:firstLine="420" w:firstLineChars="200"/>
        <w:jc w:val="left"/>
        <w:rPr>
          <w:rFonts w:ascii="宋体" w:hAnsi="宋体" w:cs="宋体"/>
          <w:color w:val="000000"/>
          <w:szCs w:val="21"/>
          <w:highlight w:val="none"/>
        </w:rPr>
      </w:pPr>
      <w:r>
        <w:rPr>
          <w:rFonts w:hint="eastAsia" w:ascii="宋体" w:hAnsi="宋体" w:cs="宋体"/>
          <w:color w:val="000000"/>
          <w:szCs w:val="21"/>
          <w:highlight w:val="none"/>
        </w:rPr>
        <w:t>（6</w:t>
      </w:r>
      <w:r>
        <w:rPr>
          <w:rFonts w:ascii="宋体" w:hAnsi="宋体" w:cs="宋体"/>
          <w:color w:val="000000"/>
          <w:szCs w:val="21"/>
          <w:highlight w:val="none"/>
        </w:rPr>
        <w:t>）</w:t>
      </w:r>
      <w:r>
        <w:rPr>
          <w:rFonts w:hint="eastAsia" w:ascii="宋体" w:hAnsi="宋体" w:cs="宋体"/>
          <w:color w:val="000000"/>
          <w:szCs w:val="21"/>
          <w:highlight w:val="none"/>
        </w:rPr>
        <w:t>人行道彩砖维修</w:t>
      </w:r>
      <w:r>
        <w:rPr>
          <w:rFonts w:hint="eastAsia"/>
          <w:color w:val="000000"/>
          <w:highlight w:val="none"/>
        </w:rPr>
        <w:t>以</w:t>
      </w:r>
      <w:r>
        <w:rPr>
          <w:rFonts w:ascii="宋体" w:hAnsi="宋体" w:cs="宋体"/>
          <w:color w:val="000000"/>
          <w:szCs w:val="21"/>
          <w:highlight w:val="none"/>
        </w:rPr>
        <w:t>实际施工完成的面积，按合同单价计算</w:t>
      </w:r>
      <w:r>
        <w:rPr>
          <w:rFonts w:hint="eastAsia"/>
          <w:color w:val="000000"/>
          <w:highlight w:val="none"/>
        </w:rPr>
        <w:t>按期</w:t>
      </w:r>
      <w:r>
        <w:rPr>
          <w:rFonts w:ascii="宋体" w:hAnsi="宋体" w:cs="宋体"/>
          <w:color w:val="000000"/>
          <w:szCs w:val="21"/>
          <w:highlight w:val="none"/>
        </w:rPr>
        <w:t>支付。此项支付包括施工安全、运行维护，挖</w:t>
      </w:r>
      <w:r>
        <w:rPr>
          <w:rFonts w:hint="eastAsia" w:ascii="宋体" w:hAnsi="宋体" w:cs="宋体"/>
          <w:color w:val="000000"/>
          <w:szCs w:val="21"/>
          <w:highlight w:val="none"/>
        </w:rPr>
        <w:t>除</w:t>
      </w:r>
      <w:r>
        <w:rPr>
          <w:rFonts w:ascii="宋体" w:hAnsi="宋体" w:cs="宋体"/>
          <w:color w:val="000000"/>
          <w:szCs w:val="21"/>
          <w:highlight w:val="none"/>
        </w:rPr>
        <w:t>破损</w:t>
      </w:r>
      <w:r>
        <w:rPr>
          <w:rFonts w:hint="eastAsia" w:ascii="宋体" w:hAnsi="宋体" w:cs="宋体"/>
          <w:color w:val="000000"/>
          <w:szCs w:val="21"/>
          <w:highlight w:val="none"/>
        </w:rPr>
        <w:t>彩砖及基层</w:t>
      </w:r>
      <w:r>
        <w:rPr>
          <w:rFonts w:ascii="宋体" w:hAnsi="宋体" w:cs="宋体"/>
          <w:color w:val="000000"/>
          <w:szCs w:val="21"/>
          <w:highlight w:val="none"/>
        </w:rPr>
        <w:t>，</w:t>
      </w:r>
      <w:r>
        <w:rPr>
          <w:rFonts w:hint="eastAsia" w:ascii="宋体" w:hAnsi="宋体" w:cs="宋体"/>
          <w:color w:val="000000"/>
          <w:szCs w:val="21"/>
          <w:highlight w:val="none"/>
        </w:rPr>
        <w:t>废料外运，</w:t>
      </w:r>
      <w:r>
        <w:rPr>
          <w:rFonts w:ascii="宋体" w:hAnsi="宋体" w:cs="宋体"/>
          <w:color w:val="000000"/>
          <w:szCs w:val="21"/>
          <w:highlight w:val="none"/>
        </w:rPr>
        <w:t>清扫，整平路面，</w:t>
      </w:r>
      <w:r>
        <w:rPr>
          <w:rFonts w:hint="eastAsia" w:ascii="宋体" w:hAnsi="宋体" w:cs="宋体"/>
          <w:color w:val="000000"/>
          <w:szCs w:val="21"/>
          <w:highlight w:val="none"/>
        </w:rPr>
        <w:t>水泥砂浆</w:t>
      </w:r>
      <w:r>
        <w:rPr>
          <w:rFonts w:ascii="宋体" w:hAnsi="宋体" w:cs="宋体"/>
          <w:color w:val="000000"/>
          <w:szCs w:val="21"/>
          <w:highlight w:val="none"/>
        </w:rPr>
        <w:t>拌和，</w:t>
      </w:r>
      <w:r>
        <w:rPr>
          <w:rFonts w:hint="eastAsia" w:ascii="宋体" w:hAnsi="宋体" w:cs="宋体"/>
          <w:color w:val="000000"/>
          <w:szCs w:val="21"/>
          <w:highlight w:val="none"/>
        </w:rPr>
        <w:t>彩砖铺设</w:t>
      </w:r>
      <w:r>
        <w:rPr>
          <w:rFonts w:ascii="宋体" w:hAnsi="宋体" w:cs="宋体"/>
          <w:color w:val="000000"/>
          <w:szCs w:val="21"/>
          <w:highlight w:val="none"/>
        </w:rPr>
        <w:t>，清理现场等相关作业所必须的费用，是对工程的全部偿付。</w:t>
      </w:r>
    </w:p>
    <w:p>
      <w:pPr>
        <w:spacing w:line="400" w:lineRule="exact"/>
        <w:ind w:firstLine="420" w:firstLineChars="200"/>
        <w:jc w:val="left"/>
        <w:rPr>
          <w:rFonts w:hint="eastAsia" w:ascii="宋体" w:hAnsi="宋体" w:cs="宋体"/>
          <w:color w:val="000000"/>
          <w:szCs w:val="21"/>
          <w:highlight w:val="none"/>
        </w:rPr>
      </w:pPr>
      <w:r>
        <w:rPr>
          <w:rFonts w:hint="eastAsia" w:ascii="宋体" w:hAnsi="宋体" w:cs="宋体"/>
          <w:color w:val="000000"/>
          <w:szCs w:val="21"/>
          <w:highlight w:val="none"/>
        </w:rPr>
        <w:t>（7</w:t>
      </w:r>
      <w:r>
        <w:rPr>
          <w:rFonts w:ascii="宋体" w:hAnsi="宋体" w:cs="宋体"/>
          <w:color w:val="000000"/>
          <w:szCs w:val="21"/>
          <w:highlight w:val="none"/>
        </w:rPr>
        <w:t>）</w:t>
      </w:r>
      <w:r>
        <w:rPr>
          <w:rFonts w:hint="eastAsia" w:ascii="宋体" w:hAnsi="宋体" w:cs="宋体"/>
          <w:color w:val="000000"/>
          <w:szCs w:val="21"/>
          <w:highlight w:val="none"/>
        </w:rPr>
        <w:t>地聚合物注浆</w:t>
      </w:r>
      <w:r>
        <w:rPr>
          <w:rFonts w:hint="eastAsia"/>
          <w:color w:val="000000"/>
          <w:highlight w:val="none"/>
        </w:rPr>
        <w:t>以</w:t>
      </w:r>
      <w:r>
        <w:rPr>
          <w:rFonts w:ascii="宋体" w:hAnsi="宋体" w:cs="宋体"/>
          <w:color w:val="000000"/>
          <w:szCs w:val="21"/>
          <w:highlight w:val="none"/>
        </w:rPr>
        <w:t>实际施工完成</w:t>
      </w:r>
      <w:r>
        <w:rPr>
          <w:rFonts w:hint="eastAsia" w:ascii="宋体" w:hAnsi="宋体" w:cs="宋体"/>
          <w:color w:val="000000"/>
          <w:szCs w:val="21"/>
          <w:highlight w:val="none"/>
        </w:rPr>
        <w:t>灌浆</w:t>
      </w:r>
      <w:r>
        <w:rPr>
          <w:rFonts w:ascii="宋体" w:hAnsi="宋体" w:cs="宋体"/>
          <w:color w:val="000000"/>
          <w:szCs w:val="21"/>
          <w:highlight w:val="none"/>
        </w:rPr>
        <w:t>的</w:t>
      </w:r>
      <w:r>
        <w:rPr>
          <w:rFonts w:hint="eastAsia" w:ascii="宋体" w:hAnsi="宋体" w:cs="宋体"/>
          <w:color w:val="000000"/>
          <w:szCs w:val="21"/>
          <w:highlight w:val="none"/>
        </w:rPr>
        <w:t>面积</w:t>
      </w:r>
      <w:r>
        <w:rPr>
          <w:rFonts w:ascii="宋体" w:hAnsi="宋体" w:cs="宋体"/>
          <w:color w:val="000000"/>
          <w:szCs w:val="21"/>
          <w:highlight w:val="none"/>
        </w:rPr>
        <w:t>，按合同单价计算</w:t>
      </w:r>
      <w:r>
        <w:rPr>
          <w:rFonts w:hint="eastAsia"/>
          <w:color w:val="000000"/>
          <w:highlight w:val="none"/>
        </w:rPr>
        <w:t>按期</w:t>
      </w:r>
      <w:r>
        <w:rPr>
          <w:rFonts w:ascii="宋体" w:hAnsi="宋体" w:cs="宋体"/>
          <w:color w:val="000000"/>
          <w:szCs w:val="21"/>
          <w:highlight w:val="none"/>
        </w:rPr>
        <w:t>支付。此项支付包括施工安全、运行维护，</w:t>
      </w:r>
      <w:r>
        <w:rPr>
          <w:rFonts w:hint="eastAsia" w:ascii="宋体" w:hAnsi="宋体" w:cs="宋体"/>
          <w:color w:val="000000"/>
          <w:szCs w:val="21"/>
          <w:highlight w:val="none"/>
        </w:rPr>
        <w:t>钻孔，场地清理，制备地聚合物浆液，清孔，插拔注浆管，压浆，清洗压浆设备，清理现场</w:t>
      </w:r>
      <w:r>
        <w:rPr>
          <w:rFonts w:ascii="宋体" w:hAnsi="宋体" w:cs="宋体"/>
          <w:color w:val="000000"/>
          <w:szCs w:val="21"/>
          <w:highlight w:val="none"/>
        </w:rPr>
        <w:t>等相关作业所必须的费用，是对工程的全部偿付。</w:t>
      </w:r>
    </w:p>
    <w:p>
      <w:pPr>
        <w:spacing w:line="400" w:lineRule="exact"/>
        <w:ind w:firstLine="420" w:firstLineChars="200"/>
        <w:jc w:val="left"/>
        <w:outlineLvl w:val="0"/>
        <w:rPr>
          <w:rFonts w:hint="eastAsia"/>
          <w:color w:val="000000"/>
          <w:highlight w:val="none"/>
        </w:rPr>
      </w:pPr>
      <w:bookmarkStart w:id="172" w:name="_Toc496620407"/>
      <w:bookmarkStart w:id="173" w:name="_Toc465178816"/>
      <w:bookmarkStart w:id="174" w:name="_Toc87532002"/>
      <w:bookmarkStart w:id="175" w:name="_Toc465179177"/>
      <w:bookmarkStart w:id="176" w:name="_Toc435864347"/>
      <w:bookmarkStart w:id="177" w:name="_Toc465178096"/>
      <w:bookmarkStart w:id="178" w:name="_Toc30853"/>
      <w:bookmarkStart w:id="179" w:name="_Toc496619708"/>
      <w:r>
        <w:rPr>
          <w:rFonts w:hint="eastAsia"/>
          <w:color w:val="000000"/>
          <w:highlight w:val="none"/>
        </w:rPr>
        <w:t>3．支付子目</w:t>
      </w:r>
      <w:bookmarkEnd w:id="172"/>
      <w:bookmarkEnd w:id="173"/>
      <w:bookmarkEnd w:id="174"/>
      <w:bookmarkEnd w:id="175"/>
      <w:bookmarkEnd w:id="176"/>
      <w:bookmarkEnd w:id="177"/>
      <w:bookmarkEnd w:id="178"/>
      <w:bookmarkEnd w:id="179"/>
    </w:p>
    <w:bookmarkEnd w:id="149"/>
    <w:bookmarkEnd w:id="150"/>
    <w:bookmarkEnd w:id="151"/>
    <w:tbl>
      <w:tblPr>
        <w:tblStyle w:val="49"/>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8"/>
        <w:gridCol w:w="5685"/>
        <w:gridCol w:w="11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子目号</w:t>
            </w:r>
          </w:p>
        </w:tc>
        <w:tc>
          <w:tcPr>
            <w:tcW w:w="5685"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子目名称</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单 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302</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维修</w:t>
            </w:r>
          </w:p>
        </w:tc>
        <w:tc>
          <w:tcPr>
            <w:tcW w:w="1118"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302-1</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破板修复</w:t>
            </w:r>
          </w:p>
        </w:tc>
        <w:tc>
          <w:tcPr>
            <w:tcW w:w="1118"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-a</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C40混凝土修复</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-b</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沥青混凝土路面局部小修（AC-13C)</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-c</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沥青混凝土路面大面积小修</w:t>
            </w:r>
          </w:p>
        </w:tc>
        <w:tc>
          <w:tcPr>
            <w:tcW w:w="1118"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-c1</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普通热拌沥青混凝土（AC-13C)</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-c2</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普通热拌沥青混凝土(AC-20C)</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-c3</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普通热拌沥青混凝土(ATB-25)</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-c4</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改性沥青混凝土(AC-13C SBS)</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-c5</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改性沥青混凝土(SMA-13）</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-d</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乳化沥青粘层</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302-2</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地聚合物注浆</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303</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沥青混凝土路面维修</w:t>
            </w:r>
          </w:p>
        </w:tc>
        <w:tc>
          <w:tcPr>
            <w:tcW w:w="1118"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303-1</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纵横向裂缝维修</w:t>
            </w:r>
          </w:p>
        </w:tc>
        <w:tc>
          <w:tcPr>
            <w:tcW w:w="1118"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-a</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裂缝灌缝</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304</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结构物接顺及其它路面维修</w:t>
            </w:r>
          </w:p>
        </w:tc>
        <w:tc>
          <w:tcPr>
            <w:tcW w:w="1118"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304-1</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碎石</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304-3</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基层维修</w:t>
            </w:r>
          </w:p>
        </w:tc>
        <w:tc>
          <w:tcPr>
            <w:tcW w:w="1118"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-a</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5%水泥稳定碎石基层</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-b</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C15素混凝土基层</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304-5</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其他路面维修</w:t>
            </w:r>
          </w:p>
        </w:tc>
        <w:tc>
          <w:tcPr>
            <w:tcW w:w="1118" w:type="dxa"/>
            <w:noWrap w:val="0"/>
            <w:vAlign w:val="center"/>
          </w:tcPr>
          <w:p>
            <w:pPr>
              <w:spacing w:line="240" w:lineRule="exact"/>
              <w:jc w:val="center"/>
              <w:rPr>
                <w:rFonts w:hint="eastAsia" w:ascii="宋体" w:hAnsi="宋体" w:cs="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116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-a</w:t>
            </w:r>
          </w:p>
        </w:tc>
        <w:tc>
          <w:tcPr>
            <w:tcW w:w="5685" w:type="dxa"/>
            <w:noWrap w:val="0"/>
            <w:vAlign w:val="center"/>
          </w:tcPr>
          <w:p>
            <w:pPr>
              <w:spacing w:line="240" w:lineRule="exact"/>
              <w:jc w:val="left"/>
              <w:rPr>
                <w:rFonts w:hint="eastAsia" w:ascii="宋体" w:hAnsi="宋体" w:cs="宋体"/>
                <w:color w:val="000000"/>
                <w:szCs w:val="21"/>
                <w:highlight w:val="none"/>
              </w:rPr>
            </w:pPr>
            <w:r>
              <w:rPr>
                <w:rFonts w:hint="eastAsia" w:ascii="宋体" w:hAnsi="宋体" w:cs="宋体"/>
                <w:color w:val="000000"/>
                <w:szCs w:val="21"/>
                <w:highlight w:val="none"/>
              </w:rPr>
              <w:t>人行道彩砖维修</w:t>
            </w:r>
          </w:p>
        </w:tc>
        <w:tc>
          <w:tcPr>
            <w:tcW w:w="1118" w:type="dxa"/>
            <w:noWrap w:val="0"/>
            <w:vAlign w:val="center"/>
          </w:tcPr>
          <w:p>
            <w:pPr>
              <w:spacing w:line="240" w:lineRule="exact"/>
              <w:jc w:val="center"/>
              <w:rPr>
                <w:rFonts w:hint="eastAsia" w:ascii="宋体" w:hAnsi="宋体" w:cs="宋体"/>
                <w:color w:val="000000"/>
                <w:szCs w:val="21"/>
                <w:highlight w:val="none"/>
              </w:rPr>
            </w:pPr>
            <w:r>
              <w:rPr>
                <w:rFonts w:hint="eastAsia" w:ascii="宋体" w:hAnsi="宋体" w:cs="宋体"/>
                <w:color w:val="000000"/>
                <w:szCs w:val="21"/>
                <w:highlight w:val="none"/>
              </w:rPr>
              <w:t>m2</w:t>
            </w:r>
          </w:p>
        </w:tc>
      </w:tr>
    </w:tbl>
    <w:p>
      <w:pPr>
        <w:spacing w:line="360" w:lineRule="auto"/>
        <w:rPr>
          <w:rFonts w:ascii="Times New Roman" w:hAnsi="Times New Roman"/>
          <w:color w:val="000000"/>
          <w:highlight w:val="none"/>
        </w:rPr>
      </w:pPr>
    </w:p>
    <w:p>
      <w:pPr>
        <w:pStyle w:val="46"/>
        <w:rPr>
          <w:rFonts w:ascii="Times New Roman" w:hAnsi="Times New Roman"/>
          <w:color w:val="000000"/>
          <w:highlight w:val="none"/>
        </w:rPr>
      </w:pPr>
      <w:r>
        <w:rPr>
          <w:rFonts w:ascii="Times New Roman" w:hAnsi="Times New Roman"/>
          <w:b w:val="0"/>
          <w:bCs w:val="0"/>
          <w:color w:val="000000"/>
          <w:highlight w:val="none"/>
        </w:rPr>
        <w:br w:type="page"/>
      </w:r>
      <w:bookmarkStart w:id="180" w:name="_Toc11067540"/>
      <w:r>
        <w:rPr>
          <w:rFonts w:hint="eastAsia" w:ascii="Times New Roman" w:hAnsi="Times New Roman"/>
          <w:color w:val="000000"/>
          <w:highlight w:val="none"/>
        </w:rPr>
        <w:t>第三章</w:t>
      </w:r>
      <w:r>
        <w:rPr>
          <w:rFonts w:ascii="Times New Roman" w:hAnsi="Times New Roman"/>
          <w:color w:val="000000"/>
          <w:highlight w:val="none"/>
        </w:rPr>
        <w:t xml:space="preserve">  </w:t>
      </w:r>
      <w:r>
        <w:rPr>
          <w:rFonts w:hint="eastAsia" w:ascii="Times New Roman" w:hAnsi="Times New Roman"/>
          <w:color w:val="000000"/>
          <w:highlight w:val="none"/>
        </w:rPr>
        <w:t>投标人须知</w:t>
      </w:r>
      <w:bookmarkEnd w:id="180"/>
    </w:p>
    <w:bookmarkEnd w:id="19"/>
    <w:p>
      <w:pPr>
        <w:autoSpaceDE w:val="0"/>
        <w:autoSpaceDN w:val="0"/>
        <w:snapToGrid w:val="0"/>
        <w:spacing w:before="100" w:beforeAutospacing="1" w:line="360" w:lineRule="auto"/>
        <w:jc w:val="center"/>
        <w:textAlignment w:val="bottom"/>
        <w:rPr>
          <w:rFonts w:ascii="Times New Roman" w:hAnsi="Times New Roman"/>
          <w:b/>
          <w:color w:val="000000"/>
          <w:spacing w:val="-4"/>
          <w:szCs w:val="21"/>
          <w:highlight w:val="none"/>
        </w:rPr>
      </w:pPr>
      <w:bookmarkStart w:id="181" w:name="_Toc472064489"/>
      <w:bookmarkStart w:id="182" w:name="_Toc417992873"/>
      <w:r>
        <w:rPr>
          <w:rFonts w:hint="eastAsia" w:ascii="Times New Roman" w:hAnsi="Times New Roman"/>
          <w:b/>
          <w:color w:val="000000"/>
          <w:spacing w:val="-4"/>
          <w:szCs w:val="21"/>
          <w:highlight w:val="none"/>
        </w:rPr>
        <w:t>前附表</w:t>
      </w:r>
      <w:bookmarkEnd w:id="181"/>
      <w:bookmarkEnd w:id="182"/>
    </w:p>
    <w:tbl>
      <w:tblPr>
        <w:tblStyle w:val="4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4"/>
        <w:gridCol w:w="79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bookmarkStart w:id="183" w:name="_Toc177870536"/>
            <w:bookmarkStart w:id="184" w:name="_Toc417992874"/>
            <w:r>
              <w:rPr>
                <w:rFonts w:hint="eastAsia" w:ascii="Times New Roman" w:hAnsi="Times New Roman"/>
                <w:color w:val="000000"/>
                <w:szCs w:val="21"/>
                <w:highlight w:val="none"/>
              </w:rPr>
              <w:t>序号</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2625" w:firstLineChars="1250"/>
              <w:rPr>
                <w:rFonts w:ascii="Times New Roman" w:hAnsi="Times New Roman"/>
                <w:color w:val="000000"/>
                <w:szCs w:val="21"/>
                <w:highlight w:val="none"/>
              </w:rPr>
            </w:pPr>
            <w:r>
              <w:rPr>
                <w:rFonts w:hint="eastAsia" w:ascii="Times New Roman" w:hAnsi="Times New Roman"/>
                <w:color w:val="000000"/>
                <w:szCs w:val="21"/>
                <w:highlight w:val="none"/>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w:t>
            </w:r>
          </w:p>
        </w:tc>
        <w:tc>
          <w:tcPr>
            <w:tcW w:w="7942" w:type="dxa"/>
            <w:tcBorders>
              <w:top w:val="single" w:color="auto" w:sz="4" w:space="0"/>
              <w:left w:val="single" w:color="auto" w:sz="4" w:space="0"/>
              <w:bottom w:val="single" w:color="auto" w:sz="4" w:space="0"/>
              <w:right w:val="single" w:color="auto" w:sz="4" w:space="0"/>
            </w:tcBorders>
            <w:vAlign w:val="center"/>
          </w:tcPr>
          <w:p>
            <w:pPr>
              <w:spacing w:before="120" w:beforeLines="50" w:line="360" w:lineRule="auto"/>
              <w:rPr>
                <w:rFonts w:hint="eastAsia" w:ascii="Times New Roman" w:hAnsi="Times New Roman" w:eastAsia="宋体"/>
                <w:b/>
                <w:color w:val="000000"/>
                <w:szCs w:val="21"/>
                <w:highlight w:val="none"/>
                <w:lang w:eastAsia="zh-CN"/>
              </w:rPr>
            </w:pPr>
            <w:r>
              <w:rPr>
                <w:rFonts w:hint="eastAsia" w:ascii="Times New Roman" w:hAnsi="Times New Roman"/>
                <w:color w:val="000000"/>
                <w:szCs w:val="21"/>
                <w:highlight w:val="none"/>
              </w:rPr>
              <w:t>项目名称：</w:t>
            </w:r>
            <w:r>
              <w:rPr>
                <w:rFonts w:hint="eastAsia" w:ascii="Times New Roman" w:hAnsi="Times New Roman"/>
                <w:color w:val="000000"/>
                <w:szCs w:val="21"/>
                <w:highlight w:val="none"/>
                <w:lang w:eastAsia="zh-CN"/>
              </w:rPr>
              <w:t>2024-2025年度秀洲区公路小修项目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imes New Roman" w:hAnsi="Times New Roman" w:cs="Arial"/>
                <w:bCs/>
                <w:color w:val="000000"/>
                <w:szCs w:val="21"/>
                <w:highlight w:val="none"/>
              </w:rPr>
            </w:pPr>
            <w:r>
              <w:rPr>
                <w:rFonts w:hint="eastAsia" w:ascii="Times New Roman" w:hAnsi="Times New Roman"/>
                <w:color w:val="000000"/>
                <w:szCs w:val="21"/>
                <w:highlight w:val="none"/>
              </w:rPr>
              <w:t>采购内容：</w:t>
            </w:r>
            <w:r>
              <w:rPr>
                <w:rFonts w:hint="eastAsia" w:ascii="Times New Roman" w:hAnsi="Times New Roman" w:cs="Arial"/>
                <w:bCs/>
                <w:color w:val="000000"/>
                <w:szCs w:val="21"/>
                <w:highlight w:val="none"/>
              </w:rPr>
              <w:t>详见第二章招标需求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3</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投标报价及费用：</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1</w:t>
            </w:r>
            <w:r>
              <w:rPr>
                <w:rFonts w:hint="eastAsia" w:ascii="Times New Roman" w:hAnsi="Times New Roman"/>
                <w:color w:val="000000"/>
                <w:szCs w:val="21"/>
                <w:highlight w:val="none"/>
              </w:rPr>
              <w:t>、本项目投标应以人民币报价；</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2</w:t>
            </w:r>
            <w:r>
              <w:rPr>
                <w:rFonts w:hint="eastAsia" w:ascii="Times New Roman" w:hAnsi="Times New Roman"/>
                <w:color w:val="000000"/>
                <w:szCs w:val="21"/>
                <w:highlight w:val="none"/>
              </w:rPr>
              <w:t>、不论投标结果如何，投标人均应自行承担所有与投标有关的全部费用。</w:t>
            </w:r>
            <w:r>
              <w:rPr>
                <w:rFonts w:ascii="Times New Roman" w:hAnsi="Times New Roman"/>
                <w:color w:val="00000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4</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现场踏勘：不组织，投标人如有需要可自行踏勘，自行踏勘的所有费用和风险由投标人承担。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5</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投标文件组成：完整的《投标文件》由</w:t>
            </w:r>
            <w:r>
              <w:rPr>
                <w:rFonts w:hint="eastAsia" w:ascii="Times New Roman" w:hAnsi="Times New Roman"/>
                <w:b/>
                <w:bCs/>
                <w:color w:val="000000"/>
                <w:szCs w:val="21"/>
                <w:highlight w:val="none"/>
              </w:rPr>
              <w:t>资格文件、商务技术文件、报价文件三部份组成。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6</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投标文件的编制：供应商应先安装“政采云电子交易客户端”，并按照本采购文件和“政府采购云平台”的要求，通过“政采云电子交易客户端”编制并加密投标文件。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7</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投标文件的签章：电子签章。本招标文件所涉及到法定代表人或授权人签字或盖章的内容，供应商应盖法定代表人电子签章。若无法定代表人电子签章，可以线下签字或盖章后扫描上传。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8</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投标文件的形式：</w:t>
            </w:r>
            <w:r>
              <w:rPr>
                <w:rFonts w:hint="eastAsia" w:ascii="MS Gothic" w:hAnsi="MS Gothic" w:eastAsia="MS Gothic" w:cs="MS Gothic"/>
                <w:color w:val="000000"/>
                <w:szCs w:val="21"/>
                <w:highlight w:val="none"/>
              </w:rPr>
              <w:t>☑</w:t>
            </w:r>
            <w:r>
              <w:rPr>
                <w:rFonts w:hint="eastAsia" w:ascii="Times New Roman" w:hAnsi="Times New Roman"/>
                <w:color w:val="000000"/>
                <w:szCs w:val="21"/>
                <w:highlight w:val="none"/>
              </w:rPr>
              <w:t>电子投标文件（包括“电子加密投标文件”和“备份投标文件”，在投标文件编制完成后同时生成）；</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）“电子加密投标文件”是指通过“政采云电子交易客户端”完成投标文件编制后生成并加密的数据电文形式的投标文件。</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）“备份投标文件”是指与“电子加密投标文件”同时生成的数据电文形式的电子文件（备份标书），其他方式编制的备份投标文件视为无效备份投标文件。</w:t>
            </w:r>
          </w:p>
          <w:p>
            <w:pPr>
              <w:snapToGrid w:val="0"/>
              <w:spacing w:line="360" w:lineRule="auto"/>
              <w:jc w:val="left"/>
              <w:rPr>
                <w:rFonts w:ascii="Times New Roman" w:hAnsi="Times New Roman"/>
                <w:color w:val="000000"/>
                <w:szCs w:val="21"/>
                <w:highlight w:val="none"/>
              </w:rPr>
            </w:pPr>
            <w:r>
              <w:rPr>
                <w:rFonts w:hint="eastAsia" w:ascii="Times New Roman" w:hAnsi="Times New Roman"/>
                <w:b/>
                <w:bCs/>
                <w:color w:val="000000"/>
                <w:szCs w:val="21"/>
                <w:highlight w:val="none"/>
              </w:rPr>
              <w:t>（</w:t>
            </w:r>
            <w:r>
              <w:rPr>
                <w:rFonts w:ascii="Times New Roman" w:hAnsi="Times New Roman"/>
                <w:b/>
                <w:bCs/>
                <w:color w:val="000000"/>
                <w:szCs w:val="21"/>
                <w:highlight w:val="none"/>
              </w:rPr>
              <w:t>3</w:t>
            </w:r>
            <w:r>
              <w:rPr>
                <w:rFonts w:hint="eastAsia" w:ascii="Times New Roman" w:hAnsi="Times New Roman"/>
                <w:b/>
                <w:bCs/>
                <w:color w:val="000000"/>
                <w:szCs w:val="21"/>
                <w:highlight w:val="none"/>
              </w:rPr>
              <w:t>）备份投标文件制作为非强制性。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9</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276"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投标文件份数：（</w:t>
            </w:r>
            <w:r>
              <w:rPr>
                <w:rFonts w:ascii="Times New Roman" w:hAnsi="Times New Roman"/>
                <w:color w:val="000000"/>
                <w:szCs w:val="21"/>
                <w:highlight w:val="none"/>
              </w:rPr>
              <w:t>1</w:t>
            </w:r>
            <w:r>
              <w:rPr>
                <w:rFonts w:hint="eastAsia" w:ascii="Times New Roman" w:hAnsi="Times New Roman"/>
                <w:color w:val="000000"/>
                <w:szCs w:val="21"/>
                <w:highlight w:val="none"/>
              </w:rPr>
              <w:t>）“电子加密投标文件”：在线上传递交、一份。（</w:t>
            </w:r>
            <w:r>
              <w:rPr>
                <w:rFonts w:ascii="Times New Roman" w:hAnsi="Times New Roman"/>
                <w:color w:val="000000"/>
                <w:szCs w:val="21"/>
                <w:highlight w:val="none"/>
              </w:rPr>
              <w:t>2</w:t>
            </w:r>
            <w:r>
              <w:rPr>
                <w:rFonts w:hint="eastAsia" w:ascii="Times New Roman" w:hAnsi="Times New Roman"/>
                <w:color w:val="000000"/>
                <w:szCs w:val="21"/>
                <w:highlight w:val="none"/>
              </w:rPr>
              <w:t>）“备份投标文件”：密封包装后（邮寄形式）投标截止时间前递交、一份（邮寄地址：</w:t>
            </w:r>
            <w:r>
              <w:rPr>
                <w:rFonts w:hint="eastAsia"/>
                <w:color w:val="000000"/>
                <w:szCs w:val="21"/>
                <w:highlight w:val="none"/>
              </w:rPr>
              <w:t>嘉兴市南湖区富兴路362号1幢14楼招标代理部（江先生，0573-82099738</w:t>
            </w:r>
            <w:r>
              <w:rPr>
                <w:rFonts w:hint="eastAsia" w:ascii="Times New Roman" w:hAnsi="Times New Roman"/>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10</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投标文件的上传和递交：</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）“电子加密投标文件”的上传、递交：</w:t>
            </w:r>
          </w:p>
          <w:p>
            <w:pPr>
              <w:snapToGrid w:val="0"/>
              <w:spacing w:line="360" w:lineRule="auto"/>
              <w:jc w:val="left"/>
              <w:rPr>
                <w:rFonts w:ascii="Times New Roman" w:hAnsi="Times New Roman"/>
                <w:color w:val="000000"/>
                <w:szCs w:val="21"/>
                <w:highlight w:val="none"/>
              </w:rPr>
            </w:pPr>
            <w:r>
              <w:rPr>
                <w:rFonts w:ascii="Times New Roman" w:hAnsi="Times New Roman"/>
                <w:color w:val="000000"/>
                <w:szCs w:val="21"/>
                <w:highlight w:val="none"/>
              </w:rPr>
              <w:t>a.</w:t>
            </w:r>
            <w:r>
              <w:rPr>
                <w:rFonts w:hint="eastAsia" w:ascii="Times New Roman" w:hAnsi="Times New Roman"/>
                <w:color w:val="000000"/>
                <w:szCs w:val="21"/>
                <w:highlight w:val="none"/>
              </w:rPr>
              <w:t>投标供应商应在投标截止时间前将“电子加密投标文件”成功上传递交至“政府采购云平台”，否则投标无效。</w:t>
            </w:r>
          </w:p>
          <w:p>
            <w:pPr>
              <w:snapToGrid w:val="0"/>
              <w:spacing w:line="360" w:lineRule="auto"/>
              <w:jc w:val="left"/>
              <w:rPr>
                <w:rFonts w:ascii="Times New Roman" w:hAnsi="Times New Roman"/>
                <w:color w:val="000000"/>
                <w:szCs w:val="21"/>
                <w:highlight w:val="none"/>
              </w:rPr>
            </w:pPr>
            <w:r>
              <w:rPr>
                <w:rFonts w:ascii="Times New Roman" w:hAnsi="Times New Roman"/>
                <w:color w:val="000000"/>
                <w:szCs w:val="21"/>
                <w:highlight w:val="none"/>
              </w:rPr>
              <w:t>b.</w:t>
            </w:r>
            <w:r>
              <w:rPr>
                <w:rFonts w:hint="eastAsia" w:ascii="Times New Roman" w:hAnsi="Times New Roman"/>
                <w:color w:val="000000"/>
                <w:szCs w:val="21"/>
                <w:highlight w:val="none"/>
              </w:rPr>
              <w:t>“电子加密投标文件”成功上传递交后，供应商可自行打印投标文件接收回执。</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）“备份投标文件”的密封包装、递交：</w:t>
            </w:r>
          </w:p>
          <w:p>
            <w:pPr>
              <w:snapToGrid w:val="0"/>
              <w:spacing w:line="360" w:lineRule="auto"/>
              <w:jc w:val="left"/>
              <w:rPr>
                <w:rFonts w:ascii="Times New Roman" w:hAnsi="Times New Roman"/>
                <w:color w:val="000000"/>
                <w:szCs w:val="21"/>
                <w:highlight w:val="none"/>
              </w:rPr>
            </w:pPr>
            <w:r>
              <w:rPr>
                <w:rFonts w:ascii="Times New Roman" w:hAnsi="Times New Roman"/>
                <w:color w:val="000000"/>
                <w:szCs w:val="21"/>
                <w:highlight w:val="none"/>
              </w:rPr>
              <w:t>a.</w:t>
            </w:r>
            <w:r>
              <w:rPr>
                <w:rFonts w:hint="eastAsia" w:ascii="Times New Roman" w:hAnsi="Times New Roman"/>
                <w:color w:val="000000"/>
                <w:szCs w:val="21"/>
                <w:highlight w:val="none"/>
              </w:rPr>
              <w:t>投标供应商在“政府采购云平台”完成“电子加密投标文件”的上传递交后，还可以（邮寄形式）在投标截止时间前递交以介质（</w:t>
            </w:r>
            <w:r>
              <w:rPr>
                <w:rFonts w:ascii="Times New Roman" w:hAnsi="Times New Roman"/>
                <w:color w:val="000000"/>
                <w:szCs w:val="21"/>
                <w:highlight w:val="none"/>
              </w:rPr>
              <w:t>U</w:t>
            </w:r>
            <w:r>
              <w:rPr>
                <w:rFonts w:hint="eastAsia" w:ascii="Times New Roman" w:hAnsi="Times New Roman"/>
                <w:color w:val="000000"/>
                <w:szCs w:val="21"/>
                <w:highlight w:val="none"/>
              </w:rPr>
              <w:t>盘）存储的</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“备份投标文件”（一份）；</w:t>
            </w:r>
          </w:p>
          <w:p>
            <w:pPr>
              <w:snapToGrid w:val="0"/>
              <w:spacing w:line="360" w:lineRule="auto"/>
              <w:jc w:val="left"/>
              <w:rPr>
                <w:rFonts w:ascii="Times New Roman" w:hAnsi="Times New Roman"/>
                <w:color w:val="000000"/>
                <w:szCs w:val="21"/>
                <w:highlight w:val="none"/>
              </w:rPr>
            </w:pPr>
            <w:r>
              <w:rPr>
                <w:rFonts w:ascii="Times New Roman" w:hAnsi="Times New Roman"/>
                <w:color w:val="000000"/>
                <w:szCs w:val="21"/>
                <w:highlight w:val="none"/>
              </w:rPr>
              <w:t>b.</w:t>
            </w:r>
            <w:r>
              <w:rPr>
                <w:rFonts w:hint="eastAsia" w:ascii="Times New Roman" w:hAnsi="Times New Roman"/>
                <w:color w:val="000000"/>
                <w:szCs w:val="21"/>
                <w:highlight w:val="none"/>
              </w:rPr>
              <w:t>“备份投标文件”应当密封包装，并在包装上标注投标项目名称、投标单位名称并加盖公章。没有密封包装或者逾期邮寄送达至上述邮寄地点的“备份投标文件”将不予接收；</w:t>
            </w:r>
          </w:p>
          <w:p>
            <w:pPr>
              <w:snapToGrid w:val="0"/>
              <w:spacing w:line="360" w:lineRule="auto"/>
              <w:jc w:val="left"/>
              <w:rPr>
                <w:rFonts w:ascii="Times New Roman" w:hAnsi="Times New Roman"/>
                <w:color w:val="000000"/>
                <w:szCs w:val="21"/>
                <w:highlight w:val="none"/>
              </w:rPr>
            </w:pPr>
            <w:r>
              <w:rPr>
                <w:rFonts w:ascii="Times New Roman" w:hAnsi="Times New Roman"/>
                <w:color w:val="000000"/>
                <w:szCs w:val="21"/>
                <w:highlight w:val="none"/>
              </w:rPr>
              <w:t>c.</w:t>
            </w:r>
            <w:r>
              <w:rPr>
                <w:rFonts w:hint="eastAsia" w:ascii="Times New Roman" w:hAnsi="Times New Roman"/>
                <w:color w:val="000000"/>
                <w:szCs w:val="21"/>
                <w:highlight w:val="none"/>
              </w:rPr>
              <w:t>通过“政府采购云平台”成功上传递交的“电子加密投标文件”已按时解密的，“备份投标文件”自动失效。</w:t>
            </w:r>
            <w:r>
              <w:rPr>
                <w:rFonts w:hint="eastAsia" w:ascii="Times New Roman" w:hAnsi="Times New Roman"/>
                <w:b/>
                <w:bCs/>
                <w:color w:val="000000"/>
                <w:szCs w:val="21"/>
                <w:highlight w:val="none"/>
              </w:rPr>
              <w:t>投标截止时间前，投标供应商仅递交了“备份投标文件”而未将“电子加密投标文件”成功上传至“政府采购云平台”的，投标无效。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11</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电子加密投标文件的解密和异常情况处理：</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）开标后，采购组织机构将向各投标供应商发出“电子加密投标文件”的解密通知，各投标供应商代表应当在接到解密通知后</w:t>
            </w:r>
            <w:r>
              <w:rPr>
                <w:rFonts w:ascii="Times New Roman" w:hAnsi="Times New Roman"/>
                <w:color w:val="000000"/>
                <w:szCs w:val="21"/>
                <w:highlight w:val="none"/>
              </w:rPr>
              <w:t>30</w:t>
            </w:r>
            <w:r>
              <w:rPr>
                <w:rFonts w:hint="eastAsia" w:ascii="Times New Roman" w:hAnsi="Times New Roman"/>
                <w:color w:val="000000"/>
                <w:szCs w:val="21"/>
                <w:highlight w:val="none"/>
              </w:rPr>
              <w:t>分钟内自行完成“电子加密投标文件”的在线解密。</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3</w:t>
            </w:r>
            <w:r>
              <w:rPr>
                <w:rFonts w:hint="eastAsia" w:ascii="Times New Roman" w:hAnsi="Times New Roman"/>
                <w:color w:val="000000"/>
                <w:szCs w:val="21"/>
                <w:highlight w:val="none"/>
              </w:rPr>
              <w:t>）投标截止时间前，投标供应商仅递交了“备份投标文件”而未将电子加密投标文件上传至“政府采购云平台”的，投标无效。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12</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投标截止时间及地点：详见第一章公开招标采购公告</w:t>
            </w:r>
            <w:r>
              <w:rPr>
                <w:rFonts w:hint="eastAsia" w:ascii="Times New Roman" w:hAnsi="Times New Roman" w:cs="Arial"/>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4"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13</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开标时间及地点：详见第一章公开招标采购公告</w:t>
            </w:r>
            <w:r>
              <w:rPr>
                <w:rFonts w:hint="eastAsia" w:ascii="Times New Roman" w:hAnsi="Times New Roman" w:cs="Arial"/>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14</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投标费用：中标单位支付招标代理服务费（收费标准详见招标文件）。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15</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现场演示：无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16</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评标办法及评分标准：详见第四章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17</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评标结果公告：</w:t>
            </w:r>
            <w:bookmarkStart w:id="185" w:name="_Hlk11359394"/>
            <w:r>
              <w:rPr>
                <w:rFonts w:hint="eastAsia" w:ascii="Times New Roman" w:hAnsi="Times New Roman"/>
                <w:color w:val="000000"/>
                <w:szCs w:val="21"/>
                <w:highlight w:val="none"/>
              </w:rPr>
              <w:t>自中标、成交供应商确定之日起</w:t>
            </w:r>
            <w:r>
              <w:rPr>
                <w:rFonts w:ascii="Times New Roman" w:hAnsi="Times New Roman"/>
                <w:color w:val="000000"/>
                <w:szCs w:val="21"/>
                <w:highlight w:val="none"/>
              </w:rPr>
              <w:t>2</w:t>
            </w:r>
            <w:r>
              <w:rPr>
                <w:rFonts w:hint="eastAsia" w:ascii="Times New Roman" w:hAnsi="Times New Roman"/>
                <w:color w:val="000000"/>
                <w:szCs w:val="21"/>
                <w:highlight w:val="none"/>
              </w:rPr>
              <w:t>个工作日内，</w:t>
            </w:r>
            <w:bookmarkEnd w:id="185"/>
            <w:r>
              <w:rPr>
                <w:rFonts w:hint="eastAsia" w:ascii="Times New Roman" w:hAnsi="Times New Roman"/>
                <w:color w:val="000000"/>
                <w:szCs w:val="21"/>
                <w:highlight w:val="none"/>
              </w:rPr>
              <w:t>评标结果公告于</w:t>
            </w:r>
            <w:r>
              <w:rPr>
                <w:rFonts w:hint="eastAsia" w:ascii="Times New Roman" w:hAnsi="Times New Roman" w:cs="Arial"/>
                <w:color w:val="000000"/>
                <w:szCs w:val="21"/>
                <w:highlight w:val="none"/>
              </w:rPr>
              <w:t>浙江省政府采购网</w:t>
            </w:r>
            <w:r>
              <w:rPr>
                <w:rFonts w:ascii="Times New Roman" w:hAnsi="Times New Roman" w:cs="Arial"/>
                <w:color w:val="000000"/>
                <w:szCs w:val="21"/>
                <w:highlight w:val="none"/>
              </w:rPr>
              <w:t>(</w:t>
            </w:r>
            <w:r>
              <w:rPr>
                <w:rFonts w:ascii="Times New Roman" w:hAnsi="Times New Roman" w:cs="宋体"/>
                <w:color w:val="000000"/>
                <w:kern w:val="0"/>
                <w:szCs w:val="21"/>
                <w:highlight w:val="none"/>
              </w:rPr>
              <w:t>http://www.zjzfcg.gov.cn</w:t>
            </w:r>
            <w:r>
              <w:rPr>
                <w:rFonts w:ascii="Times New Roman" w:hAnsi="Times New Roman" w:cs="Arial"/>
                <w:color w:val="000000"/>
                <w:szCs w:val="21"/>
                <w:highlight w:val="none"/>
              </w:rPr>
              <w:t>)</w:t>
            </w:r>
            <w:r>
              <w:rPr>
                <w:rFonts w:hint="eastAsia" w:ascii="Times New Roman" w:hAnsi="Times New Roman" w:cs="Arial"/>
                <w:color w:val="000000"/>
                <w:szCs w:val="21"/>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18</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中标公告及中标通知书：中标公告期限为</w:t>
            </w:r>
            <w:r>
              <w:rPr>
                <w:rFonts w:ascii="Times New Roman" w:hAnsi="Times New Roman"/>
                <w:color w:val="000000"/>
                <w:szCs w:val="21"/>
                <w:highlight w:val="none"/>
              </w:rPr>
              <w:t>1</w:t>
            </w:r>
            <w:r>
              <w:rPr>
                <w:rFonts w:hint="eastAsia" w:ascii="Times New Roman" w:hAnsi="Times New Roman"/>
                <w:color w:val="000000"/>
                <w:szCs w:val="21"/>
                <w:highlight w:val="none"/>
              </w:rPr>
              <w:t>个工作日。在公告中标结果的同时，向中标人发出中标通知书。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19</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imes New Roman" w:hAnsi="Times New Roman"/>
                <w:color w:val="000000"/>
                <w:szCs w:val="21"/>
                <w:highlight w:val="none"/>
              </w:rPr>
            </w:pPr>
            <w:r>
              <w:rPr>
                <w:rFonts w:hint="eastAsia" w:ascii="Times New Roman" w:hAnsi="Times New Roman"/>
                <w:color w:val="000000"/>
                <w:szCs w:val="21"/>
                <w:highlight w:val="none"/>
              </w:rPr>
              <w:t>履约保证金：本项目不设置。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6"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20</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签订合同时间：中标通知书发出后</w:t>
            </w:r>
            <w:r>
              <w:rPr>
                <w:rFonts w:ascii="Times New Roman" w:hAnsi="Times New Roman"/>
                <w:color w:val="000000"/>
                <w:szCs w:val="21"/>
                <w:highlight w:val="none"/>
              </w:rPr>
              <w:t>30</w:t>
            </w:r>
            <w:r>
              <w:rPr>
                <w:rFonts w:hint="eastAsia" w:ascii="Times New Roman" w:hAnsi="Times New Roman"/>
                <w:color w:val="000000"/>
                <w:szCs w:val="21"/>
                <w:highlight w:val="none"/>
              </w:rPr>
              <w:t>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21</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合同公告：本项目政府采购合同将于签订之日起</w:t>
            </w:r>
            <w:r>
              <w:rPr>
                <w:rFonts w:ascii="Times New Roman" w:hAnsi="Times New Roman"/>
                <w:color w:val="000000"/>
                <w:szCs w:val="21"/>
                <w:highlight w:val="none"/>
              </w:rPr>
              <w:t>2</w:t>
            </w:r>
            <w:r>
              <w:rPr>
                <w:rFonts w:hint="eastAsia" w:ascii="Times New Roman" w:hAnsi="Times New Roman"/>
                <w:color w:val="000000"/>
                <w:szCs w:val="21"/>
                <w:highlight w:val="none"/>
              </w:rPr>
              <w:t>个工作日内发布于上述媒体，但政府采购合同中涉及国家秘密、商业秘密的内容除外。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22</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招标文件费用：无。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3"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23</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olor w:val="000000"/>
                <w:szCs w:val="21"/>
                <w:highlight w:val="none"/>
              </w:rPr>
            </w:pPr>
            <w:r>
              <w:rPr>
                <w:rFonts w:hint="eastAsia" w:ascii="宋体" w:hAnsi="宋体"/>
                <w:color w:val="000000"/>
                <w:szCs w:val="21"/>
                <w:highlight w:val="none"/>
              </w:rPr>
              <w:t>本项目设最高投标限价，最高投标限价为</w:t>
            </w:r>
            <w:r>
              <w:rPr>
                <w:rFonts w:hint="eastAsia" w:ascii="宋体" w:hAnsi="宋体"/>
                <w:b/>
                <w:bCs/>
                <w:color w:val="000000"/>
                <w:szCs w:val="21"/>
                <w:highlight w:val="none"/>
              </w:rPr>
              <w:t>1989.5770万元</w:t>
            </w:r>
            <w:r>
              <w:rPr>
                <w:rFonts w:hint="eastAsia" w:ascii="宋体" w:hAnsi="宋体"/>
                <w:color w:val="000000"/>
                <w:szCs w:val="21"/>
                <w:highlight w:val="none"/>
              </w:rPr>
              <w:t>，报价超过上述最高投标限价的，作无效标处理。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24</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付款方式：详见第二章招标需求。</w:t>
            </w:r>
            <w:r>
              <w:rPr>
                <w:rFonts w:ascii="Times New Roman" w:hAnsi="Times New Roman"/>
                <w:color w:val="000000"/>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25</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投标文件有效期：</w:t>
            </w:r>
            <w:r>
              <w:rPr>
                <w:rFonts w:ascii="Times New Roman" w:hAnsi="Times New Roman" w:cs="Arial"/>
                <w:color w:val="000000"/>
                <w:szCs w:val="21"/>
                <w:highlight w:val="none"/>
                <w:u w:val="single"/>
              </w:rPr>
              <w:t>90</w:t>
            </w:r>
            <w:r>
              <w:rPr>
                <w:rFonts w:hint="eastAsia" w:ascii="Times New Roman" w:hAnsi="Times New Roman" w:cs="Arial"/>
                <w:color w:val="000000"/>
                <w:szCs w:val="21"/>
                <w:highlight w:val="none"/>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1"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26</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360" w:lineRule="auto"/>
              <w:textAlignment w:val="bottom"/>
              <w:rPr>
                <w:rFonts w:ascii="Times New Roman" w:hAnsi="Times New Roman"/>
                <w:color w:val="000000"/>
                <w:szCs w:val="21"/>
                <w:highlight w:val="none"/>
              </w:rPr>
            </w:pPr>
            <w:r>
              <w:rPr>
                <w:rFonts w:hint="eastAsia" w:ascii="Times New Roman" w:hAnsi="Times New Roman"/>
                <w:color w:val="000000"/>
                <w:szCs w:val="21"/>
                <w:highlight w:val="none"/>
              </w:rPr>
              <w:t>网上注册：根据《浙江省政府采购供应商注册及诚信管理暂行办法》的规定，政府采购中标或成交供应商必须在“浙江政府采购网</w:t>
            </w:r>
            <w:r>
              <w:rPr>
                <w:rFonts w:ascii="Times New Roman" w:hAnsi="Times New Roman"/>
                <w:color w:val="000000"/>
                <w:szCs w:val="21"/>
                <w:highlight w:val="none"/>
              </w:rPr>
              <w:t>(http://www.zjzfcg.gov.cn)</w:t>
            </w:r>
            <w:r>
              <w:rPr>
                <w:rFonts w:hint="eastAsia" w:ascii="Times New Roman" w:hAnsi="Times New Roman"/>
                <w:color w:val="000000"/>
                <w:szCs w:val="21"/>
                <w:highlight w:val="none"/>
              </w:rPr>
              <w:t>”上进行正式供应商注册登记。中标供应商在签订合同前，如不注册，视为放弃。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27</w:t>
            </w:r>
          </w:p>
        </w:tc>
        <w:tc>
          <w:tcPr>
            <w:tcW w:w="794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firstLine="420" w:firstLineChars="200"/>
              <w:rPr>
                <w:rFonts w:ascii="Times New Roman" w:hAnsi="Times New Roman"/>
                <w:kern w:val="0"/>
                <w:szCs w:val="21"/>
                <w:highlight w:val="none"/>
              </w:rPr>
            </w:pPr>
            <w:r>
              <w:rPr>
                <w:rFonts w:ascii="Times New Roman" w:hAnsi="Times New Roman"/>
                <w:kern w:val="0"/>
                <w:szCs w:val="21"/>
                <w:highlight w:val="none"/>
              </w:rPr>
              <w:t>1</w:t>
            </w:r>
            <w:r>
              <w:rPr>
                <w:rFonts w:hint="eastAsia" w:ascii="Times New Roman" w:hAnsi="Times New Roman"/>
                <w:kern w:val="0"/>
                <w:szCs w:val="21"/>
                <w:highlight w:val="none"/>
              </w:rPr>
              <w:t>、项目属性：服务类。</w:t>
            </w:r>
          </w:p>
          <w:p>
            <w:pPr>
              <w:snapToGrid w:val="0"/>
              <w:spacing w:line="360" w:lineRule="auto"/>
              <w:ind w:firstLine="420" w:firstLineChars="200"/>
              <w:rPr>
                <w:rFonts w:ascii="Times New Roman" w:hAnsi="Times New Roman"/>
                <w:kern w:val="0"/>
                <w:szCs w:val="21"/>
                <w:highlight w:val="none"/>
              </w:rPr>
            </w:pPr>
            <w:r>
              <w:rPr>
                <w:rFonts w:hint="eastAsia" w:ascii="Times New Roman" w:hAnsi="Times New Roman"/>
                <w:kern w:val="0"/>
                <w:szCs w:val="21"/>
                <w:highlight w:val="none"/>
              </w:rPr>
              <w:t>中小企业划分标准所属行业：具体根据《中小企业划型标准规定》执行。</w:t>
            </w:r>
          </w:p>
          <w:p>
            <w:pPr>
              <w:snapToGrid w:val="0"/>
              <w:spacing w:line="360" w:lineRule="auto"/>
              <w:ind w:firstLine="420" w:firstLineChars="200"/>
              <w:rPr>
                <w:rFonts w:ascii="Times New Roman" w:hAnsi="Times New Roman"/>
                <w:kern w:val="0"/>
                <w:szCs w:val="21"/>
                <w:highlight w:val="none"/>
              </w:rPr>
            </w:pPr>
            <w:r>
              <w:rPr>
                <w:rFonts w:hint="eastAsia" w:ascii="Times New Roman" w:hAnsi="Times New Roman"/>
                <w:kern w:val="0"/>
                <w:szCs w:val="21"/>
                <w:highlight w:val="none"/>
              </w:rPr>
              <w:t>采购标的：</w:t>
            </w:r>
            <w:r>
              <w:rPr>
                <w:rFonts w:hint="eastAsia" w:ascii="Times New Roman" w:hAnsi="Times New Roman"/>
                <w:kern w:val="0"/>
                <w:szCs w:val="21"/>
                <w:highlight w:val="none"/>
                <w:lang w:eastAsia="zh-CN"/>
              </w:rPr>
              <w:t>2024-2025年度秀洲区公路小修项目</w:t>
            </w:r>
            <w:r>
              <w:rPr>
                <w:rFonts w:hint="eastAsia" w:ascii="Times New Roman" w:hAnsi="Times New Roman"/>
                <w:kern w:val="0"/>
                <w:szCs w:val="21"/>
                <w:highlight w:val="none"/>
              </w:rPr>
              <w:t>，所属行业：</w:t>
            </w:r>
            <w:r>
              <w:rPr>
                <w:rFonts w:hint="eastAsia" w:cs="宋体"/>
                <w:color w:val="000000"/>
                <w:kern w:val="0"/>
                <w:szCs w:val="21"/>
                <w:highlight w:val="none"/>
              </w:rPr>
              <w:t>建筑业</w:t>
            </w:r>
            <w:r>
              <w:rPr>
                <w:rFonts w:hint="eastAsia" w:ascii="Times New Roman" w:hAnsi="Times New Roman"/>
                <w:kern w:val="0"/>
                <w:szCs w:val="21"/>
                <w:highlight w:val="none"/>
              </w:rPr>
              <w:t>。</w:t>
            </w:r>
          </w:p>
          <w:p>
            <w:pPr>
              <w:snapToGrid w:val="0"/>
              <w:spacing w:line="360" w:lineRule="auto"/>
              <w:ind w:firstLine="420" w:firstLineChars="200"/>
              <w:rPr>
                <w:rFonts w:hint="eastAsia" w:ascii="Times New Roman" w:hAnsi="Times New Roman"/>
                <w:kern w:val="0"/>
                <w:szCs w:val="21"/>
                <w:highlight w:val="none"/>
              </w:rPr>
            </w:pPr>
            <w:r>
              <w:rPr>
                <w:rFonts w:ascii="Helvetica" w:hAnsi="Helvetica" w:eastAsia="Helvetica" w:cs="Helvetica"/>
                <w:i w:val="0"/>
                <w:iCs w:val="0"/>
                <w:caps w:val="0"/>
                <w:color w:val="333333"/>
                <w:spacing w:val="0"/>
                <w:sz w:val="21"/>
                <w:szCs w:val="21"/>
                <w:highlight w:val="none"/>
                <w:shd w:val="clear" w:fill="FFFFFF"/>
              </w:rPr>
              <w:t>建筑业</w:t>
            </w:r>
            <w:r>
              <w:rPr>
                <w:rFonts w:hint="eastAsia" w:ascii="Helvetica" w:hAnsi="Helvetica" w:cs="Helvetica"/>
                <w:i w:val="0"/>
                <w:iCs w:val="0"/>
                <w:caps w:val="0"/>
                <w:color w:val="333333"/>
                <w:spacing w:val="0"/>
                <w:sz w:val="21"/>
                <w:szCs w:val="21"/>
                <w:highlight w:val="none"/>
                <w:shd w:val="clear" w:fill="FFFFFF"/>
                <w:lang w:eastAsia="zh-CN"/>
              </w:rPr>
              <w:t>：</w:t>
            </w:r>
            <w:r>
              <w:rPr>
                <w:rFonts w:hint="eastAsia" w:ascii="Times New Roman" w:hAnsi="Times New Roman"/>
                <w:kern w:val="0"/>
                <w:szCs w:val="21"/>
                <w:highlight w:val="none"/>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napToGrid w:val="0"/>
              <w:spacing w:line="360" w:lineRule="auto"/>
              <w:ind w:firstLine="420" w:firstLineChars="200"/>
              <w:rPr>
                <w:rFonts w:ascii="Times New Roman" w:hAnsi="Times New Roman"/>
                <w:color w:val="auto"/>
                <w:kern w:val="0"/>
                <w:szCs w:val="21"/>
                <w:highlight w:val="none"/>
              </w:rPr>
            </w:pPr>
            <w:r>
              <w:rPr>
                <w:rFonts w:hint="eastAsia" w:ascii="Times New Roman" w:hAnsi="Times New Roman"/>
                <w:color w:val="auto"/>
                <w:kern w:val="0"/>
                <w:szCs w:val="21"/>
                <w:highlight w:val="none"/>
              </w:rPr>
              <w:t>中小企业参加政府采购活动，应当出具财库〔</w:t>
            </w:r>
            <w:r>
              <w:rPr>
                <w:rFonts w:ascii="Times New Roman" w:hAnsi="Times New Roman"/>
                <w:color w:val="auto"/>
                <w:kern w:val="0"/>
                <w:szCs w:val="21"/>
                <w:highlight w:val="none"/>
              </w:rPr>
              <w:t>2020</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46</w:t>
            </w:r>
            <w:r>
              <w:rPr>
                <w:rFonts w:hint="eastAsia" w:ascii="Times New Roman" w:hAnsi="Times New Roman"/>
                <w:color w:val="auto"/>
                <w:kern w:val="0"/>
                <w:szCs w:val="21"/>
                <w:highlight w:val="none"/>
              </w:rPr>
              <w:t>号规定的《中小企业声明函》，否则不得享受相关中小企业扶持政策。</w:t>
            </w:r>
          </w:p>
          <w:p>
            <w:pPr>
              <w:snapToGrid w:val="0"/>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2.</w:t>
            </w:r>
            <w:r>
              <w:rPr>
                <w:rFonts w:hint="eastAsia" w:ascii="Times New Roman" w:hAnsi="Times New Roman"/>
                <w:color w:val="auto"/>
                <w:kern w:val="0"/>
                <w:szCs w:val="21"/>
                <w:highlight w:val="none"/>
              </w:rPr>
              <w:t>根据〔</w:t>
            </w:r>
            <w:r>
              <w:rPr>
                <w:rFonts w:ascii="Times New Roman" w:hAnsi="Times New Roman"/>
                <w:color w:val="auto"/>
                <w:kern w:val="0"/>
                <w:szCs w:val="21"/>
                <w:highlight w:val="none"/>
              </w:rPr>
              <w:t>2017</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141</w:t>
            </w:r>
            <w:r>
              <w:rPr>
                <w:rFonts w:hint="eastAsia" w:ascii="Times New Roman" w:hAnsi="Times New Roman"/>
                <w:color w:val="auto"/>
                <w:kern w:val="0"/>
                <w:szCs w:val="21"/>
                <w:highlight w:val="none"/>
              </w:rPr>
              <w:t>号的相关规定，在政府采购活动中，残疾人福利性单位视同小型、微型企业。属于享受政府采购支持政策的残疾人福利性单位，应满足财库〔</w:t>
            </w:r>
            <w:r>
              <w:rPr>
                <w:rFonts w:ascii="Times New Roman" w:hAnsi="Times New Roman"/>
                <w:color w:val="auto"/>
                <w:kern w:val="0"/>
                <w:szCs w:val="21"/>
                <w:highlight w:val="none"/>
              </w:rPr>
              <w:t>2017</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141</w:t>
            </w:r>
            <w:r>
              <w:rPr>
                <w:rFonts w:hint="eastAsia" w:ascii="Times New Roman" w:hAnsi="Times New Roman"/>
                <w:color w:val="auto"/>
                <w:kern w:val="0"/>
                <w:szCs w:val="21"/>
                <w:highlight w:val="none"/>
              </w:rPr>
              <w:t>号文件第一条的规定，并在投标文件中提供残疾人福利性单位声明函（格式见第六章）。</w:t>
            </w:r>
          </w:p>
          <w:p>
            <w:pPr>
              <w:snapToGrid w:val="0"/>
              <w:spacing w:line="360" w:lineRule="auto"/>
              <w:ind w:firstLine="420" w:firstLineChars="200"/>
              <w:rPr>
                <w:rFonts w:ascii="Times New Roman" w:hAnsi="Times New Roman"/>
                <w:color w:val="auto"/>
                <w:kern w:val="0"/>
                <w:szCs w:val="21"/>
                <w:highlight w:val="none"/>
              </w:rPr>
            </w:pPr>
            <w:r>
              <w:rPr>
                <w:rFonts w:ascii="Times New Roman" w:hAnsi="Times New Roman"/>
                <w:color w:val="auto"/>
                <w:kern w:val="0"/>
                <w:szCs w:val="21"/>
                <w:highlight w:val="none"/>
              </w:rPr>
              <w:t>3.</w:t>
            </w:r>
            <w:r>
              <w:rPr>
                <w:rFonts w:hint="eastAsia" w:ascii="Times New Roman" w:hAnsi="Times New Roman"/>
                <w:color w:val="auto"/>
                <w:kern w:val="0"/>
                <w:szCs w:val="21"/>
                <w:highlight w:val="none"/>
              </w:rPr>
              <w:t>根据财库</w:t>
            </w:r>
            <w:r>
              <w:rPr>
                <w:rFonts w:ascii="Times New Roman" w:hAnsi="Times New Roman"/>
                <w:color w:val="auto"/>
                <w:kern w:val="0"/>
                <w:szCs w:val="21"/>
                <w:highlight w:val="none"/>
              </w:rPr>
              <w:t>[2014]68</w:t>
            </w:r>
            <w:r>
              <w:rPr>
                <w:rFonts w:hint="eastAsia" w:ascii="Times New Roman" w:hAnsi="Times New Roman"/>
                <w:color w:val="auto"/>
                <w:kern w:val="0"/>
                <w:szCs w:val="21"/>
                <w:highlight w:val="none"/>
              </w:rPr>
              <w:t>号的相关规定，在政府采购活动中，监狱企业同视为小型、微型企业。在投标文件中提供由省级以上监狱管理局、戒毒管理局（含新疆生产建设兵团）出具的属于监狱企业的证明文件（格式自拟）。</w:t>
            </w:r>
          </w:p>
          <w:p>
            <w:pPr>
              <w:autoSpaceDE w:val="0"/>
              <w:autoSpaceDN w:val="0"/>
              <w:snapToGrid w:val="0"/>
              <w:spacing w:line="348" w:lineRule="auto"/>
              <w:ind w:firstLine="388"/>
              <w:textAlignment w:val="bottom"/>
              <w:rPr>
                <w:rFonts w:ascii="Times New Roman" w:hAnsi="Times New Roman"/>
                <w:bCs/>
                <w:color w:val="000000"/>
                <w:spacing w:val="-4"/>
                <w:szCs w:val="21"/>
                <w:highlight w:val="none"/>
              </w:rPr>
            </w:pPr>
            <w:r>
              <w:rPr>
                <w:rFonts w:hint="eastAsia" w:ascii="Times New Roman" w:hAnsi="Times New Roman"/>
                <w:color w:val="auto"/>
                <w:kern w:val="0"/>
                <w:szCs w:val="21"/>
                <w:highlight w:val="none"/>
              </w:rPr>
              <w:t>注：未提供以上材料的，均不视为</w:t>
            </w:r>
            <w:r>
              <w:rPr>
                <w:rFonts w:hint="eastAsia" w:ascii="Times New Roman" w:hAnsi="Times New Roman"/>
                <w:color w:val="auto"/>
                <w:kern w:val="0"/>
                <w:szCs w:val="21"/>
                <w:highlight w:val="none"/>
                <w:lang w:val="en-US" w:eastAsia="zh-CN"/>
              </w:rPr>
              <w:t>中型、</w:t>
            </w:r>
            <w:r>
              <w:rPr>
                <w:rFonts w:hint="eastAsia" w:ascii="Times New Roman" w:hAnsi="Times New Roman"/>
                <w:color w:val="auto"/>
                <w:kern w:val="0"/>
                <w:szCs w:val="21"/>
                <w:highlight w:val="none"/>
              </w:rPr>
              <w:t>小型、微型企业；中标人享受相关中小企业扶持政策或为残疾人福利性单位的，采购人或者其委托的采购代理机构应当随中标结果同时公告其《中小企业声明函》或《残疾人福利性单位声明函》，接受社会监督。投标人提供的《中小企业声明函》或《残疾人福利性单位声明函》与事实不符的，依照《政府采购法》第七十七条第一款的规定追究法律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28</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bCs/>
                <w:color w:val="000000"/>
                <w:spacing w:val="-4"/>
                <w:szCs w:val="21"/>
                <w:highlight w:val="none"/>
              </w:rPr>
            </w:pPr>
            <w:r>
              <w:rPr>
                <w:rFonts w:hint="eastAsia" w:ascii="Times New Roman" w:hAnsi="Times New Roman"/>
                <w:bCs/>
                <w:color w:val="000000"/>
                <w:spacing w:val="-4"/>
                <w:szCs w:val="21"/>
                <w:highlight w:val="none"/>
              </w:rPr>
              <w:t>本招标文件未明确之处，按《中华人民共和国政府采购法》、《中华人民共和国政府采购法实施条例》和《政府采购货物和服务招标投标管理办法》、《浙江省政府采购活动现场组织管理办法》等规定办理。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Times New Roman" w:hAnsi="Times New Roman"/>
                <w:color w:val="000000"/>
                <w:szCs w:val="21"/>
                <w:highlight w:val="none"/>
              </w:rPr>
            </w:pPr>
            <w:r>
              <w:rPr>
                <w:rFonts w:ascii="Times New Roman" w:hAnsi="Times New Roman"/>
                <w:color w:val="000000"/>
                <w:szCs w:val="21"/>
                <w:highlight w:val="none"/>
              </w:rPr>
              <w:t>29</w:t>
            </w:r>
          </w:p>
        </w:tc>
        <w:tc>
          <w:tcPr>
            <w:tcW w:w="79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Times New Roman" w:hAnsi="Times New Roman"/>
                <w:bCs/>
                <w:color w:val="000000"/>
                <w:spacing w:val="-4"/>
                <w:szCs w:val="21"/>
                <w:highlight w:val="none"/>
              </w:rPr>
            </w:pPr>
            <w:r>
              <w:rPr>
                <w:rFonts w:hint="eastAsia" w:ascii="Times New Roman" w:hAnsi="Times New Roman"/>
                <w:color w:val="000000"/>
                <w:szCs w:val="21"/>
                <w:highlight w:val="none"/>
              </w:rPr>
              <w:t>解释：本招标文件的解释权属于采购人。</w:t>
            </w:r>
          </w:p>
        </w:tc>
      </w:tr>
    </w:tbl>
    <w:p>
      <w:pPr>
        <w:pStyle w:val="28"/>
        <w:spacing w:before="120" w:line="360" w:lineRule="auto"/>
        <w:ind w:firstLine="602"/>
        <w:jc w:val="center"/>
        <w:outlineLvl w:val="1"/>
        <w:rPr>
          <w:rFonts w:ascii="Times New Roman" w:hAnsi="Times New Roman" w:cs="Times New Roman"/>
          <w:b/>
          <w:color w:val="000000"/>
          <w:kern w:val="0"/>
          <w:sz w:val="21"/>
          <w:szCs w:val="21"/>
          <w:highlight w:val="none"/>
        </w:rPr>
      </w:pPr>
      <w:r>
        <w:rPr>
          <w:rFonts w:ascii="Times New Roman" w:hAnsi="Times New Roman"/>
          <w:b/>
          <w:color w:val="000000"/>
          <w:kern w:val="0"/>
          <w:szCs w:val="21"/>
          <w:highlight w:val="none"/>
        </w:rPr>
        <w:br w:type="page"/>
      </w:r>
      <w:r>
        <w:rPr>
          <w:rFonts w:hint="eastAsia" w:ascii="Times New Roman" w:hAnsi="Times New Roman"/>
          <w:b/>
          <w:color w:val="000000"/>
          <w:sz w:val="21"/>
          <w:szCs w:val="21"/>
          <w:highlight w:val="none"/>
        </w:rPr>
        <w:t>一</w:t>
      </w:r>
      <w:r>
        <w:rPr>
          <w:rFonts w:ascii="Times New Roman" w:hAnsi="Times New Roman"/>
          <w:b/>
          <w:color w:val="000000"/>
          <w:sz w:val="21"/>
          <w:szCs w:val="21"/>
          <w:highlight w:val="none"/>
        </w:rPr>
        <w:t xml:space="preserve"> </w:t>
      </w:r>
      <w:r>
        <w:rPr>
          <w:rFonts w:hint="eastAsia" w:ascii="Times New Roman" w:hAnsi="Times New Roman"/>
          <w:b/>
          <w:color w:val="000000"/>
          <w:sz w:val="21"/>
          <w:szCs w:val="21"/>
          <w:highlight w:val="none"/>
        </w:rPr>
        <w:t>、总</w:t>
      </w:r>
      <w:r>
        <w:rPr>
          <w:rFonts w:ascii="Times New Roman" w:hAnsi="Times New Roman"/>
          <w:b/>
          <w:color w:val="000000"/>
          <w:sz w:val="21"/>
          <w:szCs w:val="21"/>
          <w:highlight w:val="none"/>
        </w:rPr>
        <w:t xml:space="preserve">  </w:t>
      </w:r>
      <w:r>
        <w:rPr>
          <w:rFonts w:hint="eastAsia" w:ascii="Times New Roman" w:hAnsi="Times New Roman"/>
          <w:b/>
          <w:color w:val="000000"/>
          <w:sz w:val="21"/>
          <w:szCs w:val="21"/>
          <w:highlight w:val="none"/>
        </w:rPr>
        <w:t>则</w:t>
      </w:r>
      <w:bookmarkEnd w:id="183"/>
      <w:bookmarkEnd w:id="184"/>
    </w:p>
    <w:p>
      <w:pPr>
        <w:snapToGrid w:val="0"/>
        <w:spacing w:line="360" w:lineRule="auto"/>
        <w:ind w:firstLine="413" w:firstLineChars="196"/>
        <w:jc w:val="left"/>
        <w:outlineLvl w:val="1"/>
        <w:rPr>
          <w:rFonts w:ascii="Times New Roman" w:hAnsi="Times New Roman"/>
          <w:b/>
          <w:color w:val="000000"/>
          <w:szCs w:val="21"/>
          <w:highlight w:val="none"/>
        </w:rPr>
      </w:pPr>
      <w:bookmarkStart w:id="186" w:name="_Toc177870537"/>
      <w:bookmarkStart w:id="187" w:name="_Toc177824872"/>
      <w:bookmarkStart w:id="188" w:name="_Toc417992875"/>
      <w:bookmarkStart w:id="189" w:name="_Toc177824939"/>
      <w:bookmarkStart w:id="190" w:name="_Toc177825120"/>
      <w:r>
        <w:rPr>
          <w:rFonts w:ascii="Times New Roman" w:hAnsi="Times New Roman"/>
          <w:b/>
          <w:color w:val="000000"/>
          <w:szCs w:val="21"/>
          <w:highlight w:val="none"/>
        </w:rPr>
        <w:t>1</w:t>
      </w:r>
      <w:r>
        <w:rPr>
          <w:rFonts w:hint="eastAsia" w:ascii="Times New Roman" w:hAnsi="Times New Roman"/>
          <w:b/>
          <w:color w:val="000000"/>
          <w:szCs w:val="21"/>
          <w:highlight w:val="none"/>
        </w:rPr>
        <w:t>、适用范围</w:t>
      </w:r>
      <w:bookmarkEnd w:id="186"/>
      <w:bookmarkEnd w:id="187"/>
      <w:bookmarkEnd w:id="188"/>
      <w:bookmarkEnd w:id="189"/>
      <w:bookmarkEnd w:id="190"/>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1.1</w:t>
      </w:r>
      <w:r>
        <w:rPr>
          <w:rFonts w:hint="eastAsia" w:ascii="Times New Roman" w:hAnsi="Times New Roman"/>
          <w:color w:val="000000"/>
          <w:szCs w:val="21"/>
          <w:highlight w:val="none"/>
        </w:rPr>
        <w:t>、</w:t>
      </w:r>
      <w:bookmarkStart w:id="191" w:name="_Toc177824940"/>
      <w:bookmarkStart w:id="192" w:name="_Toc177825121"/>
      <w:bookmarkStart w:id="193" w:name="_Toc417992876"/>
      <w:bookmarkStart w:id="194" w:name="_Toc177824873"/>
      <w:bookmarkStart w:id="195" w:name="_Toc177870538"/>
      <w:r>
        <w:rPr>
          <w:rFonts w:hint="eastAsia" w:ascii="Times New Roman" w:hAnsi="Times New Roman"/>
          <w:color w:val="000000"/>
          <w:szCs w:val="21"/>
          <w:highlight w:val="none"/>
        </w:rPr>
        <w:t>本招标文件适用于该项目的招标、投标、评标、定标、验收、合同履约、付款等行为（法律、法规另有规定的，从其规定）。</w:t>
      </w:r>
    </w:p>
    <w:p>
      <w:pPr>
        <w:snapToGrid w:val="0"/>
        <w:spacing w:line="360" w:lineRule="auto"/>
        <w:ind w:firstLine="413" w:firstLineChars="196"/>
        <w:jc w:val="left"/>
        <w:outlineLvl w:val="1"/>
        <w:rPr>
          <w:rFonts w:ascii="Times New Roman" w:hAnsi="Times New Roman"/>
          <w:b/>
          <w:color w:val="000000"/>
          <w:szCs w:val="21"/>
          <w:highlight w:val="none"/>
        </w:rPr>
      </w:pPr>
      <w:r>
        <w:rPr>
          <w:rFonts w:ascii="Times New Roman" w:hAnsi="Times New Roman"/>
          <w:b/>
          <w:color w:val="000000"/>
          <w:szCs w:val="21"/>
          <w:highlight w:val="none"/>
        </w:rPr>
        <w:t>2</w:t>
      </w:r>
      <w:r>
        <w:rPr>
          <w:rFonts w:hint="eastAsia" w:ascii="Times New Roman" w:hAnsi="Times New Roman"/>
          <w:b/>
          <w:color w:val="000000"/>
          <w:szCs w:val="21"/>
          <w:highlight w:val="none"/>
        </w:rPr>
        <w:t>、定义</w:t>
      </w:r>
      <w:bookmarkEnd w:id="191"/>
      <w:bookmarkEnd w:id="192"/>
      <w:bookmarkEnd w:id="193"/>
      <w:bookmarkEnd w:id="194"/>
      <w:bookmarkEnd w:id="195"/>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2.1</w:t>
      </w:r>
      <w:r>
        <w:rPr>
          <w:rFonts w:hint="eastAsia" w:ascii="Times New Roman" w:hAnsi="Times New Roman"/>
          <w:color w:val="000000"/>
          <w:szCs w:val="21"/>
          <w:highlight w:val="none"/>
        </w:rPr>
        <w:t>、“招标采购单位”系指组织本次招标活动的采购人或招标代理机构。</w:t>
      </w:r>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2.2</w:t>
      </w:r>
      <w:r>
        <w:rPr>
          <w:rFonts w:hint="eastAsia" w:ascii="Times New Roman" w:hAnsi="Times New Roman"/>
          <w:color w:val="000000"/>
          <w:szCs w:val="21"/>
          <w:highlight w:val="none"/>
        </w:rPr>
        <w:t>、“投标人”系指向招标方提交投标文件的供应商。</w:t>
      </w:r>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2.3</w:t>
      </w:r>
      <w:r>
        <w:rPr>
          <w:rFonts w:hint="eastAsia" w:ascii="Times New Roman" w:hAnsi="Times New Roman"/>
          <w:color w:val="000000"/>
          <w:szCs w:val="21"/>
          <w:highlight w:val="none"/>
        </w:rPr>
        <w:t>、“产品”系指供方按招标文件规定，须向采购人提供的一切设备、保险、税金、备品备件、工具、手册及其它有关技术资料和材料。</w:t>
      </w:r>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2.4</w:t>
      </w:r>
      <w:r>
        <w:rPr>
          <w:rFonts w:hint="eastAsia" w:ascii="Times New Roman" w:hAnsi="Times New Roman"/>
          <w:color w:val="000000"/>
          <w:szCs w:val="21"/>
          <w:highlight w:val="none"/>
        </w:rPr>
        <w:t>、“服务”系指招标文件规定投标人须承担的安装、调试、技术协助、校准、培训、技术指导以及其他类似的义务。</w:t>
      </w:r>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2.5</w:t>
      </w:r>
      <w:r>
        <w:rPr>
          <w:rFonts w:hint="eastAsia" w:ascii="Times New Roman" w:hAnsi="Times New Roman"/>
          <w:color w:val="000000"/>
          <w:szCs w:val="21"/>
          <w:highlight w:val="none"/>
        </w:rPr>
        <w:t>、“项目”系指投标人按招标文件规定向采购人提供的产品和服务。</w:t>
      </w:r>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2.6</w:t>
      </w:r>
      <w:r>
        <w:rPr>
          <w:rFonts w:hint="eastAsia" w:ascii="Times New Roman" w:hAnsi="Times New Roman"/>
          <w:color w:val="000000"/>
          <w:szCs w:val="21"/>
          <w:highlight w:val="none"/>
        </w:rPr>
        <w:t>、“书面形式”包括信函、传真、电报、电子文档等。</w:t>
      </w:r>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2.7</w:t>
      </w:r>
      <w:r>
        <w:rPr>
          <w:rFonts w:hint="eastAsia" w:ascii="Times New Roman" w:hAnsi="Times New Roman"/>
          <w:color w:val="000000"/>
          <w:szCs w:val="21"/>
          <w:highlight w:val="none"/>
        </w:rPr>
        <w:t>、</w:t>
      </w:r>
      <w:bookmarkStart w:id="196" w:name="_Toc177870539"/>
      <w:bookmarkStart w:id="197" w:name="_Toc417992877"/>
      <w:r>
        <w:rPr>
          <w:rFonts w:hint="eastAsia" w:ascii="Times New Roman" w:hAnsi="Times New Roman"/>
          <w:color w:val="000000"/>
          <w:szCs w:val="21"/>
          <w:highlight w:val="none"/>
        </w:rPr>
        <w:t>“▲”系指实质性要求条款，</w:t>
      </w:r>
      <w:bookmarkStart w:id="198" w:name="_Hlk11356090"/>
      <w:r>
        <w:rPr>
          <w:rFonts w:hint="eastAsia" w:ascii="Times New Roman" w:hAnsi="Times New Roman"/>
          <w:color w:val="000000"/>
          <w:szCs w:val="21"/>
          <w:highlight w:val="none"/>
        </w:rPr>
        <w:t>不满足实质性要求条款的投标文件无效。</w:t>
      </w:r>
      <w:bookmarkEnd w:id="198"/>
    </w:p>
    <w:p>
      <w:pPr>
        <w:snapToGrid w:val="0"/>
        <w:spacing w:line="360" w:lineRule="auto"/>
        <w:ind w:firstLine="413" w:firstLineChars="196"/>
        <w:jc w:val="left"/>
        <w:outlineLvl w:val="1"/>
        <w:rPr>
          <w:rFonts w:ascii="Times New Roman" w:hAnsi="Times New Roman"/>
          <w:b/>
          <w:color w:val="000000"/>
          <w:szCs w:val="21"/>
          <w:highlight w:val="none"/>
        </w:rPr>
      </w:pPr>
      <w:r>
        <w:rPr>
          <w:rFonts w:ascii="Times New Roman" w:hAnsi="Times New Roman"/>
          <w:b/>
          <w:color w:val="000000"/>
          <w:szCs w:val="21"/>
          <w:highlight w:val="none"/>
        </w:rPr>
        <w:t>3</w:t>
      </w:r>
      <w:r>
        <w:rPr>
          <w:rFonts w:hint="eastAsia" w:ascii="Times New Roman" w:hAnsi="Times New Roman"/>
          <w:b/>
          <w:color w:val="000000"/>
          <w:szCs w:val="21"/>
          <w:highlight w:val="none"/>
        </w:rPr>
        <w:t>、招标方式</w:t>
      </w:r>
      <w:bookmarkEnd w:id="196"/>
      <w:bookmarkEnd w:id="197"/>
    </w:p>
    <w:p>
      <w:pPr>
        <w:snapToGrid w:val="0"/>
        <w:spacing w:line="360" w:lineRule="auto"/>
        <w:ind w:firstLine="411" w:firstLineChars="196"/>
        <w:jc w:val="left"/>
        <w:outlineLvl w:val="1"/>
        <w:rPr>
          <w:rFonts w:ascii="Times New Roman" w:hAnsi="Times New Roman"/>
          <w:color w:val="000000"/>
          <w:szCs w:val="21"/>
          <w:highlight w:val="none"/>
        </w:rPr>
      </w:pPr>
      <w:r>
        <w:rPr>
          <w:rFonts w:ascii="Times New Roman" w:hAnsi="Times New Roman"/>
          <w:color w:val="000000"/>
          <w:szCs w:val="21"/>
          <w:highlight w:val="none"/>
        </w:rPr>
        <w:t>3.1</w:t>
      </w:r>
      <w:r>
        <w:rPr>
          <w:rFonts w:hint="eastAsia" w:ascii="Times New Roman" w:hAnsi="Times New Roman"/>
          <w:color w:val="000000"/>
          <w:szCs w:val="21"/>
          <w:highlight w:val="none"/>
        </w:rPr>
        <w:t>、本次招标采用公开招标方式进行；</w:t>
      </w:r>
      <w:bookmarkStart w:id="199" w:name="_Toc177870540"/>
      <w:bookmarkStart w:id="200" w:name="_Toc177824874"/>
      <w:bookmarkStart w:id="201" w:name="_Toc177825122"/>
      <w:bookmarkStart w:id="202" w:name="_Toc177824941"/>
      <w:bookmarkStart w:id="203" w:name="_Toc417992878"/>
    </w:p>
    <w:p>
      <w:pPr>
        <w:snapToGrid w:val="0"/>
        <w:spacing w:line="360" w:lineRule="auto"/>
        <w:ind w:firstLine="411" w:firstLineChars="196"/>
        <w:jc w:val="left"/>
        <w:outlineLvl w:val="1"/>
        <w:rPr>
          <w:rFonts w:ascii="Times New Roman" w:hAnsi="Times New Roman" w:cs="Arial"/>
          <w:color w:val="000000"/>
          <w:szCs w:val="21"/>
          <w:highlight w:val="none"/>
        </w:rPr>
      </w:pPr>
      <w:r>
        <w:rPr>
          <w:rFonts w:ascii="Times New Roman" w:hAnsi="Times New Roman"/>
          <w:color w:val="000000"/>
          <w:szCs w:val="21"/>
          <w:highlight w:val="none"/>
        </w:rPr>
        <w:t>3.2</w:t>
      </w:r>
      <w:r>
        <w:rPr>
          <w:rFonts w:hint="eastAsia" w:ascii="Times New Roman" w:hAnsi="Times New Roman"/>
          <w:color w:val="000000"/>
          <w:szCs w:val="21"/>
          <w:highlight w:val="none"/>
        </w:rPr>
        <w:t>、本次招标设定最高投标限价</w:t>
      </w:r>
      <w:r>
        <w:rPr>
          <w:rFonts w:hint="eastAsia" w:ascii="Times New Roman" w:hAnsi="Times New Roman" w:cs="Arial"/>
          <w:color w:val="000000"/>
          <w:szCs w:val="21"/>
          <w:highlight w:val="none"/>
        </w:rPr>
        <w:t>。</w:t>
      </w:r>
    </w:p>
    <w:p>
      <w:pPr>
        <w:snapToGrid w:val="0"/>
        <w:spacing w:line="360" w:lineRule="auto"/>
        <w:ind w:firstLine="413" w:firstLineChars="196"/>
        <w:jc w:val="left"/>
        <w:outlineLvl w:val="1"/>
        <w:rPr>
          <w:rFonts w:ascii="Times New Roman" w:hAnsi="Times New Roman"/>
          <w:b/>
          <w:color w:val="000000"/>
          <w:szCs w:val="21"/>
          <w:highlight w:val="none"/>
        </w:rPr>
      </w:pPr>
      <w:r>
        <w:rPr>
          <w:rFonts w:ascii="Times New Roman" w:hAnsi="Times New Roman"/>
          <w:b/>
          <w:color w:val="000000"/>
          <w:szCs w:val="21"/>
          <w:highlight w:val="none"/>
        </w:rPr>
        <w:t>4</w:t>
      </w:r>
      <w:r>
        <w:rPr>
          <w:rFonts w:hint="eastAsia" w:ascii="Times New Roman" w:hAnsi="Times New Roman"/>
          <w:b/>
          <w:color w:val="000000"/>
          <w:szCs w:val="21"/>
          <w:highlight w:val="none"/>
        </w:rPr>
        <w:t>、投标委托</w:t>
      </w:r>
      <w:bookmarkEnd w:id="199"/>
      <w:bookmarkEnd w:id="200"/>
      <w:bookmarkEnd w:id="201"/>
      <w:bookmarkEnd w:id="202"/>
      <w:bookmarkEnd w:id="203"/>
    </w:p>
    <w:p>
      <w:pPr>
        <w:snapToGrid w:val="0"/>
        <w:spacing w:line="360" w:lineRule="auto"/>
        <w:ind w:firstLine="411" w:firstLineChars="196"/>
        <w:jc w:val="left"/>
        <w:outlineLvl w:val="1"/>
        <w:rPr>
          <w:rFonts w:ascii="Times New Roman" w:hAnsi="Times New Roman"/>
          <w:color w:val="000000"/>
          <w:szCs w:val="21"/>
          <w:highlight w:val="none"/>
        </w:rPr>
      </w:pPr>
      <w:r>
        <w:rPr>
          <w:rFonts w:hint="eastAsia" w:ascii="Times New Roman" w:hAnsi="Times New Roman"/>
          <w:color w:val="000000"/>
          <w:szCs w:val="21"/>
          <w:highlight w:val="none"/>
        </w:rPr>
        <w:t>如投标人代表不是法定代表人，须有法定代表人出具的授权委托书（格式见第六章）。</w:t>
      </w:r>
      <w:bookmarkStart w:id="204" w:name="_Toc177824942"/>
      <w:bookmarkStart w:id="205" w:name="_Toc177825123"/>
      <w:bookmarkStart w:id="206" w:name="_Toc177824875"/>
      <w:bookmarkStart w:id="207" w:name="_Toc417992879"/>
      <w:bookmarkStart w:id="208" w:name="_Toc177870541"/>
    </w:p>
    <w:p>
      <w:pPr>
        <w:snapToGrid w:val="0"/>
        <w:spacing w:line="360" w:lineRule="auto"/>
        <w:ind w:firstLine="413" w:firstLineChars="196"/>
        <w:jc w:val="left"/>
        <w:outlineLvl w:val="1"/>
        <w:rPr>
          <w:rFonts w:ascii="Times New Roman" w:hAnsi="Times New Roman"/>
          <w:color w:val="000000"/>
          <w:szCs w:val="21"/>
          <w:highlight w:val="none"/>
        </w:rPr>
      </w:pPr>
      <w:r>
        <w:rPr>
          <w:rFonts w:ascii="Times New Roman" w:hAnsi="Times New Roman"/>
          <w:b/>
          <w:color w:val="000000"/>
          <w:szCs w:val="21"/>
          <w:highlight w:val="none"/>
        </w:rPr>
        <w:t>5</w:t>
      </w:r>
      <w:r>
        <w:rPr>
          <w:rFonts w:hint="eastAsia" w:ascii="Times New Roman" w:hAnsi="Times New Roman"/>
          <w:b/>
          <w:color w:val="000000"/>
          <w:szCs w:val="21"/>
          <w:highlight w:val="none"/>
        </w:rPr>
        <w:t>、投标费用</w:t>
      </w:r>
    </w:p>
    <w:bookmarkEnd w:id="204"/>
    <w:bookmarkEnd w:id="205"/>
    <w:bookmarkEnd w:id="206"/>
    <w:bookmarkEnd w:id="207"/>
    <w:bookmarkEnd w:id="208"/>
    <w:p>
      <w:pPr>
        <w:snapToGrid w:val="0"/>
        <w:spacing w:line="360" w:lineRule="auto"/>
        <w:ind w:firstLine="411" w:firstLineChars="196"/>
        <w:jc w:val="left"/>
        <w:outlineLvl w:val="1"/>
        <w:rPr>
          <w:rFonts w:ascii="Times New Roman" w:hAnsi="Times New Roman"/>
          <w:color w:val="000000"/>
          <w:szCs w:val="21"/>
          <w:highlight w:val="none"/>
        </w:rPr>
      </w:pPr>
      <w:r>
        <w:rPr>
          <w:rFonts w:hint="eastAsia" w:ascii="Times New Roman" w:hAnsi="Times New Roman"/>
          <w:color w:val="000000"/>
          <w:szCs w:val="21"/>
          <w:highlight w:val="none"/>
        </w:rPr>
        <w:t>不论投标结果如何，投标人均应自行承担所有与投标有关的全部费用（招标文件有相反规定除外）</w:t>
      </w:r>
    </w:p>
    <w:p>
      <w:pPr>
        <w:snapToGrid w:val="0"/>
        <w:spacing w:line="360" w:lineRule="auto"/>
        <w:ind w:firstLine="413" w:firstLineChars="196"/>
        <w:jc w:val="left"/>
        <w:outlineLvl w:val="1"/>
        <w:rPr>
          <w:rFonts w:ascii="Times New Roman" w:hAnsi="Times New Roman"/>
          <w:b/>
          <w:color w:val="000000"/>
          <w:szCs w:val="21"/>
          <w:highlight w:val="none"/>
        </w:rPr>
      </w:pPr>
      <w:r>
        <w:rPr>
          <w:rFonts w:ascii="Times New Roman" w:hAnsi="Times New Roman"/>
          <w:b/>
          <w:color w:val="000000"/>
          <w:szCs w:val="21"/>
          <w:highlight w:val="none"/>
        </w:rPr>
        <w:t>6</w:t>
      </w:r>
      <w:r>
        <w:rPr>
          <w:rFonts w:hint="eastAsia" w:ascii="Times New Roman" w:hAnsi="Times New Roman"/>
          <w:b/>
          <w:color w:val="000000"/>
          <w:szCs w:val="21"/>
          <w:highlight w:val="none"/>
        </w:rPr>
        <w:t>、联合体投标</w:t>
      </w:r>
    </w:p>
    <w:p>
      <w:pPr>
        <w:pStyle w:val="22"/>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本项目不接受联合体投标。</w:t>
      </w:r>
    </w:p>
    <w:p>
      <w:pPr>
        <w:snapToGrid w:val="0"/>
        <w:spacing w:line="360" w:lineRule="auto"/>
        <w:ind w:firstLine="420" w:firstLineChars="199"/>
        <w:jc w:val="left"/>
        <w:rPr>
          <w:rFonts w:ascii="Times New Roman" w:hAnsi="Times New Roman"/>
          <w:b/>
          <w:color w:val="000000"/>
          <w:szCs w:val="21"/>
          <w:highlight w:val="none"/>
        </w:rPr>
      </w:pPr>
      <w:r>
        <w:rPr>
          <w:rFonts w:ascii="Times New Roman" w:hAnsi="Times New Roman"/>
          <w:b/>
          <w:color w:val="000000"/>
          <w:szCs w:val="21"/>
          <w:highlight w:val="none"/>
        </w:rPr>
        <w:t>7</w:t>
      </w:r>
      <w:r>
        <w:rPr>
          <w:rFonts w:hint="eastAsia" w:ascii="Times New Roman" w:hAnsi="Times New Roman"/>
          <w:b/>
          <w:color w:val="000000"/>
          <w:szCs w:val="21"/>
          <w:highlight w:val="none"/>
        </w:rPr>
        <w:t>、关联企业投标</w:t>
      </w:r>
    </w:p>
    <w:p>
      <w:pPr>
        <w:snapToGrid w:val="0"/>
        <w:spacing w:line="360" w:lineRule="auto"/>
        <w:ind w:firstLine="417" w:firstLineChars="199"/>
        <w:jc w:val="left"/>
        <w:rPr>
          <w:rFonts w:ascii="Times New Roman" w:hAnsi="Times New Roman"/>
          <w:color w:val="000000"/>
          <w:szCs w:val="21"/>
          <w:highlight w:val="none"/>
        </w:rPr>
      </w:pPr>
      <w:bookmarkStart w:id="209" w:name="_Hlk11356122"/>
      <w:r>
        <w:rPr>
          <w:rFonts w:ascii="Times New Roman" w:hAnsi="Times New Roman"/>
          <w:color w:val="000000"/>
          <w:szCs w:val="21"/>
          <w:highlight w:val="none"/>
        </w:rPr>
        <w:t>7.1</w:t>
      </w:r>
      <w:r>
        <w:rPr>
          <w:rFonts w:hint="eastAsia" w:ascii="Times New Roman" w:hAnsi="Times New Roman"/>
          <w:color w:val="000000"/>
          <w:szCs w:val="21"/>
          <w:highlight w:val="none"/>
        </w:rPr>
        <w:t>、本招标文件所称关联企业</w:t>
      </w:r>
      <w:r>
        <w:rPr>
          <w:rFonts w:ascii="Times New Roman" w:hAnsi="Times New Roman"/>
          <w:color w:val="000000"/>
          <w:szCs w:val="21"/>
          <w:highlight w:val="none"/>
        </w:rPr>
        <w:t>,</w:t>
      </w:r>
      <w:r>
        <w:rPr>
          <w:rFonts w:hint="eastAsia" w:ascii="Times New Roman" w:hAnsi="Times New Roman"/>
          <w:color w:val="000000"/>
          <w:szCs w:val="21"/>
          <w:highlight w:val="none"/>
        </w:rPr>
        <w:t>是指存在“关联关系</w:t>
      </w:r>
      <w:r>
        <w:rPr>
          <w:rFonts w:ascii="Times New Roman" w:hAnsi="Times New Roman"/>
          <w:color w:val="000000"/>
          <w:szCs w:val="21"/>
          <w:highlight w:val="none"/>
        </w:rPr>
        <w:t>”</w:t>
      </w:r>
      <w:r>
        <w:rPr>
          <w:rFonts w:hint="eastAsia" w:ascii="Times New Roman" w:hAnsi="Times New Roman"/>
          <w:color w:val="000000"/>
          <w:szCs w:val="21"/>
          <w:highlight w:val="none"/>
        </w:rPr>
        <w:t>的企业</w:t>
      </w:r>
      <w:r>
        <w:rPr>
          <w:rFonts w:ascii="Times New Roman" w:hAnsi="Times New Roman"/>
          <w:color w:val="000000"/>
          <w:szCs w:val="21"/>
          <w:highlight w:val="none"/>
        </w:rPr>
        <w:t>;</w:t>
      </w:r>
      <w:r>
        <w:rPr>
          <w:rFonts w:hint="eastAsia" w:ascii="Times New Roman" w:hAnsi="Times New Roman"/>
          <w:color w:val="000000"/>
          <w:szCs w:val="21"/>
          <w:highlight w:val="none"/>
        </w:rPr>
        <w:t>“关联关系</w:t>
      </w:r>
      <w:r>
        <w:rPr>
          <w:rFonts w:ascii="Times New Roman" w:hAnsi="Times New Roman"/>
          <w:color w:val="000000"/>
          <w:szCs w:val="21"/>
          <w:highlight w:val="none"/>
        </w:rPr>
        <w:t>”</w:t>
      </w:r>
      <w:r>
        <w:rPr>
          <w:rFonts w:hint="eastAsia" w:ascii="Times New Roman" w:hAnsi="Times New Roman"/>
          <w:color w:val="000000"/>
          <w:szCs w:val="21"/>
          <w:highlight w:val="none"/>
        </w:rPr>
        <w:t>的界定适用《中华人民共和国公司法》</w:t>
      </w:r>
      <w:r>
        <w:rPr>
          <w:rFonts w:ascii="Times New Roman" w:hAnsi="Times New Roman"/>
          <w:color w:val="000000"/>
          <w:szCs w:val="21"/>
          <w:highlight w:val="none"/>
        </w:rPr>
        <w:t>217</w:t>
      </w:r>
      <w:r>
        <w:rPr>
          <w:rFonts w:hint="eastAsia" w:ascii="Times New Roman" w:hAnsi="Times New Roman"/>
          <w:color w:val="000000"/>
          <w:szCs w:val="21"/>
          <w:highlight w:val="none"/>
        </w:rPr>
        <w:t>条之规定。</w:t>
      </w:r>
    </w:p>
    <w:p>
      <w:pPr>
        <w:snapToGrid w:val="0"/>
        <w:spacing w:line="360" w:lineRule="auto"/>
        <w:ind w:firstLine="417" w:firstLineChars="199"/>
        <w:jc w:val="left"/>
        <w:rPr>
          <w:rFonts w:ascii="Times New Roman" w:hAnsi="Times New Roman"/>
          <w:color w:val="000000"/>
          <w:szCs w:val="21"/>
          <w:highlight w:val="none"/>
        </w:rPr>
      </w:pPr>
      <w:r>
        <w:rPr>
          <w:rFonts w:ascii="Times New Roman" w:hAnsi="Times New Roman"/>
          <w:color w:val="000000"/>
          <w:szCs w:val="21"/>
          <w:highlight w:val="none"/>
        </w:rPr>
        <w:t>7.2</w:t>
      </w:r>
      <w:r>
        <w:rPr>
          <w:rFonts w:hint="eastAsia" w:ascii="Times New Roman" w:hAnsi="Times New Roman"/>
          <w:color w:val="000000"/>
          <w:szCs w:val="21"/>
          <w:highlight w:val="none"/>
        </w:rPr>
        <w:t>、关联企业中，法定代表人为同一个的两个及两个以上法人，母公司、全资子公司及其控股公司，都不得同时投标，一经发现，将导致投标同时被拒绝。</w:t>
      </w:r>
    </w:p>
    <w:bookmarkEnd w:id="209"/>
    <w:p>
      <w:pPr>
        <w:snapToGrid w:val="0"/>
        <w:spacing w:line="360" w:lineRule="auto"/>
        <w:ind w:firstLine="420" w:firstLineChars="199"/>
        <w:jc w:val="left"/>
        <w:rPr>
          <w:rFonts w:ascii="Times New Roman" w:hAnsi="Times New Roman" w:cs="宋体"/>
          <w:b/>
          <w:color w:val="000000"/>
          <w:kern w:val="0"/>
          <w:szCs w:val="21"/>
          <w:highlight w:val="none"/>
        </w:rPr>
      </w:pPr>
      <w:r>
        <w:rPr>
          <w:rFonts w:ascii="Times New Roman" w:hAnsi="Times New Roman" w:cs="宋体"/>
          <w:b/>
          <w:color w:val="000000"/>
          <w:kern w:val="0"/>
          <w:szCs w:val="21"/>
          <w:highlight w:val="none"/>
        </w:rPr>
        <w:t>8</w:t>
      </w:r>
      <w:r>
        <w:rPr>
          <w:rFonts w:hint="eastAsia" w:ascii="Times New Roman" w:hAnsi="Times New Roman" w:cs="宋体"/>
          <w:b/>
          <w:color w:val="000000"/>
          <w:kern w:val="0"/>
          <w:szCs w:val="21"/>
          <w:highlight w:val="none"/>
        </w:rPr>
        <w:t>、转包与分包</w:t>
      </w:r>
    </w:p>
    <w:p>
      <w:pPr>
        <w:snapToGrid w:val="0"/>
        <w:spacing w:line="360" w:lineRule="auto"/>
        <w:ind w:firstLine="417" w:firstLineChars="199"/>
        <w:jc w:val="left"/>
        <w:rPr>
          <w:rFonts w:ascii="Times New Roman" w:hAnsi="Times New Roman" w:cs="宋体"/>
          <w:color w:val="000000"/>
          <w:kern w:val="0"/>
          <w:szCs w:val="21"/>
          <w:highlight w:val="none"/>
        </w:rPr>
      </w:pPr>
      <w:r>
        <w:rPr>
          <w:rFonts w:ascii="Times New Roman" w:hAnsi="Times New Roman" w:cs="宋体"/>
          <w:color w:val="000000"/>
          <w:kern w:val="0"/>
          <w:szCs w:val="21"/>
          <w:highlight w:val="none"/>
        </w:rPr>
        <w:t>8.1</w:t>
      </w:r>
      <w:r>
        <w:rPr>
          <w:rFonts w:hint="eastAsia" w:ascii="Times New Roman" w:hAnsi="Times New Roman" w:cs="宋体"/>
          <w:color w:val="000000"/>
          <w:kern w:val="0"/>
          <w:szCs w:val="21"/>
          <w:highlight w:val="none"/>
        </w:rPr>
        <w:t>、本项目不允许转包；</w:t>
      </w:r>
    </w:p>
    <w:p>
      <w:pPr>
        <w:snapToGrid w:val="0"/>
        <w:spacing w:line="360" w:lineRule="auto"/>
        <w:ind w:firstLine="417" w:firstLineChars="199"/>
        <w:jc w:val="left"/>
        <w:rPr>
          <w:rFonts w:ascii="Times New Roman" w:hAnsi="Times New Roman" w:cs="宋体"/>
          <w:color w:val="000000"/>
          <w:kern w:val="0"/>
          <w:szCs w:val="21"/>
          <w:highlight w:val="none"/>
        </w:rPr>
      </w:pPr>
      <w:r>
        <w:rPr>
          <w:rFonts w:ascii="Times New Roman" w:hAnsi="Times New Roman" w:cs="宋体"/>
          <w:color w:val="000000"/>
          <w:kern w:val="0"/>
          <w:szCs w:val="21"/>
          <w:highlight w:val="none"/>
        </w:rPr>
        <w:t>8.2</w:t>
      </w:r>
      <w:r>
        <w:rPr>
          <w:rFonts w:hint="eastAsia" w:ascii="Times New Roman" w:hAnsi="Times New Roman" w:cs="宋体"/>
          <w:color w:val="000000"/>
          <w:kern w:val="0"/>
          <w:szCs w:val="21"/>
          <w:highlight w:val="none"/>
        </w:rPr>
        <w:t>、本项目</w:t>
      </w:r>
      <w:r>
        <w:rPr>
          <w:rFonts w:hint="eastAsia" w:ascii="Times New Roman" w:hAnsi="Times New Roman" w:cs="宋体"/>
          <w:color w:val="000000"/>
          <w:kern w:val="0"/>
          <w:szCs w:val="21"/>
          <w:highlight w:val="none"/>
          <w:lang w:val="en-US" w:eastAsia="zh-CN"/>
        </w:rPr>
        <w:t>不</w:t>
      </w:r>
      <w:r>
        <w:rPr>
          <w:rFonts w:hint="eastAsia" w:ascii="Times New Roman" w:hAnsi="Times New Roman" w:cs="宋体"/>
          <w:color w:val="000000"/>
          <w:kern w:val="0"/>
          <w:szCs w:val="21"/>
          <w:highlight w:val="none"/>
        </w:rPr>
        <w:t>允许分包</w:t>
      </w:r>
      <w:r>
        <w:rPr>
          <w:rFonts w:hint="eastAsia" w:ascii="Times New Roman" w:hAnsi="Times New Roman" w:cs="宋体"/>
          <w:color w:val="000000"/>
          <w:kern w:val="0"/>
          <w:szCs w:val="21"/>
          <w:highlight w:val="none"/>
          <w:lang w:eastAsia="zh-CN"/>
        </w:rPr>
        <w:t>；</w:t>
      </w:r>
    </w:p>
    <w:p>
      <w:pPr>
        <w:snapToGrid w:val="0"/>
        <w:spacing w:line="360" w:lineRule="auto"/>
        <w:ind w:firstLine="420" w:firstLineChars="199"/>
        <w:jc w:val="left"/>
        <w:rPr>
          <w:rFonts w:ascii="Times New Roman" w:hAnsi="Times New Roman" w:cs="宋体"/>
          <w:b/>
          <w:color w:val="000000"/>
          <w:kern w:val="0"/>
          <w:szCs w:val="21"/>
          <w:highlight w:val="none"/>
        </w:rPr>
      </w:pPr>
      <w:r>
        <w:rPr>
          <w:rFonts w:ascii="Times New Roman" w:hAnsi="Times New Roman" w:cs="宋体"/>
          <w:b/>
          <w:color w:val="000000"/>
          <w:kern w:val="0"/>
          <w:szCs w:val="21"/>
          <w:highlight w:val="none"/>
        </w:rPr>
        <w:t>9</w:t>
      </w:r>
      <w:r>
        <w:rPr>
          <w:rFonts w:hint="eastAsia" w:ascii="Times New Roman" w:hAnsi="Times New Roman" w:cs="宋体"/>
          <w:b/>
          <w:color w:val="000000"/>
          <w:kern w:val="0"/>
          <w:szCs w:val="21"/>
          <w:highlight w:val="none"/>
        </w:rPr>
        <w:t>、特别说明：</w:t>
      </w:r>
    </w:p>
    <w:p>
      <w:pPr>
        <w:snapToGrid w:val="0"/>
        <w:spacing w:line="360" w:lineRule="auto"/>
        <w:ind w:firstLine="420" w:firstLineChars="200"/>
        <w:jc w:val="left"/>
        <w:rPr>
          <w:rFonts w:ascii="Times New Roman" w:hAnsi="Times New Roman"/>
          <w:bCs/>
          <w:color w:val="000000"/>
          <w:szCs w:val="21"/>
          <w:highlight w:val="none"/>
        </w:rPr>
      </w:pPr>
      <w:r>
        <w:rPr>
          <w:rFonts w:ascii="Times New Roman" w:hAnsi="Times New Roman"/>
          <w:bCs/>
          <w:color w:val="000000"/>
          <w:szCs w:val="21"/>
          <w:highlight w:val="none"/>
        </w:rPr>
        <w:t>9.1</w:t>
      </w:r>
      <w:r>
        <w:rPr>
          <w:rFonts w:hint="eastAsia" w:ascii="Times New Roman" w:hAnsi="Times New Roman"/>
          <w:bCs/>
          <w:color w:val="000000"/>
          <w:szCs w:val="21"/>
          <w:highlight w:val="none"/>
        </w:rPr>
        <w:t>、</w:t>
      </w:r>
      <w:bookmarkStart w:id="210" w:name="_Hlk11356294"/>
      <w:r>
        <w:rPr>
          <w:rFonts w:hint="eastAsia" w:ascii="Times New Roman" w:hAnsi="Times New Roman"/>
          <w:color w:val="000000"/>
          <w:szCs w:val="21"/>
          <w:highlight w:val="none"/>
        </w:rPr>
        <w:t>▲</w:t>
      </w:r>
      <w:r>
        <w:rPr>
          <w:rFonts w:hint="eastAsia" w:ascii="Times New Roman" w:hAnsi="Times New Roman"/>
          <w:bCs/>
          <w:color w:val="000000"/>
          <w:szCs w:val="21"/>
          <w:highlight w:val="none"/>
        </w:rPr>
        <w:t>投标人投标所使用的资格、信誉、荣誉、业绩与企业认证必须为本法人所拥有。投标人投标所使用的采购项目实施人员必须为本法人员工（或必须为本法人或控股公司正式员工）。</w:t>
      </w:r>
      <w:bookmarkEnd w:id="210"/>
    </w:p>
    <w:p>
      <w:pPr>
        <w:snapToGrid w:val="0"/>
        <w:spacing w:line="360" w:lineRule="auto"/>
        <w:ind w:firstLine="420" w:firstLineChars="200"/>
        <w:jc w:val="left"/>
        <w:rPr>
          <w:rFonts w:ascii="Times New Roman" w:hAnsi="Times New Roman"/>
          <w:bCs/>
          <w:color w:val="000000"/>
          <w:szCs w:val="21"/>
          <w:highlight w:val="none"/>
        </w:rPr>
      </w:pPr>
      <w:r>
        <w:rPr>
          <w:rFonts w:ascii="Times New Roman" w:hAnsi="Times New Roman"/>
          <w:bCs/>
          <w:color w:val="000000"/>
          <w:szCs w:val="21"/>
          <w:highlight w:val="none"/>
        </w:rPr>
        <w:t>9.2</w:t>
      </w:r>
      <w:r>
        <w:rPr>
          <w:rFonts w:hint="eastAsia" w:ascii="Times New Roman" w:hAnsi="Times New Roman"/>
          <w:bCs/>
          <w:color w:val="000000"/>
          <w:szCs w:val="21"/>
          <w:highlight w:val="none"/>
        </w:rPr>
        <w:t>、</w:t>
      </w:r>
      <w:r>
        <w:rPr>
          <w:rFonts w:hint="eastAsia" w:ascii="Times New Roman" w:hAnsi="Times New Roman"/>
          <w:szCs w:val="21"/>
          <w:highlight w:val="none"/>
        </w:rPr>
        <w:t>▲</w:t>
      </w:r>
      <w:r>
        <w:rPr>
          <w:rFonts w:hint="eastAsia" w:ascii="Times New Roman" w:hAnsi="Times New Roman"/>
          <w:bCs/>
          <w:color w:val="000000"/>
          <w:szCs w:val="21"/>
          <w:highlight w:val="none"/>
        </w:rPr>
        <w:t>投标人应仔细阅读招标文件的所有内容，按照招标文件的要求提交投标文件，并对所提供的全部资料的真实性承担法律责任。</w:t>
      </w:r>
    </w:p>
    <w:p>
      <w:pPr>
        <w:snapToGrid w:val="0"/>
        <w:spacing w:line="360" w:lineRule="auto"/>
        <w:ind w:firstLine="417" w:firstLineChars="199"/>
        <w:jc w:val="left"/>
        <w:rPr>
          <w:rFonts w:ascii="Times New Roman" w:hAnsi="Times New Roman"/>
          <w:color w:val="000000"/>
          <w:szCs w:val="21"/>
          <w:highlight w:val="none"/>
        </w:rPr>
      </w:pPr>
      <w:r>
        <w:rPr>
          <w:rFonts w:ascii="Times New Roman" w:hAnsi="Times New Roman"/>
          <w:color w:val="000000"/>
          <w:szCs w:val="21"/>
          <w:highlight w:val="none"/>
        </w:rPr>
        <w:t>9.3</w:t>
      </w:r>
      <w:r>
        <w:rPr>
          <w:rFonts w:hint="eastAsia" w:ascii="Times New Roman" w:hAnsi="Times New Roman"/>
          <w:color w:val="000000"/>
          <w:szCs w:val="21"/>
          <w:highlight w:val="none"/>
        </w:rPr>
        <w:t>、▲投标人在投标活动中提供任何虚假材料</w:t>
      </w:r>
      <w:r>
        <w:rPr>
          <w:rFonts w:ascii="Times New Roman" w:hAnsi="Times New Roman"/>
          <w:color w:val="000000"/>
          <w:szCs w:val="21"/>
          <w:highlight w:val="none"/>
        </w:rPr>
        <w:t>,</w:t>
      </w:r>
      <w:r>
        <w:rPr>
          <w:rFonts w:hint="eastAsia" w:ascii="Times New Roman" w:hAnsi="Times New Roman"/>
          <w:color w:val="000000"/>
          <w:szCs w:val="21"/>
          <w:highlight w:val="none"/>
        </w:rPr>
        <w:t>其投标无效，并报监管部门查处；中标后发现的</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根据《浙江省政府采购供应商注册及诚信管理暂行办法的通知》规定进行处罚，还须依照《中华人民共和国消费者权益保护法》第</w:t>
      </w:r>
      <w:r>
        <w:rPr>
          <w:rFonts w:ascii="Times New Roman" w:hAnsi="Times New Roman"/>
          <w:color w:val="000000"/>
          <w:szCs w:val="21"/>
          <w:highlight w:val="none"/>
        </w:rPr>
        <w:t>49</w:t>
      </w:r>
      <w:r>
        <w:rPr>
          <w:rFonts w:hint="eastAsia" w:ascii="Times New Roman" w:hAnsi="Times New Roman"/>
          <w:color w:val="000000"/>
          <w:szCs w:val="21"/>
          <w:highlight w:val="none"/>
        </w:rPr>
        <w:t>条之规定双倍赔偿采购人。民事上之赔偿不免除作假投标人之行政与刑事责任。</w:t>
      </w:r>
      <w:bookmarkStart w:id="211" w:name="_Toc177870543"/>
      <w:bookmarkStart w:id="212" w:name="_Toc417992881"/>
    </w:p>
    <w:p>
      <w:pPr>
        <w:snapToGrid w:val="0"/>
        <w:spacing w:line="360" w:lineRule="auto"/>
        <w:ind w:firstLine="420" w:firstLineChars="199"/>
        <w:jc w:val="left"/>
        <w:rPr>
          <w:rFonts w:ascii="Times New Roman" w:hAnsi="Times New Roman"/>
          <w:b/>
          <w:bCs/>
          <w:color w:val="000000"/>
          <w:szCs w:val="21"/>
          <w:highlight w:val="none"/>
        </w:rPr>
      </w:pPr>
      <w:r>
        <w:rPr>
          <w:rFonts w:ascii="Times New Roman" w:hAnsi="Times New Roman"/>
          <w:b/>
          <w:bCs/>
          <w:color w:val="000000"/>
          <w:szCs w:val="21"/>
          <w:highlight w:val="none"/>
        </w:rPr>
        <w:t>10</w:t>
      </w:r>
      <w:r>
        <w:rPr>
          <w:rFonts w:hint="eastAsia" w:ascii="Times New Roman" w:hAnsi="Times New Roman"/>
          <w:b/>
          <w:bCs/>
          <w:color w:val="000000"/>
          <w:szCs w:val="21"/>
          <w:highlight w:val="none"/>
        </w:rPr>
        <w:t>、质疑</w:t>
      </w:r>
      <w:bookmarkEnd w:id="211"/>
      <w:bookmarkEnd w:id="212"/>
      <w:r>
        <w:rPr>
          <w:rFonts w:hint="eastAsia" w:ascii="Times New Roman" w:hAnsi="Times New Roman"/>
          <w:b/>
          <w:bCs/>
          <w:color w:val="000000"/>
          <w:szCs w:val="21"/>
          <w:highlight w:val="none"/>
        </w:rPr>
        <w:t>和投诉</w:t>
      </w:r>
    </w:p>
    <w:p>
      <w:pPr>
        <w:snapToGrid w:val="0"/>
        <w:spacing w:line="360" w:lineRule="auto"/>
        <w:ind w:firstLine="417" w:firstLineChars="199"/>
        <w:jc w:val="left"/>
        <w:rPr>
          <w:rFonts w:ascii="Times New Roman" w:hAnsi="Times New Roman"/>
          <w:color w:val="000000"/>
          <w:szCs w:val="21"/>
          <w:highlight w:val="none"/>
        </w:rPr>
      </w:pPr>
      <w:r>
        <w:rPr>
          <w:rFonts w:ascii="Times New Roman" w:hAnsi="Times New Roman"/>
          <w:color w:val="000000"/>
          <w:szCs w:val="21"/>
          <w:highlight w:val="none"/>
        </w:rPr>
        <w:t>10.1</w:t>
      </w:r>
      <w:r>
        <w:rPr>
          <w:rFonts w:hint="eastAsia" w:ascii="Times New Roman" w:hAnsi="Times New Roman"/>
          <w:color w:val="000000"/>
          <w:szCs w:val="21"/>
          <w:highlight w:val="none"/>
        </w:rPr>
        <w:t>、投标人认为招标文件、招标过程或中标结果使自己的合法权益受到损害的，应当在知道或者应知其权益受到损害之日起七个工作日内，以书面形式向采购人、代理机构一次性提出针对同一采购程序环节的质疑。投标人对采购人、</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采购代理机构的质疑答复不满意或者招标采购单位未在规定时间内作出答复的，可以在答复期满后十五个工作日内向同级采购监管部门投诉。</w:t>
      </w:r>
    </w:p>
    <w:p>
      <w:pPr>
        <w:snapToGrid w:val="0"/>
        <w:spacing w:line="360" w:lineRule="auto"/>
        <w:ind w:firstLine="417" w:firstLineChars="199"/>
        <w:jc w:val="left"/>
        <w:rPr>
          <w:rFonts w:ascii="Times New Roman" w:hAnsi="Times New Roman"/>
          <w:color w:val="000000"/>
          <w:szCs w:val="21"/>
          <w:highlight w:val="none"/>
        </w:rPr>
      </w:pPr>
      <w:r>
        <w:rPr>
          <w:rFonts w:ascii="Times New Roman" w:hAnsi="Times New Roman"/>
          <w:color w:val="000000"/>
          <w:szCs w:val="21"/>
          <w:highlight w:val="none"/>
        </w:rPr>
        <w:t>10.2</w:t>
      </w:r>
      <w:r>
        <w:rPr>
          <w:rFonts w:hint="eastAsia" w:ascii="Times New Roman" w:hAnsi="Times New Roman"/>
          <w:color w:val="000000"/>
          <w:szCs w:val="21"/>
          <w:highlight w:val="none"/>
        </w:rPr>
        <w:t>、质疑、投诉应当采用书面形式，质疑书、投诉书均应明确阐述招标文件、招标过程或中标结果中使自己合法权益受到损害的实质性内容，提供相关事实、依据和证据及其来源或线索，便于有关单位调查、答复和处理。</w:t>
      </w:r>
    </w:p>
    <w:p>
      <w:pPr>
        <w:snapToGrid w:val="0"/>
        <w:spacing w:line="360" w:lineRule="auto"/>
        <w:ind w:firstLine="417" w:firstLineChars="199"/>
        <w:jc w:val="left"/>
        <w:rPr>
          <w:rFonts w:ascii="Times New Roman" w:hAnsi="Times New Roman"/>
          <w:color w:val="000000"/>
          <w:szCs w:val="21"/>
          <w:highlight w:val="none"/>
        </w:rPr>
      </w:pPr>
      <w:r>
        <w:rPr>
          <w:rFonts w:ascii="Times New Roman" w:hAnsi="Times New Roman"/>
          <w:color w:val="000000"/>
          <w:szCs w:val="21"/>
          <w:highlight w:val="none"/>
        </w:rPr>
        <w:t>10.3</w:t>
      </w:r>
      <w:r>
        <w:rPr>
          <w:rFonts w:hint="eastAsia" w:ascii="Times New Roman" w:hAnsi="Times New Roman"/>
          <w:color w:val="000000"/>
          <w:szCs w:val="21"/>
          <w:highlight w:val="none"/>
        </w:rPr>
        <w:t>、供应商认为采购代理机构在质疑答复程序中启用的调查和复评等程序，在该程序操作过程未明显违反法律禁止性规定时，不得提出疑义。</w:t>
      </w:r>
    </w:p>
    <w:p>
      <w:pPr>
        <w:snapToGrid w:val="0"/>
        <w:spacing w:line="360" w:lineRule="auto"/>
        <w:ind w:firstLine="417" w:firstLineChars="199"/>
        <w:jc w:val="left"/>
        <w:rPr>
          <w:rFonts w:ascii="Times New Roman" w:hAnsi="Times New Roman"/>
          <w:color w:val="000000"/>
          <w:szCs w:val="21"/>
          <w:highlight w:val="none"/>
        </w:rPr>
      </w:pPr>
      <w:r>
        <w:rPr>
          <w:rFonts w:ascii="Times New Roman" w:hAnsi="Times New Roman"/>
          <w:color w:val="000000"/>
          <w:szCs w:val="21"/>
          <w:highlight w:val="none"/>
        </w:rPr>
        <w:t>10.4</w:t>
      </w:r>
      <w:r>
        <w:rPr>
          <w:rFonts w:hint="eastAsia" w:ascii="Times New Roman" w:hAnsi="Times New Roman"/>
          <w:color w:val="000000"/>
          <w:szCs w:val="21"/>
          <w:highlight w:val="none"/>
        </w:rPr>
        <w:t>、质疑和投诉应当满足《政府采购质疑和投诉办法》（中华人民共和国财政部令第</w:t>
      </w:r>
      <w:r>
        <w:rPr>
          <w:rFonts w:ascii="Times New Roman" w:hAnsi="Times New Roman"/>
          <w:color w:val="000000"/>
          <w:szCs w:val="21"/>
          <w:highlight w:val="none"/>
        </w:rPr>
        <w:t>94</w:t>
      </w:r>
      <w:r>
        <w:rPr>
          <w:rFonts w:hint="eastAsia" w:ascii="Times New Roman" w:hAnsi="Times New Roman"/>
          <w:color w:val="000000"/>
          <w:szCs w:val="21"/>
          <w:highlight w:val="none"/>
        </w:rPr>
        <w:t>号）要求。</w:t>
      </w:r>
    </w:p>
    <w:p>
      <w:pPr>
        <w:snapToGrid w:val="0"/>
        <w:spacing w:line="360" w:lineRule="auto"/>
        <w:ind w:firstLine="420" w:firstLineChars="199"/>
        <w:jc w:val="left"/>
        <w:rPr>
          <w:rFonts w:ascii="Times New Roman" w:hAnsi="Times New Roman"/>
          <w:b/>
          <w:color w:val="000000"/>
          <w:szCs w:val="21"/>
          <w:highlight w:val="none"/>
        </w:rPr>
      </w:pPr>
      <w:r>
        <w:rPr>
          <w:rFonts w:hint="eastAsia" w:ascii="Times New Roman" w:hAnsi="Times New Roman"/>
          <w:b/>
          <w:color w:val="000000"/>
          <w:szCs w:val="21"/>
          <w:highlight w:val="none"/>
        </w:rPr>
        <w:t>二、招标文件</w:t>
      </w:r>
    </w:p>
    <w:p>
      <w:pPr>
        <w:snapToGrid w:val="0"/>
        <w:spacing w:line="360" w:lineRule="auto"/>
        <w:ind w:firstLine="420" w:firstLineChars="199"/>
        <w:jc w:val="left"/>
        <w:rPr>
          <w:rFonts w:ascii="Times New Roman" w:hAnsi="Times New Roman"/>
          <w:b/>
          <w:color w:val="000000"/>
          <w:szCs w:val="21"/>
          <w:highlight w:val="none"/>
        </w:rPr>
      </w:pPr>
      <w:r>
        <w:rPr>
          <w:rFonts w:ascii="Times New Roman" w:hAnsi="Times New Roman"/>
          <w:b/>
          <w:color w:val="000000"/>
          <w:szCs w:val="21"/>
          <w:highlight w:val="none"/>
        </w:rPr>
        <w:t>1</w:t>
      </w:r>
      <w:r>
        <w:rPr>
          <w:rFonts w:hint="eastAsia" w:ascii="Times New Roman" w:hAnsi="Times New Roman"/>
          <w:b/>
          <w:color w:val="000000"/>
          <w:szCs w:val="21"/>
          <w:highlight w:val="none"/>
        </w:rPr>
        <w:t>、招标文件的构成</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1.1</w:t>
      </w:r>
      <w:r>
        <w:rPr>
          <w:rFonts w:hint="eastAsia" w:ascii="Times New Roman" w:hAnsi="Times New Roman"/>
          <w:color w:val="000000"/>
          <w:szCs w:val="21"/>
          <w:highlight w:val="none"/>
        </w:rPr>
        <w:t>、公开招标采购公告</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1.2</w:t>
      </w:r>
      <w:r>
        <w:rPr>
          <w:rFonts w:hint="eastAsia" w:ascii="Times New Roman" w:hAnsi="Times New Roman"/>
          <w:color w:val="000000"/>
          <w:szCs w:val="21"/>
          <w:highlight w:val="none"/>
        </w:rPr>
        <w:t>、招标需求</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1.3</w:t>
      </w:r>
      <w:r>
        <w:rPr>
          <w:rFonts w:hint="eastAsia" w:ascii="Times New Roman" w:hAnsi="Times New Roman"/>
          <w:color w:val="000000"/>
          <w:szCs w:val="21"/>
          <w:highlight w:val="none"/>
        </w:rPr>
        <w:t>、投标人须知</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1.4</w:t>
      </w:r>
      <w:r>
        <w:rPr>
          <w:rFonts w:hint="eastAsia" w:ascii="Times New Roman" w:hAnsi="Times New Roman"/>
          <w:color w:val="000000"/>
          <w:szCs w:val="21"/>
          <w:highlight w:val="none"/>
        </w:rPr>
        <w:t>、评标办法及评分标准</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1.5</w:t>
      </w:r>
      <w:r>
        <w:rPr>
          <w:rFonts w:hint="eastAsia" w:ascii="Times New Roman" w:hAnsi="Times New Roman"/>
          <w:color w:val="000000"/>
          <w:szCs w:val="21"/>
          <w:highlight w:val="none"/>
        </w:rPr>
        <w:t>、合同主要条款</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1.6</w:t>
      </w:r>
      <w:r>
        <w:rPr>
          <w:rFonts w:hint="eastAsia" w:ascii="Times New Roman" w:hAnsi="Times New Roman"/>
          <w:color w:val="000000"/>
          <w:szCs w:val="21"/>
          <w:highlight w:val="none"/>
        </w:rPr>
        <w:t>、投标文件相关文件格式</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1.7</w:t>
      </w:r>
      <w:r>
        <w:rPr>
          <w:rFonts w:hint="eastAsia" w:ascii="Times New Roman" w:hAnsi="Times New Roman"/>
          <w:color w:val="000000"/>
          <w:szCs w:val="21"/>
          <w:highlight w:val="none"/>
        </w:rPr>
        <w:t>、本项目招标文件的澄清、答复、修改、补充的内容</w:t>
      </w:r>
    </w:p>
    <w:p>
      <w:pPr>
        <w:snapToGrid w:val="0"/>
        <w:spacing w:line="360" w:lineRule="auto"/>
        <w:ind w:firstLine="422" w:firstLineChars="200"/>
        <w:jc w:val="left"/>
        <w:rPr>
          <w:rFonts w:ascii="Times New Roman" w:hAnsi="Times New Roman"/>
          <w:b/>
          <w:color w:val="000000"/>
          <w:szCs w:val="21"/>
          <w:highlight w:val="none"/>
        </w:rPr>
      </w:pPr>
      <w:r>
        <w:rPr>
          <w:rFonts w:ascii="Times New Roman" w:hAnsi="Times New Roman"/>
          <w:b/>
          <w:color w:val="000000"/>
          <w:szCs w:val="21"/>
          <w:highlight w:val="none"/>
        </w:rPr>
        <w:t>2</w:t>
      </w:r>
      <w:r>
        <w:rPr>
          <w:rFonts w:hint="eastAsia" w:ascii="Times New Roman" w:hAnsi="Times New Roman"/>
          <w:b/>
          <w:color w:val="000000"/>
          <w:szCs w:val="21"/>
          <w:highlight w:val="none"/>
        </w:rPr>
        <w:t>、存在的风险</w:t>
      </w:r>
    </w:p>
    <w:p>
      <w:pPr>
        <w:snapToGrid w:val="0"/>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投标人没有按照招标文件要求提供全部资料，或者投标人没有对招标文件在各方面作出实质性响应是投标人的风险，并可能导致其投标无效。</w:t>
      </w:r>
    </w:p>
    <w:p>
      <w:pPr>
        <w:snapToGrid w:val="0"/>
        <w:spacing w:line="360" w:lineRule="auto"/>
        <w:ind w:firstLine="422" w:firstLineChars="200"/>
        <w:jc w:val="left"/>
        <w:rPr>
          <w:rFonts w:ascii="Times New Roman" w:hAnsi="Times New Roman"/>
          <w:b/>
          <w:color w:val="000000"/>
          <w:szCs w:val="21"/>
          <w:highlight w:val="none"/>
        </w:rPr>
      </w:pPr>
      <w:r>
        <w:rPr>
          <w:rFonts w:ascii="Times New Roman" w:hAnsi="Times New Roman"/>
          <w:b/>
          <w:color w:val="000000"/>
          <w:szCs w:val="21"/>
          <w:highlight w:val="none"/>
        </w:rPr>
        <w:t>3</w:t>
      </w:r>
      <w:r>
        <w:rPr>
          <w:rFonts w:hint="eastAsia" w:ascii="Times New Roman" w:hAnsi="Times New Roman"/>
          <w:b/>
          <w:color w:val="000000"/>
          <w:szCs w:val="21"/>
          <w:highlight w:val="none"/>
        </w:rPr>
        <w:t>、招标文件的澄清与修改</w:t>
      </w:r>
      <w:r>
        <w:rPr>
          <w:rFonts w:ascii="Times New Roman" w:hAnsi="Times New Roman"/>
          <w:b/>
          <w:color w:val="000000"/>
          <w:szCs w:val="21"/>
          <w:highlight w:val="none"/>
        </w:rPr>
        <w:t xml:space="preserve"> </w:t>
      </w:r>
    </w:p>
    <w:p>
      <w:pPr>
        <w:snapToGrid w:val="0"/>
        <w:spacing w:line="360" w:lineRule="auto"/>
        <w:ind w:firstLine="420" w:firstLineChars="200"/>
        <w:jc w:val="left"/>
        <w:rPr>
          <w:rFonts w:ascii="Times New Roman" w:hAnsi="Times New Roman"/>
          <w:color w:val="000000"/>
          <w:szCs w:val="21"/>
          <w:highlight w:val="none"/>
        </w:rPr>
      </w:pPr>
      <w:bookmarkStart w:id="213" w:name="_Hlk11356763"/>
      <w:r>
        <w:rPr>
          <w:rFonts w:ascii="Times New Roman" w:hAnsi="Times New Roman"/>
          <w:color w:val="000000"/>
          <w:szCs w:val="21"/>
          <w:highlight w:val="none"/>
        </w:rPr>
        <w:t>3.1</w:t>
      </w:r>
      <w:r>
        <w:rPr>
          <w:rFonts w:hint="eastAsia" w:ascii="Times New Roman" w:hAnsi="Times New Roman"/>
          <w:color w:val="000000"/>
          <w:szCs w:val="21"/>
          <w:highlight w:val="none"/>
        </w:rPr>
        <w:t>、</w:t>
      </w:r>
      <w:bookmarkStart w:id="214" w:name="_Hlk11356817"/>
      <w:r>
        <w:rPr>
          <w:rFonts w:hint="eastAsia" w:ascii="Times New Roman" w:hAnsi="Times New Roman"/>
          <w:color w:val="000000"/>
          <w:szCs w:val="21"/>
          <w:highlight w:val="none"/>
        </w:rPr>
        <w:t>投标人应认真阅读本招标文件，发现其中有误或有要求不合理的，投标人必须在知道或者应当知道之日起七个工作日内以书面形式要求采购代理机构澄清，否则，由此产生的后果由投标人负责。</w:t>
      </w:r>
      <w:bookmarkEnd w:id="214"/>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3.2</w:t>
      </w:r>
      <w:r>
        <w:rPr>
          <w:rFonts w:hint="eastAsia" w:ascii="Times New Roman" w:hAnsi="Times New Roman"/>
          <w:color w:val="000000"/>
          <w:szCs w:val="21"/>
          <w:highlight w:val="none"/>
        </w:rPr>
        <w:t>、</w:t>
      </w:r>
      <w:bookmarkStart w:id="215" w:name="_Hlk11356826"/>
      <w:r>
        <w:rPr>
          <w:rFonts w:hint="eastAsia" w:ascii="Times New Roman" w:hAnsi="Times New Roman"/>
          <w:color w:val="000000"/>
          <w:szCs w:val="21"/>
          <w:highlight w:val="none"/>
        </w:rPr>
        <w:t>采购代理机构必须以书面形式答复所有购买招标文件的投标人（答复中不包含问题的来源）要求澄清的问题，同时认定其他澄清方式为无效。</w:t>
      </w:r>
      <w:bookmarkEnd w:id="215"/>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3.3</w:t>
      </w:r>
      <w:r>
        <w:rPr>
          <w:rFonts w:hint="eastAsia" w:ascii="Times New Roman" w:hAnsi="Times New Roman"/>
          <w:color w:val="000000"/>
          <w:szCs w:val="21"/>
          <w:highlight w:val="none"/>
        </w:rPr>
        <w:t>、</w:t>
      </w:r>
      <w:bookmarkStart w:id="216" w:name="_Hlk11356834"/>
      <w:r>
        <w:rPr>
          <w:rFonts w:hint="eastAsia" w:ascii="Times New Roman" w:hAnsi="Times New Roman"/>
          <w:color w:val="000000"/>
          <w:szCs w:val="21"/>
          <w:highlight w:val="none"/>
        </w:rPr>
        <w:t>采购代理机构对已发出的招标文件进行必要澄清或者修改的，应当在招标文件要求提交投标文件截止时间十五日前，在财政部门指定的政府采购信息发布媒体上发布更正公告，并以书面形式通知所有招标文件获取人。该澄清或者修改的内容为招标文件的组成部分。当招标文件与澄清或者修改就同一内容的表述不一致时，以最后发出的书面文件为准。</w:t>
      </w:r>
      <w:bookmarkEnd w:id="216"/>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3.4</w:t>
      </w:r>
      <w:r>
        <w:rPr>
          <w:rFonts w:hint="eastAsia" w:ascii="Times New Roman" w:hAnsi="Times New Roman"/>
          <w:color w:val="000000"/>
          <w:szCs w:val="21"/>
          <w:highlight w:val="none"/>
        </w:rPr>
        <w:t>、</w:t>
      </w:r>
      <w:bookmarkStart w:id="217" w:name="_Hlk11356845"/>
      <w:r>
        <w:rPr>
          <w:rFonts w:hint="eastAsia" w:ascii="Times New Roman" w:hAnsi="Times New Roman"/>
          <w:color w:val="000000"/>
          <w:szCs w:val="21"/>
          <w:highlight w:val="none"/>
        </w:rPr>
        <w:t>采购代理机构和采购单位可以视采购具体情况，延长投标截止时间和开标时间，但至少应当在招标文件要求提交投标文件的截止时间三日前，将变更时间书面通知所有招标文件收受人，并在财政部门指定的政府采购信息发布媒体上发布变更公告</w:t>
      </w:r>
      <w:bookmarkEnd w:id="217"/>
      <w:r>
        <w:rPr>
          <w:rFonts w:hint="eastAsia" w:ascii="Times New Roman" w:hAnsi="Times New Roman"/>
          <w:color w:val="000000"/>
          <w:szCs w:val="21"/>
          <w:highlight w:val="none"/>
        </w:rPr>
        <w:t>。</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3.5</w:t>
      </w:r>
      <w:r>
        <w:rPr>
          <w:rFonts w:hint="eastAsia" w:ascii="Times New Roman" w:hAnsi="Times New Roman"/>
          <w:color w:val="000000"/>
          <w:szCs w:val="21"/>
          <w:highlight w:val="none"/>
        </w:rPr>
        <w:t>、</w:t>
      </w:r>
      <w:bookmarkStart w:id="218" w:name="_Hlk11356851"/>
      <w:r>
        <w:rPr>
          <w:rFonts w:hint="eastAsia" w:ascii="Times New Roman" w:hAnsi="Times New Roman"/>
          <w:color w:val="000000"/>
          <w:szCs w:val="21"/>
          <w:highlight w:val="none"/>
        </w:rPr>
        <w:t>招标文件的澄清或者修改都应该通过本代理机构以法定形式发布，采购人非通过本机构，不得擅自澄清或者修改招标文件。</w:t>
      </w:r>
      <w:bookmarkEnd w:id="218"/>
    </w:p>
    <w:bookmarkEnd w:id="213"/>
    <w:p>
      <w:pPr>
        <w:snapToGrid w:val="0"/>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三、投标文件的编制</w:t>
      </w:r>
      <w:bookmarkStart w:id="219" w:name="_Toc417992884"/>
    </w:p>
    <w:p>
      <w:pPr>
        <w:snapToGrid w:val="0"/>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电子投标文件按政采云平台供应商电子招投标操作指南（网址：</w:t>
      </w:r>
      <w:r>
        <w:rPr>
          <w:rFonts w:ascii="Times New Roman" w:hAnsi="Times New Roman"/>
          <w:color w:val="000000"/>
          <w:szCs w:val="21"/>
          <w:highlight w:val="none"/>
        </w:rPr>
        <w:t>https://help.zcygov.cn/web/site_2/2018/12-28/2573.html</w:t>
      </w:r>
      <w:r>
        <w:rPr>
          <w:rFonts w:hint="eastAsia" w:ascii="Times New Roman" w:hAnsi="Times New Roman"/>
          <w:color w:val="000000"/>
          <w:szCs w:val="21"/>
          <w:highlight w:val="none"/>
        </w:rPr>
        <w:t>）及本招标文件规定的格式和顺序编制电子投标文件并进行关联。</w:t>
      </w:r>
      <w:r>
        <w:rPr>
          <w:rFonts w:hint="eastAsia" w:ascii="Times New Roman" w:hAnsi="Times New Roman"/>
          <w:b/>
          <w:bCs/>
          <w:color w:val="000000"/>
          <w:szCs w:val="21"/>
          <w:highlight w:val="none"/>
        </w:rPr>
        <w:t>建议根据招标文件合格供应商的资格要求、投标文件的编制及评分标准等内容一一关联。</w:t>
      </w:r>
    </w:p>
    <w:p>
      <w:pPr>
        <w:snapToGrid w:val="0"/>
        <w:spacing w:line="360" w:lineRule="auto"/>
        <w:ind w:firstLine="422" w:firstLineChars="200"/>
        <w:jc w:val="left"/>
        <w:rPr>
          <w:rFonts w:ascii="Times New Roman" w:hAnsi="Times New Roman"/>
          <w:b/>
          <w:bCs/>
          <w:color w:val="000000"/>
          <w:szCs w:val="21"/>
          <w:highlight w:val="none"/>
        </w:rPr>
      </w:pPr>
      <w:r>
        <w:rPr>
          <w:rFonts w:hint="eastAsia" w:ascii="Times New Roman" w:hAnsi="Times New Roman"/>
          <w:b/>
          <w:bCs/>
          <w:color w:val="000000"/>
          <w:szCs w:val="21"/>
          <w:highlight w:val="none"/>
        </w:rPr>
        <w:t>总体要求：</w:t>
      </w:r>
    </w:p>
    <w:p>
      <w:pPr>
        <w:snapToGrid w:val="0"/>
        <w:spacing w:line="360" w:lineRule="auto"/>
        <w:ind w:firstLine="422" w:firstLineChars="200"/>
        <w:jc w:val="left"/>
        <w:rPr>
          <w:rFonts w:ascii="Times New Roman" w:hAnsi="Times New Roman"/>
          <w:b/>
          <w:bCs/>
          <w:color w:val="000000"/>
          <w:szCs w:val="21"/>
          <w:highlight w:val="none"/>
        </w:rPr>
      </w:pPr>
      <w:r>
        <w:rPr>
          <w:rFonts w:ascii="Times New Roman" w:hAnsi="Times New Roman"/>
          <w:b/>
          <w:bCs/>
          <w:color w:val="000000"/>
          <w:szCs w:val="21"/>
          <w:highlight w:val="none"/>
        </w:rPr>
        <w:t>1</w:t>
      </w:r>
      <w:r>
        <w:rPr>
          <w:rFonts w:hint="eastAsia" w:ascii="Times New Roman" w:hAnsi="Times New Roman"/>
          <w:b/>
          <w:bCs/>
          <w:color w:val="000000"/>
          <w:szCs w:val="21"/>
          <w:highlight w:val="none"/>
        </w:rPr>
        <w:t>、供应商应仔细阅读招标文件的所有内容，按本文件的要求提供投标文件，并保证所提供的全部资料的真实性，以使其投标文件对招标文件作出实质性响应，否则，投标文件可能视为无效投标文件。</w:t>
      </w:r>
      <w:r>
        <w:rPr>
          <w:rFonts w:ascii="Times New Roman" w:hAnsi="Times New Roman"/>
          <w:b/>
          <w:bCs/>
          <w:color w:val="000000"/>
          <w:szCs w:val="21"/>
          <w:highlight w:val="none"/>
        </w:rPr>
        <w:t xml:space="preserve"> </w:t>
      </w:r>
    </w:p>
    <w:p>
      <w:pPr>
        <w:snapToGrid w:val="0"/>
        <w:spacing w:line="360" w:lineRule="auto"/>
        <w:ind w:firstLine="422" w:firstLineChars="200"/>
        <w:jc w:val="left"/>
        <w:rPr>
          <w:rFonts w:ascii="Times New Roman" w:hAnsi="Times New Roman"/>
          <w:b/>
          <w:bCs/>
          <w:color w:val="000000"/>
          <w:szCs w:val="21"/>
          <w:highlight w:val="none"/>
        </w:rPr>
      </w:pPr>
      <w:r>
        <w:rPr>
          <w:rFonts w:ascii="Times New Roman" w:hAnsi="Times New Roman"/>
          <w:b/>
          <w:bCs/>
          <w:color w:val="000000"/>
          <w:szCs w:val="21"/>
          <w:highlight w:val="none"/>
        </w:rPr>
        <w:t>2</w:t>
      </w:r>
      <w:r>
        <w:rPr>
          <w:rFonts w:hint="eastAsia" w:ascii="Times New Roman" w:hAnsi="Times New Roman"/>
          <w:b/>
          <w:bCs/>
          <w:color w:val="000000"/>
          <w:szCs w:val="21"/>
          <w:highlight w:val="none"/>
        </w:rPr>
        <w:t>、供应商应按本文件中提供的文件格式、内容和要求制作投标文件。</w:t>
      </w:r>
    </w:p>
    <w:p>
      <w:pPr>
        <w:snapToGrid w:val="0"/>
        <w:spacing w:line="360" w:lineRule="auto"/>
        <w:ind w:firstLine="422" w:firstLineChars="200"/>
        <w:jc w:val="left"/>
        <w:rPr>
          <w:rFonts w:ascii="Times New Roman" w:hAnsi="Times New Roman"/>
          <w:b/>
          <w:bCs/>
          <w:color w:val="000000"/>
          <w:szCs w:val="21"/>
          <w:highlight w:val="none"/>
        </w:rPr>
      </w:pPr>
      <w:r>
        <w:rPr>
          <w:rFonts w:ascii="Times New Roman" w:hAnsi="Times New Roman"/>
          <w:b/>
          <w:bCs/>
          <w:color w:val="000000"/>
          <w:szCs w:val="21"/>
          <w:highlight w:val="none"/>
        </w:rPr>
        <w:t>3</w:t>
      </w:r>
      <w:r>
        <w:rPr>
          <w:rFonts w:hint="eastAsia" w:ascii="Times New Roman" w:hAnsi="Times New Roman"/>
          <w:b/>
          <w:bCs/>
          <w:color w:val="000000"/>
          <w:szCs w:val="21"/>
          <w:highlight w:val="none"/>
        </w:rPr>
        <w:t>、投标文件的效力：投标文件的启用，按先后顺位分别为电子投标文件、电子备份投标文件。</w:t>
      </w:r>
      <w:r>
        <w:rPr>
          <w:rFonts w:hint="eastAsia" w:ascii="Times New Roman" w:hAnsi="Times New Roman"/>
          <w:color w:val="000000"/>
          <w:szCs w:val="21"/>
          <w:highlight w:val="none"/>
        </w:rPr>
        <w:t>通过“政府采购云平台”成功上传递交的“电子加密投标文件”无法按时解密，投标供应商如按规定递交了“备份投标文件”的，以“备份投标文件”为依据（由采购组织机构按“政府采购云平台”操作规范将“备份投标文件”上传至“政府采购云平台”，上传成功后，“电子加密投标文件”自动失效），否则视为投标文件撤回。</w:t>
      </w:r>
    </w:p>
    <w:p>
      <w:pPr>
        <w:snapToGrid w:val="0"/>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（一）投标文件的组成</w:t>
      </w:r>
      <w:bookmarkEnd w:id="219"/>
    </w:p>
    <w:p>
      <w:pPr>
        <w:snapToGrid w:val="0"/>
        <w:spacing w:line="360" w:lineRule="auto"/>
        <w:ind w:firstLine="422" w:firstLineChars="200"/>
        <w:jc w:val="left"/>
        <w:rPr>
          <w:rFonts w:ascii="Times New Roman" w:hAnsi="Times New Roman"/>
          <w:b/>
          <w:bCs/>
          <w:color w:val="000000"/>
          <w:szCs w:val="21"/>
          <w:highlight w:val="none"/>
        </w:rPr>
      </w:pPr>
      <w:r>
        <w:rPr>
          <w:rFonts w:hint="eastAsia" w:ascii="Times New Roman" w:hAnsi="Times New Roman"/>
          <w:b/>
          <w:bCs/>
          <w:color w:val="000000"/>
          <w:szCs w:val="21"/>
          <w:highlight w:val="none"/>
        </w:rPr>
        <w:t>包括电子投标文件和电子备份投标文件（选送），均由资格文件、商务技术文件、报价文件三部份组成。其中电子投标文件中所须加盖公章部分均采用</w:t>
      </w:r>
      <w:r>
        <w:rPr>
          <w:rFonts w:ascii="Times New Roman" w:hAnsi="Times New Roman"/>
          <w:b/>
          <w:bCs/>
          <w:color w:val="000000"/>
          <w:szCs w:val="21"/>
          <w:highlight w:val="none"/>
        </w:rPr>
        <w:t>CA</w:t>
      </w:r>
      <w:r>
        <w:rPr>
          <w:rFonts w:hint="eastAsia" w:ascii="Times New Roman" w:hAnsi="Times New Roman"/>
          <w:b/>
          <w:bCs/>
          <w:color w:val="000000"/>
          <w:szCs w:val="21"/>
          <w:highlight w:val="none"/>
        </w:rPr>
        <w:t>签章。</w:t>
      </w:r>
    </w:p>
    <w:p>
      <w:pPr>
        <w:snapToGrid w:val="0"/>
        <w:spacing w:line="360" w:lineRule="auto"/>
        <w:ind w:firstLine="420" w:firstLineChars="200"/>
        <w:jc w:val="left"/>
        <w:rPr>
          <w:rFonts w:ascii="Times New Roman" w:hAnsi="Times New Roman"/>
          <w:b/>
          <w:bCs/>
          <w:color w:val="000000"/>
          <w:szCs w:val="21"/>
          <w:highlight w:val="none"/>
        </w:rPr>
      </w:pPr>
      <w:r>
        <w:rPr>
          <w:rFonts w:hint="eastAsia" w:ascii="Times New Roman" w:hAnsi="Times New Roman"/>
          <w:color w:val="000000"/>
          <w:szCs w:val="21"/>
          <w:highlight w:val="none"/>
        </w:rPr>
        <w:t>本项目所涉投标文件格式详见第六章，未给出的格式请自拟，</w:t>
      </w:r>
      <w:r>
        <w:rPr>
          <w:rFonts w:hint="eastAsia" w:ascii="Times New Roman" w:hAnsi="Times New Roman"/>
          <w:b/>
          <w:bCs/>
          <w:color w:val="000000"/>
          <w:szCs w:val="21"/>
          <w:highlight w:val="none"/>
        </w:rPr>
        <w:t>复印件应加盖供应商公章。</w:t>
      </w:r>
    </w:p>
    <w:p>
      <w:pPr>
        <w:snapToGrid w:val="0"/>
        <w:spacing w:line="360" w:lineRule="auto"/>
        <w:ind w:firstLine="422" w:firstLineChars="200"/>
        <w:jc w:val="left"/>
        <w:rPr>
          <w:rFonts w:ascii="Times New Roman" w:hAnsi="Times New Roman"/>
          <w:b/>
          <w:color w:val="000000"/>
          <w:szCs w:val="21"/>
          <w:highlight w:val="none"/>
        </w:rPr>
      </w:pPr>
      <w:r>
        <w:rPr>
          <w:rFonts w:ascii="Times New Roman" w:hAnsi="Times New Roman"/>
          <w:b/>
          <w:color w:val="000000"/>
          <w:szCs w:val="21"/>
          <w:highlight w:val="none"/>
        </w:rPr>
        <w:t>1</w:t>
      </w:r>
      <w:r>
        <w:rPr>
          <w:rFonts w:hint="eastAsia" w:ascii="Times New Roman" w:hAnsi="Times New Roman"/>
          <w:b/>
          <w:color w:val="000000"/>
          <w:szCs w:val="21"/>
          <w:highlight w:val="none"/>
        </w:rPr>
        <w:t>、资格文件</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1.1</w:t>
      </w:r>
      <w:r>
        <w:rPr>
          <w:rFonts w:hint="eastAsia" w:ascii="Times New Roman" w:hAnsi="Times New Roman"/>
          <w:color w:val="000000"/>
          <w:szCs w:val="21"/>
          <w:highlight w:val="none"/>
        </w:rPr>
        <w:t>、投标声明书（格式见第六章）；</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1.2</w:t>
      </w:r>
      <w:r>
        <w:rPr>
          <w:rFonts w:hint="eastAsia" w:ascii="Times New Roman" w:hAnsi="Times New Roman"/>
          <w:color w:val="000000"/>
          <w:szCs w:val="21"/>
          <w:highlight w:val="none"/>
        </w:rPr>
        <w:t>、诚信承诺书（格式见第六章）；</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1.3</w:t>
      </w:r>
      <w:r>
        <w:rPr>
          <w:rFonts w:hint="eastAsia" w:ascii="Times New Roman" w:hAnsi="Times New Roman"/>
          <w:color w:val="000000"/>
          <w:szCs w:val="21"/>
          <w:highlight w:val="none"/>
        </w:rPr>
        <w:t>、法定代表人授权委托书（格式见第六章）；</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1.4</w:t>
      </w:r>
      <w:r>
        <w:rPr>
          <w:rFonts w:hint="eastAsia" w:ascii="Times New Roman" w:hAnsi="Times New Roman"/>
          <w:color w:val="000000"/>
          <w:szCs w:val="21"/>
          <w:highlight w:val="none"/>
        </w:rPr>
        <w:t>、营业执照或其他组织登记证书复印件；</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1.5</w:t>
      </w:r>
      <w:r>
        <w:rPr>
          <w:rFonts w:hint="eastAsia" w:ascii="Times New Roman" w:hAnsi="Times New Roman"/>
          <w:color w:val="000000"/>
          <w:szCs w:val="21"/>
          <w:highlight w:val="none"/>
        </w:rPr>
        <w:t>供应商承诺符合参与政府采购活动资格条件的承诺函（格式自拟）；</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1.5.1</w:t>
      </w:r>
      <w:r>
        <w:rPr>
          <w:rFonts w:hint="eastAsia" w:ascii="Times New Roman" w:hAnsi="Times New Roman"/>
          <w:color w:val="000000"/>
          <w:szCs w:val="21"/>
          <w:highlight w:val="none"/>
        </w:rPr>
        <w:t>近三个月中任意一个月的财务报告、近三个月中任意一个月的依法缴纳税收的证明</w:t>
      </w:r>
      <w:r>
        <w:rPr>
          <w:rFonts w:ascii="Times New Roman" w:hAnsi="Times New Roman"/>
          <w:color w:val="000000"/>
          <w:szCs w:val="21"/>
          <w:highlight w:val="none"/>
        </w:rPr>
        <w:t>[</w:t>
      </w:r>
      <w:r>
        <w:rPr>
          <w:rFonts w:hint="eastAsia" w:ascii="Times New Roman" w:hAnsi="Times New Roman"/>
          <w:color w:val="000000"/>
          <w:szCs w:val="21"/>
          <w:highlight w:val="none"/>
        </w:rPr>
        <w:t>税费凭证复印件，或者依法缴纳税费或依法免缴税费的证明（复印件）</w:t>
      </w:r>
      <w:r>
        <w:rPr>
          <w:rFonts w:ascii="Times New Roman" w:hAnsi="Times New Roman"/>
          <w:color w:val="000000"/>
          <w:szCs w:val="21"/>
          <w:highlight w:val="none"/>
        </w:rPr>
        <w:t>]</w:t>
      </w:r>
      <w:r>
        <w:rPr>
          <w:rFonts w:hint="eastAsia" w:ascii="Times New Roman" w:hAnsi="Times New Roman"/>
          <w:color w:val="000000"/>
          <w:szCs w:val="21"/>
          <w:highlight w:val="none"/>
        </w:rPr>
        <w:t>、近三个月中任意一个月的依法缴纳社会保障资金证明（缴纳凭证或人社部门出具的证明）；（截止本项目投标截止日前</w:t>
      </w:r>
      <w:r>
        <w:rPr>
          <w:rFonts w:ascii="Times New Roman" w:hAnsi="Times New Roman"/>
          <w:color w:val="000000"/>
          <w:szCs w:val="21"/>
          <w:highlight w:val="none"/>
        </w:rPr>
        <w:t>2</w:t>
      </w:r>
      <w:r>
        <w:rPr>
          <w:rFonts w:hint="eastAsia" w:ascii="Times New Roman" w:hAnsi="Times New Roman"/>
          <w:color w:val="000000"/>
          <w:szCs w:val="21"/>
          <w:highlight w:val="none"/>
        </w:rPr>
        <w:t>个月内新注册的单位为则不需提供）；</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1.5.2</w:t>
      </w:r>
      <w:r>
        <w:rPr>
          <w:rFonts w:hint="eastAsia" w:ascii="Times New Roman" w:hAnsi="Times New Roman"/>
          <w:color w:val="000000"/>
          <w:szCs w:val="21"/>
          <w:highlight w:val="none"/>
        </w:rPr>
        <w:t>、具有履行合同所必需的设备和专业技术能力的承诺函（格式见第六章）；</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w:t>
      </w:r>
      <w:bookmarkStart w:id="220" w:name="_Hlk36587660"/>
      <w:r>
        <w:rPr>
          <w:rFonts w:ascii="Times New Roman" w:hAnsi="Times New Roman"/>
          <w:color w:val="000000"/>
          <w:szCs w:val="21"/>
          <w:highlight w:val="none"/>
        </w:rPr>
        <w:t>5.3</w:t>
      </w:r>
      <w:r>
        <w:rPr>
          <w:rFonts w:hint="eastAsia" w:ascii="Times New Roman" w:hAnsi="Times New Roman"/>
          <w:color w:val="000000"/>
          <w:szCs w:val="21"/>
          <w:highlight w:val="none"/>
        </w:rPr>
        <w:t>、提供自招标公告发布之日起至投标截止日内任意时间的“信用中国”网站（</w:t>
      </w:r>
      <w:r>
        <w:rPr>
          <w:rFonts w:ascii="Times New Roman" w:hAnsi="Times New Roman"/>
          <w:color w:val="000000"/>
          <w:szCs w:val="21"/>
          <w:highlight w:val="none"/>
        </w:rPr>
        <w:t>www.creditchina.gov.cn</w:t>
      </w:r>
      <w:r>
        <w:rPr>
          <w:rFonts w:hint="eastAsia" w:ascii="Times New Roman" w:hAnsi="Times New Roman"/>
          <w:color w:val="000000"/>
          <w:szCs w:val="21"/>
          <w:highlight w:val="none"/>
        </w:rPr>
        <w:t>）、“信用中国（浙江）”网站（</w:t>
      </w:r>
      <w:r>
        <w:rPr>
          <w:rFonts w:ascii="Times New Roman" w:hAnsi="Times New Roman"/>
          <w:color w:val="000000"/>
          <w:szCs w:val="21"/>
          <w:highlight w:val="none"/>
        </w:rPr>
        <w:t>http://credit.zj.gov.cn</w:t>
      </w:r>
      <w:r>
        <w:rPr>
          <w:rFonts w:hint="eastAsia" w:ascii="Times New Roman" w:hAnsi="Times New Roman"/>
          <w:color w:val="000000"/>
          <w:szCs w:val="21"/>
          <w:highlight w:val="none"/>
        </w:rPr>
        <w:t>）、中国政府采购网（</w:t>
      </w:r>
      <w:r>
        <w:rPr>
          <w:rFonts w:ascii="Times New Roman" w:hAnsi="Times New Roman"/>
          <w:color w:val="000000"/>
          <w:szCs w:val="21"/>
          <w:highlight w:val="none"/>
        </w:rPr>
        <w:t>www.ccgp.gov.cn</w:t>
      </w:r>
      <w:r>
        <w:rPr>
          <w:rFonts w:hint="eastAsia" w:ascii="Times New Roman" w:hAnsi="Times New Roman"/>
          <w:color w:val="000000"/>
          <w:szCs w:val="21"/>
          <w:highlight w:val="none"/>
        </w:rPr>
        <w:t>）投标人信用查询网页截图。（以开标当日采购人或由采购人委托的评标委员会核实的查询结果为准）；</w:t>
      </w:r>
      <w:bookmarkEnd w:id="220"/>
    </w:p>
    <w:p>
      <w:pPr>
        <w:snapToGrid w:val="0"/>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注：投标人提供</w:t>
      </w:r>
      <w:r>
        <w:rPr>
          <w:rFonts w:ascii="Times New Roman" w:hAnsi="Times New Roman"/>
          <w:b/>
          <w:color w:val="000000"/>
          <w:szCs w:val="21"/>
          <w:highlight w:val="none"/>
        </w:rPr>
        <w:t>1.5</w:t>
      </w:r>
      <w:r>
        <w:rPr>
          <w:rFonts w:hint="eastAsia" w:ascii="Times New Roman" w:hAnsi="Times New Roman"/>
          <w:b/>
          <w:color w:val="000000"/>
          <w:szCs w:val="21"/>
          <w:highlight w:val="none"/>
        </w:rPr>
        <w:t>一项材料或者提供</w:t>
      </w:r>
      <w:r>
        <w:rPr>
          <w:rFonts w:ascii="Times New Roman" w:hAnsi="Times New Roman"/>
          <w:b/>
          <w:color w:val="000000"/>
          <w:szCs w:val="21"/>
          <w:highlight w:val="none"/>
        </w:rPr>
        <w:t>1.5.1</w:t>
      </w:r>
      <w:r>
        <w:rPr>
          <w:rFonts w:hint="eastAsia" w:ascii="Times New Roman" w:hAnsi="Times New Roman"/>
          <w:b/>
          <w:color w:val="000000"/>
          <w:szCs w:val="21"/>
          <w:highlight w:val="none"/>
        </w:rPr>
        <w:t>、</w:t>
      </w:r>
      <w:r>
        <w:rPr>
          <w:rFonts w:ascii="Times New Roman" w:hAnsi="Times New Roman"/>
          <w:b/>
          <w:color w:val="000000"/>
          <w:szCs w:val="21"/>
          <w:highlight w:val="none"/>
        </w:rPr>
        <w:t>1.5.2</w:t>
      </w:r>
      <w:r>
        <w:rPr>
          <w:rFonts w:hint="eastAsia" w:ascii="Times New Roman" w:hAnsi="Times New Roman"/>
          <w:b/>
          <w:color w:val="000000"/>
          <w:szCs w:val="21"/>
          <w:highlight w:val="none"/>
        </w:rPr>
        <w:t>、</w:t>
      </w:r>
      <w:r>
        <w:rPr>
          <w:rFonts w:ascii="Times New Roman" w:hAnsi="Times New Roman"/>
          <w:b/>
          <w:color w:val="000000"/>
          <w:szCs w:val="21"/>
          <w:highlight w:val="none"/>
        </w:rPr>
        <w:t>1.5.3</w:t>
      </w:r>
      <w:r>
        <w:rPr>
          <w:rFonts w:hint="eastAsia" w:ascii="Times New Roman" w:hAnsi="Times New Roman"/>
          <w:b/>
          <w:color w:val="000000"/>
          <w:szCs w:val="21"/>
          <w:highlight w:val="none"/>
        </w:rPr>
        <w:t>三项材料均可。</w:t>
      </w:r>
    </w:p>
    <w:p>
      <w:pPr>
        <w:snapToGrid w:val="0"/>
        <w:spacing w:line="360" w:lineRule="auto"/>
        <w:ind w:firstLine="420" w:firstLineChars="200"/>
        <w:jc w:val="left"/>
        <w:rPr>
          <w:rFonts w:ascii="Times New Roman" w:hAnsi="Times New Roman"/>
          <w:szCs w:val="21"/>
          <w:highlight w:val="none"/>
        </w:rPr>
      </w:pPr>
      <w:r>
        <w:rPr>
          <w:rFonts w:ascii="Times New Roman" w:hAnsi="Times New Roman"/>
          <w:szCs w:val="21"/>
          <w:highlight w:val="none"/>
        </w:rPr>
        <w:t>1. 1.6</w:t>
      </w:r>
      <w:r>
        <w:rPr>
          <w:rFonts w:hint="eastAsia" w:ascii="Times New Roman" w:hAnsi="Times New Roman"/>
          <w:szCs w:val="21"/>
          <w:highlight w:val="none"/>
        </w:rPr>
        <w:t>、落实政府采购政策需满足的资格要求：</w:t>
      </w:r>
    </w:p>
    <w:p>
      <w:pPr>
        <w:snapToGrid w:val="0"/>
        <w:spacing w:line="360" w:lineRule="auto"/>
        <w:ind w:firstLine="420" w:firstLineChars="200"/>
        <w:jc w:val="left"/>
        <w:rPr>
          <w:rFonts w:ascii="Times New Roman" w:hAnsi="Times New Roman"/>
          <w:szCs w:val="21"/>
          <w:highlight w:val="none"/>
        </w:rPr>
      </w:pPr>
      <w:r>
        <w:rPr>
          <w:rFonts w:ascii="Times New Roman" w:hAnsi="Times New Roman"/>
          <w:szCs w:val="21"/>
          <w:highlight w:val="none"/>
        </w:rPr>
        <w:t>1.1.6.1</w:t>
      </w:r>
      <w:r>
        <w:rPr>
          <w:rFonts w:hint="eastAsia" w:ascii="Times New Roman" w:hAnsi="Times New Roman"/>
          <w:szCs w:val="21"/>
          <w:highlight w:val="none"/>
        </w:rPr>
        <w:t>、提供中小企业声明函等证明材料（除监狱企业的证明文件格式自拟外，其余格式见第六章）；</w:t>
      </w:r>
    </w:p>
    <w:p>
      <w:pPr>
        <w:snapToGrid w:val="0"/>
        <w:spacing w:line="360" w:lineRule="auto"/>
        <w:ind w:firstLine="420" w:firstLineChars="200"/>
        <w:jc w:val="left"/>
        <w:rPr>
          <w:rFonts w:hint="default" w:ascii="Times New Roman" w:hAnsi="Times New Roman" w:eastAsia="宋体"/>
          <w:szCs w:val="21"/>
          <w:highlight w:val="none"/>
          <w:lang w:val="en-US" w:eastAsia="zh-CN"/>
        </w:rPr>
      </w:pPr>
      <w:r>
        <w:rPr>
          <w:rFonts w:hint="eastAsia" w:ascii="Times New Roman" w:hAnsi="Times New Roman"/>
          <w:szCs w:val="21"/>
          <w:highlight w:val="none"/>
          <w:lang w:val="en-US" w:eastAsia="zh-CN"/>
        </w:rPr>
        <w:t>1.1.7</w:t>
      </w:r>
      <w:r>
        <w:rPr>
          <w:rFonts w:hint="eastAsia" w:ascii="Times New Roman" w:hAnsi="Times New Roman"/>
          <w:szCs w:val="21"/>
          <w:highlight w:val="none"/>
        </w:rPr>
        <w:t>提供采购公告中符合投标人特定条件要求的有效证明材料复印件（施工资质证书副本(全本)、安全生产许可证副本(全本) 养护资质企业可不提供）或情况说明并加盖单位公章。</w:t>
      </w:r>
    </w:p>
    <w:p>
      <w:pPr>
        <w:snapToGrid w:val="0"/>
        <w:spacing w:line="360" w:lineRule="auto"/>
        <w:ind w:firstLine="422" w:firstLineChars="200"/>
        <w:jc w:val="left"/>
        <w:rPr>
          <w:rFonts w:ascii="Times New Roman" w:hAnsi="Times New Roman"/>
          <w:color w:val="000000"/>
          <w:szCs w:val="21"/>
          <w:highlight w:val="none"/>
        </w:rPr>
      </w:pPr>
      <w:r>
        <w:rPr>
          <w:rFonts w:ascii="Times New Roman" w:hAnsi="Times New Roman"/>
          <w:b/>
          <w:color w:val="000000"/>
          <w:szCs w:val="21"/>
          <w:highlight w:val="none"/>
        </w:rPr>
        <w:t>2</w:t>
      </w:r>
      <w:r>
        <w:rPr>
          <w:rFonts w:hint="eastAsia" w:ascii="Times New Roman" w:hAnsi="Times New Roman"/>
          <w:b/>
          <w:color w:val="000000"/>
          <w:szCs w:val="21"/>
          <w:highlight w:val="none"/>
        </w:rPr>
        <w:t>、商务技术文件</w:t>
      </w:r>
    </w:p>
    <w:p>
      <w:pPr>
        <w:snapToGrid w:val="0"/>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2.1</w:t>
      </w:r>
      <w:r>
        <w:rPr>
          <w:rFonts w:hint="eastAsia" w:ascii="Times New Roman" w:hAnsi="Times New Roman"/>
          <w:color w:val="000000"/>
          <w:szCs w:val="21"/>
          <w:highlight w:val="none"/>
        </w:rPr>
        <w:t>、投标人情况介绍；</w:t>
      </w:r>
    </w:p>
    <w:p>
      <w:pPr>
        <w:spacing w:line="360" w:lineRule="auto"/>
        <w:ind w:firstLine="420" w:firstLineChars="200"/>
        <w:jc w:val="left"/>
        <w:rPr>
          <w:rFonts w:ascii="Times New Roman" w:hAnsi="Times New Roman"/>
          <w:szCs w:val="21"/>
          <w:highlight w:val="none"/>
        </w:rPr>
      </w:pPr>
      <w:r>
        <w:rPr>
          <w:rFonts w:ascii="Times New Roman" w:hAnsi="Times New Roman"/>
          <w:szCs w:val="21"/>
          <w:highlight w:val="none"/>
        </w:rPr>
        <w:t>2.2</w:t>
      </w:r>
      <w:r>
        <w:rPr>
          <w:rFonts w:hint="eastAsia" w:ascii="Times New Roman" w:hAnsi="Times New Roman"/>
          <w:szCs w:val="21"/>
          <w:highlight w:val="none"/>
        </w:rPr>
        <w:t>、与本项目实施相关的供应商各类资质证书、认证证书等（提供复印件）；</w:t>
      </w:r>
    </w:p>
    <w:p>
      <w:pPr>
        <w:spacing w:line="360" w:lineRule="auto"/>
        <w:ind w:firstLine="420" w:firstLineChars="200"/>
        <w:jc w:val="left"/>
        <w:rPr>
          <w:rFonts w:ascii="Times New Roman" w:hAnsi="Times New Roman"/>
          <w:szCs w:val="21"/>
          <w:highlight w:val="none"/>
        </w:rPr>
      </w:pPr>
      <w:bookmarkStart w:id="221" w:name="_Toc518327087"/>
      <w:r>
        <w:rPr>
          <w:rFonts w:ascii="Times New Roman" w:hAnsi="Times New Roman"/>
          <w:szCs w:val="21"/>
          <w:highlight w:val="none"/>
        </w:rPr>
        <w:t>2.3</w:t>
      </w:r>
      <w:r>
        <w:rPr>
          <w:rFonts w:hint="eastAsia" w:ascii="Times New Roman" w:hAnsi="Times New Roman"/>
          <w:szCs w:val="21"/>
          <w:highlight w:val="none"/>
        </w:rPr>
        <w:t>、</w:t>
      </w:r>
      <w:bookmarkEnd w:id="221"/>
      <w:r>
        <w:rPr>
          <w:rFonts w:hint="eastAsia" w:ascii="Times New Roman" w:hAnsi="Times New Roman"/>
          <w:szCs w:val="21"/>
          <w:highlight w:val="none"/>
        </w:rPr>
        <w:t>业绩一览表；（格式见第六章）</w:t>
      </w:r>
    </w:p>
    <w:p>
      <w:pPr>
        <w:spacing w:line="360" w:lineRule="auto"/>
        <w:ind w:firstLine="420" w:firstLineChars="200"/>
        <w:jc w:val="left"/>
        <w:rPr>
          <w:rFonts w:hint="eastAsia" w:ascii="Times New Roman" w:hAnsi="Times New Roman"/>
          <w:szCs w:val="21"/>
          <w:highlight w:val="none"/>
        </w:rPr>
      </w:pPr>
      <w:r>
        <w:rPr>
          <w:rFonts w:hint="eastAsia" w:ascii="Times New Roman" w:hAnsi="Times New Roman"/>
          <w:szCs w:val="21"/>
          <w:highlight w:val="none"/>
        </w:rPr>
        <w:t>2.4、响应偏离表；（格式见第六章）</w:t>
      </w:r>
    </w:p>
    <w:p>
      <w:pPr>
        <w:spacing w:line="360" w:lineRule="auto"/>
        <w:ind w:firstLine="420" w:firstLineChars="200"/>
        <w:jc w:val="left"/>
        <w:rPr>
          <w:rFonts w:hint="eastAsia" w:ascii="Times New Roman" w:hAnsi="Times New Roman"/>
          <w:szCs w:val="21"/>
          <w:highlight w:val="none"/>
        </w:rPr>
      </w:pPr>
      <w:r>
        <w:rPr>
          <w:rFonts w:hint="eastAsia" w:ascii="Times New Roman" w:hAnsi="Times New Roman"/>
          <w:szCs w:val="21"/>
          <w:highlight w:val="none"/>
        </w:rPr>
        <w:t>2.5、项目理解（格式自拟，具体内容详见评审办法）；</w:t>
      </w:r>
    </w:p>
    <w:p>
      <w:pPr>
        <w:spacing w:line="360" w:lineRule="auto"/>
        <w:ind w:firstLine="420" w:firstLineChars="200"/>
        <w:jc w:val="left"/>
        <w:rPr>
          <w:rFonts w:hint="eastAsia" w:ascii="Times New Roman" w:hAnsi="Times New Roman"/>
          <w:szCs w:val="21"/>
          <w:highlight w:val="none"/>
        </w:rPr>
      </w:pPr>
      <w:r>
        <w:rPr>
          <w:rFonts w:hint="eastAsia" w:ascii="Times New Roman" w:hAnsi="Times New Roman"/>
          <w:szCs w:val="21"/>
          <w:highlight w:val="none"/>
        </w:rPr>
        <w:t>2.6、项目重难点分析及解决方案（格式自拟，具体内容详见评审办法）；</w:t>
      </w:r>
    </w:p>
    <w:p>
      <w:pPr>
        <w:spacing w:line="360" w:lineRule="auto"/>
        <w:ind w:firstLine="420" w:firstLineChars="200"/>
        <w:jc w:val="left"/>
        <w:rPr>
          <w:rFonts w:hint="eastAsia" w:ascii="Times New Roman" w:hAnsi="Times New Roman"/>
          <w:szCs w:val="21"/>
          <w:highlight w:val="none"/>
        </w:rPr>
      </w:pPr>
      <w:r>
        <w:rPr>
          <w:rFonts w:hint="eastAsia" w:ascii="Times New Roman" w:hAnsi="Times New Roman"/>
          <w:szCs w:val="21"/>
          <w:highlight w:val="none"/>
        </w:rPr>
        <w:t>2.7、实施方案（格式自拟，具体内容详见评审办法）；</w:t>
      </w:r>
    </w:p>
    <w:p>
      <w:pPr>
        <w:spacing w:line="360" w:lineRule="auto"/>
        <w:ind w:firstLine="420" w:firstLineChars="200"/>
        <w:jc w:val="left"/>
        <w:rPr>
          <w:rFonts w:hint="eastAsia" w:ascii="Times New Roman" w:hAnsi="Times New Roman"/>
          <w:szCs w:val="21"/>
          <w:highlight w:val="none"/>
        </w:rPr>
      </w:pPr>
      <w:r>
        <w:rPr>
          <w:rFonts w:hint="eastAsia" w:ascii="Times New Roman" w:hAnsi="Times New Roman"/>
          <w:szCs w:val="21"/>
          <w:highlight w:val="none"/>
        </w:rPr>
        <w:t>2.8、增值服务（格式自拟，具体内容详见评审办法）；</w:t>
      </w:r>
    </w:p>
    <w:p>
      <w:pPr>
        <w:spacing w:line="360" w:lineRule="auto"/>
        <w:ind w:firstLine="420" w:firstLineChars="200"/>
        <w:jc w:val="left"/>
        <w:rPr>
          <w:rFonts w:hint="eastAsia" w:ascii="Times New Roman" w:hAnsi="Times New Roman"/>
          <w:szCs w:val="21"/>
          <w:highlight w:val="none"/>
        </w:rPr>
      </w:pPr>
      <w:r>
        <w:rPr>
          <w:rFonts w:hint="eastAsia" w:ascii="Times New Roman" w:hAnsi="Times New Roman"/>
          <w:szCs w:val="21"/>
          <w:highlight w:val="none"/>
        </w:rPr>
        <w:t>2.9、实施人员一览表（项目经理及其他实施人员情况介绍自拟，格式见第六章）</w:t>
      </w:r>
    </w:p>
    <w:p>
      <w:pPr>
        <w:spacing w:line="360" w:lineRule="auto"/>
        <w:ind w:firstLine="420" w:firstLineChars="200"/>
        <w:jc w:val="left"/>
        <w:rPr>
          <w:rFonts w:hint="eastAsia" w:ascii="Times New Roman" w:hAnsi="Times New Roman"/>
          <w:szCs w:val="21"/>
          <w:highlight w:val="none"/>
        </w:rPr>
      </w:pPr>
      <w:bookmarkStart w:id="222" w:name="_Toc518327098"/>
      <w:r>
        <w:rPr>
          <w:rFonts w:hint="eastAsia" w:ascii="Times New Roman" w:hAnsi="Times New Roman"/>
          <w:szCs w:val="21"/>
          <w:highlight w:val="none"/>
        </w:rPr>
        <w:t>2.10、投入设备一览表（格式见第六章）</w:t>
      </w:r>
    </w:p>
    <w:p>
      <w:pPr>
        <w:spacing w:line="360" w:lineRule="auto"/>
        <w:ind w:firstLine="420" w:firstLineChars="200"/>
        <w:jc w:val="left"/>
        <w:rPr>
          <w:rFonts w:hint="eastAsia" w:ascii="Times New Roman" w:hAnsi="Times New Roman"/>
          <w:szCs w:val="21"/>
          <w:highlight w:val="none"/>
        </w:rPr>
      </w:pPr>
      <w:r>
        <w:rPr>
          <w:rFonts w:hint="eastAsia" w:ascii="Times New Roman" w:hAnsi="Times New Roman"/>
          <w:szCs w:val="21"/>
          <w:highlight w:val="none"/>
        </w:rPr>
        <w:t>2.11、供应商需要说明的其他文件和说明（未尽事宜根据文件评分要求及本项目实际需求，响应供应商自行编制</w:t>
      </w:r>
      <w:bookmarkEnd w:id="222"/>
      <w:r>
        <w:rPr>
          <w:rFonts w:hint="eastAsia" w:ascii="Times New Roman" w:hAnsi="Times New Roman"/>
          <w:szCs w:val="21"/>
          <w:highlight w:val="none"/>
        </w:rPr>
        <w:t>）</w:t>
      </w:r>
    </w:p>
    <w:p>
      <w:pPr>
        <w:spacing w:line="360" w:lineRule="auto"/>
        <w:ind w:firstLine="422" w:firstLineChars="200"/>
        <w:jc w:val="left"/>
        <w:rPr>
          <w:rFonts w:ascii="Times New Roman" w:hAnsi="Times New Roman"/>
          <w:b/>
          <w:color w:val="000000"/>
          <w:szCs w:val="21"/>
          <w:highlight w:val="none"/>
        </w:rPr>
      </w:pPr>
      <w:r>
        <w:rPr>
          <w:rFonts w:ascii="Times New Roman" w:hAnsi="Times New Roman"/>
          <w:b/>
          <w:color w:val="000000"/>
          <w:szCs w:val="21"/>
          <w:highlight w:val="none"/>
        </w:rPr>
        <w:t>3</w:t>
      </w:r>
      <w:r>
        <w:rPr>
          <w:rFonts w:hint="eastAsia" w:ascii="Times New Roman" w:hAnsi="Times New Roman"/>
          <w:b/>
          <w:color w:val="000000"/>
          <w:szCs w:val="21"/>
          <w:highlight w:val="none"/>
        </w:rPr>
        <w:t>、报价文件：</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3.1</w:t>
      </w:r>
      <w:r>
        <w:rPr>
          <w:rFonts w:hint="eastAsia" w:ascii="Times New Roman" w:hAnsi="Times New Roman"/>
          <w:color w:val="000000"/>
          <w:szCs w:val="21"/>
          <w:highlight w:val="none"/>
        </w:rPr>
        <w:t>、投标函（格式见第六章）；</w:t>
      </w:r>
      <w:r>
        <w:rPr>
          <w:rFonts w:ascii="Times New Roman" w:hAnsi="Times New Roman"/>
          <w:color w:val="000000"/>
          <w:szCs w:val="21"/>
          <w:highlight w:val="none"/>
        </w:rPr>
        <w:t xml:space="preserve"> </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3.2</w:t>
      </w:r>
      <w:r>
        <w:rPr>
          <w:rFonts w:hint="eastAsia" w:ascii="Times New Roman" w:hAnsi="Times New Roman"/>
          <w:color w:val="000000"/>
          <w:szCs w:val="21"/>
          <w:highlight w:val="none"/>
        </w:rPr>
        <w:t>、开标一览表（格式见第六章）；</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3.3</w:t>
      </w:r>
      <w:r>
        <w:rPr>
          <w:rFonts w:hint="eastAsia" w:ascii="Times New Roman" w:hAnsi="Times New Roman"/>
          <w:color w:val="000000"/>
          <w:szCs w:val="21"/>
          <w:highlight w:val="none"/>
        </w:rPr>
        <w:t>、报价明细表（格式见第六章）；</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3.4</w:t>
      </w:r>
      <w:r>
        <w:rPr>
          <w:rFonts w:hint="eastAsia" w:ascii="Times New Roman" w:hAnsi="Times New Roman"/>
          <w:color w:val="000000"/>
          <w:szCs w:val="21"/>
          <w:highlight w:val="none"/>
        </w:rPr>
        <w:t>、投标人针对报价需要说明的其他文件和说明（格式自拟）。</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hint="eastAsia" w:ascii="Times New Roman" w:hAnsi="Times New Roman"/>
          <w:b/>
          <w:bCs/>
          <w:color w:val="000000"/>
          <w:szCs w:val="21"/>
          <w:highlight w:val="none"/>
        </w:rPr>
        <w:t>注：法定代表人授权委托书、投标声明书、投标函、开标一览表必须由法定代表人或负责人或授权代表签名（或签章）并加盖单位公章。</w:t>
      </w:r>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（二）投标文件的语言及计量</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w:t>
      </w:r>
      <w:r>
        <w:rPr>
          <w:rFonts w:hint="eastAsia" w:ascii="Times New Roman" w:hAnsi="Times New Roman"/>
          <w:color w:val="000000"/>
          <w:szCs w:val="21"/>
          <w:highlight w:val="none"/>
        </w:rPr>
        <w:t>、▲投标文件以及投标方与招标方就有关投标事宜的所有来往函电，均应以中文书写。</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2</w:t>
      </w:r>
      <w:r>
        <w:rPr>
          <w:rFonts w:hint="eastAsia" w:ascii="Times New Roman" w:hAnsi="Times New Roman"/>
          <w:color w:val="000000"/>
          <w:szCs w:val="21"/>
          <w:highlight w:val="none"/>
        </w:rPr>
        <w:t>、▲投标计量单位，除招标文件中有特殊要求外，应采用中华人民共和国法定计量单位，货币单位：人民币元。</w:t>
      </w:r>
      <w:bookmarkStart w:id="223" w:name="_Toc417992885"/>
      <w:bookmarkStart w:id="224" w:name="_Toc177825126"/>
      <w:bookmarkStart w:id="225" w:name="_Toc177824945"/>
      <w:bookmarkStart w:id="226" w:name="_Toc177870548"/>
      <w:bookmarkStart w:id="227" w:name="_Toc177824878"/>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（三）</w:t>
      </w:r>
      <w:r>
        <w:rPr>
          <w:rFonts w:ascii="Times New Roman" w:hAnsi="Times New Roman"/>
          <w:b/>
          <w:color w:val="000000"/>
          <w:szCs w:val="21"/>
          <w:highlight w:val="none"/>
        </w:rPr>
        <w:t xml:space="preserve"> </w:t>
      </w:r>
      <w:r>
        <w:rPr>
          <w:rFonts w:hint="eastAsia" w:ascii="Times New Roman" w:hAnsi="Times New Roman"/>
          <w:b/>
          <w:color w:val="000000"/>
          <w:szCs w:val="21"/>
          <w:highlight w:val="none"/>
        </w:rPr>
        <w:t>投标报价</w:t>
      </w:r>
      <w:bookmarkEnd w:id="223"/>
      <w:bookmarkEnd w:id="224"/>
      <w:bookmarkEnd w:id="225"/>
      <w:bookmarkEnd w:id="226"/>
      <w:bookmarkEnd w:id="227"/>
    </w:p>
    <w:p>
      <w:pPr>
        <w:spacing w:line="360" w:lineRule="auto"/>
        <w:ind w:firstLine="420" w:firstLineChars="200"/>
        <w:jc w:val="left"/>
        <w:rPr>
          <w:rFonts w:hint="eastAsia" w:ascii="Times New Roman" w:hAnsi="Times New Roman"/>
          <w:color w:val="000000"/>
          <w:szCs w:val="21"/>
          <w:highlight w:val="none"/>
        </w:rPr>
      </w:pPr>
      <w:r>
        <w:rPr>
          <w:rFonts w:hint="eastAsia" w:ascii="Times New Roman" w:hAnsi="Times New Roman"/>
          <w:color w:val="000000"/>
          <w:szCs w:val="21"/>
          <w:highlight w:val="none"/>
        </w:rPr>
        <w:t>1、投标报价应按招标文件中相关附表格式填写。</w:t>
      </w:r>
    </w:p>
    <w:p>
      <w:pPr>
        <w:spacing w:line="360" w:lineRule="auto"/>
        <w:ind w:firstLine="420" w:firstLineChars="200"/>
        <w:jc w:val="left"/>
        <w:rPr>
          <w:rFonts w:hint="eastAsia" w:ascii="Times New Roman" w:hAnsi="Times New Roman"/>
          <w:color w:val="000000"/>
          <w:szCs w:val="21"/>
          <w:highlight w:val="none"/>
        </w:rPr>
      </w:pPr>
      <w:r>
        <w:rPr>
          <w:rFonts w:hint="eastAsia" w:ascii="Times New Roman" w:hAnsi="Times New Roman"/>
          <w:color w:val="000000"/>
          <w:szCs w:val="21"/>
          <w:highlight w:val="none"/>
        </w:rPr>
        <w:t>2、▲报价应包括人员工资、设备使用费用、材料费用、管理、保险、交通食宿费用、税金、利润及政策性文件规定等各项应有费用等为完成本项目所需要的全部费用。</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w:t>
      </w:r>
      <w:r>
        <w:rPr>
          <w:rFonts w:hint="eastAsia" w:ascii="Times New Roman" w:hAnsi="Times New Roman"/>
          <w:color w:val="000000"/>
          <w:szCs w:val="21"/>
          <w:highlight w:val="none"/>
        </w:rPr>
        <w:t>、</w:t>
      </w:r>
      <w:r>
        <w:rPr>
          <w:rFonts w:ascii="Times New Roman" w:hAnsi="Times New Roman"/>
          <w:color w:val="000000"/>
          <w:szCs w:val="21"/>
          <w:highlight w:val="none"/>
        </w:rPr>
        <w:t>▲</w:t>
      </w:r>
      <w:r>
        <w:rPr>
          <w:rFonts w:hint="eastAsia" w:ascii="Times New Roman" w:hAnsi="Times New Roman"/>
          <w:color w:val="000000"/>
          <w:szCs w:val="21"/>
          <w:highlight w:val="none"/>
        </w:rPr>
        <w:t>投标报价只允许有一个报价，有选择的报价将不予接受。</w:t>
      </w:r>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（四）投标文件的有效期</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1</w:t>
      </w:r>
      <w:r>
        <w:rPr>
          <w:rFonts w:hint="eastAsia" w:ascii="Times New Roman" w:hAnsi="Times New Roman"/>
          <w:color w:val="000000"/>
          <w:szCs w:val="21"/>
          <w:highlight w:val="none"/>
        </w:rPr>
        <w:t>、▲自投标截止日起</w:t>
      </w:r>
      <w:r>
        <w:rPr>
          <w:rFonts w:ascii="Times New Roman" w:hAnsi="Times New Roman"/>
          <w:color w:val="000000"/>
          <w:szCs w:val="21"/>
          <w:highlight w:val="none"/>
        </w:rPr>
        <w:t>90</w:t>
      </w:r>
      <w:r>
        <w:rPr>
          <w:rFonts w:hint="eastAsia" w:ascii="Times New Roman" w:hAnsi="Times New Roman"/>
          <w:color w:val="000000"/>
          <w:szCs w:val="21"/>
          <w:highlight w:val="none"/>
        </w:rPr>
        <w:t>天投标书应保持有效。有效期短于这个规定期限的投标将被拒绝。</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2</w:t>
      </w:r>
      <w:r>
        <w:rPr>
          <w:rFonts w:hint="eastAsia" w:ascii="Times New Roman" w:hAnsi="Times New Roman"/>
          <w:color w:val="000000"/>
          <w:szCs w:val="21"/>
          <w:highlight w:val="none"/>
        </w:rPr>
        <w:t>、在特殊情况下，招标人可与投标人协商延长投标书的有效期，这种要求和答复均以书面形式进行。</w:t>
      </w:r>
      <w:bookmarkStart w:id="228" w:name="_Toc177824946"/>
      <w:bookmarkStart w:id="229" w:name="_Toc177824879"/>
      <w:bookmarkStart w:id="230" w:name="_Toc177870549"/>
      <w:bookmarkStart w:id="231" w:name="_Toc177825127"/>
      <w:bookmarkStart w:id="232" w:name="_Toc417992886"/>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3</w:t>
      </w:r>
      <w:r>
        <w:rPr>
          <w:rFonts w:hint="eastAsia" w:ascii="Times New Roman" w:hAnsi="Times New Roman"/>
          <w:color w:val="000000"/>
          <w:szCs w:val="21"/>
          <w:highlight w:val="none"/>
        </w:rPr>
        <w:t>、</w:t>
      </w:r>
      <w:bookmarkEnd w:id="228"/>
      <w:bookmarkEnd w:id="229"/>
      <w:bookmarkEnd w:id="230"/>
      <w:bookmarkEnd w:id="231"/>
      <w:bookmarkEnd w:id="232"/>
      <w:r>
        <w:rPr>
          <w:rFonts w:hint="eastAsia" w:ascii="Times New Roman" w:hAnsi="Times New Roman"/>
          <w:color w:val="000000"/>
          <w:szCs w:val="21"/>
          <w:highlight w:val="none"/>
        </w:rPr>
        <w:t>投标人可拒绝接受延期要求。同意延长有效期的投标人不能修改投标文件。</w:t>
      </w:r>
      <w:r>
        <w:rPr>
          <w:rFonts w:ascii="Times New Roman" w:hAnsi="Times New Roman"/>
          <w:color w:val="000000"/>
          <w:szCs w:val="21"/>
          <w:highlight w:val="none"/>
        </w:rPr>
        <w:t xml:space="preserve">  </w:t>
      </w:r>
      <w:bookmarkStart w:id="233" w:name="_Toc177825128"/>
      <w:bookmarkStart w:id="234" w:name="_Toc177824947"/>
      <w:bookmarkStart w:id="235" w:name="_Toc417992887"/>
      <w:bookmarkStart w:id="236" w:name="_Toc177870550"/>
      <w:bookmarkStart w:id="237" w:name="_Toc177824880"/>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4</w:t>
      </w:r>
      <w:r>
        <w:rPr>
          <w:rFonts w:hint="eastAsia" w:ascii="Times New Roman" w:hAnsi="Times New Roman"/>
          <w:color w:val="000000"/>
          <w:szCs w:val="21"/>
          <w:highlight w:val="none"/>
        </w:rPr>
        <w:t>、中标人的投标文件自开标之日起至合同履行完毕止均应保持有效。</w:t>
      </w:r>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（五）投标文件的签署和份数</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投标文件的形式：</w:t>
      </w:r>
      <w:r>
        <w:rPr>
          <w:rFonts w:hint="eastAsia" w:ascii="MS Gothic" w:hAnsi="MS Gothic" w:eastAsia="MS Gothic" w:cs="MS Gothic"/>
          <w:color w:val="000000"/>
          <w:szCs w:val="21"/>
          <w:highlight w:val="none"/>
        </w:rPr>
        <w:t>☑</w:t>
      </w:r>
      <w:r>
        <w:rPr>
          <w:rFonts w:hint="eastAsia" w:ascii="Times New Roman" w:hAnsi="Times New Roman"/>
          <w:color w:val="000000"/>
          <w:szCs w:val="21"/>
          <w:highlight w:val="none"/>
        </w:rPr>
        <w:t>电子投标文件（包括“电子加密投标文件”和“备份投标文件”，在投标文件编制完成后同时生成）；</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）“电子加密投标文件”是指通过“政采云电子交易客户端”完成投标文件编制后生成并加密的数据电文形式的投标文件。</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）“备份投标文件”是指与“电子加密投标文件”同时生成的数据电文形式的电子文件（备份标书），其他方式编制的备份投标文件视为无效备份投标文件。</w:t>
      </w:r>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（六）投标文件的上传和递交</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）“电子加密投标文件”的上传、递交：</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A</w:t>
      </w:r>
      <w:r>
        <w:rPr>
          <w:rFonts w:hint="eastAsia" w:ascii="Times New Roman" w:hAnsi="Times New Roman"/>
          <w:color w:val="000000"/>
          <w:szCs w:val="21"/>
          <w:highlight w:val="none"/>
        </w:rPr>
        <w:t>、投标供应商应在投标截止时间前将“电子加密投标文件”成功上传递交至“政府采购云平台”，否则投标无效。</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B</w:t>
      </w:r>
      <w:r>
        <w:rPr>
          <w:rFonts w:hint="eastAsia" w:ascii="Times New Roman" w:hAnsi="Times New Roman"/>
          <w:color w:val="000000"/>
          <w:szCs w:val="21"/>
          <w:highlight w:val="none"/>
        </w:rPr>
        <w:t>、“电子加密投标文件”成功上传递交后，供应商可自行打印投标文件接收回执。</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）“备份投标文件”的密封包装、递交：</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A</w:t>
      </w:r>
      <w:r>
        <w:rPr>
          <w:rFonts w:hint="eastAsia" w:ascii="Times New Roman" w:hAnsi="Times New Roman"/>
          <w:color w:val="000000"/>
          <w:szCs w:val="21"/>
          <w:highlight w:val="none"/>
        </w:rPr>
        <w:t>、投标供应商在“政府采购云平台”完成“电子加密投标文件”的上传递交后，还可以（邮寄形式）在投标截止时间前递交以介质（</w:t>
      </w:r>
      <w:r>
        <w:rPr>
          <w:rFonts w:ascii="Times New Roman" w:hAnsi="Times New Roman"/>
          <w:color w:val="000000"/>
          <w:szCs w:val="21"/>
          <w:highlight w:val="none"/>
        </w:rPr>
        <w:t>U</w:t>
      </w:r>
      <w:r>
        <w:rPr>
          <w:rFonts w:hint="eastAsia" w:ascii="Times New Roman" w:hAnsi="Times New Roman"/>
          <w:color w:val="000000"/>
          <w:szCs w:val="21"/>
          <w:highlight w:val="none"/>
        </w:rPr>
        <w:t>盘）存储的</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“备份投标文件”（一份）；</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B</w:t>
      </w:r>
      <w:r>
        <w:rPr>
          <w:rFonts w:hint="eastAsia" w:ascii="Times New Roman" w:hAnsi="Times New Roman"/>
          <w:color w:val="000000"/>
          <w:szCs w:val="21"/>
          <w:highlight w:val="none"/>
        </w:rPr>
        <w:t>、“备份投标文件”应当密封包装，并在包装上标注投标项目名称、投标单位名称并加盖公章。没有密封包装或者逾期邮寄送达至邮寄接收地点的“备份投标文件”将不予接收；</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C</w:t>
      </w:r>
      <w:r>
        <w:rPr>
          <w:rFonts w:hint="eastAsia" w:ascii="Times New Roman" w:hAnsi="Times New Roman"/>
          <w:color w:val="000000"/>
          <w:szCs w:val="21"/>
          <w:highlight w:val="none"/>
        </w:rPr>
        <w:t>、通过“政府采购云平台”成功上传递交的“电子加密投标文件”已按时解密的，“备份投标文件”自动失效。投标截止时间前，投标供应商仅递交了“备份投标文件”而未将“电子加密投标文件”成功上传至“政府采购云平台”的，投标无效。</w:t>
      </w:r>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（七）投标保证金</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本项目不设置。</w:t>
      </w:r>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（八）投标无效的情形</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根据《政府采购货物和服务招标投标管理办法》有下列情形之一的，视为投标人串通投标，其投标无效：</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w:t>
      </w:r>
      <w:r>
        <w:rPr>
          <w:rFonts w:hint="eastAsia" w:ascii="Times New Roman" w:hAnsi="Times New Roman"/>
          <w:color w:val="000000"/>
          <w:szCs w:val="21"/>
          <w:highlight w:val="none"/>
        </w:rPr>
        <w:t>一</w:t>
      </w:r>
      <w:r>
        <w:rPr>
          <w:rFonts w:ascii="Times New Roman" w:hAnsi="Times New Roman"/>
          <w:color w:val="000000"/>
          <w:szCs w:val="21"/>
          <w:highlight w:val="none"/>
        </w:rPr>
        <w:t>)</w:t>
      </w:r>
      <w:r>
        <w:rPr>
          <w:rFonts w:hint="eastAsia" w:ascii="Times New Roman" w:hAnsi="Times New Roman"/>
          <w:color w:val="000000"/>
          <w:szCs w:val="21"/>
          <w:highlight w:val="none"/>
        </w:rPr>
        <w:t>不同投标人的投标文件由同一单位或者个人编制</w:t>
      </w:r>
      <w:r>
        <w:rPr>
          <w:rFonts w:ascii="Times New Roman" w:hAnsi="Times New Roman"/>
          <w:color w:val="000000"/>
          <w:szCs w:val="21"/>
          <w:highlight w:val="none"/>
        </w:rPr>
        <w:t>;</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w:t>
      </w:r>
      <w:r>
        <w:rPr>
          <w:rFonts w:hint="eastAsia" w:ascii="Times New Roman" w:hAnsi="Times New Roman"/>
          <w:color w:val="000000"/>
          <w:szCs w:val="21"/>
          <w:highlight w:val="none"/>
        </w:rPr>
        <w:t>二</w:t>
      </w:r>
      <w:r>
        <w:rPr>
          <w:rFonts w:ascii="Times New Roman" w:hAnsi="Times New Roman"/>
          <w:color w:val="000000"/>
          <w:szCs w:val="21"/>
          <w:highlight w:val="none"/>
        </w:rPr>
        <w:t>)</w:t>
      </w:r>
      <w:r>
        <w:rPr>
          <w:rFonts w:hint="eastAsia" w:ascii="Times New Roman" w:hAnsi="Times New Roman"/>
          <w:color w:val="000000"/>
          <w:szCs w:val="21"/>
          <w:highlight w:val="none"/>
        </w:rPr>
        <w:t>不同投标人委托同一单位或者个人办理投标事宜</w:t>
      </w:r>
      <w:r>
        <w:rPr>
          <w:rFonts w:ascii="Times New Roman" w:hAnsi="Times New Roman"/>
          <w:color w:val="000000"/>
          <w:szCs w:val="21"/>
          <w:highlight w:val="none"/>
        </w:rPr>
        <w:t>;</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w:t>
      </w:r>
      <w:r>
        <w:rPr>
          <w:rFonts w:hint="eastAsia" w:ascii="Times New Roman" w:hAnsi="Times New Roman"/>
          <w:color w:val="000000"/>
          <w:szCs w:val="21"/>
          <w:highlight w:val="none"/>
        </w:rPr>
        <w:t>三</w:t>
      </w:r>
      <w:r>
        <w:rPr>
          <w:rFonts w:ascii="Times New Roman" w:hAnsi="Times New Roman"/>
          <w:color w:val="000000"/>
          <w:szCs w:val="21"/>
          <w:highlight w:val="none"/>
        </w:rPr>
        <w:t>)</w:t>
      </w:r>
      <w:r>
        <w:rPr>
          <w:rFonts w:hint="eastAsia" w:ascii="Times New Roman" w:hAnsi="Times New Roman"/>
          <w:color w:val="000000"/>
          <w:szCs w:val="21"/>
          <w:highlight w:val="none"/>
        </w:rPr>
        <w:t>不同投标人的投标文件载明的项目管理成员或者联系人员为同一人</w:t>
      </w:r>
      <w:r>
        <w:rPr>
          <w:rFonts w:ascii="Times New Roman" w:hAnsi="Times New Roman"/>
          <w:color w:val="000000"/>
          <w:szCs w:val="21"/>
          <w:highlight w:val="none"/>
        </w:rPr>
        <w:t>;</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w:t>
      </w:r>
      <w:r>
        <w:rPr>
          <w:rFonts w:hint="eastAsia" w:ascii="Times New Roman" w:hAnsi="Times New Roman"/>
          <w:color w:val="000000"/>
          <w:szCs w:val="21"/>
          <w:highlight w:val="none"/>
        </w:rPr>
        <w:t>四</w:t>
      </w:r>
      <w:r>
        <w:rPr>
          <w:rFonts w:ascii="Times New Roman" w:hAnsi="Times New Roman"/>
          <w:color w:val="000000"/>
          <w:szCs w:val="21"/>
          <w:highlight w:val="none"/>
        </w:rPr>
        <w:t>)</w:t>
      </w:r>
      <w:r>
        <w:rPr>
          <w:rFonts w:hint="eastAsia" w:ascii="Times New Roman" w:hAnsi="Times New Roman"/>
          <w:color w:val="000000"/>
          <w:szCs w:val="21"/>
          <w:highlight w:val="none"/>
        </w:rPr>
        <w:t>不同投标人的投标文件异常一致或者投标报价呈规律性差异</w:t>
      </w:r>
      <w:r>
        <w:rPr>
          <w:rFonts w:ascii="Times New Roman" w:hAnsi="Times New Roman"/>
          <w:color w:val="000000"/>
          <w:szCs w:val="21"/>
          <w:highlight w:val="none"/>
        </w:rPr>
        <w:t>;</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w:t>
      </w:r>
      <w:r>
        <w:rPr>
          <w:rFonts w:hint="eastAsia" w:ascii="Times New Roman" w:hAnsi="Times New Roman"/>
          <w:color w:val="000000"/>
          <w:szCs w:val="21"/>
          <w:highlight w:val="none"/>
        </w:rPr>
        <w:t>五</w:t>
      </w:r>
      <w:r>
        <w:rPr>
          <w:rFonts w:ascii="Times New Roman" w:hAnsi="Times New Roman"/>
          <w:color w:val="000000"/>
          <w:szCs w:val="21"/>
          <w:highlight w:val="none"/>
        </w:rPr>
        <w:t>)</w:t>
      </w:r>
      <w:r>
        <w:rPr>
          <w:rFonts w:hint="eastAsia" w:ascii="Times New Roman" w:hAnsi="Times New Roman"/>
          <w:color w:val="000000"/>
          <w:szCs w:val="21"/>
          <w:highlight w:val="none"/>
        </w:rPr>
        <w:t>不同投标人的投标文件相互混装</w:t>
      </w:r>
      <w:r>
        <w:rPr>
          <w:rFonts w:ascii="Times New Roman" w:hAnsi="Times New Roman"/>
          <w:color w:val="000000"/>
          <w:szCs w:val="21"/>
          <w:highlight w:val="none"/>
        </w:rPr>
        <w:t>;</w:t>
      </w:r>
    </w:p>
    <w:p>
      <w:pPr>
        <w:spacing w:line="360" w:lineRule="auto"/>
        <w:ind w:firstLine="420" w:firstLineChars="200"/>
        <w:jc w:val="left"/>
        <w:rPr>
          <w:rFonts w:ascii="Times New Roman" w:hAnsi="Times New Roman"/>
          <w:color w:val="000000"/>
          <w:szCs w:val="21"/>
          <w:highlight w:val="none"/>
        </w:rPr>
      </w:pPr>
      <w:r>
        <w:rPr>
          <w:rFonts w:ascii="Times New Roman" w:hAnsi="Times New Roman"/>
          <w:color w:val="000000"/>
          <w:szCs w:val="21"/>
          <w:highlight w:val="none"/>
        </w:rPr>
        <w:t>(</w:t>
      </w:r>
      <w:r>
        <w:rPr>
          <w:rFonts w:hint="eastAsia" w:ascii="Times New Roman" w:hAnsi="Times New Roman"/>
          <w:color w:val="000000"/>
          <w:szCs w:val="21"/>
          <w:highlight w:val="none"/>
        </w:rPr>
        <w:t>六</w:t>
      </w:r>
      <w:r>
        <w:rPr>
          <w:rFonts w:ascii="Times New Roman" w:hAnsi="Times New Roman"/>
          <w:color w:val="000000"/>
          <w:szCs w:val="21"/>
          <w:highlight w:val="none"/>
        </w:rPr>
        <w:t>)</w:t>
      </w:r>
      <w:r>
        <w:rPr>
          <w:rFonts w:hint="eastAsia" w:ascii="Times New Roman" w:hAnsi="Times New Roman"/>
          <w:color w:val="000000"/>
          <w:szCs w:val="21"/>
          <w:highlight w:val="none"/>
        </w:rPr>
        <w:t>不同投标人的投标保证金从同一单位或者个人的账户转出。</w:t>
      </w:r>
      <w:bookmarkEnd w:id="233"/>
      <w:bookmarkEnd w:id="234"/>
      <w:bookmarkEnd w:id="235"/>
      <w:bookmarkEnd w:id="236"/>
      <w:bookmarkEnd w:id="237"/>
      <w:bookmarkStart w:id="238" w:name="_Hlk11357745"/>
    </w:p>
    <w:bookmarkEnd w:id="238"/>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实质上没有响应招标文件要求的投标将被视为无效投标。</w:t>
      </w:r>
    </w:p>
    <w:p>
      <w:pPr>
        <w:spacing w:line="360" w:lineRule="auto"/>
        <w:ind w:firstLine="422" w:firstLineChars="200"/>
        <w:jc w:val="left"/>
        <w:rPr>
          <w:rFonts w:ascii="Times New Roman" w:hAnsi="Times New Roman"/>
          <w:b/>
          <w:bCs/>
          <w:color w:val="000000"/>
          <w:szCs w:val="21"/>
          <w:highlight w:val="none"/>
        </w:rPr>
      </w:pPr>
      <w:r>
        <w:rPr>
          <w:rFonts w:ascii="Times New Roman" w:hAnsi="Times New Roman"/>
          <w:b/>
          <w:bCs/>
          <w:color w:val="000000"/>
          <w:szCs w:val="21"/>
          <w:highlight w:val="none"/>
        </w:rPr>
        <w:t>1</w:t>
      </w:r>
      <w:r>
        <w:rPr>
          <w:rFonts w:hint="eastAsia" w:ascii="Times New Roman" w:hAnsi="Times New Roman"/>
          <w:b/>
          <w:bCs/>
          <w:color w:val="000000"/>
          <w:szCs w:val="21"/>
          <w:highlight w:val="none"/>
        </w:rPr>
        <w:t>、电子投标文件解密失败的，且未在规定时间内提交有效备份投标文件的。</w:t>
      </w:r>
    </w:p>
    <w:p>
      <w:pPr>
        <w:spacing w:line="360" w:lineRule="auto"/>
        <w:ind w:firstLine="422" w:firstLineChars="200"/>
        <w:jc w:val="left"/>
        <w:rPr>
          <w:rFonts w:hint="eastAsia" w:ascii="Times New Roman" w:hAnsi="Times New Roman"/>
          <w:b/>
          <w:bCs/>
          <w:color w:val="000000"/>
          <w:szCs w:val="21"/>
          <w:highlight w:val="none"/>
        </w:rPr>
      </w:pPr>
      <w:r>
        <w:rPr>
          <w:rFonts w:ascii="Times New Roman" w:hAnsi="Times New Roman"/>
          <w:b/>
          <w:bCs/>
          <w:color w:val="000000"/>
          <w:szCs w:val="21"/>
          <w:highlight w:val="none"/>
        </w:rPr>
        <w:t>2</w:t>
      </w:r>
      <w:r>
        <w:rPr>
          <w:rFonts w:hint="eastAsia" w:ascii="Times New Roman" w:hAnsi="Times New Roman"/>
          <w:b/>
          <w:bCs/>
          <w:color w:val="000000"/>
          <w:szCs w:val="21"/>
          <w:highlight w:val="none"/>
        </w:rPr>
        <w:t>、</w:t>
      </w:r>
      <w:r>
        <w:rPr>
          <w:rFonts w:hint="eastAsia" w:ascii="Times New Roman" w:hAnsi="Times New Roman"/>
          <w:b/>
          <w:color w:val="000000"/>
          <w:szCs w:val="21"/>
          <w:highlight w:val="none"/>
        </w:rPr>
        <w:t>在</w:t>
      </w:r>
      <w:r>
        <w:rPr>
          <w:rFonts w:hint="eastAsia" w:ascii="Times New Roman" w:hAnsi="Times New Roman"/>
          <w:b/>
          <w:color w:val="000000"/>
          <w:szCs w:val="21"/>
          <w:highlight w:val="none"/>
          <w:lang w:val="en-US" w:eastAsia="zh-CN"/>
        </w:rPr>
        <w:t>资格</w:t>
      </w:r>
      <w:r>
        <w:rPr>
          <w:rFonts w:hint="eastAsia" w:ascii="Times New Roman" w:hAnsi="Times New Roman"/>
          <w:b/>
          <w:color w:val="000000"/>
          <w:szCs w:val="21"/>
          <w:highlight w:val="none"/>
        </w:rPr>
        <w:t>评审时</w:t>
      </w:r>
      <w:r>
        <w:rPr>
          <w:rFonts w:hint="eastAsia" w:ascii="Times New Roman" w:hAnsi="Times New Roman"/>
          <w:b/>
          <w:bCs/>
          <w:color w:val="000000"/>
          <w:szCs w:val="21"/>
          <w:highlight w:val="none"/>
        </w:rPr>
        <w:t>，</w:t>
      </w:r>
      <w:r>
        <w:rPr>
          <w:rFonts w:hint="eastAsia" w:ascii="Times New Roman" w:hAnsi="Times New Roman"/>
          <w:b/>
          <w:color w:val="000000"/>
          <w:szCs w:val="21"/>
          <w:highlight w:val="none"/>
        </w:rPr>
        <w:t>如发现下列情形之一的</w:t>
      </w:r>
      <w:r>
        <w:rPr>
          <w:rFonts w:hint="eastAsia" w:ascii="Times New Roman" w:hAnsi="Times New Roman"/>
          <w:b/>
          <w:color w:val="000000"/>
          <w:szCs w:val="21"/>
          <w:highlight w:val="none"/>
          <w:lang w:eastAsia="zh-CN"/>
        </w:rPr>
        <w:t>，</w:t>
      </w:r>
      <w:r>
        <w:rPr>
          <w:rFonts w:hint="eastAsia" w:ascii="Times New Roman" w:hAnsi="Times New Roman"/>
          <w:b/>
          <w:bCs/>
          <w:color w:val="000000"/>
          <w:szCs w:val="21"/>
          <w:highlight w:val="none"/>
        </w:rPr>
        <w:t>投标文件将被视为无效。</w:t>
      </w:r>
    </w:p>
    <w:p>
      <w:pPr>
        <w:spacing w:line="360" w:lineRule="auto"/>
        <w:ind w:firstLine="420" w:firstLineChars="200"/>
        <w:jc w:val="left"/>
        <w:rPr>
          <w:rFonts w:hint="eastAsia" w:ascii="Times New Roman" w:hAnsi="Times New Roman"/>
          <w:color w:val="000000"/>
          <w:szCs w:val="21"/>
          <w:highlight w:val="none"/>
          <w:lang w:eastAsia="zh-CN"/>
        </w:rPr>
      </w:pPr>
      <w:r>
        <w:rPr>
          <w:rFonts w:hint="eastAsia" w:ascii="Times New Roman" w:hAnsi="Times New Roman"/>
          <w:color w:val="000000"/>
          <w:szCs w:val="21"/>
          <w:highlight w:val="none"/>
          <w:lang w:val="en-US" w:eastAsia="zh-CN"/>
        </w:rPr>
        <w:t>（1）</w:t>
      </w:r>
      <w:r>
        <w:rPr>
          <w:rFonts w:hint="eastAsia" w:ascii="Times New Roman" w:hAnsi="Times New Roman"/>
          <w:color w:val="000000"/>
          <w:szCs w:val="21"/>
          <w:highlight w:val="none"/>
        </w:rPr>
        <w:t>投标人的资质条件符合招标文件规定</w:t>
      </w:r>
      <w:r>
        <w:rPr>
          <w:rFonts w:hint="eastAsia" w:ascii="Times New Roman" w:hAnsi="Times New Roman"/>
          <w:color w:val="000000"/>
          <w:szCs w:val="21"/>
          <w:highlight w:val="none"/>
          <w:lang w:eastAsia="zh-CN"/>
        </w:rPr>
        <w:t>；</w:t>
      </w:r>
    </w:p>
    <w:p>
      <w:pPr>
        <w:spacing w:line="360" w:lineRule="auto"/>
        <w:ind w:firstLine="420" w:firstLineChars="200"/>
        <w:jc w:val="left"/>
        <w:rPr>
          <w:rFonts w:hint="eastAsia" w:ascii="Times New Roman" w:hAnsi="Times New Roman"/>
          <w:color w:val="000000"/>
          <w:szCs w:val="21"/>
          <w:highlight w:val="none"/>
          <w:lang w:eastAsia="zh-CN"/>
        </w:rPr>
      </w:pPr>
      <w:r>
        <w:rPr>
          <w:rFonts w:hint="eastAsia" w:ascii="Times New Roman" w:hAnsi="Times New Roman"/>
          <w:color w:val="000000"/>
          <w:szCs w:val="21"/>
          <w:highlight w:val="none"/>
          <w:lang w:eastAsia="zh-CN"/>
        </w:rPr>
        <w:t>（</w:t>
      </w:r>
      <w:r>
        <w:rPr>
          <w:rFonts w:hint="eastAsia" w:ascii="Times New Roman" w:hAnsi="Times New Roman"/>
          <w:color w:val="000000"/>
          <w:szCs w:val="21"/>
          <w:highlight w:val="none"/>
          <w:lang w:val="en-US" w:eastAsia="zh-CN"/>
        </w:rPr>
        <w:t>2</w:t>
      </w:r>
      <w:r>
        <w:rPr>
          <w:rFonts w:hint="eastAsia" w:ascii="Times New Roman" w:hAnsi="Times New Roman"/>
          <w:color w:val="000000"/>
          <w:szCs w:val="21"/>
          <w:highlight w:val="none"/>
          <w:lang w:eastAsia="zh-CN"/>
        </w:rPr>
        <w:t>）</w:t>
      </w:r>
      <w:r>
        <w:rPr>
          <w:rFonts w:hint="eastAsia" w:ascii="Times New Roman" w:hAnsi="Times New Roman"/>
          <w:color w:val="000000"/>
          <w:szCs w:val="21"/>
          <w:highlight w:val="none"/>
        </w:rPr>
        <w:t>投标人的资质等级符合招标文件规定</w:t>
      </w:r>
      <w:r>
        <w:rPr>
          <w:rFonts w:hint="eastAsia" w:ascii="Times New Roman" w:hAnsi="Times New Roman"/>
          <w:color w:val="000000"/>
          <w:szCs w:val="21"/>
          <w:highlight w:val="none"/>
          <w:lang w:eastAsia="zh-CN"/>
        </w:rPr>
        <w:t>；</w:t>
      </w:r>
    </w:p>
    <w:p>
      <w:pPr>
        <w:spacing w:line="360" w:lineRule="auto"/>
        <w:ind w:firstLine="420" w:firstLineChars="200"/>
        <w:jc w:val="left"/>
        <w:rPr>
          <w:rFonts w:hint="eastAsia" w:ascii="Times New Roman" w:hAnsi="Times New Roman"/>
          <w:b/>
          <w:bCs/>
          <w:color w:val="000000"/>
          <w:szCs w:val="21"/>
          <w:highlight w:val="none"/>
        </w:rPr>
      </w:pPr>
      <w:r>
        <w:rPr>
          <w:rFonts w:hint="eastAsia" w:ascii="Times New Roman" w:hAnsi="Times New Roman"/>
          <w:color w:val="000000"/>
          <w:szCs w:val="21"/>
          <w:highlight w:val="none"/>
          <w:lang w:eastAsia="zh-CN"/>
        </w:rPr>
        <w:t>（</w:t>
      </w:r>
      <w:r>
        <w:rPr>
          <w:rFonts w:hint="eastAsia" w:ascii="Times New Roman" w:hAnsi="Times New Roman"/>
          <w:color w:val="000000"/>
          <w:szCs w:val="21"/>
          <w:highlight w:val="none"/>
          <w:lang w:val="en-US" w:eastAsia="zh-CN"/>
        </w:rPr>
        <w:t>3</w:t>
      </w:r>
      <w:r>
        <w:rPr>
          <w:rFonts w:hint="eastAsia" w:ascii="Times New Roman" w:hAnsi="Times New Roman"/>
          <w:color w:val="000000"/>
          <w:szCs w:val="21"/>
          <w:highlight w:val="none"/>
          <w:lang w:eastAsia="zh-CN"/>
        </w:rPr>
        <w:t>）</w:t>
      </w:r>
      <w:r>
        <w:rPr>
          <w:rFonts w:hint="eastAsia" w:ascii="Times New Roman" w:hAnsi="Times New Roman"/>
          <w:color w:val="000000"/>
          <w:szCs w:val="21"/>
          <w:highlight w:val="none"/>
        </w:rPr>
        <w:t>投标人的项目经理资格符合招标文件规定</w:t>
      </w:r>
      <w:r>
        <w:rPr>
          <w:rFonts w:hint="eastAsia" w:ascii="Times New Roman" w:hAnsi="Times New Roman"/>
          <w:color w:val="000000"/>
          <w:szCs w:val="21"/>
          <w:highlight w:val="none"/>
          <w:lang w:eastAsia="zh-CN"/>
        </w:rPr>
        <w:t>；</w:t>
      </w:r>
    </w:p>
    <w:p>
      <w:pPr>
        <w:spacing w:line="360" w:lineRule="auto"/>
        <w:ind w:firstLine="422" w:firstLineChars="200"/>
        <w:jc w:val="left"/>
        <w:rPr>
          <w:rFonts w:ascii="Times New Roman" w:hAnsi="Times New Roman"/>
          <w:b/>
          <w:color w:val="000000"/>
          <w:szCs w:val="21"/>
          <w:highlight w:val="none"/>
        </w:rPr>
      </w:pPr>
      <w:r>
        <w:rPr>
          <w:rFonts w:ascii="Times New Roman" w:hAnsi="Times New Roman"/>
          <w:b/>
          <w:bCs/>
          <w:color w:val="000000"/>
          <w:szCs w:val="21"/>
          <w:highlight w:val="none"/>
        </w:rPr>
        <w:t>3</w:t>
      </w:r>
      <w:r>
        <w:rPr>
          <w:rFonts w:hint="eastAsia" w:ascii="Times New Roman" w:hAnsi="Times New Roman"/>
          <w:b/>
          <w:color w:val="000000"/>
          <w:szCs w:val="21"/>
          <w:highlight w:val="none"/>
        </w:rPr>
        <w:t>、在符合性审查和商务评审时，如发现下列情形之一的，投标文件将被视为无效：</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）电子投标文件未按规定要求提供电子签章的；</w:t>
      </w:r>
    </w:p>
    <w:p>
      <w:pPr>
        <w:spacing w:line="360" w:lineRule="auto"/>
        <w:ind w:firstLine="420" w:firstLineChars="200"/>
        <w:jc w:val="left"/>
        <w:rPr>
          <w:rFonts w:ascii="Times New Roman" w:hAnsi="Times New Roman"/>
          <w:b/>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）在资信商务技术文件中出现报价的；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3</w:t>
      </w:r>
      <w:r>
        <w:rPr>
          <w:rFonts w:hint="eastAsia" w:ascii="Times New Roman" w:hAnsi="Times New Roman"/>
          <w:color w:val="000000"/>
          <w:szCs w:val="21"/>
          <w:highlight w:val="none"/>
        </w:rPr>
        <w:t>）资格证明文件不全的，或者不符合招标文件标明的资格要求的；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4</w:t>
      </w:r>
      <w:r>
        <w:rPr>
          <w:rFonts w:hint="eastAsia" w:ascii="Times New Roman" w:hAnsi="Times New Roman"/>
          <w:color w:val="000000"/>
          <w:szCs w:val="21"/>
          <w:highlight w:val="none"/>
        </w:rPr>
        <w:t>）投标文件无法定代表人签字（或盖章）</w:t>
      </w:r>
      <w:r>
        <w:rPr>
          <w:rFonts w:ascii="Times New Roman" w:hAnsi="Times New Roman"/>
          <w:color w:val="000000"/>
          <w:szCs w:val="21"/>
          <w:highlight w:val="none"/>
        </w:rPr>
        <w:t>,</w:t>
      </w:r>
      <w:r>
        <w:rPr>
          <w:rFonts w:hint="eastAsia" w:ascii="Times New Roman" w:hAnsi="Times New Roman"/>
          <w:color w:val="000000"/>
          <w:szCs w:val="21"/>
          <w:highlight w:val="none"/>
        </w:rPr>
        <w:t>或未提供法定代表人授权委托书、投标声明书或者填写项目不齐全的；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5</w:t>
      </w:r>
      <w:r>
        <w:rPr>
          <w:rFonts w:hint="eastAsia" w:ascii="Times New Roman" w:hAnsi="Times New Roman"/>
          <w:color w:val="000000"/>
          <w:szCs w:val="21"/>
          <w:highlight w:val="none"/>
        </w:rPr>
        <w:t>）投标代表人未能出具身份证明或与法定代表人授权委托人身份不符的；</w:t>
      </w:r>
      <w:r>
        <w:rPr>
          <w:rFonts w:ascii="Times New Roman" w:hAnsi="Times New Roman"/>
          <w:color w:val="000000"/>
          <w:szCs w:val="21"/>
          <w:highlight w:val="none"/>
        </w:rPr>
        <w:t xml:space="preserve"> </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6</w:t>
      </w:r>
      <w:r>
        <w:rPr>
          <w:rFonts w:hint="eastAsia" w:ascii="Times New Roman" w:hAnsi="Times New Roman"/>
          <w:color w:val="000000"/>
          <w:szCs w:val="21"/>
          <w:highlight w:val="none"/>
        </w:rPr>
        <w:t>）投标文件格式不规范、项目不齐全或者内容虚假的；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7</w:t>
      </w:r>
      <w:r>
        <w:rPr>
          <w:rFonts w:hint="eastAsia" w:ascii="Times New Roman" w:hAnsi="Times New Roman"/>
          <w:color w:val="000000"/>
          <w:szCs w:val="21"/>
          <w:highlight w:val="none"/>
        </w:rPr>
        <w:t>）投标文件的实质性内容未使用中文表述、意思表述不明确、前后矛盾或者使用计量单位不符合招标文件要求的（经评标委员会认定并允许其当场更正的笔误除外）</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8</w:t>
      </w:r>
      <w:r>
        <w:rPr>
          <w:rFonts w:hint="eastAsia" w:ascii="Times New Roman" w:hAnsi="Times New Roman"/>
          <w:color w:val="000000"/>
          <w:szCs w:val="21"/>
          <w:highlight w:val="none"/>
        </w:rPr>
        <w:t>）投标有效期、服务期等商务条款不能满足招标文件要求的；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9</w:t>
      </w:r>
      <w:r>
        <w:rPr>
          <w:rFonts w:hint="eastAsia" w:ascii="Times New Roman" w:hAnsi="Times New Roman"/>
          <w:color w:val="000000"/>
          <w:szCs w:val="21"/>
          <w:highlight w:val="none"/>
        </w:rPr>
        <w:t>）未实质性响应招标文件要求或者投标文件有招标方不能接受的附加条件的；</w:t>
      </w:r>
    </w:p>
    <w:p>
      <w:pPr>
        <w:spacing w:line="360" w:lineRule="auto"/>
        <w:ind w:firstLine="422" w:firstLineChars="200"/>
        <w:jc w:val="left"/>
        <w:rPr>
          <w:rFonts w:ascii="Times New Roman" w:hAnsi="Times New Roman"/>
          <w:b/>
          <w:color w:val="000000"/>
          <w:szCs w:val="21"/>
          <w:highlight w:val="none"/>
        </w:rPr>
      </w:pPr>
      <w:r>
        <w:rPr>
          <w:rFonts w:ascii="Times New Roman" w:hAnsi="Times New Roman"/>
          <w:b/>
          <w:color w:val="000000"/>
          <w:szCs w:val="21"/>
          <w:highlight w:val="none"/>
        </w:rPr>
        <w:t>4</w:t>
      </w:r>
      <w:r>
        <w:rPr>
          <w:rFonts w:hint="eastAsia" w:ascii="Times New Roman" w:hAnsi="Times New Roman"/>
          <w:b/>
          <w:color w:val="000000"/>
          <w:szCs w:val="21"/>
          <w:highlight w:val="none"/>
        </w:rPr>
        <w:t>、在技术评审时，如发现下列情形之一的，投标文件将被视为无效：</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）投标文件标明的响应或偏离与事实不符或虚假投标的；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）明显不符合招标文件技术要求，或者与招标文件中标</w:t>
      </w:r>
      <w:r>
        <w:rPr>
          <w:rFonts w:ascii="Times New Roman" w:hAnsi="Times New Roman"/>
          <w:color w:val="000000"/>
          <w:szCs w:val="21"/>
          <w:highlight w:val="none"/>
        </w:rPr>
        <w:t>“</w:t>
      </w:r>
      <w:r>
        <w:rPr>
          <w:rFonts w:hint="eastAsia" w:ascii="Times New Roman" w:hAnsi="Times New Roman"/>
          <w:color w:val="000000"/>
          <w:szCs w:val="21"/>
          <w:highlight w:val="none"/>
        </w:rPr>
        <w:t>▲</w:t>
      </w:r>
      <w:r>
        <w:rPr>
          <w:rFonts w:ascii="Times New Roman" w:hAnsi="Times New Roman"/>
          <w:color w:val="000000"/>
          <w:szCs w:val="21"/>
          <w:highlight w:val="none"/>
        </w:rPr>
        <w:t>”</w:t>
      </w:r>
      <w:r>
        <w:rPr>
          <w:rFonts w:hint="eastAsia" w:ascii="Times New Roman" w:hAnsi="Times New Roman"/>
          <w:color w:val="000000"/>
          <w:szCs w:val="21"/>
          <w:highlight w:val="none"/>
        </w:rPr>
        <w:t>的条款发生实质性偏离的；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3</w:t>
      </w:r>
      <w:r>
        <w:rPr>
          <w:rFonts w:hint="eastAsia" w:ascii="Times New Roman" w:hAnsi="Times New Roman"/>
          <w:color w:val="000000"/>
          <w:szCs w:val="21"/>
          <w:highlight w:val="none"/>
        </w:rPr>
        <w:t>）投标技术方案不明确，存在一个或一个以上备选（替代）投标方案的。</w:t>
      </w:r>
    </w:p>
    <w:p>
      <w:pPr>
        <w:spacing w:line="360" w:lineRule="auto"/>
        <w:ind w:firstLine="422" w:firstLineChars="200"/>
        <w:jc w:val="left"/>
        <w:rPr>
          <w:rFonts w:ascii="Times New Roman" w:hAnsi="Times New Roman"/>
          <w:b/>
          <w:color w:val="000000"/>
          <w:szCs w:val="21"/>
          <w:highlight w:val="none"/>
        </w:rPr>
      </w:pPr>
      <w:r>
        <w:rPr>
          <w:rFonts w:ascii="Times New Roman" w:hAnsi="Times New Roman"/>
          <w:b/>
          <w:color w:val="000000"/>
          <w:szCs w:val="21"/>
          <w:highlight w:val="none"/>
        </w:rPr>
        <w:t>5</w:t>
      </w:r>
      <w:r>
        <w:rPr>
          <w:rFonts w:hint="eastAsia" w:ascii="Times New Roman" w:hAnsi="Times New Roman"/>
          <w:b/>
          <w:color w:val="000000"/>
          <w:szCs w:val="21"/>
          <w:highlight w:val="none"/>
        </w:rPr>
        <w:t>、在报价评审时，如发现下列情形之一的，投标文件将被视为无效：</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）未采用人民币报价或者未按照招标文件标明的币种报价的；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）报价超出最高投标限价的；</w:t>
      </w:r>
    </w:p>
    <w:p>
      <w:pPr>
        <w:spacing w:line="360" w:lineRule="auto"/>
        <w:ind w:firstLine="420" w:firstLineChars="200"/>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3</w:t>
      </w:r>
      <w:r>
        <w:rPr>
          <w:rFonts w:hint="eastAsia" w:ascii="Times New Roman" w:hAnsi="Times New Roman"/>
          <w:color w:val="000000"/>
          <w:szCs w:val="21"/>
          <w:highlight w:val="none"/>
        </w:rPr>
        <w:t>）投标报价具有选择性，或者开标价格与投标文件承诺的优惠（折扣）价格不一致的。</w:t>
      </w:r>
      <w:r>
        <w:rPr>
          <w:rFonts w:ascii="Times New Roman" w:hAnsi="Times New Roman"/>
          <w:color w:val="000000"/>
          <w:szCs w:val="21"/>
          <w:highlight w:val="none"/>
        </w:rPr>
        <w:t xml:space="preserve">                                                                                              </w:t>
      </w:r>
    </w:p>
    <w:p>
      <w:pPr>
        <w:spacing w:line="360" w:lineRule="auto"/>
        <w:ind w:firstLine="422" w:firstLineChars="200"/>
        <w:jc w:val="left"/>
        <w:rPr>
          <w:rFonts w:ascii="Times New Roman" w:hAnsi="Times New Roman"/>
          <w:b/>
          <w:bCs/>
          <w:color w:val="000000"/>
          <w:szCs w:val="21"/>
          <w:highlight w:val="none"/>
        </w:rPr>
      </w:pPr>
      <w:bookmarkStart w:id="239" w:name="_Toc417992890"/>
      <w:r>
        <w:rPr>
          <w:rFonts w:ascii="Times New Roman" w:hAnsi="Times New Roman"/>
          <w:b/>
          <w:bCs/>
          <w:color w:val="000000"/>
          <w:szCs w:val="21"/>
          <w:highlight w:val="none"/>
        </w:rPr>
        <w:t>6</w:t>
      </w:r>
      <w:r>
        <w:rPr>
          <w:rFonts w:hint="eastAsia" w:ascii="Times New Roman" w:hAnsi="Times New Roman"/>
          <w:b/>
          <w:bCs/>
          <w:color w:val="000000"/>
          <w:szCs w:val="21"/>
          <w:highlight w:val="none"/>
        </w:rPr>
        <w:t>、被拒绝的投标文件为无效。</w:t>
      </w:r>
      <w:bookmarkEnd w:id="239"/>
    </w:p>
    <w:p>
      <w:pPr>
        <w:spacing w:line="360" w:lineRule="auto"/>
        <w:ind w:firstLine="422" w:firstLineChars="200"/>
        <w:jc w:val="left"/>
        <w:rPr>
          <w:rFonts w:ascii="Times New Roman" w:hAnsi="Times New Roman"/>
          <w:b/>
          <w:color w:val="000000"/>
          <w:szCs w:val="21"/>
          <w:highlight w:val="none"/>
        </w:rPr>
      </w:pPr>
      <w:bookmarkStart w:id="240" w:name="_Toc417992891"/>
      <w:r>
        <w:rPr>
          <w:rFonts w:hint="eastAsia" w:ascii="Times New Roman" w:hAnsi="Times New Roman"/>
          <w:b/>
          <w:color w:val="000000"/>
          <w:szCs w:val="21"/>
          <w:highlight w:val="none"/>
        </w:rPr>
        <w:t>四、开标</w:t>
      </w:r>
      <w:bookmarkEnd w:id="240"/>
    </w:p>
    <w:p>
      <w:pPr>
        <w:spacing w:line="360" w:lineRule="auto"/>
        <w:ind w:firstLine="422" w:firstLineChars="200"/>
        <w:jc w:val="left"/>
        <w:rPr>
          <w:rFonts w:ascii="Times New Roman" w:hAnsi="Times New Roman"/>
          <w:bCs/>
          <w:color w:val="000000"/>
          <w:szCs w:val="21"/>
          <w:highlight w:val="none"/>
        </w:rPr>
      </w:pPr>
      <w:bookmarkStart w:id="241" w:name="_Hlk11358044"/>
      <w:r>
        <w:rPr>
          <w:rFonts w:hint="eastAsia" w:ascii="Times New Roman" w:hAnsi="Times New Roman"/>
          <w:b/>
          <w:color w:val="000000"/>
          <w:szCs w:val="21"/>
          <w:highlight w:val="none"/>
        </w:rPr>
        <w:t>（一）开标准备</w:t>
      </w:r>
    </w:p>
    <w:p>
      <w:pPr>
        <w:spacing w:line="360" w:lineRule="auto"/>
        <w:ind w:firstLine="420" w:firstLineChars="200"/>
        <w:jc w:val="left"/>
        <w:rPr>
          <w:rFonts w:ascii="Times New Roman" w:hAnsi="Times New Roman"/>
          <w:bCs/>
          <w:color w:val="000000"/>
          <w:szCs w:val="21"/>
          <w:highlight w:val="none"/>
        </w:rPr>
      </w:pPr>
      <w:r>
        <w:rPr>
          <w:rFonts w:ascii="Times New Roman" w:hAnsi="Times New Roman"/>
          <w:bCs/>
          <w:color w:val="000000"/>
          <w:szCs w:val="21"/>
          <w:highlight w:val="none"/>
        </w:rPr>
        <w:t>1</w:t>
      </w:r>
      <w:r>
        <w:rPr>
          <w:rFonts w:hint="eastAsia" w:ascii="Times New Roman" w:hAnsi="Times New Roman"/>
          <w:bCs/>
          <w:color w:val="000000"/>
          <w:szCs w:val="21"/>
          <w:highlight w:val="none"/>
        </w:rPr>
        <w:t>、开标的准备工作由采购组织机构负责落实；</w:t>
      </w:r>
    </w:p>
    <w:p>
      <w:pPr>
        <w:spacing w:line="360" w:lineRule="auto"/>
        <w:ind w:firstLine="420" w:firstLineChars="200"/>
        <w:jc w:val="left"/>
        <w:rPr>
          <w:rFonts w:ascii="Times New Roman" w:hAnsi="Times New Roman"/>
          <w:bCs/>
          <w:color w:val="000000"/>
          <w:szCs w:val="21"/>
          <w:highlight w:val="none"/>
        </w:rPr>
      </w:pPr>
      <w:r>
        <w:rPr>
          <w:rFonts w:ascii="Times New Roman" w:hAnsi="Times New Roman"/>
          <w:bCs/>
          <w:color w:val="000000"/>
          <w:szCs w:val="21"/>
          <w:highlight w:val="none"/>
        </w:rPr>
        <w:t>2</w:t>
      </w:r>
      <w:r>
        <w:rPr>
          <w:rFonts w:hint="eastAsia" w:ascii="Times New Roman" w:hAnsi="Times New Roman"/>
          <w:bCs/>
          <w:color w:val="000000"/>
          <w:szCs w:val="21"/>
          <w:highlight w:val="none"/>
        </w:rPr>
        <w:t>、采购组织机构将按照招标文件规定的时间通过“政府采购云平台”组织开标、开启投标文件，所有供应商均应当准时在线参加。投标供应商如不参加开标大会的，视同认可开标结果，事后不得对采购相关人员、开标过程和开标结果提出异议，同时投标供应商因未在线参加开标而导致投标文件无法按时解密等一切后果由供应商自己承担。</w:t>
      </w:r>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（二）开标流程（两阶段）</w:t>
      </w:r>
      <w:r>
        <w:rPr>
          <w:rFonts w:ascii="Times New Roman" w:hAnsi="Times New Roman"/>
          <w:b/>
          <w:color w:val="000000"/>
          <w:szCs w:val="21"/>
          <w:highlight w:val="none"/>
        </w:rPr>
        <w:t xml:space="preserve"> </w:t>
      </w:r>
    </w:p>
    <w:p>
      <w:pPr>
        <w:spacing w:line="360" w:lineRule="auto"/>
        <w:ind w:firstLine="422" w:firstLineChars="200"/>
        <w:jc w:val="left"/>
        <w:rPr>
          <w:rFonts w:ascii="Times New Roman" w:hAnsi="Times New Roman"/>
          <w:b/>
          <w:color w:val="000000"/>
          <w:szCs w:val="21"/>
          <w:highlight w:val="none"/>
        </w:rPr>
      </w:pPr>
      <w:r>
        <w:rPr>
          <w:rFonts w:ascii="Times New Roman" w:hAnsi="Times New Roman"/>
          <w:b/>
          <w:color w:val="000000"/>
          <w:szCs w:val="21"/>
          <w:highlight w:val="none"/>
        </w:rPr>
        <w:t>1</w:t>
      </w:r>
      <w:r>
        <w:rPr>
          <w:rFonts w:hint="eastAsia" w:ascii="Times New Roman" w:hAnsi="Times New Roman"/>
          <w:b/>
          <w:color w:val="000000"/>
          <w:szCs w:val="21"/>
          <w:highlight w:val="none"/>
        </w:rPr>
        <w:t>、开标第一阶段</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w:t>
      </w:r>
      <w:r>
        <w:rPr>
          <w:rFonts w:ascii="Times New Roman" w:hAnsi="Times New Roman"/>
          <w:bCs/>
          <w:color w:val="000000"/>
          <w:szCs w:val="21"/>
          <w:highlight w:val="none"/>
        </w:rPr>
        <w:t>1</w:t>
      </w:r>
      <w:r>
        <w:rPr>
          <w:rFonts w:hint="eastAsia" w:ascii="Times New Roman" w:hAnsi="Times New Roman"/>
          <w:bCs/>
          <w:color w:val="000000"/>
          <w:szCs w:val="21"/>
          <w:highlight w:val="none"/>
        </w:rPr>
        <w:t>）向各投标供应商发出电子加密投标文件【开始解密】通知，由供应商按招标文件规定的时间内自行进行投标文件解密。投标供应商在规定的时间内无法完成已递交的“电子加密投标文件”解密的，如已按规定递交了备份投标文件的，将由采购组织机构按“政府采购云平台”操作规范将备份投标文件上传至“政府采购云平台”，上传成功后，“电子加密投标文件”自动失效；</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w:t>
      </w:r>
      <w:r>
        <w:rPr>
          <w:rFonts w:ascii="Times New Roman" w:hAnsi="Times New Roman"/>
          <w:bCs/>
          <w:color w:val="000000"/>
          <w:szCs w:val="21"/>
          <w:highlight w:val="none"/>
        </w:rPr>
        <w:t>2</w:t>
      </w:r>
      <w:r>
        <w:rPr>
          <w:rFonts w:hint="eastAsia" w:ascii="Times New Roman" w:hAnsi="Times New Roman"/>
          <w:bCs/>
          <w:color w:val="000000"/>
          <w:szCs w:val="21"/>
          <w:highlight w:val="none"/>
        </w:rPr>
        <w:t>）投标文件解密</w:t>
      </w:r>
      <w:r>
        <w:rPr>
          <w:rFonts w:hint="eastAsia" w:ascii="Times New Roman" w:hAnsi="Times New Roman"/>
          <w:color w:val="000000"/>
          <w:szCs w:val="21"/>
          <w:highlight w:val="none"/>
        </w:rPr>
        <w:t>；</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w:t>
      </w:r>
      <w:r>
        <w:rPr>
          <w:rFonts w:ascii="Times New Roman" w:hAnsi="Times New Roman"/>
          <w:bCs/>
          <w:color w:val="000000"/>
          <w:szCs w:val="21"/>
          <w:highlight w:val="none"/>
        </w:rPr>
        <w:t>3</w:t>
      </w:r>
      <w:r>
        <w:rPr>
          <w:rFonts w:hint="eastAsia" w:ascii="Times New Roman" w:hAnsi="Times New Roman"/>
          <w:bCs/>
          <w:color w:val="000000"/>
          <w:szCs w:val="21"/>
          <w:highlight w:val="none"/>
        </w:rPr>
        <w:t>）开启投标文件，进入资格审查；</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w:t>
      </w:r>
      <w:r>
        <w:rPr>
          <w:rFonts w:ascii="Times New Roman" w:hAnsi="Times New Roman"/>
          <w:bCs/>
          <w:color w:val="000000"/>
          <w:szCs w:val="21"/>
          <w:highlight w:val="none"/>
        </w:rPr>
        <w:t>4</w:t>
      </w:r>
      <w:r>
        <w:rPr>
          <w:rFonts w:hint="eastAsia" w:ascii="Times New Roman" w:hAnsi="Times New Roman"/>
          <w:bCs/>
          <w:color w:val="000000"/>
          <w:szCs w:val="21"/>
          <w:highlight w:val="none"/>
        </w:rPr>
        <w:t>）开启资格审查通过的投标供应商的商务技术文件进入符合性审查、商务技术评审；</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w:t>
      </w:r>
      <w:r>
        <w:rPr>
          <w:rFonts w:ascii="Times New Roman" w:hAnsi="Times New Roman"/>
          <w:bCs/>
          <w:color w:val="000000"/>
          <w:szCs w:val="21"/>
          <w:highlight w:val="none"/>
        </w:rPr>
        <w:t>5</w:t>
      </w:r>
      <w:r>
        <w:rPr>
          <w:rFonts w:hint="eastAsia" w:ascii="Times New Roman" w:hAnsi="Times New Roman"/>
          <w:bCs/>
          <w:color w:val="000000"/>
          <w:szCs w:val="21"/>
          <w:highlight w:val="none"/>
        </w:rPr>
        <w:t>）第一阶段开标结束。</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备注：开标大会的第一阶段结束后，评标委员会将依法对投标供应商的资格进行审查，资格审查结束后进入符合性审查和商务技术的评审工作。</w:t>
      </w:r>
    </w:p>
    <w:p>
      <w:pPr>
        <w:spacing w:line="360" w:lineRule="auto"/>
        <w:ind w:firstLine="422" w:firstLineChars="200"/>
        <w:jc w:val="left"/>
        <w:rPr>
          <w:rFonts w:ascii="Times New Roman" w:hAnsi="Times New Roman"/>
          <w:b/>
          <w:color w:val="000000"/>
          <w:szCs w:val="21"/>
          <w:highlight w:val="none"/>
        </w:rPr>
      </w:pPr>
      <w:r>
        <w:rPr>
          <w:rFonts w:ascii="Times New Roman" w:hAnsi="Times New Roman"/>
          <w:b/>
          <w:color w:val="000000"/>
          <w:szCs w:val="21"/>
          <w:highlight w:val="none"/>
        </w:rPr>
        <w:t>2</w:t>
      </w:r>
      <w:r>
        <w:rPr>
          <w:rFonts w:hint="eastAsia" w:ascii="Times New Roman" w:hAnsi="Times New Roman"/>
          <w:b/>
          <w:color w:val="000000"/>
          <w:szCs w:val="21"/>
          <w:highlight w:val="none"/>
        </w:rPr>
        <w:t>、开标大会第二阶段</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w:t>
      </w:r>
      <w:r>
        <w:rPr>
          <w:rFonts w:ascii="Times New Roman" w:hAnsi="Times New Roman"/>
          <w:bCs/>
          <w:color w:val="000000"/>
          <w:szCs w:val="21"/>
          <w:highlight w:val="none"/>
        </w:rPr>
        <w:t>1</w:t>
      </w:r>
      <w:r>
        <w:rPr>
          <w:rFonts w:hint="eastAsia" w:ascii="Times New Roman" w:hAnsi="Times New Roman"/>
          <w:bCs/>
          <w:color w:val="000000"/>
          <w:szCs w:val="21"/>
          <w:highlight w:val="none"/>
        </w:rPr>
        <w:t>）符合性审查、商务技术评审结束后，举行开标大会第二阶段会议。首先公布符合性审查、商务技术评审无效供应商名称及理由；公布经商务技术评审后有效投标供应商的名单，同时公布其商务技术部分得分情况。</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w:t>
      </w:r>
      <w:r>
        <w:rPr>
          <w:rFonts w:ascii="Times New Roman" w:hAnsi="Times New Roman"/>
          <w:bCs/>
          <w:color w:val="000000"/>
          <w:szCs w:val="21"/>
          <w:highlight w:val="none"/>
        </w:rPr>
        <w:t>2</w:t>
      </w:r>
      <w:r>
        <w:rPr>
          <w:rFonts w:hint="eastAsia" w:ascii="Times New Roman" w:hAnsi="Times New Roman"/>
          <w:bCs/>
          <w:color w:val="000000"/>
          <w:szCs w:val="21"/>
          <w:highlight w:val="none"/>
        </w:rPr>
        <w:t>）开启符合性审查、商务技术评审有效投标供应商的《报价文件》，公布开标一览表有关内容。唱标结束后，由评标委员会对报价的合理性、准确性等进行审查核实。</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w:t>
      </w:r>
      <w:r>
        <w:rPr>
          <w:rFonts w:ascii="Times New Roman" w:hAnsi="Times New Roman"/>
          <w:bCs/>
          <w:color w:val="000000"/>
          <w:szCs w:val="21"/>
          <w:highlight w:val="none"/>
        </w:rPr>
        <w:t>3</w:t>
      </w:r>
      <w:r>
        <w:rPr>
          <w:rFonts w:hint="eastAsia" w:ascii="Times New Roman" w:hAnsi="Times New Roman"/>
          <w:bCs/>
          <w:color w:val="000000"/>
          <w:szCs w:val="21"/>
          <w:highlight w:val="none"/>
        </w:rPr>
        <w:t>）评审结束后，公布中标（成交）候选供应商名单。</w:t>
      </w:r>
    </w:p>
    <w:p>
      <w:pPr>
        <w:spacing w:line="360" w:lineRule="auto"/>
        <w:ind w:firstLine="420" w:firstLineChars="200"/>
        <w:jc w:val="left"/>
        <w:rPr>
          <w:rFonts w:ascii="Times New Roman" w:hAnsi="Times New Roman"/>
          <w:bCs/>
          <w:color w:val="000000"/>
          <w:szCs w:val="21"/>
          <w:highlight w:val="none"/>
        </w:rPr>
      </w:pPr>
      <w:r>
        <w:rPr>
          <w:rFonts w:hint="eastAsia" w:ascii="Times New Roman" w:hAnsi="Times New Roman"/>
          <w:bCs/>
          <w:color w:val="000000"/>
          <w:szCs w:val="21"/>
          <w:highlight w:val="none"/>
        </w:rPr>
        <w:t>特别说明：如遇“政府采购云平台”电子化开标或评审程序调整的，按调整后程序执行。</w:t>
      </w:r>
    </w:p>
    <w:p>
      <w:pPr>
        <w:spacing w:line="360" w:lineRule="auto"/>
        <w:ind w:firstLine="422" w:firstLineChars="200"/>
        <w:jc w:val="left"/>
        <w:rPr>
          <w:rFonts w:ascii="Times New Roman" w:hAnsi="Times New Roman"/>
          <w:b/>
          <w:color w:val="000000"/>
          <w:szCs w:val="21"/>
          <w:highlight w:val="none"/>
        </w:rPr>
      </w:pPr>
      <w:r>
        <w:rPr>
          <w:rFonts w:hint="eastAsia" w:ascii="Times New Roman" w:hAnsi="Times New Roman"/>
          <w:b/>
          <w:color w:val="000000"/>
          <w:szCs w:val="21"/>
          <w:highlight w:val="none"/>
        </w:rPr>
        <w:t>（三）投标供应商资格审查</w:t>
      </w:r>
    </w:p>
    <w:p>
      <w:pPr>
        <w:spacing w:line="360" w:lineRule="auto"/>
        <w:ind w:firstLine="420" w:firstLineChars="200"/>
        <w:jc w:val="left"/>
        <w:rPr>
          <w:rFonts w:ascii="Times New Roman" w:hAnsi="Times New Roman"/>
          <w:bCs/>
          <w:color w:val="000000"/>
          <w:szCs w:val="21"/>
          <w:highlight w:val="none"/>
        </w:rPr>
      </w:pPr>
      <w:r>
        <w:rPr>
          <w:rFonts w:ascii="Times New Roman" w:hAnsi="Times New Roman"/>
          <w:bCs/>
          <w:color w:val="000000"/>
          <w:szCs w:val="21"/>
          <w:highlight w:val="none"/>
        </w:rPr>
        <w:t>1</w:t>
      </w:r>
      <w:r>
        <w:rPr>
          <w:rFonts w:hint="eastAsia" w:ascii="Times New Roman" w:hAnsi="Times New Roman"/>
          <w:bCs/>
          <w:color w:val="000000"/>
          <w:szCs w:val="21"/>
          <w:highlight w:val="none"/>
        </w:rPr>
        <w:t>、开标大会第一阶段结束后，评标委员会首先依法对各投标供应商的资格进行审查，审查各投标供应商的资格是否满足招标文件的要求。评标委员会对投标供应商所提交的资格证明材料仅负审核的责任。如发现投标供应商所提交的资格证明材料不合法或与事实不符，采购人可取消其中标资格并追究投标供应商的法律责任。</w:t>
      </w:r>
    </w:p>
    <w:p>
      <w:pPr>
        <w:spacing w:line="360" w:lineRule="auto"/>
        <w:ind w:firstLine="420" w:firstLineChars="200"/>
        <w:jc w:val="left"/>
        <w:rPr>
          <w:rFonts w:ascii="Times New Roman" w:hAnsi="Times New Roman"/>
          <w:bCs/>
          <w:color w:val="000000"/>
          <w:szCs w:val="21"/>
          <w:highlight w:val="none"/>
        </w:rPr>
      </w:pPr>
      <w:r>
        <w:rPr>
          <w:rFonts w:ascii="Times New Roman" w:hAnsi="Times New Roman"/>
          <w:bCs/>
          <w:color w:val="000000"/>
          <w:szCs w:val="21"/>
          <w:highlight w:val="none"/>
        </w:rPr>
        <w:t>2</w:t>
      </w:r>
      <w:r>
        <w:rPr>
          <w:rFonts w:hint="eastAsia" w:ascii="Times New Roman" w:hAnsi="Times New Roman"/>
          <w:bCs/>
          <w:color w:val="000000"/>
          <w:szCs w:val="21"/>
          <w:highlight w:val="none"/>
        </w:rPr>
        <w:t>、投标供应商提交的资格证明材料无法证明其符合招标文件规定的“合格的投标人资格要求”的，评标委员会将对其作资格审查不通过处理（无效投标），并不再将其投标提交评标委员会进行后续评审。</w:t>
      </w:r>
    </w:p>
    <w:p>
      <w:pPr>
        <w:spacing w:line="360" w:lineRule="auto"/>
        <w:ind w:firstLine="422" w:firstLineChars="200"/>
        <w:jc w:val="left"/>
        <w:rPr>
          <w:rFonts w:ascii="Times New Roman" w:hAnsi="Times New Roman"/>
          <w:b/>
          <w:bCs/>
          <w:color w:val="000000"/>
          <w:szCs w:val="21"/>
          <w:highlight w:val="none"/>
        </w:rPr>
      </w:pPr>
      <w:r>
        <w:rPr>
          <w:rFonts w:ascii="Times New Roman" w:hAnsi="Times New Roman"/>
          <w:b/>
          <w:bCs/>
          <w:color w:val="000000"/>
          <w:szCs w:val="21"/>
          <w:highlight w:val="none"/>
        </w:rPr>
        <w:t>3</w:t>
      </w:r>
      <w:r>
        <w:rPr>
          <w:rFonts w:hint="eastAsia" w:ascii="Times New Roman" w:hAnsi="Times New Roman"/>
          <w:b/>
          <w:bCs/>
          <w:color w:val="000000"/>
          <w:szCs w:val="21"/>
          <w:highlight w:val="none"/>
        </w:rPr>
        <w:t>、</w:t>
      </w:r>
      <w:r>
        <w:rPr>
          <w:rFonts w:hint="eastAsia" w:ascii="Times New Roman" w:hAnsi="Times New Roman"/>
          <w:color w:val="000000"/>
          <w:szCs w:val="21"/>
          <w:highlight w:val="none"/>
        </w:rPr>
        <w:t>▲</w:t>
      </w:r>
      <w:r>
        <w:rPr>
          <w:rFonts w:hint="eastAsia" w:ascii="Times New Roman" w:hAnsi="Times New Roman"/>
          <w:b/>
          <w:bCs/>
          <w:color w:val="000000"/>
          <w:szCs w:val="21"/>
          <w:highlight w:val="none"/>
        </w:rPr>
        <w:t>单位负责人为同一人或者存在直接控股、管理关系的不同供应商参加同一合同项下的政府采购活动的，相关投标供应商均作投标无效处理。</w:t>
      </w:r>
    </w:p>
    <w:bookmarkEnd w:id="241"/>
    <w:p>
      <w:pPr>
        <w:pStyle w:val="28"/>
        <w:spacing w:before="120" w:line="360" w:lineRule="auto"/>
        <w:ind w:firstLine="420"/>
        <w:rPr>
          <w:rFonts w:ascii="Times New Roman" w:hAnsi="Times New Roman"/>
          <w:b/>
          <w:color w:val="000000"/>
          <w:sz w:val="21"/>
          <w:szCs w:val="21"/>
          <w:highlight w:val="none"/>
        </w:rPr>
      </w:pPr>
      <w:bookmarkStart w:id="242" w:name="_Toc177870554"/>
      <w:bookmarkStart w:id="243" w:name="_Toc417992892"/>
      <w:r>
        <w:rPr>
          <w:rFonts w:hint="eastAsia" w:ascii="Times New Roman" w:hAnsi="Times New Roman"/>
          <w:b/>
          <w:color w:val="000000"/>
          <w:sz w:val="21"/>
          <w:szCs w:val="21"/>
          <w:highlight w:val="none"/>
        </w:rPr>
        <w:t>五、评标</w:t>
      </w:r>
      <w:bookmarkEnd w:id="242"/>
      <w:bookmarkEnd w:id="243"/>
    </w:p>
    <w:p>
      <w:pPr>
        <w:pStyle w:val="28"/>
        <w:spacing w:before="120" w:line="360" w:lineRule="auto"/>
        <w:ind w:firstLine="420"/>
        <w:rPr>
          <w:rFonts w:ascii="Times New Roman" w:hAnsi="Times New Roman"/>
          <w:b/>
          <w:color w:val="000000"/>
          <w:sz w:val="21"/>
          <w:szCs w:val="21"/>
          <w:highlight w:val="none"/>
        </w:rPr>
      </w:pPr>
      <w:r>
        <w:rPr>
          <w:rFonts w:ascii="Times New Roman" w:hAnsi="Times New Roman"/>
          <w:b/>
          <w:color w:val="000000"/>
          <w:sz w:val="21"/>
          <w:szCs w:val="21"/>
          <w:highlight w:val="none"/>
        </w:rPr>
        <w:t>1</w:t>
      </w:r>
      <w:r>
        <w:rPr>
          <w:rFonts w:hint="eastAsia" w:ascii="Times New Roman" w:hAnsi="Times New Roman"/>
          <w:b/>
          <w:color w:val="000000"/>
          <w:sz w:val="21"/>
          <w:szCs w:val="21"/>
          <w:highlight w:val="none"/>
        </w:rPr>
        <w:t>、评标组织</w:t>
      </w:r>
    </w:p>
    <w:p>
      <w:pPr>
        <w:pStyle w:val="28"/>
        <w:spacing w:before="120" w:line="360" w:lineRule="auto"/>
        <w:ind w:firstLine="420"/>
        <w:rPr>
          <w:rFonts w:ascii="Times New Roman" w:hAnsi="Times New Roman"/>
          <w:color w:val="000000"/>
          <w:sz w:val="21"/>
          <w:szCs w:val="21"/>
          <w:highlight w:val="none"/>
        </w:rPr>
      </w:pPr>
      <w:r>
        <w:rPr>
          <w:rFonts w:ascii="Times New Roman" w:hAnsi="Times New Roman"/>
          <w:color w:val="000000"/>
          <w:sz w:val="21"/>
          <w:szCs w:val="21"/>
          <w:highlight w:val="none"/>
        </w:rPr>
        <w:t>1.1</w:t>
      </w:r>
      <w:r>
        <w:rPr>
          <w:rFonts w:hint="eastAsia" w:ascii="Times New Roman" w:hAnsi="Times New Roman"/>
          <w:color w:val="000000"/>
          <w:sz w:val="21"/>
          <w:szCs w:val="21"/>
          <w:highlight w:val="none"/>
        </w:rPr>
        <w:t>、本项目评标委员会由政府采购评审专家</w:t>
      </w:r>
      <w:r>
        <w:rPr>
          <w:rFonts w:hint="eastAsia" w:ascii="Times New Roman" w:hAnsi="Times New Roman"/>
          <w:color w:val="000000"/>
          <w:sz w:val="21"/>
          <w:szCs w:val="21"/>
          <w:highlight w:val="none"/>
          <w:lang w:val="en-US" w:eastAsia="zh-CN"/>
        </w:rPr>
        <w:t>5</w:t>
      </w:r>
      <w:r>
        <w:rPr>
          <w:rFonts w:hint="eastAsia" w:ascii="Times New Roman" w:hAnsi="Times New Roman"/>
          <w:color w:val="000000"/>
          <w:sz w:val="21"/>
          <w:szCs w:val="21"/>
          <w:highlight w:val="none"/>
        </w:rPr>
        <w:t>人和采购人代表</w:t>
      </w:r>
      <w:r>
        <w:rPr>
          <w:rFonts w:hint="eastAsia" w:ascii="Times New Roman" w:hAnsi="Times New Roman"/>
          <w:color w:val="000000"/>
          <w:sz w:val="21"/>
          <w:szCs w:val="21"/>
          <w:highlight w:val="none"/>
          <w:lang w:val="en-US" w:eastAsia="zh-CN"/>
        </w:rPr>
        <w:t>2</w:t>
      </w:r>
      <w:r>
        <w:rPr>
          <w:rFonts w:hint="eastAsia" w:ascii="Times New Roman" w:hAnsi="Times New Roman"/>
          <w:color w:val="000000"/>
          <w:sz w:val="21"/>
          <w:szCs w:val="21"/>
          <w:highlight w:val="none"/>
        </w:rPr>
        <w:t>人，共</w:t>
      </w:r>
      <w:r>
        <w:rPr>
          <w:rFonts w:hint="eastAsia" w:ascii="Times New Roman" w:hAnsi="Times New Roman"/>
          <w:color w:val="000000"/>
          <w:sz w:val="21"/>
          <w:szCs w:val="21"/>
          <w:highlight w:val="none"/>
          <w:lang w:val="en-US" w:eastAsia="zh-CN"/>
        </w:rPr>
        <w:t>7</w:t>
      </w:r>
      <w:r>
        <w:rPr>
          <w:rFonts w:hint="eastAsia" w:ascii="Times New Roman" w:hAnsi="Times New Roman"/>
          <w:color w:val="000000"/>
          <w:sz w:val="21"/>
          <w:szCs w:val="21"/>
          <w:highlight w:val="none"/>
        </w:rPr>
        <w:t>人组成。</w:t>
      </w:r>
    </w:p>
    <w:p>
      <w:pPr>
        <w:pStyle w:val="28"/>
        <w:spacing w:before="120" w:line="360" w:lineRule="auto"/>
        <w:ind w:firstLine="420"/>
        <w:rPr>
          <w:rFonts w:ascii="Times New Roman" w:hAnsi="Times New Roman"/>
          <w:color w:val="000000"/>
          <w:sz w:val="21"/>
          <w:szCs w:val="21"/>
          <w:highlight w:val="none"/>
        </w:rPr>
      </w:pPr>
      <w:bookmarkStart w:id="244" w:name="_Hlk11358354"/>
      <w:r>
        <w:rPr>
          <w:rFonts w:ascii="Times New Roman" w:hAnsi="Times New Roman"/>
          <w:color w:val="000000"/>
          <w:sz w:val="21"/>
          <w:szCs w:val="21"/>
          <w:highlight w:val="none"/>
        </w:rPr>
        <w:t>1.2</w:t>
      </w:r>
      <w:r>
        <w:rPr>
          <w:rFonts w:hint="eastAsia" w:ascii="Times New Roman" w:hAnsi="Times New Roman"/>
          <w:color w:val="000000"/>
          <w:sz w:val="21"/>
          <w:szCs w:val="21"/>
          <w:highlight w:val="none"/>
        </w:rPr>
        <w:t>、评标委员会负责具体评标事务，并独立履行下列职责：</w:t>
      </w:r>
    </w:p>
    <w:p>
      <w:pPr>
        <w:pStyle w:val="28"/>
        <w:spacing w:before="120" w:line="360" w:lineRule="auto"/>
        <w:ind w:firstLine="420"/>
        <w:rPr>
          <w:rFonts w:ascii="Times New Roman" w:hAnsi="Times New Roman"/>
          <w:color w:val="000000"/>
          <w:sz w:val="21"/>
          <w:szCs w:val="21"/>
          <w:highlight w:val="none"/>
        </w:rPr>
      </w:pPr>
      <w:r>
        <w:rPr>
          <w:rFonts w:hint="eastAsia" w:ascii="Times New Roman" w:hAnsi="Times New Roman"/>
          <w:color w:val="000000"/>
          <w:sz w:val="21"/>
          <w:szCs w:val="21"/>
          <w:highlight w:val="none"/>
        </w:rPr>
        <w:t>（</w:t>
      </w:r>
      <w:r>
        <w:rPr>
          <w:rFonts w:ascii="Times New Roman" w:hAnsi="Times New Roman"/>
          <w:color w:val="000000"/>
          <w:sz w:val="21"/>
          <w:szCs w:val="21"/>
          <w:highlight w:val="none"/>
        </w:rPr>
        <w:t>1</w:t>
      </w:r>
      <w:r>
        <w:rPr>
          <w:rFonts w:hint="eastAsia" w:ascii="Times New Roman" w:hAnsi="Times New Roman"/>
          <w:color w:val="000000"/>
          <w:sz w:val="21"/>
          <w:szCs w:val="21"/>
          <w:highlight w:val="none"/>
        </w:rPr>
        <w:t>）审查、评价投标文件是否符合招标文件的商务、技术等实质性要求</w:t>
      </w:r>
      <w:r>
        <w:rPr>
          <w:rFonts w:ascii="Times New Roman" w:hAnsi="Times New Roman"/>
          <w:color w:val="000000"/>
          <w:sz w:val="21"/>
          <w:szCs w:val="21"/>
          <w:highlight w:val="none"/>
        </w:rPr>
        <w:t>;</w:t>
      </w:r>
    </w:p>
    <w:p>
      <w:pPr>
        <w:pStyle w:val="28"/>
        <w:spacing w:before="120" w:line="360" w:lineRule="auto"/>
        <w:ind w:firstLine="420"/>
        <w:rPr>
          <w:rFonts w:ascii="Times New Roman" w:hAnsi="Times New Roman"/>
          <w:color w:val="000000"/>
          <w:sz w:val="21"/>
          <w:szCs w:val="21"/>
          <w:highlight w:val="none"/>
        </w:rPr>
      </w:pPr>
      <w:r>
        <w:rPr>
          <w:rFonts w:hint="eastAsia" w:ascii="Times New Roman" w:hAnsi="Times New Roman"/>
          <w:color w:val="000000"/>
          <w:sz w:val="21"/>
          <w:szCs w:val="21"/>
          <w:highlight w:val="none"/>
        </w:rPr>
        <w:t>（</w:t>
      </w:r>
      <w:r>
        <w:rPr>
          <w:rFonts w:ascii="Times New Roman" w:hAnsi="Times New Roman"/>
          <w:color w:val="000000"/>
          <w:sz w:val="21"/>
          <w:szCs w:val="21"/>
          <w:highlight w:val="none"/>
        </w:rPr>
        <w:t>2</w:t>
      </w:r>
      <w:r>
        <w:rPr>
          <w:rFonts w:hint="eastAsia" w:ascii="Times New Roman" w:hAnsi="Times New Roman"/>
          <w:color w:val="000000"/>
          <w:sz w:val="21"/>
          <w:szCs w:val="21"/>
          <w:highlight w:val="none"/>
        </w:rPr>
        <w:t>）要求投标人对投标文件有关事项作出澄清或者说明</w:t>
      </w:r>
      <w:r>
        <w:rPr>
          <w:rFonts w:ascii="Times New Roman" w:hAnsi="Times New Roman"/>
          <w:color w:val="000000"/>
          <w:sz w:val="21"/>
          <w:szCs w:val="21"/>
          <w:highlight w:val="none"/>
        </w:rPr>
        <w:t>;</w:t>
      </w:r>
    </w:p>
    <w:p>
      <w:pPr>
        <w:pStyle w:val="28"/>
        <w:spacing w:before="120" w:line="360" w:lineRule="auto"/>
        <w:ind w:firstLine="420"/>
        <w:rPr>
          <w:rFonts w:ascii="Times New Roman" w:hAnsi="Times New Roman"/>
          <w:color w:val="000000"/>
          <w:sz w:val="21"/>
          <w:szCs w:val="21"/>
          <w:highlight w:val="none"/>
        </w:rPr>
      </w:pPr>
      <w:r>
        <w:rPr>
          <w:rFonts w:hint="eastAsia" w:ascii="Times New Roman" w:hAnsi="Times New Roman"/>
          <w:color w:val="000000"/>
          <w:sz w:val="21"/>
          <w:szCs w:val="21"/>
          <w:highlight w:val="none"/>
        </w:rPr>
        <w:t>（</w:t>
      </w:r>
      <w:r>
        <w:rPr>
          <w:rFonts w:ascii="Times New Roman" w:hAnsi="Times New Roman"/>
          <w:color w:val="000000"/>
          <w:sz w:val="21"/>
          <w:szCs w:val="21"/>
          <w:highlight w:val="none"/>
        </w:rPr>
        <w:t>3</w:t>
      </w:r>
      <w:r>
        <w:rPr>
          <w:rFonts w:hint="eastAsia" w:ascii="Times New Roman" w:hAnsi="Times New Roman"/>
          <w:color w:val="000000"/>
          <w:sz w:val="21"/>
          <w:szCs w:val="21"/>
          <w:highlight w:val="none"/>
        </w:rPr>
        <w:t>）对投标文件进行比较和评价</w:t>
      </w:r>
      <w:r>
        <w:rPr>
          <w:rFonts w:ascii="Times New Roman" w:hAnsi="Times New Roman"/>
          <w:color w:val="000000"/>
          <w:sz w:val="21"/>
          <w:szCs w:val="21"/>
          <w:highlight w:val="none"/>
        </w:rPr>
        <w:t>;</w:t>
      </w:r>
    </w:p>
    <w:p>
      <w:pPr>
        <w:pStyle w:val="28"/>
        <w:spacing w:before="120" w:line="360" w:lineRule="auto"/>
        <w:ind w:firstLine="420"/>
        <w:rPr>
          <w:rFonts w:ascii="Times New Roman" w:hAnsi="Times New Roman"/>
          <w:color w:val="000000"/>
          <w:sz w:val="21"/>
          <w:szCs w:val="21"/>
          <w:highlight w:val="none"/>
        </w:rPr>
      </w:pPr>
      <w:r>
        <w:rPr>
          <w:rFonts w:hint="eastAsia" w:ascii="Times New Roman" w:hAnsi="Times New Roman"/>
          <w:color w:val="000000"/>
          <w:sz w:val="21"/>
          <w:szCs w:val="21"/>
          <w:highlight w:val="none"/>
        </w:rPr>
        <w:t>（</w:t>
      </w:r>
      <w:r>
        <w:rPr>
          <w:rFonts w:ascii="Times New Roman" w:hAnsi="Times New Roman"/>
          <w:color w:val="000000"/>
          <w:sz w:val="21"/>
          <w:szCs w:val="21"/>
          <w:highlight w:val="none"/>
        </w:rPr>
        <w:t>4</w:t>
      </w:r>
      <w:r>
        <w:rPr>
          <w:rFonts w:hint="eastAsia" w:ascii="Times New Roman" w:hAnsi="Times New Roman"/>
          <w:color w:val="000000"/>
          <w:sz w:val="21"/>
          <w:szCs w:val="21"/>
          <w:highlight w:val="none"/>
        </w:rPr>
        <w:t>）确定中标候选人名单，以及根据采购人委托直接确定中标人</w:t>
      </w:r>
      <w:r>
        <w:rPr>
          <w:rFonts w:ascii="Times New Roman" w:hAnsi="Times New Roman"/>
          <w:color w:val="000000"/>
          <w:sz w:val="21"/>
          <w:szCs w:val="21"/>
          <w:highlight w:val="none"/>
        </w:rPr>
        <w:t>;</w:t>
      </w:r>
    </w:p>
    <w:p>
      <w:pPr>
        <w:pStyle w:val="28"/>
        <w:spacing w:before="120" w:line="360" w:lineRule="auto"/>
        <w:ind w:firstLine="420"/>
        <w:rPr>
          <w:rFonts w:ascii="Times New Roman" w:hAnsi="Times New Roman"/>
          <w:color w:val="000000"/>
          <w:sz w:val="21"/>
          <w:szCs w:val="21"/>
          <w:highlight w:val="none"/>
        </w:rPr>
      </w:pPr>
      <w:r>
        <w:rPr>
          <w:rFonts w:hint="eastAsia" w:ascii="Times New Roman" w:hAnsi="Times New Roman"/>
          <w:color w:val="000000"/>
          <w:sz w:val="21"/>
          <w:szCs w:val="21"/>
          <w:highlight w:val="none"/>
        </w:rPr>
        <w:t>（</w:t>
      </w:r>
      <w:r>
        <w:rPr>
          <w:rFonts w:ascii="Times New Roman" w:hAnsi="Times New Roman"/>
          <w:color w:val="000000"/>
          <w:sz w:val="21"/>
          <w:szCs w:val="21"/>
          <w:highlight w:val="none"/>
        </w:rPr>
        <w:t>5</w:t>
      </w:r>
      <w:r>
        <w:rPr>
          <w:rFonts w:hint="eastAsia" w:ascii="Times New Roman" w:hAnsi="Times New Roman"/>
          <w:color w:val="000000"/>
          <w:sz w:val="21"/>
          <w:szCs w:val="21"/>
          <w:highlight w:val="none"/>
        </w:rPr>
        <w:t>）向采购人、代理机构或者有关部门报告评标中发现的违法行为。</w:t>
      </w:r>
    </w:p>
    <w:p>
      <w:pPr>
        <w:pStyle w:val="28"/>
        <w:spacing w:before="120" w:line="360" w:lineRule="auto"/>
        <w:ind w:firstLine="420"/>
        <w:rPr>
          <w:rFonts w:ascii="Times New Roman" w:hAnsi="Times New Roman"/>
          <w:b/>
          <w:bCs/>
          <w:color w:val="000000"/>
          <w:sz w:val="21"/>
          <w:szCs w:val="21"/>
          <w:highlight w:val="none"/>
          <w:u w:val="single"/>
        </w:rPr>
      </w:pPr>
      <w:r>
        <w:rPr>
          <w:rFonts w:hint="eastAsia" w:ascii="Times New Roman" w:hAnsi="Times New Roman"/>
          <w:b/>
          <w:bCs/>
          <w:color w:val="000000"/>
          <w:sz w:val="21"/>
          <w:szCs w:val="21"/>
          <w:highlight w:val="none"/>
          <w:u w:val="single"/>
        </w:rPr>
        <w:t>除采购人代表、评标现场组织人员外，采购人的其他工作人员以及与评标工作无关的人员不得进入评标现场。</w:t>
      </w:r>
      <w:bookmarkEnd w:id="244"/>
    </w:p>
    <w:p>
      <w:pPr>
        <w:pStyle w:val="28"/>
        <w:spacing w:before="120" w:line="360" w:lineRule="auto"/>
        <w:ind w:firstLine="420"/>
        <w:rPr>
          <w:rFonts w:ascii="Times New Roman" w:hAnsi="Times New Roman"/>
          <w:b/>
          <w:color w:val="000000"/>
          <w:sz w:val="21"/>
          <w:szCs w:val="21"/>
          <w:highlight w:val="none"/>
        </w:rPr>
      </w:pPr>
      <w:r>
        <w:rPr>
          <w:rFonts w:ascii="Times New Roman" w:hAnsi="Times New Roman"/>
          <w:b/>
          <w:color w:val="000000"/>
          <w:sz w:val="21"/>
          <w:szCs w:val="21"/>
          <w:highlight w:val="none"/>
        </w:rPr>
        <w:t>2</w:t>
      </w:r>
      <w:r>
        <w:rPr>
          <w:rFonts w:hint="eastAsia" w:ascii="Times New Roman" w:hAnsi="Times New Roman"/>
          <w:b/>
          <w:color w:val="000000"/>
          <w:sz w:val="21"/>
          <w:szCs w:val="21"/>
          <w:highlight w:val="none"/>
        </w:rPr>
        <w:t>、评标的方式</w:t>
      </w:r>
    </w:p>
    <w:p>
      <w:pPr>
        <w:pStyle w:val="28"/>
        <w:spacing w:before="120" w:line="360" w:lineRule="auto"/>
        <w:ind w:firstLine="420"/>
        <w:rPr>
          <w:rFonts w:ascii="Times New Roman" w:hAnsi="Times New Roman"/>
          <w:color w:val="000000"/>
          <w:sz w:val="21"/>
          <w:szCs w:val="21"/>
          <w:highlight w:val="none"/>
        </w:rPr>
      </w:pPr>
      <w:r>
        <w:rPr>
          <w:rFonts w:ascii="Times New Roman" w:hAnsi="Times New Roman"/>
          <w:color w:val="000000"/>
          <w:sz w:val="21"/>
          <w:szCs w:val="21"/>
          <w:highlight w:val="none"/>
        </w:rPr>
        <w:t>2.1</w:t>
      </w:r>
      <w:r>
        <w:rPr>
          <w:rFonts w:hint="eastAsia" w:ascii="Times New Roman" w:hAnsi="Times New Roman"/>
          <w:color w:val="000000"/>
          <w:sz w:val="21"/>
          <w:szCs w:val="21"/>
          <w:highlight w:val="none"/>
        </w:rPr>
        <w:t>、本采购项目采用不公开方式评标，评标的依据为招标文件和投标文件。</w:t>
      </w:r>
    </w:p>
    <w:p>
      <w:pPr>
        <w:pStyle w:val="28"/>
        <w:spacing w:before="120" w:line="360" w:lineRule="auto"/>
        <w:ind w:firstLine="420"/>
        <w:rPr>
          <w:rFonts w:ascii="Times New Roman" w:hAnsi="Times New Roman"/>
          <w:b/>
          <w:bCs/>
          <w:color w:val="000000"/>
          <w:sz w:val="21"/>
          <w:szCs w:val="21"/>
          <w:highlight w:val="none"/>
        </w:rPr>
      </w:pPr>
      <w:r>
        <w:rPr>
          <w:rFonts w:ascii="Times New Roman" w:hAnsi="Times New Roman"/>
          <w:b/>
          <w:color w:val="000000"/>
          <w:sz w:val="21"/>
          <w:szCs w:val="21"/>
          <w:highlight w:val="none"/>
        </w:rPr>
        <w:t>3</w:t>
      </w:r>
      <w:r>
        <w:rPr>
          <w:rFonts w:hint="eastAsia" w:ascii="Times New Roman" w:hAnsi="Times New Roman"/>
          <w:b/>
          <w:color w:val="000000"/>
          <w:sz w:val="21"/>
          <w:szCs w:val="21"/>
          <w:highlight w:val="none"/>
        </w:rPr>
        <w:t>、</w:t>
      </w:r>
      <w:r>
        <w:rPr>
          <w:rFonts w:hint="eastAsia" w:ascii="Times New Roman" w:hAnsi="Times New Roman"/>
          <w:b/>
          <w:bCs/>
          <w:color w:val="000000"/>
          <w:sz w:val="21"/>
          <w:szCs w:val="21"/>
          <w:highlight w:val="none"/>
        </w:rPr>
        <w:t>评标程序</w:t>
      </w:r>
    </w:p>
    <w:p>
      <w:pPr>
        <w:pStyle w:val="28"/>
        <w:spacing w:before="120" w:line="360" w:lineRule="auto"/>
        <w:ind w:firstLine="480"/>
        <w:rPr>
          <w:rFonts w:ascii="Times New Roman" w:hAnsi="Times New Roman"/>
          <w:color w:val="000000"/>
          <w:sz w:val="21"/>
          <w:szCs w:val="21"/>
          <w:highlight w:val="none"/>
        </w:rPr>
      </w:pPr>
      <w:r>
        <w:rPr>
          <w:rFonts w:hint="eastAsia" w:ascii="Times New Roman" w:hAnsi="Times New Roman"/>
          <w:color w:val="000000"/>
          <w:sz w:val="21"/>
          <w:szCs w:val="21"/>
          <w:highlight w:val="none"/>
        </w:rPr>
        <w:t>采购人可以在评标前说明项目背景和采购需求，说明内容不得含有歧视性、倾向性意见，不得超出招标文件所述范围。</w:t>
      </w:r>
    </w:p>
    <w:p>
      <w:pPr>
        <w:pStyle w:val="28"/>
        <w:spacing w:before="120" w:line="360" w:lineRule="auto"/>
        <w:ind w:firstLine="480"/>
        <w:rPr>
          <w:rFonts w:ascii="Times New Roman" w:hAnsi="Times New Roman"/>
          <w:color w:val="000000"/>
          <w:sz w:val="21"/>
          <w:szCs w:val="21"/>
          <w:highlight w:val="none"/>
        </w:rPr>
      </w:pPr>
      <w:r>
        <w:rPr>
          <w:rFonts w:ascii="Times New Roman" w:hAnsi="Times New Roman"/>
          <w:color w:val="000000"/>
          <w:sz w:val="21"/>
          <w:szCs w:val="21"/>
          <w:highlight w:val="none"/>
        </w:rPr>
        <w:t>3.1</w:t>
      </w:r>
      <w:r>
        <w:rPr>
          <w:rFonts w:hint="eastAsia" w:ascii="Times New Roman" w:hAnsi="Times New Roman"/>
          <w:color w:val="000000"/>
          <w:sz w:val="21"/>
          <w:szCs w:val="21"/>
          <w:highlight w:val="none"/>
        </w:rPr>
        <w:t>、形式审查</w:t>
      </w:r>
      <w:r>
        <w:rPr>
          <w:rFonts w:ascii="Times New Roman" w:hAnsi="Times New Roman"/>
          <w:color w:val="000000"/>
          <w:sz w:val="21"/>
          <w:szCs w:val="21"/>
          <w:highlight w:val="none"/>
        </w:rPr>
        <w:t>:</w:t>
      </w:r>
      <w:bookmarkStart w:id="245" w:name="_Hlk11358436"/>
      <w:r>
        <w:rPr>
          <w:rFonts w:hint="eastAsia" w:ascii="Times New Roman" w:hAnsi="Times New Roman"/>
          <w:color w:val="000000"/>
          <w:sz w:val="21"/>
          <w:szCs w:val="21"/>
          <w:highlight w:val="none"/>
        </w:rPr>
        <w:t>形式审查包括资格审查（除符合性审查以外的关于投标人资格条件等内容）和符合性审查，即对投标人的资格和投标文件的完整性、合法性等进行审查。投标文件形式审查未通过的投标人，其投标文件将不再评审。</w:t>
      </w:r>
      <w:bookmarkEnd w:id="245"/>
    </w:p>
    <w:p>
      <w:pPr>
        <w:pStyle w:val="28"/>
        <w:spacing w:before="120" w:line="360" w:lineRule="auto"/>
        <w:ind w:firstLine="480"/>
        <w:rPr>
          <w:rFonts w:ascii="Times New Roman" w:hAnsi="Times New Roman"/>
          <w:color w:val="000000"/>
          <w:sz w:val="21"/>
          <w:szCs w:val="21"/>
          <w:highlight w:val="none"/>
        </w:rPr>
      </w:pPr>
      <w:r>
        <w:rPr>
          <w:rFonts w:ascii="Times New Roman" w:hAnsi="Times New Roman"/>
          <w:color w:val="000000"/>
          <w:sz w:val="21"/>
          <w:szCs w:val="21"/>
          <w:highlight w:val="none"/>
        </w:rPr>
        <w:t>3.2</w:t>
      </w:r>
      <w:r>
        <w:rPr>
          <w:rFonts w:hint="eastAsia" w:ascii="Times New Roman" w:hAnsi="Times New Roman"/>
          <w:color w:val="000000"/>
          <w:sz w:val="21"/>
          <w:szCs w:val="21"/>
          <w:highlight w:val="none"/>
        </w:rPr>
        <w:t>、实质审查与比较</w:t>
      </w:r>
    </w:p>
    <w:p>
      <w:pPr>
        <w:pStyle w:val="28"/>
        <w:spacing w:before="120" w:line="360" w:lineRule="auto"/>
        <w:ind w:firstLine="480"/>
        <w:rPr>
          <w:rFonts w:ascii="Times New Roman" w:hAnsi="Times New Roman"/>
          <w:color w:val="000000"/>
          <w:sz w:val="21"/>
          <w:szCs w:val="21"/>
          <w:highlight w:val="none"/>
        </w:rPr>
      </w:pPr>
      <w:r>
        <w:rPr>
          <w:rFonts w:ascii="Times New Roman" w:hAnsi="Times New Roman"/>
          <w:color w:val="000000"/>
          <w:sz w:val="21"/>
          <w:szCs w:val="21"/>
          <w:highlight w:val="none"/>
        </w:rPr>
        <w:t>3.2.1</w:t>
      </w:r>
      <w:r>
        <w:rPr>
          <w:rFonts w:hint="eastAsia" w:ascii="Times New Roman" w:hAnsi="Times New Roman"/>
          <w:color w:val="000000"/>
          <w:sz w:val="21"/>
          <w:szCs w:val="21"/>
          <w:highlight w:val="none"/>
        </w:rPr>
        <w:t>、评标委员会审查投标文件的实质性内容是否符合招标文件的实质性要求。</w:t>
      </w:r>
    </w:p>
    <w:p>
      <w:pPr>
        <w:pStyle w:val="28"/>
        <w:spacing w:before="120" w:line="360" w:lineRule="auto"/>
        <w:ind w:firstLine="480"/>
        <w:rPr>
          <w:rFonts w:ascii="Times New Roman" w:hAnsi="Times New Roman"/>
          <w:color w:val="000000"/>
          <w:sz w:val="21"/>
          <w:szCs w:val="21"/>
          <w:highlight w:val="none"/>
        </w:rPr>
      </w:pPr>
      <w:r>
        <w:rPr>
          <w:rFonts w:ascii="Times New Roman" w:hAnsi="Times New Roman"/>
          <w:color w:val="000000"/>
          <w:sz w:val="21"/>
          <w:szCs w:val="21"/>
          <w:highlight w:val="none"/>
        </w:rPr>
        <w:t>3.2.2</w:t>
      </w:r>
      <w:r>
        <w:rPr>
          <w:rFonts w:hint="eastAsia" w:ascii="Times New Roman" w:hAnsi="Times New Roman"/>
          <w:color w:val="000000"/>
          <w:sz w:val="21"/>
          <w:szCs w:val="21"/>
          <w:highlight w:val="none"/>
        </w:rPr>
        <w:t>、评标委员会将根据投标人的资信商务及技术标书进行审查、核对，如有疑问，将对投标人进行询标</w:t>
      </w:r>
      <w:r>
        <w:rPr>
          <w:rFonts w:ascii="Times New Roman" w:hAnsi="Times New Roman"/>
          <w:color w:val="000000"/>
          <w:sz w:val="21"/>
          <w:szCs w:val="21"/>
          <w:highlight w:val="none"/>
        </w:rPr>
        <w:t>,</w:t>
      </w:r>
      <w:r>
        <w:rPr>
          <w:rFonts w:hint="eastAsia" w:ascii="Times New Roman" w:hAnsi="Times New Roman"/>
          <w:color w:val="000000"/>
          <w:sz w:val="21"/>
          <w:szCs w:val="21"/>
          <w:highlight w:val="none"/>
        </w:rPr>
        <w:t>投标人要向评标委员会澄清有关问题</w:t>
      </w:r>
      <w:r>
        <w:rPr>
          <w:rFonts w:ascii="Times New Roman" w:hAnsi="Times New Roman"/>
          <w:color w:val="000000"/>
          <w:sz w:val="21"/>
          <w:szCs w:val="21"/>
          <w:highlight w:val="none"/>
        </w:rPr>
        <w:t>,</w:t>
      </w:r>
      <w:r>
        <w:rPr>
          <w:rFonts w:hint="eastAsia" w:ascii="Times New Roman" w:hAnsi="Times New Roman"/>
          <w:color w:val="000000"/>
          <w:sz w:val="21"/>
          <w:szCs w:val="21"/>
          <w:highlight w:val="none"/>
        </w:rPr>
        <w:t>并最终以书面形式进行答复。询标时，投标人代表未按要求或者拒绝澄清或者澄清的内容改变了投标文件的实质性内容的，评标委员会有权对该投标文件作出不利于投标人的评判。</w:t>
      </w:r>
    </w:p>
    <w:p>
      <w:pPr>
        <w:pStyle w:val="28"/>
        <w:spacing w:before="120" w:line="360" w:lineRule="auto"/>
        <w:ind w:firstLine="480"/>
        <w:rPr>
          <w:rFonts w:ascii="Times New Roman" w:hAnsi="Times New Roman"/>
          <w:color w:val="000000"/>
          <w:sz w:val="21"/>
          <w:szCs w:val="21"/>
          <w:highlight w:val="none"/>
        </w:rPr>
      </w:pPr>
      <w:r>
        <w:rPr>
          <w:rFonts w:ascii="Times New Roman" w:hAnsi="Times New Roman"/>
          <w:color w:val="000000"/>
          <w:sz w:val="21"/>
          <w:szCs w:val="21"/>
          <w:highlight w:val="none"/>
        </w:rPr>
        <w:t>3.2.3</w:t>
      </w:r>
      <w:r>
        <w:rPr>
          <w:rFonts w:hint="eastAsia" w:ascii="Times New Roman" w:hAnsi="Times New Roman"/>
          <w:color w:val="000000"/>
          <w:sz w:val="21"/>
          <w:szCs w:val="21"/>
          <w:highlight w:val="none"/>
        </w:rPr>
        <w:t>、各投标人的资信商务及技术分按照评标委员会成员的独立评分结果汇总后的算术平均分计算。</w:t>
      </w:r>
    </w:p>
    <w:p>
      <w:pPr>
        <w:pStyle w:val="28"/>
        <w:spacing w:before="120" w:line="360" w:lineRule="auto"/>
        <w:ind w:firstLine="480"/>
        <w:rPr>
          <w:rFonts w:ascii="Times New Roman" w:hAnsi="Times New Roman"/>
          <w:color w:val="000000"/>
          <w:sz w:val="21"/>
          <w:szCs w:val="21"/>
          <w:highlight w:val="none"/>
        </w:rPr>
      </w:pPr>
      <w:r>
        <w:rPr>
          <w:rFonts w:ascii="Times New Roman" w:hAnsi="Times New Roman"/>
          <w:color w:val="000000"/>
          <w:sz w:val="21"/>
          <w:szCs w:val="21"/>
          <w:highlight w:val="none"/>
        </w:rPr>
        <w:t>3.2.4</w:t>
      </w:r>
      <w:r>
        <w:rPr>
          <w:rFonts w:hint="eastAsia" w:ascii="Times New Roman" w:hAnsi="Times New Roman"/>
          <w:color w:val="000000"/>
          <w:sz w:val="21"/>
          <w:szCs w:val="21"/>
          <w:highlight w:val="none"/>
        </w:rPr>
        <w:t>、评标委员会将根据投标人的报价文件进行审查、核对</w:t>
      </w:r>
      <w:r>
        <w:rPr>
          <w:rFonts w:ascii="Times New Roman" w:hAnsi="Times New Roman"/>
          <w:color w:val="000000"/>
          <w:sz w:val="21"/>
          <w:szCs w:val="21"/>
          <w:highlight w:val="none"/>
        </w:rPr>
        <w:t>,</w:t>
      </w:r>
      <w:r>
        <w:rPr>
          <w:rFonts w:hint="eastAsia" w:ascii="Times New Roman" w:hAnsi="Times New Roman"/>
          <w:color w:val="000000"/>
          <w:sz w:val="21"/>
          <w:szCs w:val="21"/>
          <w:highlight w:val="none"/>
        </w:rPr>
        <w:t>如有疑问</w:t>
      </w:r>
      <w:r>
        <w:rPr>
          <w:rFonts w:ascii="Times New Roman" w:hAnsi="Times New Roman"/>
          <w:color w:val="000000"/>
          <w:sz w:val="21"/>
          <w:szCs w:val="21"/>
          <w:highlight w:val="none"/>
        </w:rPr>
        <w:t>,</w:t>
      </w:r>
      <w:r>
        <w:rPr>
          <w:rFonts w:hint="eastAsia" w:ascii="Times New Roman" w:hAnsi="Times New Roman"/>
          <w:color w:val="000000"/>
          <w:sz w:val="21"/>
          <w:szCs w:val="21"/>
          <w:highlight w:val="none"/>
        </w:rPr>
        <w:t>将对投标人进行询标</w:t>
      </w:r>
      <w:r>
        <w:rPr>
          <w:rFonts w:ascii="Times New Roman" w:hAnsi="Times New Roman"/>
          <w:color w:val="000000"/>
          <w:sz w:val="21"/>
          <w:szCs w:val="21"/>
          <w:highlight w:val="none"/>
        </w:rPr>
        <w:t>,</w:t>
      </w:r>
      <w:r>
        <w:rPr>
          <w:rFonts w:hint="eastAsia" w:ascii="Times New Roman" w:hAnsi="Times New Roman"/>
          <w:color w:val="000000"/>
          <w:sz w:val="21"/>
          <w:szCs w:val="21"/>
          <w:highlight w:val="none"/>
        </w:rPr>
        <w:t>投标人要向评标委员会澄清有关问题</w:t>
      </w:r>
      <w:r>
        <w:rPr>
          <w:rFonts w:ascii="Times New Roman" w:hAnsi="Times New Roman"/>
          <w:color w:val="000000"/>
          <w:sz w:val="21"/>
          <w:szCs w:val="21"/>
          <w:highlight w:val="none"/>
        </w:rPr>
        <w:t>,</w:t>
      </w:r>
      <w:r>
        <w:rPr>
          <w:rFonts w:hint="eastAsia" w:ascii="Times New Roman" w:hAnsi="Times New Roman"/>
          <w:color w:val="000000"/>
          <w:sz w:val="21"/>
          <w:szCs w:val="21"/>
          <w:highlight w:val="none"/>
        </w:rPr>
        <w:t>并最终以书面形式进行答复。</w:t>
      </w:r>
    </w:p>
    <w:p>
      <w:pPr>
        <w:pStyle w:val="28"/>
        <w:spacing w:before="120" w:line="360" w:lineRule="auto"/>
        <w:ind w:firstLine="480"/>
        <w:rPr>
          <w:rFonts w:ascii="Times New Roman" w:hAnsi="Times New Roman"/>
          <w:color w:val="000000"/>
          <w:sz w:val="21"/>
          <w:szCs w:val="21"/>
          <w:highlight w:val="none"/>
        </w:rPr>
      </w:pPr>
      <w:r>
        <w:rPr>
          <w:rFonts w:ascii="Times New Roman" w:hAnsi="Times New Roman"/>
          <w:color w:val="000000"/>
          <w:sz w:val="21"/>
          <w:szCs w:val="21"/>
          <w:highlight w:val="none"/>
        </w:rPr>
        <w:t>3.2.5</w:t>
      </w:r>
      <w:r>
        <w:rPr>
          <w:rFonts w:hint="eastAsia" w:ascii="Times New Roman" w:hAnsi="Times New Roman"/>
          <w:color w:val="000000"/>
          <w:sz w:val="21"/>
          <w:szCs w:val="21"/>
          <w:highlight w:val="none"/>
        </w:rPr>
        <w:t>、</w:t>
      </w:r>
      <w:bookmarkStart w:id="246" w:name="_Hlk11358977"/>
      <w:r>
        <w:rPr>
          <w:rFonts w:hint="eastAsia" w:ascii="Times New Roman" w:hAnsi="Times New Roman"/>
          <w:color w:val="000000"/>
          <w:sz w:val="21"/>
          <w:szCs w:val="21"/>
          <w:highlight w:val="none"/>
        </w:rPr>
        <w:t>代理公司工作人员协助评标委员会根据本项目的评分标准操作政府采购业务系统，由系统计算各投标人的报价得分。</w:t>
      </w:r>
      <w:bookmarkEnd w:id="246"/>
    </w:p>
    <w:p>
      <w:pPr>
        <w:pStyle w:val="28"/>
        <w:spacing w:before="120" w:line="360" w:lineRule="auto"/>
        <w:ind w:firstLine="480"/>
        <w:rPr>
          <w:rFonts w:ascii="Times New Roman" w:hAnsi="Times New Roman"/>
          <w:color w:val="000000"/>
          <w:sz w:val="21"/>
          <w:szCs w:val="21"/>
          <w:highlight w:val="none"/>
        </w:rPr>
      </w:pPr>
      <w:r>
        <w:rPr>
          <w:rFonts w:ascii="Times New Roman" w:hAnsi="Times New Roman"/>
          <w:color w:val="000000"/>
          <w:sz w:val="21"/>
          <w:szCs w:val="21"/>
          <w:highlight w:val="none"/>
        </w:rPr>
        <w:t>3.2.6</w:t>
      </w:r>
      <w:r>
        <w:rPr>
          <w:rFonts w:hint="eastAsia" w:ascii="Times New Roman" w:hAnsi="Times New Roman"/>
          <w:color w:val="000000"/>
          <w:sz w:val="21"/>
          <w:szCs w:val="21"/>
          <w:highlight w:val="none"/>
        </w:rPr>
        <w:t>、评标委员会完成评标后</w:t>
      </w:r>
      <w:r>
        <w:rPr>
          <w:rFonts w:ascii="Times New Roman" w:hAnsi="Times New Roman"/>
          <w:color w:val="000000"/>
          <w:sz w:val="21"/>
          <w:szCs w:val="21"/>
          <w:highlight w:val="none"/>
        </w:rPr>
        <w:t>,</w:t>
      </w:r>
      <w:r>
        <w:rPr>
          <w:rFonts w:hint="eastAsia" w:ascii="Times New Roman" w:hAnsi="Times New Roman"/>
          <w:color w:val="000000"/>
          <w:sz w:val="21"/>
          <w:szCs w:val="21"/>
          <w:highlight w:val="none"/>
        </w:rPr>
        <w:t>评委对各部分得分汇总</w:t>
      </w:r>
      <w:r>
        <w:rPr>
          <w:rFonts w:ascii="Times New Roman" w:hAnsi="Times New Roman"/>
          <w:color w:val="000000"/>
          <w:sz w:val="21"/>
          <w:szCs w:val="21"/>
          <w:highlight w:val="none"/>
        </w:rPr>
        <w:t>,</w:t>
      </w:r>
      <w:r>
        <w:rPr>
          <w:rFonts w:hint="eastAsia" w:ascii="Times New Roman" w:hAnsi="Times New Roman"/>
          <w:color w:val="000000"/>
          <w:sz w:val="21"/>
          <w:szCs w:val="21"/>
          <w:highlight w:val="none"/>
        </w:rPr>
        <w:t>计算出本项目最终得分</w:t>
      </w:r>
      <w:bookmarkStart w:id="247" w:name="_Hlk11358947"/>
      <w:r>
        <w:rPr>
          <w:rFonts w:hint="eastAsia" w:ascii="Times New Roman" w:hAnsi="Times New Roman"/>
          <w:color w:val="000000"/>
          <w:sz w:val="21"/>
          <w:szCs w:val="21"/>
          <w:highlight w:val="none"/>
        </w:rPr>
        <w:t>、评标价等</w:t>
      </w:r>
      <w:bookmarkEnd w:id="247"/>
      <w:r>
        <w:rPr>
          <w:rFonts w:hint="eastAsia" w:ascii="Times New Roman" w:hAnsi="Times New Roman"/>
          <w:color w:val="000000"/>
          <w:sz w:val="21"/>
          <w:szCs w:val="21"/>
          <w:highlight w:val="none"/>
        </w:rPr>
        <w:t>。评标委员会按评标原则推荐中标候选人同时起草评标报告。</w:t>
      </w:r>
    </w:p>
    <w:p>
      <w:pPr>
        <w:spacing w:line="360" w:lineRule="auto"/>
        <w:ind w:firstLine="420"/>
        <w:rPr>
          <w:rFonts w:ascii="Times New Roman" w:hAnsi="Times New Roman"/>
          <w:b/>
          <w:color w:val="000000"/>
          <w:szCs w:val="21"/>
          <w:highlight w:val="none"/>
        </w:rPr>
      </w:pPr>
      <w:r>
        <w:rPr>
          <w:rFonts w:ascii="Times New Roman" w:hAnsi="Times New Roman"/>
          <w:b/>
          <w:color w:val="000000"/>
          <w:szCs w:val="21"/>
          <w:highlight w:val="none"/>
        </w:rPr>
        <w:t>4</w:t>
      </w:r>
      <w:r>
        <w:rPr>
          <w:rFonts w:hint="eastAsia" w:ascii="Times New Roman" w:hAnsi="Times New Roman"/>
          <w:b/>
          <w:color w:val="000000"/>
          <w:szCs w:val="21"/>
          <w:highlight w:val="none"/>
        </w:rPr>
        <w:t>、澄清问题的形式</w:t>
      </w:r>
    </w:p>
    <w:p>
      <w:pPr>
        <w:spacing w:line="360" w:lineRule="auto"/>
        <w:ind w:firstLine="420"/>
        <w:rPr>
          <w:rFonts w:ascii="Times New Roman" w:hAnsi="Times New Roman"/>
          <w:color w:val="000000"/>
          <w:szCs w:val="21"/>
          <w:highlight w:val="none"/>
        </w:rPr>
      </w:pPr>
      <w:r>
        <w:rPr>
          <w:rFonts w:ascii="Times New Roman" w:hAnsi="Times New Roman"/>
          <w:color w:val="000000"/>
          <w:szCs w:val="21"/>
          <w:highlight w:val="none"/>
        </w:rPr>
        <w:t>4.1</w:t>
      </w:r>
      <w:r>
        <w:rPr>
          <w:rFonts w:hint="eastAsia" w:ascii="Times New Roman" w:hAnsi="Times New Roman"/>
          <w:color w:val="000000"/>
          <w:szCs w:val="21"/>
          <w:highlight w:val="none"/>
        </w:rPr>
        <w:t>、对投标文件中含义不明确、同类问题表述不一致或者有明显文字和计算错误的内容，评标委员会可以书面形式（或通过“政府采购云平台”在线询标）要求投标人作出必要的澄清、说明或者纠正，投标供应商澄清、说明或补正时间为</w:t>
      </w:r>
      <w:r>
        <w:rPr>
          <w:rFonts w:ascii="Times New Roman" w:hAnsi="Times New Roman"/>
          <w:color w:val="000000"/>
          <w:szCs w:val="21"/>
          <w:highlight w:val="none"/>
        </w:rPr>
        <w:t>30</w:t>
      </w:r>
      <w:r>
        <w:rPr>
          <w:rFonts w:hint="eastAsia" w:ascii="Times New Roman" w:hAnsi="Times New Roman"/>
          <w:color w:val="000000"/>
          <w:szCs w:val="21"/>
          <w:highlight w:val="none"/>
        </w:rPr>
        <w:t>分钟。</w:t>
      </w:r>
    </w:p>
    <w:p>
      <w:pPr>
        <w:spacing w:line="360" w:lineRule="auto"/>
        <w:ind w:firstLine="420"/>
        <w:rPr>
          <w:rFonts w:ascii="Times New Roman" w:hAnsi="Times New Roman"/>
          <w:color w:val="000000"/>
          <w:szCs w:val="21"/>
          <w:highlight w:val="none"/>
        </w:rPr>
      </w:pPr>
      <w:r>
        <w:rPr>
          <w:rFonts w:ascii="Times New Roman" w:hAnsi="Times New Roman"/>
          <w:color w:val="000000"/>
          <w:szCs w:val="21"/>
          <w:highlight w:val="none"/>
        </w:rPr>
        <w:t>4.2</w:t>
      </w:r>
      <w:r>
        <w:rPr>
          <w:rFonts w:hint="eastAsia" w:ascii="Times New Roman" w:hAnsi="Times New Roman"/>
          <w:color w:val="000000"/>
          <w:szCs w:val="21"/>
          <w:highlight w:val="none"/>
        </w:rPr>
        <w:t>、投标供应商的澄清、说明或者补正应当采用书面（或通过“政府采购云平台”在线答复）形式提交，并加盖公章，或者由法定代表人或其授权的代表签字。投标供应商的澄清、说明或者补正不得超出投标文件的范围或者改变投标文件的实质性内容。</w:t>
      </w:r>
    </w:p>
    <w:p>
      <w:pPr>
        <w:spacing w:line="360" w:lineRule="auto"/>
        <w:ind w:firstLine="420"/>
        <w:rPr>
          <w:rFonts w:ascii="Times New Roman" w:hAnsi="Times New Roman"/>
          <w:color w:val="000000"/>
          <w:szCs w:val="21"/>
          <w:highlight w:val="none"/>
        </w:rPr>
      </w:pPr>
      <w:r>
        <w:rPr>
          <w:rFonts w:ascii="Times New Roman" w:hAnsi="Times New Roman"/>
          <w:color w:val="000000"/>
          <w:szCs w:val="21"/>
          <w:highlight w:val="none"/>
        </w:rPr>
        <w:t>4.3</w:t>
      </w:r>
      <w:r>
        <w:rPr>
          <w:rFonts w:hint="eastAsia" w:ascii="Times New Roman" w:hAnsi="Times New Roman"/>
          <w:color w:val="000000"/>
          <w:szCs w:val="21"/>
          <w:highlight w:val="none"/>
        </w:rPr>
        <w:t>、如果供应商代表拒绝或未按评标委员会要求在“政采云”平台作出在线回复且无其他有效回复方式的，评标委员会可以对其作出无效标处理。</w:t>
      </w:r>
    </w:p>
    <w:p>
      <w:pPr>
        <w:spacing w:line="360" w:lineRule="auto"/>
        <w:ind w:firstLine="420"/>
        <w:rPr>
          <w:rFonts w:ascii="Times New Roman" w:hAnsi="Times New Roman"/>
          <w:b/>
          <w:color w:val="000000"/>
          <w:szCs w:val="21"/>
          <w:highlight w:val="none"/>
        </w:rPr>
      </w:pPr>
      <w:r>
        <w:rPr>
          <w:rFonts w:ascii="Times New Roman" w:hAnsi="Times New Roman"/>
          <w:b/>
          <w:color w:val="000000"/>
          <w:szCs w:val="21"/>
          <w:highlight w:val="none"/>
        </w:rPr>
        <w:t>5</w:t>
      </w:r>
      <w:r>
        <w:rPr>
          <w:rFonts w:hint="eastAsia" w:ascii="Times New Roman" w:hAnsi="Times New Roman"/>
          <w:b/>
          <w:color w:val="000000"/>
          <w:szCs w:val="21"/>
          <w:highlight w:val="none"/>
        </w:rPr>
        <w:t>、错误修正</w:t>
      </w:r>
    </w:p>
    <w:p>
      <w:pPr>
        <w:spacing w:line="360" w:lineRule="auto"/>
        <w:ind w:firstLine="420"/>
        <w:rPr>
          <w:rFonts w:ascii="Times New Roman" w:hAnsi="Times New Roman"/>
          <w:color w:val="000000"/>
          <w:szCs w:val="21"/>
          <w:highlight w:val="none"/>
        </w:rPr>
      </w:pPr>
      <w:r>
        <w:rPr>
          <w:rFonts w:hint="eastAsia" w:ascii="Times New Roman" w:hAnsi="Times New Roman"/>
          <w:color w:val="000000"/>
          <w:szCs w:val="21"/>
          <w:highlight w:val="none"/>
        </w:rPr>
        <w:t>投标文件如果出现计算或表达上的错误，修正错误的原则如下：</w:t>
      </w:r>
    </w:p>
    <w:p>
      <w:pPr>
        <w:spacing w:line="360" w:lineRule="auto"/>
        <w:ind w:firstLine="420"/>
        <w:rPr>
          <w:rFonts w:ascii="Times New Roman" w:hAnsi="Times New Roman"/>
          <w:color w:val="000000"/>
          <w:szCs w:val="21"/>
          <w:highlight w:val="none"/>
        </w:rPr>
      </w:pPr>
      <w:r>
        <w:rPr>
          <w:rFonts w:ascii="Times New Roman" w:hAnsi="Times New Roman"/>
          <w:color w:val="000000"/>
          <w:szCs w:val="21"/>
          <w:highlight w:val="none"/>
        </w:rPr>
        <w:t>5.1</w:t>
      </w:r>
      <w:r>
        <w:rPr>
          <w:rFonts w:hint="eastAsia" w:ascii="Times New Roman" w:hAnsi="Times New Roman"/>
          <w:color w:val="000000"/>
          <w:szCs w:val="21"/>
          <w:highlight w:val="none"/>
        </w:rPr>
        <w:t>、开标时，投标文件中开标报价一览表内容与报价明细表内容不一致的，以开标报价一览表为准。（报价明细表中总价金额与按单价汇总金额不一致的情况除外，即总价金额与按单价汇总金额不一致的，以单价金额计算结果为准）；</w:t>
      </w:r>
    </w:p>
    <w:p>
      <w:pPr>
        <w:spacing w:line="360" w:lineRule="auto"/>
        <w:ind w:firstLine="420"/>
        <w:rPr>
          <w:rFonts w:ascii="Times New Roman" w:hAnsi="Times New Roman"/>
          <w:color w:val="000000"/>
          <w:szCs w:val="21"/>
          <w:highlight w:val="none"/>
        </w:rPr>
      </w:pPr>
      <w:r>
        <w:rPr>
          <w:rFonts w:ascii="Times New Roman" w:hAnsi="Times New Roman"/>
          <w:color w:val="000000"/>
          <w:szCs w:val="21"/>
          <w:highlight w:val="none"/>
        </w:rPr>
        <w:t>5.2</w:t>
      </w:r>
      <w:r>
        <w:rPr>
          <w:rFonts w:hint="eastAsia" w:ascii="Times New Roman" w:hAnsi="Times New Roman"/>
          <w:color w:val="000000"/>
          <w:szCs w:val="21"/>
          <w:highlight w:val="none"/>
        </w:rPr>
        <w:t>、投标文件的大写金额和小写金额不一致的，以大写金额为准；</w:t>
      </w:r>
    </w:p>
    <w:p>
      <w:pPr>
        <w:spacing w:line="360" w:lineRule="auto"/>
        <w:ind w:firstLine="420"/>
        <w:rPr>
          <w:rFonts w:ascii="Times New Roman" w:hAnsi="Times New Roman"/>
          <w:color w:val="000000"/>
          <w:szCs w:val="21"/>
          <w:highlight w:val="none"/>
        </w:rPr>
      </w:pPr>
      <w:r>
        <w:rPr>
          <w:rFonts w:ascii="Times New Roman" w:hAnsi="Times New Roman"/>
          <w:color w:val="000000"/>
          <w:szCs w:val="21"/>
          <w:highlight w:val="none"/>
        </w:rPr>
        <w:t>5.3</w:t>
      </w:r>
      <w:r>
        <w:rPr>
          <w:rFonts w:hint="eastAsia" w:ascii="Times New Roman" w:hAnsi="Times New Roman"/>
          <w:color w:val="000000"/>
          <w:szCs w:val="21"/>
          <w:highlight w:val="none"/>
        </w:rPr>
        <w:t>、对不同文字文本投标文件的解释发生异议的，以中文文本为准。</w:t>
      </w:r>
    </w:p>
    <w:p>
      <w:pPr>
        <w:spacing w:line="348" w:lineRule="auto"/>
        <w:ind w:firstLine="420"/>
        <w:rPr>
          <w:rFonts w:ascii="Times New Roman" w:hAnsi="Times New Roman"/>
          <w:color w:val="000000"/>
          <w:szCs w:val="21"/>
          <w:highlight w:val="none"/>
        </w:rPr>
      </w:pPr>
      <w:r>
        <w:rPr>
          <w:rFonts w:ascii="Times New Roman" w:hAnsi="Times New Roman"/>
          <w:color w:val="000000"/>
          <w:szCs w:val="21"/>
          <w:highlight w:val="none"/>
        </w:rPr>
        <w:t>5.4</w:t>
      </w:r>
      <w:r>
        <w:rPr>
          <w:rFonts w:hint="eastAsia" w:ascii="Times New Roman" w:hAnsi="Times New Roman"/>
          <w:color w:val="000000"/>
          <w:szCs w:val="21"/>
          <w:highlight w:val="none"/>
        </w:rPr>
        <w:t>、按上述修正错误的原则及方法调整或修正投标文件的投标报价，投标人同意后，调整后的投标报价对投标人起约束作用。如果投标人不接受修正后的报价，则其投标将作为无效投标处理。</w:t>
      </w:r>
    </w:p>
    <w:p>
      <w:pPr>
        <w:spacing w:line="360" w:lineRule="auto"/>
        <w:ind w:firstLine="420"/>
        <w:rPr>
          <w:rFonts w:ascii="Times New Roman" w:hAnsi="Times New Roman"/>
          <w:b/>
          <w:color w:val="000000"/>
          <w:szCs w:val="21"/>
          <w:highlight w:val="none"/>
        </w:rPr>
      </w:pPr>
      <w:r>
        <w:rPr>
          <w:rFonts w:ascii="Times New Roman" w:hAnsi="Times New Roman"/>
          <w:b/>
          <w:color w:val="000000"/>
          <w:szCs w:val="21"/>
          <w:highlight w:val="none"/>
        </w:rPr>
        <w:t>6</w:t>
      </w:r>
      <w:r>
        <w:rPr>
          <w:rFonts w:hint="eastAsia" w:ascii="Times New Roman" w:hAnsi="Times New Roman"/>
          <w:b/>
          <w:color w:val="000000"/>
          <w:szCs w:val="21"/>
          <w:highlight w:val="none"/>
        </w:rPr>
        <w:t>、</w:t>
      </w:r>
      <w:bookmarkStart w:id="248" w:name="_Hlk11358632"/>
      <w:r>
        <w:rPr>
          <w:rFonts w:hint="eastAsia" w:ascii="Times New Roman" w:hAnsi="Times New Roman"/>
          <w:b/>
          <w:color w:val="000000"/>
          <w:szCs w:val="21"/>
          <w:highlight w:val="none"/>
        </w:rPr>
        <w:t>评标过程的保密性</w:t>
      </w:r>
      <w:bookmarkEnd w:id="248"/>
    </w:p>
    <w:p>
      <w:pPr>
        <w:spacing w:line="348" w:lineRule="auto"/>
        <w:ind w:firstLine="420"/>
        <w:rPr>
          <w:rFonts w:ascii="Times New Roman" w:hAnsi="Times New Roman"/>
          <w:color w:val="000000"/>
          <w:szCs w:val="21"/>
          <w:highlight w:val="none"/>
        </w:rPr>
      </w:pPr>
      <w:r>
        <w:rPr>
          <w:rFonts w:ascii="Times New Roman" w:hAnsi="Times New Roman"/>
          <w:color w:val="000000"/>
          <w:szCs w:val="21"/>
          <w:highlight w:val="none"/>
        </w:rPr>
        <w:t>6.1</w:t>
      </w:r>
      <w:r>
        <w:rPr>
          <w:rFonts w:hint="eastAsia" w:ascii="Times New Roman" w:hAnsi="Times New Roman"/>
          <w:color w:val="000000"/>
          <w:szCs w:val="21"/>
          <w:highlight w:val="none"/>
        </w:rPr>
        <w:t>、</w:t>
      </w:r>
      <w:bookmarkStart w:id="249" w:name="_Hlk11358639"/>
      <w:r>
        <w:rPr>
          <w:rFonts w:hint="eastAsia" w:ascii="Times New Roman" w:hAnsi="Times New Roman"/>
          <w:color w:val="000000"/>
          <w:szCs w:val="21"/>
          <w:highlight w:val="none"/>
        </w:rPr>
        <w:t>凡是属于审查、澄清、评审和比较的有关资料以及授标建议，任何人均不得向投标人或其他无关的人员透露。投标人在评标过程中，所进行的力图影响评标结果的不公正活动，可能导致其投标被拒绝。</w:t>
      </w:r>
      <w:bookmarkEnd w:id="249"/>
    </w:p>
    <w:p>
      <w:pPr>
        <w:spacing w:line="348" w:lineRule="auto"/>
        <w:ind w:firstLine="420"/>
        <w:rPr>
          <w:rFonts w:ascii="Times New Roman" w:hAnsi="Times New Roman"/>
          <w:b/>
          <w:color w:val="000000"/>
          <w:szCs w:val="21"/>
          <w:highlight w:val="none"/>
        </w:rPr>
      </w:pPr>
      <w:r>
        <w:rPr>
          <w:rFonts w:ascii="Times New Roman" w:hAnsi="Times New Roman"/>
          <w:b/>
          <w:color w:val="000000"/>
          <w:szCs w:val="21"/>
          <w:highlight w:val="none"/>
        </w:rPr>
        <w:t>7</w:t>
      </w:r>
      <w:r>
        <w:rPr>
          <w:rFonts w:hint="eastAsia" w:ascii="Times New Roman" w:hAnsi="Times New Roman"/>
          <w:b/>
          <w:color w:val="000000"/>
          <w:szCs w:val="21"/>
          <w:highlight w:val="none"/>
        </w:rPr>
        <w:t>、评标原则和评标办法</w:t>
      </w:r>
    </w:p>
    <w:p>
      <w:pPr>
        <w:spacing w:line="348" w:lineRule="auto"/>
        <w:ind w:firstLine="420"/>
        <w:rPr>
          <w:rFonts w:ascii="Times New Roman" w:hAnsi="Times New Roman"/>
          <w:color w:val="000000"/>
          <w:szCs w:val="21"/>
          <w:highlight w:val="none"/>
        </w:rPr>
      </w:pPr>
      <w:r>
        <w:rPr>
          <w:rFonts w:ascii="Times New Roman" w:hAnsi="Times New Roman"/>
          <w:color w:val="000000"/>
          <w:szCs w:val="21"/>
          <w:highlight w:val="none"/>
        </w:rPr>
        <w:t>7.1</w:t>
      </w:r>
      <w:r>
        <w:rPr>
          <w:rFonts w:hint="eastAsia" w:ascii="Times New Roman" w:hAnsi="Times New Roman"/>
          <w:color w:val="000000"/>
          <w:szCs w:val="21"/>
          <w:highlight w:val="none"/>
        </w:rPr>
        <w:t>、评标原则。评标委员会必须做到公平、公正、客观，不带任何倾向性和启发性；不得向外界透露任何与评标有关的内容；任何单位和个人不得干扰、影响评标的正常进行；评标委员会及有关工作人员不得私下与供应商接触。</w:t>
      </w:r>
    </w:p>
    <w:p>
      <w:pPr>
        <w:spacing w:line="348" w:lineRule="auto"/>
        <w:ind w:firstLine="420"/>
        <w:rPr>
          <w:rFonts w:ascii="Times New Roman" w:hAnsi="Times New Roman"/>
          <w:color w:val="000000"/>
          <w:szCs w:val="21"/>
          <w:highlight w:val="none"/>
        </w:rPr>
      </w:pPr>
      <w:r>
        <w:rPr>
          <w:rFonts w:ascii="Times New Roman" w:hAnsi="Times New Roman"/>
          <w:color w:val="000000"/>
          <w:szCs w:val="21"/>
          <w:highlight w:val="none"/>
        </w:rPr>
        <w:t>7.2</w:t>
      </w:r>
      <w:r>
        <w:rPr>
          <w:rFonts w:hint="eastAsia" w:ascii="Times New Roman" w:hAnsi="Times New Roman"/>
          <w:color w:val="000000"/>
          <w:szCs w:val="21"/>
          <w:highlight w:val="none"/>
        </w:rPr>
        <w:t>、评标办法。本项目的具体评标办法详见第四章的《评标办法及评分标准》。</w:t>
      </w:r>
      <w:bookmarkStart w:id="250" w:name="_Toc417992893"/>
      <w:bookmarkStart w:id="251" w:name="_Toc177870555"/>
    </w:p>
    <w:p>
      <w:pPr>
        <w:spacing w:line="348" w:lineRule="auto"/>
        <w:ind w:firstLine="420"/>
        <w:rPr>
          <w:rFonts w:ascii="Times New Roman" w:hAnsi="Times New Roman"/>
          <w:b/>
          <w:bCs/>
          <w:color w:val="000000"/>
          <w:szCs w:val="21"/>
          <w:highlight w:val="none"/>
        </w:rPr>
      </w:pPr>
      <w:r>
        <w:rPr>
          <w:rFonts w:ascii="Times New Roman" w:hAnsi="Times New Roman"/>
          <w:b/>
          <w:bCs/>
          <w:color w:val="000000"/>
          <w:szCs w:val="21"/>
          <w:highlight w:val="none"/>
        </w:rPr>
        <w:t>8</w:t>
      </w:r>
      <w:r>
        <w:rPr>
          <w:rFonts w:hint="eastAsia" w:ascii="Times New Roman" w:hAnsi="Times New Roman"/>
          <w:b/>
          <w:bCs/>
          <w:color w:val="000000"/>
          <w:szCs w:val="21"/>
          <w:highlight w:val="none"/>
        </w:rPr>
        <w:t>、评标过程的监控</w:t>
      </w:r>
    </w:p>
    <w:p>
      <w:pPr>
        <w:spacing w:line="348" w:lineRule="auto"/>
        <w:ind w:firstLine="420"/>
        <w:rPr>
          <w:rFonts w:ascii="Times New Roman" w:hAnsi="Times New Roman"/>
          <w:color w:val="000000"/>
          <w:szCs w:val="21"/>
          <w:highlight w:val="none"/>
        </w:rPr>
      </w:pPr>
      <w:r>
        <w:rPr>
          <w:rFonts w:hint="eastAsia" w:ascii="Times New Roman" w:hAnsi="Times New Roman"/>
          <w:color w:val="000000"/>
          <w:szCs w:val="21"/>
          <w:highlight w:val="none"/>
        </w:rPr>
        <w:t>本项目评标过程实行全程录音、录像监控。</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投标人在评标过程中所进行的试图影响评标结果的不公正活动，可能导致其投标被拒绝。</w:t>
      </w:r>
    </w:p>
    <w:p>
      <w:pPr>
        <w:spacing w:line="348" w:lineRule="auto"/>
        <w:ind w:firstLine="420"/>
        <w:rPr>
          <w:rFonts w:ascii="Times New Roman" w:hAnsi="Times New Roman"/>
          <w:b/>
          <w:color w:val="000000"/>
          <w:szCs w:val="21"/>
          <w:highlight w:val="none"/>
        </w:rPr>
      </w:pPr>
      <w:r>
        <w:rPr>
          <w:rFonts w:hint="eastAsia" w:ascii="Times New Roman" w:hAnsi="Times New Roman"/>
          <w:b/>
          <w:color w:val="000000"/>
          <w:szCs w:val="21"/>
          <w:highlight w:val="none"/>
        </w:rPr>
        <w:t>六、定标</w:t>
      </w:r>
      <w:bookmarkEnd w:id="250"/>
      <w:bookmarkEnd w:id="251"/>
    </w:p>
    <w:p>
      <w:pPr>
        <w:spacing w:line="348" w:lineRule="auto"/>
        <w:ind w:firstLine="420"/>
        <w:rPr>
          <w:rFonts w:ascii="Times New Roman" w:hAnsi="Times New Roman"/>
          <w:color w:val="000000"/>
          <w:szCs w:val="21"/>
          <w:highlight w:val="none"/>
        </w:rPr>
      </w:pPr>
      <w:bookmarkStart w:id="252" w:name="_Hlk11360673"/>
      <w:r>
        <w:rPr>
          <w:rFonts w:ascii="Times New Roman" w:hAnsi="Times New Roman"/>
          <w:color w:val="000000"/>
          <w:szCs w:val="21"/>
          <w:highlight w:val="none"/>
        </w:rPr>
        <w:t>1</w:t>
      </w:r>
      <w:r>
        <w:rPr>
          <w:rFonts w:hint="eastAsia" w:ascii="Times New Roman" w:hAnsi="Times New Roman"/>
          <w:color w:val="000000"/>
          <w:szCs w:val="21"/>
          <w:highlight w:val="none"/>
        </w:rPr>
        <w:t>、采购代理机构在评标结束后</w:t>
      </w:r>
      <w:r>
        <w:rPr>
          <w:rFonts w:ascii="Times New Roman" w:hAnsi="Times New Roman"/>
          <w:color w:val="000000"/>
          <w:szCs w:val="21"/>
          <w:highlight w:val="none"/>
        </w:rPr>
        <w:t>2</w:t>
      </w:r>
      <w:r>
        <w:rPr>
          <w:rFonts w:hint="eastAsia" w:ascii="Times New Roman" w:hAnsi="Times New Roman"/>
          <w:color w:val="000000"/>
          <w:szCs w:val="21"/>
          <w:highlight w:val="none"/>
        </w:rPr>
        <w:t>个工作日内将评标结果交采购人确认。采购人应在收到后</w:t>
      </w:r>
      <w:r>
        <w:rPr>
          <w:rFonts w:ascii="Times New Roman" w:hAnsi="Times New Roman"/>
          <w:color w:val="000000"/>
          <w:szCs w:val="21"/>
          <w:highlight w:val="none"/>
        </w:rPr>
        <w:t>5</w:t>
      </w:r>
      <w:r>
        <w:rPr>
          <w:rFonts w:hint="eastAsia" w:ascii="Times New Roman" w:hAnsi="Times New Roman"/>
          <w:color w:val="000000"/>
          <w:szCs w:val="21"/>
          <w:highlight w:val="none"/>
        </w:rPr>
        <w:t>个工作日内对评标结果进行确认。</w:t>
      </w:r>
    </w:p>
    <w:p>
      <w:pPr>
        <w:spacing w:line="348" w:lineRule="auto"/>
        <w:ind w:firstLine="420"/>
        <w:rPr>
          <w:rFonts w:ascii="Times New Roman" w:hAnsi="Times New Roman"/>
          <w:color w:val="000000"/>
          <w:szCs w:val="21"/>
          <w:highlight w:val="none"/>
        </w:rPr>
      </w:pPr>
      <w:r>
        <w:rPr>
          <w:rFonts w:ascii="Times New Roman" w:hAnsi="Times New Roman"/>
          <w:color w:val="000000"/>
          <w:szCs w:val="21"/>
          <w:highlight w:val="none"/>
        </w:rPr>
        <w:t>2</w:t>
      </w:r>
      <w:r>
        <w:rPr>
          <w:rFonts w:hint="eastAsia" w:ascii="Times New Roman" w:hAnsi="Times New Roman"/>
          <w:color w:val="000000"/>
          <w:szCs w:val="21"/>
          <w:highlight w:val="none"/>
        </w:rPr>
        <w:t>、自中标、成交供应商确定之日起</w:t>
      </w:r>
      <w:r>
        <w:rPr>
          <w:rFonts w:ascii="Times New Roman" w:hAnsi="Times New Roman"/>
          <w:color w:val="000000"/>
          <w:szCs w:val="21"/>
          <w:highlight w:val="none"/>
        </w:rPr>
        <w:t>2</w:t>
      </w:r>
      <w:r>
        <w:rPr>
          <w:rFonts w:hint="eastAsia" w:ascii="Times New Roman" w:hAnsi="Times New Roman"/>
          <w:color w:val="000000"/>
          <w:szCs w:val="21"/>
          <w:highlight w:val="none"/>
        </w:rPr>
        <w:t>个工作日内，采购代理机构将在发布招标公告的网站上对中标结果进行公告，同时以书面形式发出中标通知书。</w:t>
      </w:r>
    </w:p>
    <w:bookmarkEnd w:id="252"/>
    <w:p>
      <w:pPr>
        <w:spacing w:line="348" w:lineRule="auto"/>
        <w:ind w:firstLine="420"/>
        <w:rPr>
          <w:rFonts w:ascii="Times New Roman" w:hAnsi="Times New Roman"/>
          <w:b/>
          <w:color w:val="000000"/>
          <w:szCs w:val="21"/>
          <w:highlight w:val="none"/>
        </w:rPr>
      </w:pPr>
      <w:r>
        <w:rPr>
          <w:rFonts w:hint="eastAsia" w:ascii="Times New Roman" w:hAnsi="Times New Roman"/>
          <w:b/>
          <w:color w:val="000000"/>
          <w:szCs w:val="21"/>
          <w:highlight w:val="none"/>
        </w:rPr>
        <w:t>七、合同授予</w:t>
      </w:r>
    </w:p>
    <w:p>
      <w:pPr>
        <w:spacing w:line="348" w:lineRule="auto"/>
        <w:ind w:firstLine="420"/>
        <w:rPr>
          <w:rFonts w:ascii="Times New Roman" w:hAnsi="Times New Roman"/>
          <w:b/>
          <w:color w:val="000000"/>
          <w:szCs w:val="21"/>
          <w:highlight w:val="none"/>
        </w:rPr>
      </w:pPr>
      <w:r>
        <w:rPr>
          <w:rFonts w:ascii="Times New Roman" w:hAnsi="Times New Roman"/>
          <w:b/>
          <w:color w:val="000000"/>
          <w:szCs w:val="21"/>
          <w:highlight w:val="none"/>
        </w:rPr>
        <w:t>1</w:t>
      </w:r>
      <w:r>
        <w:rPr>
          <w:rFonts w:hint="eastAsia" w:ascii="Times New Roman" w:hAnsi="Times New Roman"/>
          <w:b/>
          <w:color w:val="000000"/>
          <w:szCs w:val="21"/>
          <w:highlight w:val="none"/>
        </w:rPr>
        <w:t>、签订合同</w:t>
      </w:r>
    </w:p>
    <w:p>
      <w:pPr>
        <w:spacing w:line="348" w:lineRule="auto"/>
        <w:ind w:firstLine="420"/>
        <w:rPr>
          <w:rFonts w:ascii="Times New Roman" w:hAnsi="Times New Roman"/>
          <w:color w:val="000000"/>
          <w:szCs w:val="21"/>
          <w:highlight w:val="none"/>
        </w:rPr>
      </w:pPr>
      <w:r>
        <w:rPr>
          <w:rFonts w:ascii="Times New Roman" w:hAnsi="Times New Roman"/>
          <w:color w:val="000000"/>
          <w:szCs w:val="21"/>
          <w:highlight w:val="none"/>
        </w:rPr>
        <w:t>1.1</w:t>
      </w:r>
      <w:r>
        <w:rPr>
          <w:rFonts w:hint="eastAsia" w:ascii="Times New Roman" w:hAnsi="Times New Roman"/>
          <w:color w:val="000000"/>
          <w:szCs w:val="21"/>
          <w:highlight w:val="none"/>
        </w:rPr>
        <w:t>、中标人自接到中标通知书后</w:t>
      </w:r>
      <w:r>
        <w:rPr>
          <w:rFonts w:ascii="Times New Roman" w:hAnsi="Times New Roman"/>
          <w:color w:val="000000"/>
          <w:szCs w:val="21"/>
          <w:highlight w:val="none"/>
        </w:rPr>
        <w:t>30</w:t>
      </w:r>
      <w:r>
        <w:rPr>
          <w:rFonts w:hint="eastAsia" w:ascii="Times New Roman" w:hAnsi="Times New Roman"/>
          <w:color w:val="000000"/>
          <w:szCs w:val="21"/>
          <w:highlight w:val="none"/>
        </w:rPr>
        <w:t>日内与</w:t>
      </w:r>
      <w:r>
        <w:rPr>
          <w:rFonts w:hint="eastAsia" w:ascii="Times New Roman" w:hAnsi="Times New Roman" w:cs="Arial"/>
          <w:color w:val="000000"/>
          <w:szCs w:val="21"/>
          <w:highlight w:val="none"/>
        </w:rPr>
        <w:t>采购单位签订的政府采购合同</w:t>
      </w:r>
      <w:r>
        <w:rPr>
          <w:rFonts w:hint="eastAsia" w:ascii="Times New Roman" w:hAnsi="Times New Roman"/>
          <w:color w:val="000000"/>
          <w:szCs w:val="21"/>
          <w:highlight w:val="none"/>
        </w:rPr>
        <w:t>。同时采购代理机构对合同内容进行审查，如发现与采购结果和投标承诺内容不一致的，应予以纠正。</w:t>
      </w:r>
    </w:p>
    <w:p>
      <w:pPr>
        <w:spacing w:line="348" w:lineRule="auto"/>
        <w:ind w:firstLine="420"/>
        <w:rPr>
          <w:rFonts w:ascii="Times New Roman" w:hAnsi="Times New Roman"/>
          <w:color w:val="000000"/>
          <w:szCs w:val="21"/>
          <w:highlight w:val="none"/>
        </w:rPr>
      </w:pPr>
      <w:r>
        <w:rPr>
          <w:rFonts w:ascii="Times New Roman" w:hAnsi="Times New Roman"/>
          <w:color w:val="000000"/>
          <w:szCs w:val="21"/>
          <w:highlight w:val="none"/>
        </w:rPr>
        <w:t>1.2</w:t>
      </w:r>
      <w:r>
        <w:rPr>
          <w:rFonts w:hint="eastAsia" w:ascii="Times New Roman" w:hAnsi="Times New Roman"/>
          <w:color w:val="000000"/>
          <w:szCs w:val="21"/>
          <w:highlight w:val="none"/>
        </w:rPr>
        <w:t>、中标人拖延、拒签合同的，将被取消中标资格；</w:t>
      </w:r>
      <w:bookmarkStart w:id="253" w:name="_Hlk11360751"/>
      <w:r>
        <w:rPr>
          <w:rFonts w:hint="eastAsia" w:ascii="Times New Roman" w:hAnsi="Times New Roman"/>
          <w:color w:val="000000"/>
          <w:szCs w:val="21"/>
          <w:highlight w:val="none"/>
        </w:rPr>
        <w:t>造成招标人损失的，按实际损失赔偿，并报监督管理部门。</w:t>
      </w:r>
      <w:bookmarkEnd w:id="253"/>
      <w:r>
        <w:rPr>
          <w:rFonts w:ascii="Times New Roman" w:hAnsi="Times New Roman"/>
          <w:color w:val="000000"/>
          <w:szCs w:val="21"/>
          <w:highlight w:val="none"/>
        </w:rPr>
        <w:t xml:space="preserve"> </w:t>
      </w:r>
    </w:p>
    <w:p>
      <w:pPr>
        <w:spacing w:line="348" w:lineRule="auto"/>
        <w:ind w:firstLine="420"/>
        <w:rPr>
          <w:rFonts w:ascii="Times New Roman" w:hAnsi="Times New Roman"/>
          <w:color w:val="000000"/>
          <w:szCs w:val="21"/>
          <w:highlight w:val="none"/>
        </w:rPr>
      </w:pPr>
      <w:r>
        <w:rPr>
          <w:rFonts w:ascii="Times New Roman" w:hAnsi="Times New Roman"/>
          <w:color w:val="000000"/>
          <w:szCs w:val="21"/>
          <w:highlight w:val="none"/>
        </w:rPr>
        <w:t>1.3</w:t>
      </w:r>
      <w:r>
        <w:rPr>
          <w:rFonts w:hint="eastAsia" w:ascii="Times New Roman" w:hAnsi="Times New Roman"/>
          <w:color w:val="000000"/>
          <w:szCs w:val="21"/>
          <w:highlight w:val="none"/>
        </w:rPr>
        <w:t>、</w:t>
      </w:r>
      <w:bookmarkStart w:id="254" w:name="_Hlk11360765"/>
      <w:r>
        <w:rPr>
          <w:rFonts w:hint="eastAsia" w:ascii="Times New Roman" w:hAnsi="Times New Roman"/>
          <w:color w:val="000000"/>
          <w:szCs w:val="21"/>
          <w:highlight w:val="none"/>
        </w:rPr>
        <w:t>采购人应当自政府采购合同签订之日起</w:t>
      </w:r>
      <w:r>
        <w:rPr>
          <w:rFonts w:ascii="Times New Roman" w:hAnsi="Times New Roman"/>
          <w:color w:val="000000"/>
          <w:szCs w:val="21"/>
          <w:highlight w:val="none"/>
        </w:rPr>
        <w:t>2</w:t>
      </w:r>
      <w:r>
        <w:rPr>
          <w:rFonts w:hint="eastAsia" w:ascii="Times New Roman" w:hAnsi="Times New Roman"/>
          <w:color w:val="000000"/>
          <w:szCs w:val="21"/>
          <w:highlight w:val="none"/>
        </w:rPr>
        <w:t>个工作日内，将政府采购合同在省级以上人民政府财政部门指定的媒体上公告，但政府采购合同中涉及国家秘密、商业秘密的内容除外。</w:t>
      </w:r>
      <w:bookmarkEnd w:id="254"/>
      <w:bookmarkStart w:id="255" w:name="_Toc417992895"/>
    </w:p>
    <w:p>
      <w:pPr>
        <w:snapToGrid w:val="0"/>
        <w:spacing w:line="336" w:lineRule="auto"/>
        <w:ind w:firstLine="420" w:firstLineChars="199"/>
        <w:jc w:val="left"/>
        <w:rPr>
          <w:rFonts w:ascii="Times New Roman" w:hAnsi="Times New Roman"/>
          <w:b/>
          <w:color w:val="000000"/>
          <w:szCs w:val="21"/>
          <w:highlight w:val="none"/>
        </w:rPr>
      </w:pPr>
      <w:r>
        <w:rPr>
          <w:rFonts w:hint="eastAsia" w:ascii="Times New Roman" w:hAnsi="Times New Roman"/>
          <w:b/>
          <w:color w:val="000000"/>
          <w:szCs w:val="21"/>
          <w:highlight w:val="none"/>
        </w:rPr>
        <w:t>八、招标代理服务费</w:t>
      </w:r>
    </w:p>
    <w:bookmarkEnd w:id="255"/>
    <w:p>
      <w:pPr>
        <w:spacing w:line="380" w:lineRule="exact"/>
        <w:ind w:firstLine="420" w:firstLineChars="200"/>
        <w:rPr>
          <w:rFonts w:hint="eastAsia"/>
          <w:color w:val="000000"/>
          <w:szCs w:val="21"/>
          <w:highlight w:val="none"/>
        </w:rPr>
      </w:pPr>
      <w:bookmarkStart w:id="256" w:name="_Toc11067541"/>
      <w:bookmarkStart w:id="257" w:name="_Toc520898153"/>
      <w:bookmarkStart w:id="258" w:name="_Toc11067542"/>
      <w:r>
        <w:rPr>
          <w:rFonts w:hint="eastAsia"/>
          <w:color w:val="000000"/>
          <w:szCs w:val="21"/>
          <w:highlight w:val="none"/>
        </w:rPr>
        <w:t>招标代理服务费按照《招标代理服务收费管理暂行办法》（计价格[2002]1980号）收费标准的70%计取(优惠后的合同金额最低不少于5000元)，造价咨询服务费按照浙价服[2009]84号文《浙江省物价局关于进一步完善工程造价咨询服务收费的通知》收费标准的70%(优惠后的合同金额最低不少于4000元).由中标人支付（招标代理服务费及造价咨询服务费不在报价中单列）。中标人须在领取中标通知书前应以转账或汇款方式提交至以下账户。</w:t>
      </w:r>
    </w:p>
    <w:p>
      <w:pPr>
        <w:spacing w:line="380" w:lineRule="exact"/>
        <w:ind w:firstLine="420" w:firstLineChars="200"/>
        <w:rPr>
          <w:rFonts w:hint="eastAsia"/>
          <w:color w:val="000000"/>
          <w:szCs w:val="21"/>
          <w:highlight w:val="none"/>
        </w:rPr>
      </w:pPr>
      <w:r>
        <w:rPr>
          <w:rFonts w:hint="eastAsia"/>
          <w:color w:val="000000"/>
          <w:szCs w:val="21"/>
          <w:highlight w:val="none"/>
        </w:rPr>
        <w:t>单位名称：嘉兴市华信工程咨询有限公司</w:t>
      </w:r>
    </w:p>
    <w:p>
      <w:pPr>
        <w:spacing w:line="380" w:lineRule="exact"/>
        <w:ind w:firstLine="420" w:firstLineChars="200"/>
        <w:rPr>
          <w:rFonts w:hint="eastAsia"/>
          <w:color w:val="000000"/>
          <w:szCs w:val="21"/>
          <w:highlight w:val="none"/>
        </w:rPr>
      </w:pPr>
      <w:r>
        <w:rPr>
          <w:rFonts w:hint="eastAsia"/>
          <w:color w:val="000000"/>
          <w:szCs w:val="21"/>
          <w:highlight w:val="none"/>
        </w:rPr>
        <w:t>开户银行：工商银行嘉兴市中山支行</w:t>
      </w:r>
    </w:p>
    <w:p>
      <w:pPr>
        <w:spacing w:line="380" w:lineRule="exact"/>
        <w:ind w:firstLine="420" w:firstLineChars="200"/>
        <w:jc w:val="left"/>
        <w:rPr>
          <w:rFonts w:ascii="Times New Roman" w:hAnsi="Times New Roman"/>
          <w:color w:val="000000"/>
          <w:highlight w:val="none"/>
        </w:rPr>
      </w:pPr>
      <w:r>
        <w:rPr>
          <w:rFonts w:hint="eastAsia"/>
          <w:color w:val="000000"/>
          <w:szCs w:val="21"/>
          <w:highlight w:val="none"/>
          <w:lang w:val="en-US" w:eastAsia="zh-CN"/>
        </w:rPr>
        <w:t>帐    号：1204068309245007251</w:t>
      </w:r>
      <w:r>
        <w:rPr>
          <w:rStyle w:val="71"/>
          <w:rFonts w:ascii="Times New Roman" w:hAnsi="Times New Roman"/>
          <w:color w:val="000000"/>
          <w:sz w:val="21"/>
          <w:szCs w:val="21"/>
          <w:highlight w:val="none"/>
        </w:rPr>
        <w:br w:type="page"/>
      </w:r>
      <w:r>
        <w:rPr>
          <w:rFonts w:hint="eastAsia" w:ascii="Times New Roman" w:hAnsi="Times New Roman" w:eastAsia="宋体" w:cs="Times New Roman"/>
          <w:b/>
          <w:bCs/>
          <w:color w:val="000000"/>
          <w:kern w:val="0"/>
          <w:sz w:val="32"/>
          <w:szCs w:val="32"/>
          <w:highlight w:val="none"/>
          <w:lang w:val="en-US" w:eastAsia="zh-CN" w:bidi="ar-SA"/>
        </w:rPr>
        <w:t>第四章</w:t>
      </w:r>
      <w:r>
        <w:rPr>
          <w:rFonts w:ascii="Times New Roman" w:hAnsi="Times New Roman" w:eastAsia="宋体" w:cs="Times New Roman"/>
          <w:b/>
          <w:bCs/>
          <w:color w:val="000000"/>
          <w:kern w:val="0"/>
          <w:sz w:val="32"/>
          <w:szCs w:val="32"/>
          <w:highlight w:val="none"/>
          <w:lang w:val="en-US" w:eastAsia="zh-CN" w:bidi="ar-SA"/>
        </w:rPr>
        <w:t xml:space="preserve">  </w:t>
      </w:r>
      <w:r>
        <w:rPr>
          <w:rFonts w:hint="eastAsia" w:ascii="Times New Roman" w:hAnsi="Times New Roman" w:eastAsia="宋体" w:cs="Times New Roman"/>
          <w:b/>
          <w:bCs/>
          <w:color w:val="000000"/>
          <w:kern w:val="0"/>
          <w:sz w:val="32"/>
          <w:szCs w:val="32"/>
          <w:highlight w:val="none"/>
          <w:lang w:val="en-US" w:eastAsia="zh-CN" w:bidi="ar-SA"/>
        </w:rPr>
        <w:t>评标办法及评分标准</w:t>
      </w:r>
      <w:bookmarkEnd w:id="256"/>
    </w:p>
    <w:p>
      <w:pPr>
        <w:snapToGrid w:val="0"/>
        <w:spacing w:line="360" w:lineRule="auto"/>
        <w:ind w:firstLine="559" w:firstLineChars="199"/>
        <w:jc w:val="center"/>
        <w:rPr>
          <w:rFonts w:ascii="Times New Roman" w:hAnsi="Times New Roman"/>
          <w:b/>
          <w:bCs/>
          <w:color w:val="000000"/>
          <w:kern w:val="44"/>
          <w:sz w:val="28"/>
          <w:szCs w:val="28"/>
          <w:highlight w:val="none"/>
        </w:rPr>
      </w:pPr>
    </w:p>
    <w:p>
      <w:pPr>
        <w:spacing w:line="400" w:lineRule="exact"/>
        <w:ind w:firstLine="420"/>
        <w:rPr>
          <w:rFonts w:ascii="Times New Roman" w:hAnsi="Times New Roman"/>
          <w:color w:val="000000"/>
          <w:highlight w:val="none"/>
        </w:rPr>
      </w:pPr>
      <w:r>
        <w:rPr>
          <w:rFonts w:hint="eastAsia" w:ascii="Times New Roman" w:hAnsi="Times New Roman"/>
          <w:color w:val="000000"/>
          <w:highlight w:val="none"/>
        </w:rPr>
        <w:t>为公正、公平、科学地选择中标人，根据《中华人民共和国政府采购法》等有关法律法规的规定，并结合本项目的实际，制定本办法。</w:t>
      </w:r>
    </w:p>
    <w:p>
      <w:pPr>
        <w:spacing w:before="120" w:beforeLines="50" w:after="120" w:afterLines="50" w:line="400" w:lineRule="exact"/>
        <w:ind w:firstLine="420" w:firstLineChars="200"/>
        <w:rPr>
          <w:rFonts w:ascii="Times New Roman" w:hAnsi="Times New Roman"/>
          <w:color w:val="000000"/>
          <w:highlight w:val="none"/>
        </w:rPr>
      </w:pPr>
      <w:bookmarkStart w:id="259" w:name="_Hlk11361323"/>
      <w:r>
        <w:rPr>
          <w:rFonts w:hint="eastAsia" w:ascii="Times New Roman" w:hAnsi="Times New Roman"/>
          <w:color w:val="000000"/>
          <w:highlight w:val="none"/>
        </w:rPr>
        <w:t>本办法适用本项目的评标</w:t>
      </w:r>
      <w:bookmarkEnd w:id="259"/>
      <w:r>
        <w:rPr>
          <w:rFonts w:hint="eastAsia" w:ascii="Times New Roman" w:hAnsi="Times New Roman"/>
          <w:color w:val="000000"/>
          <w:highlight w:val="none"/>
        </w:rPr>
        <w:t>。</w:t>
      </w:r>
    </w:p>
    <w:p>
      <w:pPr>
        <w:spacing w:before="120" w:beforeLines="50" w:after="120" w:afterLines="50" w:line="360" w:lineRule="auto"/>
        <w:rPr>
          <w:rFonts w:ascii="Times New Roman" w:hAnsi="Times New Roman"/>
          <w:b/>
          <w:color w:val="000000"/>
          <w:sz w:val="24"/>
          <w:highlight w:val="none"/>
        </w:rPr>
      </w:pPr>
      <w:r>
        <w:rPr>
          <w:rFonts w:hint="eastAsia" w:ascii="Times New Roman" w:hAnsi="Times New Roman"/>
          <w:b/>
          <w:color w:val="000000"/>
          <w:sz w:val="24"/>
          <w:highlight w:val="none"/>
        </w:rPr>
        <w:t>一</w:t>
      </w:r>
      <w:r>
        <w:rPr>
          <w:rFonts w:ascii="Times New Roman" w:hAnsi="Times New Roman"/>
          <w:b/>
          <w:color w:val="000000"/>
          <w:sz w:val="24"/>
          <w:highlight w:val="none"/>
        </w:rPr>
        <w:t xml:space="preserve"> </w:t>
      </w:r>
      <w:r>
        <w:rPr>
          <w:rFonts w:hint="eastAsia" w:ascii="Times New Roman" w:hAnsi="Times New Roman"/>
          <w:b/>
          <w:color w:val="000000"/>
          <w:sz w:val="24"/>
          <w:highlight w:val="none"/>
        </w:rPr>
        <w:t>、总则</w:t>
      </w:r>
    </w:p>
    <w:p>
      <w:pPr>
        <w:spacing w:before="120" w:beforeLines="50" w:after="120" w:afterLines="50" w:line="360" w:lineRule="auto"/>
        <w:ind w:firstLine="420" w:firstLineChars="200"/>
        <w:rPr>
          <w:rFonts w:ascii="Times New Roman" w:hAnsi="Times New Roman"/>
          <w:color w:val="000000"/>
          <w:highlight w:val="none"/>
        </w:rPr>
      </w:pPr>
      <w:r>
        <w:rPr>
          <w:rFonts w:hint="eastAsia" w:ascii="Times New Roman" w:hAnsi="Times New Roman"/>
          <w:color w:val="000000"/>
          <w:highlight w:val="none"/>
        </w:rPr>
        <w:t>本次评标采用综合评分法，</w:t>
      </w:r>
      <w:r>
        <w:rPr>
          <w:rFonts w:hint="eastAsia"/>
          <w:color w:val="000000"/>
          <w:szCs w:val="21"/>
          <w:highlight w:val="none"/>
        </w:rPr>
        <w:t>总分为100分，其中价格分2</w:t>
      </w:r>
      <w:r>
        <w:rPr>
          <w:color w:val="000000"/>
          <w:szCs w:val="21"/>
          <w:highlight w:val="none"/>
        </w:rPr>
        <w:t>0</w:t>
      </w:r>
      <w:r>
        <w:rPr>
          <w:rFonts w:hint="eastAsia"/>
          <w:color w:val="000000"/>
          <w:szCs w:val="21"/>
          <w:highlight w:val="none"/>
        </w:rPr>
        <w:t>分、技术分78分、资信商务及其他分2分。</w:t>
      </w:r>
      <w:r>
        <w:rPr>
          <w:rFonts w:hint="eastAsia" w:ascii="Times New Roman" w:hAnsi="Times New Roman"/>
          <w:color w:val="000000"/>
          <w:highlight w:val="none"/>
        </w:rPr>
        <w:t>合格投标人的评标得分为各项目汇总得分，中标候选资格按评标得分由高到低顺序排列，得分相同的，按投标报价由低到高顺序排列；得分且投标报价相同的，按技术得分由高到低顺序排列，仍不能分出前后的，以投标签到先后顺序确定中标人。排名第一的投标人为中标候选人。</w:t>
      </w:r>
      <w:r>
        <w:rPr>
          <w:rFonts w:hint="eastAsia" w:ascii="Times New Roman" w:hAnsi="Times New Roman"/>
          <w:b/>
          <w:color w:val="000000"/>
          <w:highlight w:val="none"/>
        </w:rPr>
        <w:t>中标人拒绝与采购人签订合同的，采购人可以重新开展政府采购活动</w:t>
      </w:r>
      <w:r>
        <w:rPr>
          <w:rFonts w:hint="eastAsia" w:ascii="Times New Roman" w:hAnsi="Times New Roman"/>
          <w:color w:val="000000"/>
          <w:highlight w:val="none"/>
        </w:rPr>
        <w:t>。评分过程中采用四舍五入法，并保留小数</w:t>
      </w:r>
      <w:r>
        <w:rPr>
          <w:rFonts w:ascii="Times New Roman" w:hAnsi="Times New Roman"/>
          <w:color w:val="000000"/>
          <w:highlight w:val="none"/>
        </w:rPr>
        <w:t>2</w:t>
      </w:r>
      <w:r>
        <w:rPr>
          <w:rFonts w:hint="eastAsia" w:ascii="Times New Roman" w:hAnsi="Times New Roman"/>
          <w:color w:val="000000"/>
          <w:highlight w:val="none"/>
        </w:rPr>
        <w:t>位。</w:t>
      </w:r>
    </w:p>
    <w:p>
      <w:pPr>
        <w:spacing w:before="120" w:beforeLines="50" w:after="120" w:afterLines="50" w:line="400" w:lineRule="exact"/>
        <w:rPr>
          <w:rFonts w:ascii="Times New Roman" w:hAnsi="Times New Roman"/>
          <w:b/>
          <w:color w:val="000000"/>
          <w:sz w:val="28"/>
          <w:szCs w:val="28"/>
          <w:highlight w:val="none"/>
        </w:rPr>
      </w:pPr>
      <w:r>
        <w:rPr>
          <w:rFonts w:hint="eastAsia" w:ascii="Times New Roman" w:hAnsi="Times New Roman"/>
          <w:b/>
          <w:color w:val="000000"/>
          <w:sz w:val="28"/>
          <w:szCs w:val="28"/>
          <w:highlight w:val="none"/>
        </w:rPr>
        <w:t>二、评标内容及标准</w:t>
      </w:r>
    </w:p>
    <w:p>
      <w:pPr>
        <w:pStyle w:val="22"/>
        <w:spacing w:before="120" w:beforeLines="50" w:afterLines="50" w:line="400" w:lineRule="exact"/>
        <w:ind w:left="0" w:leftChars="0" w:firstLine="422" w:firstLineChars="200"/>
        <w:rPr>
          <w:rFonts w:ascii="Times New Roman" w:hAnsi="Times New Roman"/>
          <w:b/>
          <w:color w:val="000000"/>
          <w:szCs w:val="24"/>
          <w:highlight w:val="none"/>
        </w:rPr>
      </w:pPr>
      <w:bookmarkStart w:id="260" w:name="_Toc384730990"/>
      <w:bookmarkStart w:id="261" w:name="_Toc380429946"/>
      <w:r>
        <w:rPr>
          <w:rFonts w:hint="eastAsia" w:ascii="Times New Roman" w:hAnsi="Times New Roman"/>
          <w:b/>
          <w:color w:val="000000"/>
          <w:highlight w:val="none"/>
        </w:rPr>
        <w:t>（一</w:t>
      </w:r>
      <w:r>
        <w:rPr>
          <w:rFonts w:hint="eastAsia" w:ascii="Times New Roman" w:hAnsi="Times New Roman"/>
          <w:b/>
          <w:bCs/>
          <w:color w:val="000000"/>
          <w:highlight w:val="none"/>
        </w:rPr>
        <w:t>）价格分（</w:t>
      </w:r>
      <w:r>
        <w:rPr>
          <w:rFonts w:ascii="Times New Roman" w:hAnsi="Times New Roman"/>
          <w:b/>
          <w:bCs/>
          <w:color w:val="000000"/>
          <w:highlight w:val="none"/>
        </w:rPr>
        <w:t>0-</w:t>
      </w:r>
      <w:r>
        <w:rPr>
          <w:rFonts w:hint="eastAsia" w:ascii="Times New Roman" w:hAnsi="Times New Roman"/>
          <w:b/>
          <w:bCs/>
          <w:color w:val="000000"/>
          <w:highlight w:val="none"/>
          <w:lang w:val="en-US" w:eastAsia="zh-CN"/>
        </w:rPr>
        <w:t>2</w:t>
      </w:r>
      <w:r>
        <w:rPr>
          <w:rFonts w:ascii="Times New Roman" w:hAnsi="Times New Roman"/>
          <w:b/>
          <w:bCs/>
          <w:color w:val="000000"/>
          <w:highlight w:val="none"/>
        </w:rPr>
        <w:t>0</w:t>
      </w:r>
      <w:r>
        <w:rPr>
          <w:rFonts w:hint="eastAsia" w:ascii="Times New Roman" w:hAnsi="Times New Roman"/>
          <w:b/>
          <w:bCs/>
          <w:color w:val="000000"/>
          <w:highlight w:val="none"/>
        </w:rPr>
        <w:t>分）</w:t>
      </w:r>
    </w:p>
    <w:p>
      <w:pPr>
        <w:spacing w:line="360" w:lineRule="auto"/>
        <w:ind w:firstLine="420" w:firstLineChars="200"/>
        <w:rPr>
          <w:rFonts w:ascii="Times New Roman" w:hAnsi="Times New Roman"/>
          <w:color w:val="000000"/>
          <w:highlight w:val="none"/>
        </w:rPr>
      </w:pPr>
      <w:r>
        <w:rPr>
          <w:rFonts w:ascii="Times New Roman" w:hAnsi="Times New Roman"/>
          <w:color w:val="000000"/>
          <w:highlight w:val="none"/>
        </w:rPr>
        <w:t>1</w:t>
      </w:r>
      <w:r>
        <w:rPr>
          <w:rFonts w:hint="eastAsia" w:ascii="Times New Roman" w:hAnsi="Times New Roman"/>
          <w:color w:val="000000"/>
          <w:highlight w:val="none"/>
        </w:rPr>
        <w:t>、</w:t>
      </w:r>
      <w:r>
        <w:rPr>
          <w:rFonts w:hint="eastAsia" w:ascii="宋体" w:hAnsi="宋体"/>
          <w:color w:val="000000"/>
          <w:szCs w:val="21"/>
          <w:highlight w:val="none"/>
        </w:rPr>
        <w:t>价格分采用低价优先法计算，即满足招标文件要求且投标价格最低的投标总报价为评标基准价</w:t>
      </w:r>
      <w:r>
        <w:rPr>
          <w:rFonts w:hint="eastAsia" w:ascii="Times New Roman" w:hAnsi="Times New Roman"/>
          <w:color w:val="000000"/>
          <w:highlight w:val="none"/>
        </w:rPr>
        <w:t>，其他投标人的价格分按照下列公式计算：</w:t>
      </w:r>
    </w:p>
    <w:p>
      <w:pPr>
        <w:spacing w:line="360" w:lineRule="auto"/>
        <w:ind w:firstLine="420" w:firstLineChars="200"/>
        <w:rPr>
          <w:rFonts w:ascii="Times New Roman" w:hAnsi="Times New Roman"/>
          <w:color w:val="000000"/>
          <w:highlight w:val="none"/>
        </w:rPr>
      </w:pPr>
      <w:r>
        <w:rPr>
          <w:rFonts w:hint="eastAsia" w:ascii="Times New Roman" w:hAnsi="Times New Roman"/>
          <w:color w:val="000000"/>
          <w:highlight w:val="none"/>
        </w:rPr>
        <w:t>价格分</w:t>
      </w:r>
      <w:r>
        <w:rPr>
          <w:rFonts w:ascii="Times New Roman" w:hAnsi="Times New Roman"/>
          <w:color w:val="000000"/>
          <w:highlight w:val="none"/>
        </w:rPr>
        <w:t>=</w:t>
      </w:r>
      <w:r>
        <w:rPr>
          <w:rFonts w:hint="eastAsia" w:ascii="Times New Roman" w:hAnsi="Times New Roman"/>
          <w:color w:val="000000"/>
          <w:highlight w:val="none"/>
        </w:rPr>
        <w:t>（评标基准价</w:t>
      </w:r>
      <w:r>
        <w:rPr>
          <w:rFonts w:ascii="Times New Roman" w:hAnsi="Times New Roman"/>
          <w:color w:val="000000"/>
          <w:highlight w:val="none"/>
        </w:rPr>
        <w:t>/</w:t>
      </w:r>
      <w:r>
        <w:rPr>
          <w:rFonts w:hint="eastAsia" w:ascii="Times New Roman" w:hAnsi="Times New Roman"/>
          <w:color w:val="000000"/>
          <w:highlight w:val="none"/>
        </w:rPr>
        <w:t>投标总报价）×</w:t>
      </w:r>
      <w:r>
        <w:rPr>
          <w:rFonts w:hint="eastAsia" w:ascii="Times New Roman" w:hAnsi="Times New Roman"/>
          <w:color w:val="000000"/>
          <w:highlight w:val="none"/>
          <w:lang w:val="en-US" w:eastAsia="zh-CN"/>
        </w:rPr>
        <w:t>2</w:t>
      </w:r>
      <w:r>
        <w:rPr>
          <w:rFonts w:ascii="Times New Roman" w:hAnsi="Times New Roman"/>
          <w:color w:val="000000"/>
          <w:highlight w:val="none"/>
        </w:rPr>
        <w:t>0</w:t>
      </w:r>
      <w:r>
        <w:rPr>
          <w:rFonts w:hint="eastAsia" w:ascii="Times New Roman" w:hAnsi="Times New Roman"/>
          <w:color w:val="000000"/>
          <w:highlight w:val="none"/>
        </w:rPr>
        <w:t>；</w:t>
      </w:r>
    </w:p>
    <w:p>
      <w:pPr>
        <w:spacing w:line="360" w:lineRule="auto"/>
        <w:ind w:firstLine="420" w:firstLineChars="200"/>
        <w:rPr>
          <w:rFonts w:ascii="Times New Roman" w:hAnsi="Times New Roman"/>
          <w:color w:val="000000"/>
          <w:highlight w:val="none"/>
        </w:rPr>
      </w:pPr>
      <w:r>
        <w:rPr>
          <w:rFonts w:ascii="Times New Roman" w:hAnsi="Times New Roman"/>
          <w:color w:val="000000"/>
          <w:highlight w:val="none"/>
        </w:rPr>
        <w:t>2</w:t>
      </w:r>
      <w:r>
        <w:rPr>
          <w:rFonts w:hint="eastAsia" w:ascii="Times New Roman" w:hAnsi="Times New Roman"/>
          <w:color w:val="000000"/>
          <w:highlight w:val="none"/>
        </w:rPr>
        <w:t>、投标人的投标总报价超过采购人设定的</w:t>
      </w:r>
      <w:r>
        <w:rPr>
          <w:rFonts w:hint="eastAsia" w:ascii="宋体" w:hAnsi="宋体"/>
          <w:color w:val="000000"/>
          <w:szCs w:val="21"/>
          <w:highlight w:val="none"/>
        </w:rPr>
        <w:t>最高投标限价</w:t>
      </w:r>
      <w:r>
        <w:rPr>
          <w:rFonts w:hint="eastAsia" w:ascii="Times New Roman" w:hAnsi="Times New Roman"/>
          <w:color w:val="000000"/>
          <w:highlight w:val="none"/>
        </w:rPr>
        <w:t>，将作为无效标。</w:t>
      </w:r>
    </w:p>
    <w:p>
      <w:pPr>
        <w:widowControl/>
        <w:spacing w:line="336" w:lineRule="auto"/>
        <w:ind w:firstLine="404" w:firstLineChars="200"/>
        <w:jc w:val="left"/>
        <w:rPr>
          <w:rFonts w:ascii="Times New Roman" w:hAnsi="Times New Roman" w:cs="宋体"/>
          <w:color w:val="000000"/>
          <w:spacing w:val="-4"/>
          <w:highlight w:val="none"/>
        </w:rPr>
      </w:pPr>
      <w:r>
        <w:rPr>
          <w:rFonts w:ascii="Times New Roman" w:hAnsi="Times New Roman" w:cs="宋体"/>
          <w:color w:val="000000"/>
          <w:spacing w:val="-4"/>
          <w:highlight w:val="none"/>
        </w:rPr>
        <w:t>3</w:t>
      </w:r>
      <w:r>
        <w:rPr>
          <w:rFonts w:hint="eastAsia" w:ascii="Times New Roman" w:hAnsi="Times New Roman" w:cs="宋体"/>
          <w:color w:val="000000"/>
          <w:spacing w:val="-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ascii="Times New Roman" w:hAnsi="Times New Roman" w:cs="宋体"/>
          <w:color w:val="000000"/>
          <w:spacing w:val="-4"/>
          <w:highlight w:val="none"/>
        </w:rPr>
        <w:t>;</w:t>
      </w:r>
      <w:r>
        <w:rPr>
          <w:rFonts w:hint="eastAsia" w:ascii="Times New Roman" w:hAnsi="Times New Roman" w:cs="宋体"/>
          <w:color w:val="000000"/>
          <w:spacing w:val="-4"/>
          <w:highlight w:val="none"/>
        </w:rPr>
        <w:t>投标人不能证明其报价合理性的，评标委员会应当将其作为无效投标处理。</w:t>
      </w:r>
    </w:p>
    <w:bookmarkEnd w:id="257"/>
    <w:bookmarkEnd w:id="258"/>
    <w:bookmarkEnd w:id="260"/>
    <w:bookmarkEnd w:id="261"/>
    <w:p>
      <w:pPr>
        <w:spacing w:line="360" w:lineRule="auto"/>
        <w:ind w:firstLine="422" w:firstLineChars="200"/>
        <w:rPr>
          <w:rFonts w:ascii="Times New Roman" w:hAnsi="Times New Roman"/>
          <w:b/>
          <w:color w:val="000000"/>
          <w:highlight w:val="none"/>
        </w:rPr>
      </w:pPr>
      <w:bookmarkStart w:id="262" w:name="_Toc73631436"/>
      <w:r>
        <w:rPr>
          <w:rFonts w:hint="eastAsia" w:ascii="Times New Roman" w:hAnsi="Times New Roman"/>
          <w:b/>
          <w:bCs/>
          <w:color w:val="000000"/>
          <w:highlight w:val="none"/>
        </w:rPr>
        <w:t>（二）</w:t>
      </w:r>
      <w:r>
        <w:rPr>
          <w:rFonts w:hint="eastAsia" w:ascii="Times New Roman" w:hAnsi="Times New Roman"/>
          <w:b/>
          <w:color w:val="000000"/>
          <w:highlight w:val="none"/>
        </w:rPr>
        <w:t>技术分（</w:t>
      </w:r>
      <w:r>
        <w:rPr>
          <w:rFonts w:ascii="Times New Roman" w:hAnsi="Times New Roman"/>
          <w:b/>
          <w:color w:val="000000"/>
          <w:highlight w:val="none"/>
        </w:rPr>
        <w:t>0-</w:t>
      </w:r>
      <w:r>
        <w:rPr>
          <w:rFonts w:hint="eastAsia" w:ascii="Times New Roman" w:hAnsi="Times New Roman"/>
          <w:b/>
          <w:color w:val="000000"/>
          <w:highlight w:val="none"/>
          <w:lang w:val="en-US" w:eastAsia="zh-CN"/>
        </w:rPr>
        <w:t>78</w:t>
      </w:r>
      <w:r>
        <w:rPr>
          <w:rFonts w:hint="eastAsia" w:ascii="Times New Roman" w:hAnsi="Times New Roman"/>
          <w:b/>
          <w:color w:val="000000"/>
          <w:highlight w:val="none"/>
        </w:rPr>
        <w:t>分）</w:t>
      </w:r>
    </w:p>
    <w:p>
      <w:pPr>
        <w:spacing w:line="360" w:lineRule="auto"/>
        <w:ind w:left="466"/>
        <w:rPr>
          <w:b/>
          <w:color w:val="000000"/>
          <w:szCs w:val="21"/>
          <w:highlight w:val="none"/>
        </w:rPr>
      </w:pPr>
      <w:r>
        <w:rPr>
          <w:rFonts w:hint="eastAsia"/>
          <w:color w:val="000000"/>
          <w:szCs w:val="21"/>
          <w:highlight w:val="none"/>
        </w:rPr>
        <w:t>该评分分值由评标委员会根据评审情况在分值范围内独立打分（具体分值设定详见表格），小数点后保留一位小数。每个投标人的最终得分为评标委员会打分汇总后的算术平均值</w:t>
      </w:r>
      <w:r>
        <w:rPr>
          <w:rFonts w:hint="eastAsia"/>
          <w:color w:val="000000"/>
          <w:kern w:val="0"/>
          <w:szCs w:val="21"/>
          <w:highlight w:val="none"/>
        </w:rPr>
        <w:t>（小数点后保留二位小数，第三位四舍五入）</w:t>
      </w:r>
      <w:r>
        <w:rPr>
          <w:rFonts w:hint="eastAsia"/>
          <w:color w:val="000000"/>
          <w:szCs w:val="21"/>
          <w:highlight w:val="none"/>
        </w:rPr>
        <w:t>。</w:t>
      </w:r>
    </w:p>
    <w:tbl>
      <w:tblPr>
        <w:tblStyle w:val="49"/>
        <w:tblW w:w="861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1"/>
        <w:gridCol w:w="1132"/>
        <w:gridCol w:w="5680"/>
        <w:gridCol w:w="10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2" w:hRule="atLeast"/>
          <w:jc w:val="center"/>
        </w:trPr>
        <w:tc>
          <w:tcPr>
            <w:tcW w:w="711" w:type="dxa"/>
            <w:noWrap w:val="0"/>
            <w:vAlign w:val="center"/>
          </w:tcPr>
          <w:p>
            <w:pPr>
              <w:snapToGrid w:val="0"/>
              <w:jc w:val="center"/>
              <w:outlineLvl w:val="0"/>
              <w:rPr>
                <w:color w:val="000000"/>
                <w:szCs w:val="21"/>
                <w:highlight w:val="none"/>
              </w:rPr>
            </w:pPr>
            <w:r>
              <w:rPr>
                <w:rFonts w:hint="eastAsia"/>
                <w:color w:val="000000"/>
                <w:szCs w:val="21"/>
                <w:highlight w:val="none"/>
              </w:rPr>
              <w:t>序号</w:t>
            </w:r>
          </w:p>
        </w:tc>
        <w:tc>
          <w:tcPr>
            <w:tcW w:w="1132" w:type="dxa"/>
            <w:noWrap w:val="0"/>
            <w:vAlign w:val="center"/>
          </w:tcPr>
          <w:p>
            <w:pPr>
              <w:snapToGrid w:val="0"/>
              <w:jc w:val="center"/>
              <w:outlineLvl w:val="0"/>
              <w:rPr>
                <w:color w:val="000000"/>
                <w:szCs w:val="21"/>
                <w:highlight w:val="none"/>
              </w:rPr>
            </w:pPr>
            <w:r>
              <w:rPr>
                <w:rFonts w:hint="eastAsia"/>
                <w:color w:val="000000"/>
                <w:szCs w:val="21"/>
                <w:highlight w:val="none"/>
              </w:rPr>
              <w:t>评分项目</w:t>
            </w:r>
          </w:p>
        </w:tc>
        <w:tc>
          <w:tcPr>
            <w:tcW w:w="5680" w:type="dxa"/>
            <w:noWrap w:val="0"/>
            <w:vAlign w:val="center"/>
          </w:tcPr>
          <w:p>
            <w:pPr>
              <w:snapToGrid w:val="0"/>
              <w:jc w:val="center"/>
              <w:outlineLvl w:val="0"/>
              <w:rPr>
                <w:color w:val="000000"/>
                <w:szCs w:val="21"/>
                <w:highlight w:val="none"/>
              </w:rPr>
            </w:pPr>
            <w:r>
              <w:rPr>
                <w:rFonts w:hint="eastAsia"/>
                <w:color w:val="000000"/>
                <w:szCs w:val="21"/>
                <w:highlight w:val="none"/>
              </w:rPr>
              <w:t>评分内容</w:t>
            </w:r>
          </w:p>
        </w:tc>
        <w:tc>
          <w:tcPr>
            <w:tcW w:w="1092" w:type="dxa"/>
            <w:noWrap w:val="0"/>
            <w:vAlign w:val="center"/>
          </w:tcPr>
          <w:p>
            <w:pPr>
              <w:snapToGrid w:val="0"/>
              <w:jc w:val="center"/>
              <w:outlineLvl w:val="0"/>
              <w:rPr>
                <w:color w:val="000000"/>
                <w:szCs w:val="21"/>
                <w:highlight w:val="none"/>
              </w:rPr>
            </w:pPr>
            <w:r>
              <w:rPr>
                <w:rFonts w:hint="eastAsia"/>
                <w:color w:val="000000"/>
                <w:szCs w:val="21"/>
                <w:highlight w:val="none"/>
              </w:rPr>
              <w:t>最大分值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11" w:type="dxa"/>
            <w:noWrap w:val="0"/>
            <w:vAlign w:val="center"/>
          </w:tcPr>
          <w:p>
            <w:pPr>
              <w:snapToGrid w:val="0"/>
              <w:jc w:val="center"/>
              <w:outlineLvl w:val="0"/>
              <w:rPr>
                <w:rFonts w:hint="eastAsia"/>
                <w:color w:val="000000"/>
                <w:szCs w:val="21"/>
                <w:highlight w:val="none"/>
              </w:rPr>
            </w:pPr>
            <w:r>
              <w:rPr>
                <w:rFonts w:hint="eastAsia"/>
                <w:color w:val="000000"/>
                <w:szCs w:val="21"/>
                <w:highlight w:val="none"/>
              </w:rPr>
              <w:t>1</w:t>
            </w:r>
          </w:p>
        </w:tc>
        <w:tc>
          <w:tcPr>
            <w:tcW w:w="1132" w:type="dxa"/>
            <w:noWrap w:val="0"/>
            <w:vAlign w:val="center"/>
          </w:tcPr>
          <w:p>
            <w:pPr>
              <w:snapToGrid w:val="0"/>
              <w:jc w:val="center"/>
              <w:outlineLvl w:val="0"/>
              <w:rPr>
                <w:rFonts w:hint="eastAsia"/>
                <w:color w:val="000000"/>
                <w:szCs w:val="21"/>
                <w:highlight w:val="none"/>
              </w:rPr>
            </w:pPr>
            <w:r>
              <w:rPr>
                <w:rFonts w:hint="eastAsia"/>
                <w:color w:val="000000"/>
                <w:szCs w:val="21"/>
                <w:highlight w:val="none"/>
              </w:rPr>
              <w:t>项目理解</w:t>
            </w:r>
          </w:p>
        </w:tc>
        <w:tc>
          <w:tcPr>
            <w:tcW w:w="5680" w:type="dxa"/>
            <w:noWrap w:val="0"/>
            <w:vAlign w:val="center"/>
          </w:tcPr>
          <w:p>
            <w:pPr>
              <w:snapToGrid w:val="0"/>
              <w:jc w:val="left"/>
              <w:rPr>
                <w:rFonts w:hint="eastAsia"/>
                <w:color w:val="000000"/>
                <w:szCs w:val="21"/>
                <w:highlight w:val="none"/>
              </w:rPr>
            </w:pPr>
            <w:r>
              <w:rPr>
                <w:rFonts w:hint="eastAsia"/>
                <w:color w:val="000000"/>
                <w:szCs w:val="21"/>
                <w:highlight w:val="none"/>
              </w:rPr>
              <w:t>根据投标人对于采购人项目需求的分析把握及了解程度的全面性、合理性酌情打分（6-10分），一般6.0-7.5分，较合理7.6-8.5分，合理8.6-10.0分，缺项不得分。</w:t>
            </w:r>
          </w:p>
        </w:tc>
        <w:tc>
          <w:tcPr>
            <w:tcW w:w="1092" w:type="dxa"/>
            <w:noWrap w:val="0"/>
            <w:vAlign w:val="center"/>
          </w:tcPr>
          <w:p>
            <w:pPr>
              <w:snapToGrid w:val="0"/>
              <w:jc w:val="center"/>
              <w:outlineLvl w:val="0"/>
              <w:rPr>
                <w:color w:val="000000"/>
                <w:szCs w:val="21"/>
                <w:highlight w:val="none"/>
              </w:rPr>
            </w:pPr>
            <w:r>
              <w:rPr>
                <w:rFonts w:hint="eastAsia"/>
                <w:color w:val="000000"/>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5" w:hRule="atLeast"/>
          <w:jc w:val="center"/>
        </w:trPr>
        <w:tc>
          <w:tcPr>
            <w:tcW w:w="711" w:type="dxa"/>
            <w:noWrap w:val="0"/>
            <w:vAlign w:val="center"/>
          </w:tcPr>
          <w:p>
            <w:pPr>
              <w:snapToGrid w:val="0"/>
              <w:jc w:val="center"/>
              <w:outlineLvl w:val="0"/>
              <w:rPr>
                <w:rFonts w:hint="eastAsia"/>
                <w:color w:val="000000"/>
                <w:szCs w:val="21"/>
                <w:highlight w:val="none"/>
              </w:rPr>
            </w:pPr>
            <w:r>
              <w:rPr>
                <w:rFonts w:hint="eastAsia"/>
                <w:color w:val="000000"/>
                <w:szCs w:val="21"/>
                <w:highlight w:val="none"/>
              </w:rPr>
              <w:t>2</w:t>
            </w:r>
          </w:p>
        </w:tc>
        <w:tc>
          <w:tcPr>
            <w:tcW w:w="1132" w:type="dxa"/>
            <w:noWrap w:val="0"/>
            <w:vAlign w:val="center"/>
          </w:tcPr>
          <w:p>
            <w:pPr>
              <w:snapToGrid w:val="0"/>
              <w:jc w:val="center"/>
              <w:outlineLvl w:val="0"/>
              <w:rPr>
                <w:rFonts w:hint="eastAsia"/>
                <w:color w:val="000000"/>
                <w:szCs w:val="21"/>
                <w:highlight w:val="none"/>
              </w:rPr>
            </w:pPr>
            <w:r>
              <w:rPr>
                <w:rFonts w:hint="eastAsia"/>
                <w:color w:val="000000"/>
                <w:szCs w:val="21"/>
                <w:highlight w:val="none"/>
              </w:rPr>
              <w:t>项目重难点分析及解决方案</w:t>
            </w:r>
          </w:p>
        </w:tc>
        <w:tc>
          <w:tcPr>
            <w:tcW w:w="5680" w:type="dxa"/>
            <w:noWrap w:val="0"/>
            <w:vAlign w:val="center"/>
          </w:tcPr>
          <w:p>
            <w:pPr>
              <w:snapToGrid w:val="0"/>
              <w:jc w:val="left"/>
              <w:rPr>
                <w:rFonts w:hint="eastAsia"/>
                <w:color w:val="000000"/>
                <w:szCs w:val="21"/>
                <w:highlight w:val="none"/>
              </w:rPr>
            </w:pPr>
            <w:r>
              <w:rPr>
                <w:rFonts w:hint="eastAsia"/>
                <w:color w:val="000000"/>
                <w:szCs w:val="21"/>
                <w:highlight w:val="none"/>
              </w:rPr>
              <w:t>（1）根据投标人对于项目重难点分析的全面性、准确性酌情打分（3-6分），一般3.0-4.0分，较合理4.1-5.0分，合理5.1-6.0分，缺项不得分。</w:t>
            </w:r>
          </w:p>
          <w:p>
            <w:pPr>
              <w:snapToGrid w:val="0"/>
              <w:jc w:val="left"/>
              <w:rPr>
                <w:rFonts w:hint="eastAsia"/>
                <w:color w:val="000000"/>
                <w:szCs w:val="21"/>
                <w:highlight w:val="none"/>
              </w:rPr>
            </w:pPr>
            <w:r>
              <w:rPr>
                <w:rFonts w:hint="eastAsia"/>
                <w:color w:val="000000"/>
                <w:szCs w:val="21"/>
                <w:highlight w:val="none"/>
              </w:rPr>
              <w:t>（2）根据投标人对所列项目重难点解决方案的合理性、可实施性酌情打分（3-6分），一般3.0-4.0分，较合理4.1-5.0分，合理5.1-6.0分，缺项不得分。</w:t>
            </w:r>
          </w:p>
        </w:tc>
        <w:tc>
          <w:tcPr>
            <w:tcW w:w="1092" w:type="dxa"/>
            <w:noWrap w:val="0"/>
            <w:vAlign w:val="center"/>
          </w:tcPr>
          <w:p>
            <w:pPr>
              <w:snapToGrid w:val="0"/>
              <w:jc w:val="center"/>
              <w:outlineLvl w:val="0"/>
              <w:rPr>
                <w:color w:val="000000"/>
                <w:szCs w:val="21"/>
                <w:highlight w:val="none"/>
              </w:rPr>
            </w:pPr>
            <w:r>
              <w:rPr>
                <w:rFonts w:hint="eastAsia"/>
                <w:color w:val="000000"/>
                <w:szCs w:val="21"/>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711" w:type="dxa"/>
            <w:noWrap w:val="0"/>
            <w:vAlign w:val="center"/>
          </w:tcPr>
          <w:p>
            <w:pPr>
              <w:snapToGrid w:val="0"/>
              <w:jc w:val="center"/>
              <w:outlineLvl w:val="0"/>
              <w:rPr>
                <w:color w:val="000000"/>
                <w:szCs w:val="21"/>
                <w:highlight w:val="none"/>
              </w:rPr>
            </w:pPr>
            <w:r>
              <w:rPr>
                <w:rFonts w:hint="eastAsia"/>
                <w:color w:val="000000"/>
                <w:szCs w:val="21"/>
                <w:highlight w:val="none"/>
              </w:rPr>
              <w:t>3.1</w:t>
            </w:r>
          </w:p>
        </w:tc>
        <w:tc>
          <w:tcPr>
            <w:tcW w:w="1132" w:type="dxa"/>
            <w:vMerge w:val="restart"/>
            <w:noWrap w:val="0"/>
            <w:vAlign w:val="center"/>
          </w:tcPr>
          <w:p>
            <w:pPr>
              <w:snapToGrid w:val="0"/>
              <w:jc w:val="center"/>
              <w:outlineLvl w:val="0"/>
              <w:rPr>
                <w:color w:val="000000"/>
                <w:szCs w:val="21"/>
                <w:highlight w:val="none"/>
              </w:rPr>
            </w:pPr>
            <w:r>
              <w:rPr>
                <w:rFonts w:hint="eastAsia"/>
                <w:color w:val="000000"/>
                <w:szCs w:val="21"/>
                <w:highlight w:val="none"/>
              </w:rPr>
              <w:t>实施方案</w:t>
            </w:r>
          </w:p>
        </w:tc>
        <w:tc>
          <w:tcPr>
            <w:tcW w:w="5680" w:type="dxa"/>
            <w:noWrap w:val="0"/>
            <w:vAlign w:val="center"/>
          </w:tcPr>
          <w:p>
            <w:pPr>
              <w:snapToGrid w:val="0"/>
              <w:jc w:val="left"/>
              <w:outlineLvl w:val="0"/>
              <w:rPr>
                <w:color w:val="000000"/>
                <w:szCs w:val="21"/>
                <w:highlight w:val="none"/>
              </w:rPr>
            </w:pPr>
            <w:r>
              <w:rPr>
                <w:rFonts w:hint="eastAsia"/>
                <w:color w:val="000000"/>
                <w:szCs w:val="21"/>
                <w:highlight w:val="none"/>
              </w:rPr>
              <w:t>根据投标人对本项目小修的巡查制度安排，包括内容、频率、方法等计划的全面性、可行性进行酌情打分（6-10分），一般6.0-7.5分，较合理7.6-8.5分，合理8.6-10.0分，缺项不得分。</w:t>
            </w:r>
          </w:p>
        </w:tc>
        <w:tc>
          <w:tcPr>
            <w:tcW w:w="1092" w:type="dxa"/>
            <w:noWrap w:val="0"/>
            <w:vAlign w:val="center"/>
          </w:tcPr>
          <w:p>
            <w:pPr>
              <w:snapToGrid w:val="0"/>
              <w:jc w:val="center"/>
              <w:outlineLvl w:val="0"/>
              <w:rPr>
                <w:color w:val="000000"/>
                <w:szCs w:val="21"/>
                <w:highlight w:val="none"/>
              </w:rPr>
            </w:pPr>
            <w:r>
              <w:rPr>
                <w:rFonts w:hint="eastAsia"/>
                <w:color w:val="000000"/>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711" w:type="dxa"/>
            <w:noWrap w:val="0"/>
            <w:vAlign w:val="center"/>
          </w:tcPr>
          <w:p>
            <w:pPr>
              <w:snapToGrid w:val="0"/>
              <w:jc w:val="center"/>
              <w:outlineLvl w:val="0"/>
              <w:rPr>
                <w:color w:val="000000"/>
                <w:szCs w:val="21"/>
                <w:highlight w:val="none"/>
              </w:rPr>
            </w:pPr>
            <w:r>
              <w:rPr>
                <w:rFonts w:hint="eastAsia"/>
                <w:color w:val="000000"/>
                <w:szCs w:val="21"/>
                <w:highlight w:val="none"/>
              </w:rPr>
              <w:t>3.2</w:t>
            </w:r>
          </w:p>
        </w:tc>
        <w:tc>
          <w:tcPr>
            <w:tcW w:w="1132" w:type="dxa"/>
            <w:vMerge w:val="continue"/>
            <w:noWrap w:val="0"/>
            <w:vAlign w:val="center"/>
          </w:tcPr>
          <w:p>
            <w:pPr>
              <w:snapToGrid w:val="0"/>
              <w:jc w:val="center"/>
              <w:outlineLvl w:val="0"/>
              <w:rPr>
                <w:color w:val="000000"/>
                <w:szCs w:val="21"/>
                <w:highlight w:val="none"/>
              </w:rPr>
            </w:pPr>
          </w:p>
        </w:tc>
        <w:tc>
          <w:tcPr>
            <w:tcW w:w="5680" w:type="dxa"/>
            <w:noWrap w:val="0"/>
            <w:vAlign w:val="center"/>
          </w:tcPr>
          <w:p>
            <w:pPr>
              <w:snapToGrid w:val="0"/>
              <w:jc w:val="left"/>
              <w:outlineLvl w:val="0"/>
              <w:rPr>
                <w:color w:val="000000"/>
                <w:szCs w:val="21"/>
                <w:highlight w:val="none"/>
              </w:rPr>
            </w:pPr>
            <w:r>
              <w:rPr>
                <w:rFonts w:hint="eastAsia"/>
                <w:color w:val="000000"/>
                <w:szCs w:val="21"/>
                <w:highlight w:val="none"/>
              </w:rPr>
              <w:t>根据投标人的施工组织机构进行酌情打分（6-10分），一般6.0-7.5分，较合理7.6-8.5分，合理8.6-10.0分，缺项不得分。</w:t>
            </w:r>
          </w:p>
        </w:tc>
        <w:tc>
          <w:tcPr>
            <w:tcW w:w="1092" w:type="dxa"/>
            <w:noWrap w:val="0"/>
            <w:vAlign w:val="center"/>
          </w:tcPr>
          <w:p>
            <w:pPr>
              <w:jc w:val="center"/>
              <w:rPr>
                <w:color w:val="000000"/>
                <w:szCs w:val="22"/>
                <w:highlight w:val="none"/>
              </w:rPr>
            </w:pPr>
            <w:r>
              <w:rPr>
                <w:rFonts w:hint="eastAsia"/>
                <w:color w:val="000000"/>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jc w:val="center"/>
        </w:trPr>
        <w:tc>
          <w:tcPr>
            <w:tcW w:w="711" w:type="dxa"/>
            <w:noWrap w:val="0"/>
            <w:vAlign w:val="center"/>
          </w:tcPr>
          <w:p>
            <w:pPr>
              <w:snapToGrid w:val="0"/>
              <w:jc w:val="center"/>
              <w:outlineLvl w:val="0"/>
              <w:rPr>
                <w:color w:val="000000"/>
                <w:szCs w:val="21"/>
                <w:highlight w:val="none"/>
              </w:rPr>
            </w:pPr>
            <w:r>
              <w:rPr>
                <w:rFonts w:hint="eastAsia"/>
                <w:color w:val="000000"/>
                <w:szCs w:val="21"/>
                <w:highlight w:val="none"/>
              </w:rPr>
              <w:t>3.3</w:t>
            </w:r>
          </w:p>
        </w:tc>
        <w:tc>
          <w:tcPr>
            <w:tcW w:w="1132" w:type="dxa"/>
            <w:vMerge w:val="continue"/>
            <w:noWrap w:val="0"/>
            <w:vAlign w:val="center"/>
          </w:tcPr>
          <w:p>
            <w:pPr>
              <w:snapToGrid w:val="0"/>
              <w:jc w:val="center"/>
              <w:outlineLvl w:val="0"/>
              <w:rPr>
                <w:color w:val="000000"/>
                <w:szCs w:val="21"/>
                <w:highlight w:val="none"/>
              </w:rPr>
            </w:pPr>
          </w:p>
        </w:tc>
        <w:tc>
          <w:tcPr>
            <w:tcW w:w="5680" w:type="dxa"/>
            <w:noWrap w:val="0"/>
            <w:vAlign w:val="center"/>
          </w:tcPr>
          <w:p>
            <w:pPr>
              <w:snapToGrid w:val="0"/>
              <w:jc w:val="left"/>
              <w:outlineLvl w:val="0"/>
              <w:rPr>
                <w:color w:val="000000"/>
                <w:szCs w:val="21"/>
                <w:highlight w:val="none"/>
              </w:rPr>
            </w:pPr>
            <w:r>
              <w:rPr>
                <w:rFonts w:hint="eastAsia"/>
                <w:color w:val="000000"/>
                <w:szCs w:val="21"/>
                <w:highlight w:val="none"/>
              </w:rPr>
              <w:t>根据投标人质量控制保证措施的科学性、有效性进行酌情打分（6-10分），一般6.0-7.5分，较合理7.6-8.5分，合理8.6-10.0分，缺项不得分。</w:t>
            </w:r>
          </w:p>
        </w:tc>
        <w:tc>
          <w:tcPr>
            <w:tcW w:w="1092" w:type="dxa"/>
            <w:noWrap w:val="0"/>
            <w:vAlign w:val="center"/>
          </w:tcPr>
          <w:p>
            <w:pPr>
              <w:jc w:val="center"/>
              <w:rPr>
                <w:color w:val="000000"/>
                <w:szCs w:val="22"/>
                <w:highlight w:val="none"/>
              </w:rPr>
            </w:pPr>
            <w:r>
              <w:rPr>
                <w:rFonts w:hint="eastAsia"/>
                <w:color w:val="000000"/>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jc w:val="center"/>
        </w:trPr>
        <w:tc>
          <w:tcPr>
            <w:tcW w:w="711" w:type="dxa"/>
            <w:noWrap w:val="0"/>
            <w:vAlign w:val="center"/>
          </w:tcPr>
          <w:p>
            <w:pPr>
              <w:snapToGrid w:val="0"/>
              <w:jc w:val="center"/>
              <w:outlineLvl w:val="0"/>
              <w:rPr>
                <w:color w:val="000000"/>
                <w:szCs w:val="21"/>
                <w:highlight w:val="none"/>
              </w:rPr>
            </w:pPr>
            <w:r>
              <w:rPr>
                <w:rFonts w:hint="eastAsia"/>
                <w:color w:val="000000"/>
                <w:szCs w:val="21"/>
                <w:highlight w:val="none"/>
              </w:rPr>
              <w:t>3.4</w:t>
            </w:r>
          </w:p>
        </w:tc>
        <w:tc>
          <w:tcPr>
            <w:tcW w:w="1132" w:type="dxa"/>
            <w:vMerge w:val="continue"/>
            <w:noWrap w:val="0"/>
            <w:vAlign w:val="center"/>
          </w:tcPr>
          <w:p>
            <w:pPr>
              <w:snapToGrid w:val="0"/>
              <w:jc w:val="center"/>
              <w:outlineLvl w:val="0"/>
              <w:rPr>
                <w:color w:val="000000"/>
                <w:szCs w:val="21"/>
                <w:highlight w:val="none"/>
              </w:rPr>
            </w:pPr>
          </w:p>
        </w:tc>
        <w:tc>
          <w:tcPr>
            <w:tcW w:w="5680" w:type="dxa"/>
            <w:noWrap w:val="0"/>
            <w:vAlign w:val="center"/>
          </w:tcPr>
          <w:p>
            <w:pPr>
              <w:snapToGrid w:val="0"/>
              <w:jc w:val="left"/>
              <w:outlineLvl w:val="0"/>
              <w:rPr>
                <w:color w:val="000000"/>
                <w:szCs w:val="21"/>
                <w:highlight w:val="none"/>
              </w:rPr>
            </w:pPr>
            <w:r>
              <w:rPr>
                <w:rFonts w:hint="eastAsia"/>
                <w:color w:val="000000"/>
                <w:szCs w:val="21"/>
                <w:highlight w:val="none"/>
              </w:rPr>
              <w:t>根据投标人对本项目质量、进度、目标的承诺进行酌情打分（6-10分），一般6.0-7.5分，较合理7.6-8.5分，合理8.6-10.0分，缺项不得分。</w:t>
            </w:r>
          </w:p>
        </w:tc>
        <w:tc>
          <w:tcPr>
            <w:tcW w:w="1092" w:type="dxa"/>
            <w:noWrap w:val="0"/>
            <w:vAlign w:val="center"/>
          </w:tcPr>
          <w:p>
            <w:pPr>
              <w:jc w:val="center"/>
              <w:rPr>
                <w:color w:val="000000"/>
                <w:szCs w:val="22"/>
                <w:highlight w:val="none"/>
              </w:rPr>
            </w:pPr>
            <w:r>
              <w:rPr>
                <w:rFonts w:hint="eastAsia"/>
                <w:color w:val="000000"/>
                <w:szCs w:val="21"/>
                <w:highlight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6" w:hRule="atLeast"/>
          <w:jc w:val="center"/>
        </w:trPr>
        <w:tc>
          <w:tcPr>
            <w:tcW w:w="711" w:type="dxa"/>
            <w:noWrap w:val="0"/>
            <w:vAlign w:val="center"/>
          </w:tcPr>
          <w:p>
            <w:pPr>
              <w:snapToGrid w:val="0"/>
              <w:jc w:val="center"/>
              <w:outlineLvl w:val="0"/>
              <w:rPr>
                <w:rFonts w:hint="eastAsia"/>
                <w:color w:val="000000"/>
                <w:szCs w:val="21"/>
                <w:highlight w:val="none"/>
              </w:rPr>
            </w:pPr>
            <w:r>
              <w:rPr>
                <w:rFonts w:hint="eastAsia"/>
                <w:color w:val="000000"/>
                <w:szCs w:val="21"/>
                <w:highlight w:val="none"/>
              </w:rPr>
              <w:t>4</w:t>
            </w:r>
          </w:p>
        </w:tc>
        <w:tc>
          <w:tcPr>
            <w:tcW w:w="1132" w:type="dxa"/>
            <w:noWrap w:val="0"/>
            <w:vAlign w:val="center"/>
          </w:tcPr>
          <w:p>
            <w:pPr>
              <w:snapToGrid w:val="0"/>
              <w:jc w:val="center"/>
              <w:outlineLvl w:val="0"/>
              <w:rPr>
                <w:color w:val="000000"/>
                <w:szCs w:val="21"/>
                <w:highlight w:val="none"/>
              </w:rPr>
            </w:pPr>
            <w:r>
              <w:rPr>
                <w:color w:val="000000"/>
                <w:szCs w:val="21"/>
                <w:highlight w:val="none"/>
              </w:rPr>
              <w:t>增值服务</w:t>
            </w:r>
          </w:p>
        </w:tc>
        <w:tc>
          <w:tcPr>
            <w:tcW w:w="5680" w:type="dxa"/>
            <w:noWrap w:val="0"/>
            <w:vAlign w:val="center"/>
          </w:tcPr>
          <w:p>
            <w:pPr>
              <w:snapToGrid w:val="0"/>
              <w:jc w:val="left"/>
              <w:outlineLvl w:val="0"/>
              <w:rPr>
                <w:rFonts w:hint="eastAsia"/>
                <w:color w:val="000000"/>
                <w:szCs w:val="21"/>
                <w:highlight w:val="none"/>
              </w:rPr>
            </w:pPr>
            <w:r>
              <w:rPr>
                <w:color w:val="000000"/>
                <w:szCs w:val="21"/>
                <w:highlight w:val="none"/>
              </w:rPr>
              <w:t>根据投标人针对本项目的服务承诺：服务响应时间、增值服务等情况综合评分。</w:t>
            </w:r>
            <w:r>
              <w:rPr>
                <w:rFonts w:hint="eastAsia"/>
                <w:color w:val="000000"/>
                <w:szCs w:val="21"/>
                <w:highlight w:val="none"/>
              </w:rPr>
              <w:t>（7-12分），一般7.0-9.0分，较合理9.1-10.5分，合理10.6.-12.0分，缺项不得分。</w:t>
            </w:r>
          </w:p>
        </w:tc>
        <w:tc>
          <w:tcPr>
            <w:tcW w:w="1092" w:type="dxa"/>
            <w:noWrap w:val="0"/>
            <w:vAlign w:val="center"/>
          </w:tcPr>
          <w:p>
            <w:pPr>
              <w:jc w:val="center"/>
              <w:rPr>
                <w:color w:val="000000"/>
                <w:szCs w:val="21"/>
                <w:highlight w:val="none"/>
              </w:rPr>
            </w:pPr>
            <w:r>
              <w:rPr>
                <w:rFonts w:hint="eastAsia"/>
                <w:color w:val="000000"/>
                <w:szCs w:val="21"/>
                <w:highlight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3" w:hRule="atLeast"/>
          <w:jc w:val="center"/>
        </w:trPr>
        <w:tc>
          <w:tcPr>
            <w:tcW w:w="711" w:type="dxa"/>
            <w:noWrap w:val="0"/>
            <w:vAlign w:val="center"/>
          </w:tcPr>
          <w:p>
            <w:pPr>
              <w:snapToGrid w:val="0"/>
              <w:jc w:val="center"/>
              <w:outlineLvl w:val="0"/>
              <w:rPr>
                <w:rFonts w:hint="eastAsia"/>
                <w:color w:val="000000"/>
                <w:szCs w:val="21"/>
                <w:highlight w:val="none"/>
              </w:rPr>
            </w:pPr>
            <w:r>
              <w:rPr>
                <w:rFonts w:hint="eastAsia"/>
                <w:color w:val="000000"/>
                <w:szCs w:val="21"/>
                <w:highlight w:val="none"/>
              </w:rPr>
              <w:t>5</w:t>
            </w:r>
          </w:p>
        </w:tc>
        <w:tc>
          <w:tcPr>
            <w:tcW w:w="1132" w:type="dxa"/>
            <w:noWrap w:val="0"/>
            <w:vAlign w:val="center"/>
          </w:tcPr>
          <w:p>
            <w:pPr>
              <w:snapToGrid w:val="0"/>
              <w:jc w:val="center"/>
              <w:outlineLvl w:val="0"/>
              <w:rPr>
                <w:color w:val="000000"/>
                <w:szCs w:val="21"/>
                <w:highlight w:val="none"/>
              </w:rPr>
            </w:pPr>
            <w:r>
              <w:rPr>
                <w:rFonts w:hint="eastAsia"/>
                <w:color w:val="000000"/>
                <w:szCs w:val="21"/>
                <w:highlight w:val="none"/>
              </w:rPr>
              <w:t>标书编制</w:t>
            </w:r>
          </w:p>
        </w:tc>
        <w:tc>
          <w:tcPr>
            <w:tcW w:w="5680" w:type="dxa"/>
            <w:noWrap w:val="0"/>
            <w:vAlign w:val="center"/>
          </w:tcPr>
          <w:p>
            <w:pPr>
              <w:snapToGrid w:val="0"/>
              <w:jc w:val="left"/>
              <w:outlineLvl w:val="0"/>
              <w:rPr>
                <w:b/>
                <w:color w:val="000000"/>
                <w:szCs w:val="21"/>
                <w:highlight w:val="none"/>
              </w:rPr>
            </w:pPr>
            <w:bookmarkStart w:id="269" w:name="_GoBack"/>
            <w:r>
              <w:rPr>
                <w:rFonts w:hint="eastAsia"/>
                <w:color w:val="000000"/>
                <w:szCs w:val="21"/>
                <w:highlight w:val="none"/>
              </w:rPr>
              <w:t>根据投标文件质量编制完整性，格式规范性进行酌情打分</w:t>
            </w:r>
            <w:r>
              <w:rPr>
                <w:rFonts w:hint="eastAsia"/>
                <w:color w:val="000000"/>
                <w:szCs w:val="21"/>
                <w:highlight w:val="none"/>
                <w:lang w:eastAsia="zh-CN"/>
              </w:rPr>
              <w:t>，</w:t>
            </w:r>
            <w:r>
              <w:rPr>
                <w:rFonts w:hint="eastAsia"/>
                <w:color w:val="auto"/>
                <w:szCs w:val="21"/>
                <w:highlight w:val="none"/>
              </w:rPr>
              <w:t>缺项不得分</w:t>
            </w:r>
            <w:r>
              <w:rPr>
                <w:rFonts w:hint="eastAsia"/>
                <w:color w:val="000000"/>
                <w:szCs w:val="21"/>
                <w:highlight w:val="none"/>
              </w:rPr>
              <w:t>。（2-4分）</w:t>
            </w:r>
            <w:bookmarkEnd w:id="269"/>
          </w:p>
        </w:tc>
        <w:tc>
          <w:tcPr>
            <w:tcW w:w="1092" w:type="dxa"/>
            <w:noWrap w:val="0"/>
            <w:vAlign w:val="center"/>
          </w:tcPr>
          <w:p>
            <w:pPr>
              <w:jc w:val="center"/>
              <w:rPr>
                <w:rFonts w:hint="eastAsia"/>
                <w:color w:val="000000"/>
                <w:szCs w:val="21"/>
                <w:highlight w:val="none"/>
              </w:rPr>
            </w:pPr>
            <w:r>
              <w:rPr>
                <w:rFonts w:hint="eastAsia"/>
                <w:color w:val="000000"/>
                <w:szCs w:val="21"/>
                <w:highlight w:val="none"/>
              </w:rPr>
              <w:t>4</w:t>
            </w:r>
          </w:p>
        </w:tc>
      </w:tr>
    </w:tbl>
    <w:p>
      <w:pPr>
        <w:widowControl/>
        <w:jc w:val="left"/>
        <w:rPr>
          <w:rFonts w:ascii="Times New Roman" w:hAnsi="Times New Roman"/>
          <w:b/>
          <w:color w:val="000000"/>
          <w:highlight w:val="none"/>
        </w:rPr>
      </w:pPr>
      <w:r>
        <w:rPr>
          <w:rFonts w:hint="eastAsia" w:ascii="Times New Roman" w:hAnsi="Times New Roman"/>
          <w:b/>
          <w:color w:val="000000"/>
          <w:highlight w:val="none"/>
        </w:rPr>
        <w:t>（三）商务资信及其他</w:t>
      </w:r>
      <w:r>
        <w:rPr>
          <w:rFonts w:hint="eastAsia" w:ascii="Times New Roman" w:hAnsi="Times New Roman"/>
          <w:b/>
          <w:bCs/>
          <w:color w:val="000000"/>
          <w:highlight w:val="none"/>
        </w:rPr>
        <w:t>分（</w:t>
      </w:r>
      <w:r>
        <w:rPr>
          <w:rFonts w:ascii="Times New Roman" w:hAnsi="Times New Roman"/>
          <w:b/>
          <w:bCs/>
          <w:color w:val="000000"/>
          <w:highlight w:val="none"/>
        </w:rPr>
        <w:t>0-</w:t>
      </w:r>
      <w:r>
        <w:rPr>
          <w:rFonts w:hint="eastAsia" w:ascii="Times New Roman" w:hAnsi="Times New Roman"/>
          <w:b/>
          <w:bCs/>
          <w:color w:val="000000"/>
          <w:highlight w:val="none"/>
          <w:lang w:val="en-US" w:eastAsia="zh-CN"/>
        </w:rPr>
        <w:t>2</w:t>
      </w:r>
      <w:r>
        <w:rPr>
          <w:rFonts w:hint="eastAsia" w:ascii="Times New Roman" w:hAnsi="Times New Roman"/>
          <w:b/>
          <w:bCs/>
          <w:color w:val="000000"/>
          <w:highlight w:val="none"/>
        </w:rPr>
        <w:t>分</w:t>
      </w:r>
      <w:r>
        <w:rPr>
          <w:rFonts w:hint="eastAsia" w:ascii="Times New Roman" w:hAnsi="Times New Roman"/>
          <w:b/>
          <w:color w:val="000000"/>
          <w:highlight w:val="none"/>
        </w:rPr>
        <w:t>）</w:t>
      </w:r>
    </w:p>
    <w:p>
      <w:pPr>
        <w:autoSpaceDE w:val="0"/>
        <w:autoSpaceDN w:val="0"/>
        <w:adjustRightInd w:val="0"/>
        <w:snapToGrid w:val="0"/>
        <w:spacing w:line="360" w:lineRule="auto"/>
        <w:ind w:firstLine="420" w:firstLineChars="200"/>
        <w:textAlignment w:val="bottom"/>
        <w:rPr>
          <w:color w:val="000000"/>
          <w:szCs w:val="21"/>
          <w:highlight w:val="none"/>
        </w:rPr>
      </w:pPr>
      <w:r>
        <w:rPr>
          <w:rFonts w:hint="eastAsia"/>
          <w:color w:val="000000"/>
          <w:szCs w:val="21"/>
          <w:highlight w:val="none"/>
        </w:rPr>
        <w:t>该评分分值由评标委员会统一打分。</w:t>
      </w:r>
    </w:p>
    <w:tbl>
      <w:tblPr>
        <w:tblStyle w:val="49"/>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6825"/>
        <w:gridCol w:w="1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highlight w:val="none"/>
              </w:rPr>
            </w:pPr>
            <w:r>
              <w:rPr>
                <w:rFonts w:hint="eastAsia"/>
                <w:b/>
                <w:szCs w:val="21"/>
                <w:highlight w:val="none"/>
              </w:rPr>
              <w:t>序号</w:t>
            </w:r>
          </w:p>
        </w:tc>
        <w:tc>
          <w:tcPr>
            <w:tcW w:w="68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highlight w:val="none"/>
              </w:rPr>
            </w:pPr>
            <w:r>
              <w:rPr>
                <w:rFonts w:hint="eastAsia"/>
                <w:b/>
                <w:szCs w:val="21"/>
                <w:highlight w:val="none"/>
              </w:rPr>
              <w:t>评分标准</w:t>
            </w:r>
          </w:p>
        </w:tc>
        <w:tc>
          <w:tcPr>
            <w:tcW w:w="11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
                <w:szCs w:val="21"/>
                <w:highlight w:val="none"/>
              </w:rPr>
            </w:pPr>
            <w:r>
              <w:rPr>
                <w:rFonts w:hint="eastAsia"/>
                <w:b/>
                <w:szCs w:val="21"/>
                <w:highlight w:val="none"/>
              </w:rPr>
              <w:t>最高得分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76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highlight w:val="none"/>
              </w:rPr>
            </w:pPr>
            <w:r>
              <w:rPr>
                <w:rFonts w:hint="eastAsia"/>
                <w:b/>
                <w:color w:val="000000"/>
                <w:szCs w:val="21"/>
                <w:highlight w:val="none"/>
              </w:rPr>
              <w:t>1</w:t>
            </w:r>
          </w:p>
        </w:tc>
        <w:tc>
          <w:tcPr>
            <w:tcW w:w="682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default" w:eastAsia="宋体"/>
                <w:bCs/>
                <w:szCs w:val="21"/>
                <w:highlight w:val="none"/>
                <w:lang w:val="en-US" w:eastAsia="zh-CN"/>
              </w:rPr>
            </w:pPr>
            <w:r>
              <w:rPr>
                <w:rFonts w:hint="eastAsia"/>
                <w:color w:val="000000"/>
                <w:szCs w:val="21"/>
                <w:highlight w:val="none"/>
              </w:rPr>
              <w:t>自2018年7月1日以来成功完成单个项目的公路养护工程（不含新改建工程）沥青砼路面1000 m³以上（即须同时体现：①路面为沥青砼路面②沥青砼1000m³以上；③在单个项目）的施工，1个得1分，满分2分。应附中标通知书，或合同协议书，或由发包人或主管部门或质量监督机构出具的公路工程（标段）竣（交）工验收证明文件，如上述资料中均未体现工程规模、技术标准、主要工程内容的等内容的，则还须提供项目发包人或项目质量管理部门或项目所在地行发包人管部门出具的证明材料）清晰可辨的复印件。</w:t>
            </w:r>
            <w:r>
              <w:rPr>
                <w:rFonts w:hint="eastAsia"/>
                <w:color w:val="000000"/>
                <w:szCs w:val="21"/>
                <w:highlight w:val="none"/>
                <w:lang w:val="en-US" w:eastAsia="zh-CN"/>
              </w:rPr>
              <w:t>投标人提供的证明材料为中标通知书</w:t>
            </w:r>
            <w:r>
              <w:rPr>
                <w:rFonts w:hint="eastAsia"/>
                <w:color w:val="000000"/>
                <w:szCs w:val="21"/>
                <w:highlight w:val="none"/>
              </w:rPr>
              <w:t>或合同协议书或由发包人或主管部门或质量监督机构出具的公路工程（标段）竣（交）工验收证明文件</w:t>
            </w:r>
            <w:r>
              <w:rPr>
                <w:rFonts w:hint="eastAsia"/>
                <w:color w:val="000000"/>
                <w:szCs w:val="21"/>
                <w:highlight w:val="none"/>
                <w:lang w:val="en-US" w:eastAsia="zh-CN"/>
              </w:rPr>
              <w:t>三者之一的，时间已该证明材料上的时间为准，如为三者中两个及以上的，提供的上述任一证明材料能体现为</w:t>
            </w:r>
            <w:r>
              <w:rPr>
                <w:rFonts w:hint="eastAsia"/>
                <w:color w:val="000000"/>
                <w:szCs w:val="21"/>
                <w:highlight w:val="none"/>
              </w:rPr>
              <w:t>2018年7月1日以来</w:t>
            </w:r>
            <w:r>
              <w:rPr>
                <w:rFonts w:hint="eastAsia"/>
                <w:color w:val="000000"/>
                <w:szCs w:val="21"/>
                <w:highlight w:val="none"/>
                <w:lang w:eastAsia="zh-CN"/>
              </w:rPr>
              <w:t>的</w:t>
            </w:r>
            <w:r>
              <w:rPr>
                <w:rFonts w:hint="eastAsia"/>
                <w:color w:val="000000"/>
                <w:szCs w:val="21"/>
                <w:highlight w:val="none"/>
                <w:lang w:val="en-US" w:eastAsia="zh-CN"/>
              </w:rPr>
              <w:t>业绩均予以认可。</w:t>
            </w:r>
          </w:p>
        </w:tc>
        <w:tc>
          <w:tcPr>
            <w:tcW w:w="117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bCs/>
                <w:szCs w:val="21"/>
                <w:highlight w:val="none"/>
              </w:rPr>
            </w:pPr>
            <w:r>
              <w:rPr>
                <w:rFonts w:hint="eastAsia"/>
                <w:b/>
                <w:color w:val="000000"/>
                <w:szCs w:val="21"/>
                <w:highlight w:val="none"/>
              </w:rPr>
              <w:t>2</w:t>
            </w:r>
          </w:p>
        </w:tc>
      </w:tr>
    </w:tbl>
    <w:p>
      <w:pPr>
        <w:pStyle w:val="28"/>
        <w:snapToGrid w:val="0"/>
        <w:spacing w:before="120" w:line="360" w:lineRule="auto"/>
        <w:outlineLvl w:val="0"/>
        <w:rPr>
          <w:rFonts w:ascii="Times New Roman" w:hAnsi="Times New Roman" w:cs="宋体"/>
          <w:b/>
          <w:color w:val="000000"/>
          <w:kern w:val="0"/>
          <w:sz w:val="21"/>
          <w:szCs w:val="21"/>
          <w:highlight w:val="none"/>
        </w:rPr>
      </w:pPr>
      <w:r>
        <w:rPr>
          <w:rFonts w:hint="eastAsia" w:ascii="Times New Roman" w:hAnsi="Times New Roman" w:cs="宋体"/>
          <w:b/>
          <w:color w:val="000000"/>
          <w:sz w:val="21"/>
          <w:szCs w:val="21"/>
          <w:highlight w:val="none"/>
        </w:rPr>
        <w:t>注：以上所涉及项目，若附件格式未提供，请自行设计格式装订于投标文件中。建议在制作投标文件时，在目录后附一个评分索引表，方便查找。</w:t>
      </w:r>
    </w:p>
    <w:p>
      <w:pPr>
        <w:widowControl/>
        <w:spacing w:line="360" w:lineRule="auto"/>
        <w:jc w:val="left"/>
        <w:rPr>
          <w:rFonts w:ascii="Times New Roman" w:hAnsi="Times New Roman" w:cs="宋体"/>
          <w:b/>
          <w:color w:val="000000"/>
          <w:kern w:val="0"/>
          <w:szCs w:val="21"/>
          <w:highlight w:val="none"/>
        </w:rPr>
        <w:sectPr>
          <w:pgSz w:w="11906" w:h="16838"/>
          <w:pgMar w:top="1474" w:right="1559" w:bottom="1247" w:left="1797" w:header="851" w:footer="851" w:gutter="0"/>
          <w:cols w:space="720" w:num="1"/>
        </w:sectPr>
      </w:pPr>
    </w:p>
    <w:bookmarkEnd w:id="262"/>
    <w:p>
      <w:pPr>
        <w:pStyle w:val="46"/>
        <w:rPr>
          <w:rFonts w:ascii="Times New Roman" w:hAnsi="Times New Roman"/>
          <w:color w:val="000000"/>
          <w:highlight w:val="none"/>
        </w:rPr>
      </w:pPr>
      <w:r>
        <w:rPr>
          <w:rFonts w:hint="eastAsia" w:ascii="Times New Roman" w:hAnsi="Times New Roman"/>
          <w:color w:val="000000"/>
          <w:highlight w:val="none"/>
        </w:rPr>
        <w:t>第五章</w:t>
      </w:r>
      <w:r>
        <w:rPr>
          <w:rFonts w:ascii="Times New Roman" w:hAnsi="Times New Roman"/>
          <w:color w:val="000000"/>
          <w:highlight w:val="none"/>
        </w:rPr>
        <w:t xml:space="preserve">  </w:t>
      </w:r>
      <w:r>
        <w:rPr>
          <w:rFonts w:hint="eastAsia" w:ascii="Times New Roman" w:hAnsi="Times New Roman"/>
          <w:color w:val="000000"/>
          <w:highlight w:val="none"/>
        </w:rPr>
        <w:t>嘉兴市政府采购合同（指引）</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Arial"/>
          <w:b/>
          <w:bCs/>
          <w:color w:val="000000"/>
          <w:kern w:val="0"/>
          <w:szCs w:val="21"/>
          <w:highlight w:val="non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Arial"/>
          <w:b/>
          <w:bCs/>
          <w:color w:val="000000"/>
          <w:kern w:val="0"/>
          <w:szCs w:val="21"/>
          <w:highlight w:val="none"/>
        </w:rPr>
      </w:pPr>
      <w:r>
        <w:rPr>
          <w:rFonts w:hint="eastAsia" w:ascii="Times New Roman" w:hAnsi="Times New Roman" w:cs="Arial"/>
          <w:b/>
          <w:bCs/>
          <w:color w:val="000000"/>
          <w:kern w:val="0"/>
          <w:szCs w:val="21"/>
          <w:highlight w:val="none"/>
        </w:rPr>
        <w:t>一、通用必备条款部分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招标编号：</w:t>
      </w:r>
      <w:r>
        <w:rPr>
          <w:rFonts w:ascii="Times New Roman" w:hAnsi="Times New Roman" w:cs="Arial"/>
          <w:color w:val="000000"/>
          <w:kern w:val="0"/>
          <w:szCs w:val="21"/>
          <w:highlight w:val="non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合同编号：</w:t>
      </w:r>
      <w:r>
        <w:rPr>
          <w:rFonts w:ascii="Times New Roman" w:hAnsi="Times New Roman" w:cs="Arial"/>
          <w:color w:val="000000"/>
          <w:kern w:val="0"/>
          <w:szCs w:val="21"/>
          <w:highlight w:val="non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政府采购计划（预算）确认书号：</w:t>
      </w:r>
      <w:r>
        <w:rPr>
          <w:rFonts w:ascii="Times New Roman" w:hAnsi="Times New Roman" w:cs="Arial"/>
          <w:color w:val="000000"/>
          <w:kern w:val="0"/>
          <w:szCs w:val="21"/>
          <w:highlight w:val="non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预算金额：</w:t>
      </w:r>
      <w:r>
        <w:rPr>
          <w:rFonts w:ascii="Times New Roman" w:hAnsi="Times New Roman" w:cs="Arial"/>
          <w:color w:val="000000"/>
          <w:kern w:val="0"/>
          <w:szCs w:val="21"/>
          <w:highlight w:val="none"/>
        </w:rPr>
        <w:t xml:space="preserve">     </w:t>
      </w:r>
      <w:r>
        <w:rPr>
          <w:rFonts w:hint="eastAsia" w:ascii="Times New Roman" w:hAnsi="Times New Roman" w:cs="Arial"/>
          <w:color w:val="000000"/>
          <w:kern w:val="0"/>
          <w:szCs w:val="21"/>
          <w:highlight w:val="none"/>
        </w:rPr>
        <w:t>万元</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采购人（以下称甲方）：</w:t>
      </w:r>
      <w:r>
        <w:rPr>
          <w:rFonts w:ascii="Times New Roman" w:hAnsi="Times New Roman" w:cs="Arial"/>
          <w:color w:val="000000"/>
          <w:kern w:val="0"/>
          <w:szCs w:val="21"/>
          <w:highlight w:val="non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供应商（以下称乙方）：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代理机构：</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采购方式：</w:t>
      </w:r>
      <w:r>
        <w:rPr>
          <w:rFonts w:ascii="Times New Roman" w:hAnsi="Times New Roman" w:cs="Arial"/>
          <w:color w:val="000000"/>
          <w:kern w:val="0"/>
          <w:szCs w:val="21"/>
          <w:highlight w:val="non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根据《中华人民共和国政府采购法》、《中华人民共和国民法典》等法律法规的规定，甲乙双方按照</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采购结果签订本合同。</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200"/>
        <w:jc w:val="left"/>
        <w:rPr>
          <w:rFonts w:ascii="Times New Roman" w:hAnsi="Times New Roman" w:cs="Arial"/>
          <w:color w:val="000000"/>
          <w:kern w:val="0"/>
          <w:szCs w:val="21"/>
          <w:highlight w:val="non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b/>
          <w:color w:val="000000"/>
          <w:kern w:val="0"/>
          <w:szCs w:val="21"/>
          <w:highlight w:val="none"/>
        </w:rPr>
      </w:pPr>
      <w:r>
        <w:rPr>
          <w:rFonts w:hint="eastAsia" w:ascii="Times New Roman" w:hAnsi="Times New Roman" w:cs="Arial"/>
          <w:b/>
          <w:color w:val="000000"/>
          <w:kern w:val="0"/>
          <w:szCs w:val="21"/>
          <w:highlight w:val="none"/>
        </w:rPr>
        <w:t>第一条</w:t>
      </w:r>
      <w:r>
        <w:rPr>
          <w:rFonts w:ascii="Times New Roman" w:hAnsi="Times New Roman" w:cs="Arial"/>
          <w:b/>
          <w:color w:val="000000"/>
          <w:kern w:val="0"/>
          <w:szCs w:val="21"/>
          <w:highlight w:val="none"/>
        </w:rPr>
        <w:t xml:space="preserve"> </w:t>
      </w:r>
      <w:r>
        <w:rPr>
          <w:rFonts w:hint="eastAsia" w:ascii="Times New Roman" w:hAnsi="Times New Roman" w:cs="Arial"/>
          <w:b/>
          <w:color w:val="000000"/>
          <w:kern w:val="0"/>
          <w:szCs w:val="21"/>
          <w:highlight w:val="none"/>
        </w:rPr>
        <w:t>合同组成</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本次政府采购活动的相关文件为本合同的组成部分，这些文件包括但不限于：</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）本合同文本；</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2</w:t>
      </w:r>
      <w:r>
        <w:rPr>
          <w:rFonts w:hint="eastAsia" w:ascii="Times New Roman" w:hAnsi="Times New Roman" w:cs="Arial"/>
          <w:color w:val="000000"/>
          <w:kern w:val="0"/>
          <w:szCs w:val="21"/>
          <w:highlight w:val="none"/>
        </w:rPr>
        <w:t>）采购文件与采购响应文件；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3</w:t>
      </w:r>
      <w:r>
        <w:rPr>
          <w:rFonts w:hint="eastAsia" w:ascii="Times New Roman" w:hAnsi="Times New Roman" w:cs="Arial"/>
          <w:color w:val="000000"/>
          <w:kern w:val="0"/>
          <w:szCs w:val="21"/>
          <w:highlight w:val="none"/>
        </w:rPr>
        <w:t>）中标或成交通知书；</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组成本合同的所有文件必须为书面形式。政府采购合同备案时，须提供以上（</w:t>
      </w: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3</w:t>
      </w:r>
      <w:r>
        <w:rPr>
          <w:rFonts w:hint="eastAsia" w:ascii="Times New Roman" w:hAnsi="Times New Roman" w:cs="Arial"/>
          <w:color w:val="000000"/>
          <w:kern w:val="0"/>
          <w:szCs w:val="21"/>
          <w:highlight w:val="none"/>
        </w:rPr>
        <w:t>）两项，如由社会中介机构代理，须提供代理协议，合同如有变更的，须提供变更协议。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b/>
          <w:color w:val="000000"/>
          <w:kern w:val="0"/>
          <w:szCs w:val="21"/>
          <w:highlight w:val="none"/>
        </w:rPr>
      </w:pPr>
      <w:r>
        <w:rPr>
          <w:rFonts w:hint="eastAsia" w:ascii="Times New Roman" w:hAnsi="Times New Roman" w:cs="Arial"/>
          <w:b/>
          <w:color w:val="000000"/>
          <w:kern w:val="0"/>
          <w:szCs w:val="21"/>
          <w:highlight w:val="none"/>
        </w:rPr>
        <w:t>第二条</w:t>
      </w:r>
      <w:r>
        <w:rPr>
          <w:rFonts w:ascii="Times New Roman" w:hAnsi="Times New Roman" w:cs="Arial"/>
          <w:b/>
          <w:color w:val="000000"/>
          <w:kern w:val="0"/>
          <w:szCs w:val="21"/>
          <w:highlight w:val="none"/>
        </w:rPr>
        <w:t xml:space="preserve"> </w:t>
      </w:r>
      <w:r>
        <w:rPr>
          <w:rFonts w:hint="eastAsia" w:ascii="Times New Roman" w:hAnsi="Times New Roman" w:cs="Arial"/>
          <w:b/>
          <w:color w:val="000000"/>
          <w:kern w:val="0"/>
          <w:szCs w:val="21"/>
          <w:highlight w:val="none"/>
        </w:rPr>
        <w:t>合同标的与相关内容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u w:val="single"/>
        </w:rPr>
      </w:pP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、本次采购的是</w:t>
      </w:r>
      <w:r>
        <w:rPr>
          <w:rFonts w:ascii="Times New Roman" w:hAnsi="Times New Roman" w:cs="Arial"/>
          <w:color w:val="000000"/>
          <w:kern w:val="0"/>
          <w:szCs w:val="21"/>
          <w:highlight w:val="none"/>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ascii="Times New Roman" w:hAnsi="Times New Roman" w:cs="Arial"/>
          <w:color w:val="000000"/>
          <w:kern w:val="0"/>
          <w:szCs w:val="21"/>
          <w:highlight w:val="none"/>
        </w:rPr>
        <w:t>2</w:t>
      </w:r>
      <w:r>
        <w:rPr>
          <w:rFonts w:hint="eastAsia" w:ascii="Times New Roman" w:hAnsi="Times New Roman" w:cs="Arial"/>
          <w:color w:val="000000"/>
          <w:kern w:val="0"/>
          <w:szCs w:val="21"/>
          <w:highlight w:val="none"/>
        </w:rPr>
        <w:t>、乙方是否属于中小微企业：□是□否</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u w:val="single"/>
        </w:rPr>
      </w:pPr>
      <w:r>
        <w:rPr>
          <w:rFonts w:ascii="Times New Roman" w:hAnsi="Times New Roman" w:cs="Arial"/>
          <w:color w:val="000000"/>
          <w:kern w:val="0"/>
          <w:szCs w:val="21"/>
          <w:highlight w:val="none"/>
        </w:rPr>
        <w:t>3</w:t>
      </w:r>
      <w:r>
        <w:rPr>
          <w:rFonts w:hint="eastAsia" w:ascii="Times New Roman" w:hAnsi="Times New Roman" w:cs="Arial"/>
          <w:color w:val="000000"/>
          <w:kern w:val="0"/>
          <w:szCs w:val="21"/>
          <w:highlight w:val="none"/>
        </w:rPr>
        <w:t>、服务内容：</w:t>
      </w:r>
      <w:r>
        <w:rPr>
          <w:rFonts w:ascii="Times New Roman" w:hAnsi="Times New Roman" w:cs="Arial"/>
          <w:color w:val="000000"/>
          <w:kern w:val="0"/>
          <w:szCs w:val="21"/>
          <w:highlight w:val="none"/>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b/>
          <w:color w:val="000000"/>
          <w:kern w:val="0"/>
          <w:szCs w:val="21"/>
          <w:highlight w:val="none"/>
        </w:rPr>
      </w:pPr>
      <w:r>
        <w:rPr>
          <w:rFonts w:hint="eastAsia" w:ascii="Times New Roman" w:hAnsi="Times New Roman" w:cs="Arial"/>
          <w:b/>
          <w:color w:val="000000"/>
          <w:kern w:val="0"/>
          <w:szCs w:val="21"/>
          <w:highlight w:val="none"/>
        </w:rPr>
        <w:t>第三条</w:t>
      </w:r>
      <w:r>
        <w:rPr>
          <w:rFonts w:ascii="Times New Roman" w:hAnsi="Times New Roman" w:cs="Arial"/>
          <w:b/>
          <w:color w:val="000000"/>
          <w:kern w:val="0"/>
          <w:szCs w:val="21"/>
          <w:highlight w:val="none"/>
        </w:rPr>
        <w:t xml:space="preserve"> </w:t>
      </w:r>
      <w:r>
        <w:rPr>
          <w:rFonts w:hint="eastAsia" w:ascii="Times New Roman" w:hAnsi="Times New Roman" w:cs="Arial"/>
          <w:b/>
          <w:color w:val="000000"/>
          <w:kern w:val="0"/>
          <w:szCs w:val="21"/>
          <w:highlight w:val="none"/>
        </w:rPr>
        <w:t>合同价款及付款方式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、本合同项下总价款为（大写）人民币</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。分项价款在“报价明细表”中明确。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ascii="Times New Roman" w:hAnsi="Times New Roman" w:cs="Arial"/>
          <w:color w:val="000000"/>
          <w:kern w:val="0"/>
          <w:szCs w:val="21"/>
          <w:highlight w:val="none"/>
        </w:rPr>
        <w:t>2</w:t>
      </w:r>
      <w:r>
        <w:rPr>
          <w:rFonts w:hint="eastAsia" w:ascii="Times New Roman" w:hAnsi="Times New Roman" w:cs="Arial"/>
          <w:color w:val="000000"/>
          <w:kern w:val="0"/>
          <w:szCs w:val="21"/>
          <w:highlight w:val="none"/>
        </w:rPr>
        <w:t>、本合同总价款包括完成项目服务所需的全部费用。</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ascii="Times New Roman" w:hAnsi="Times New Roman" w:cs="Arial"/>
          <w:color w:val="000000"/>
          <w:kern w:val="0"/>
          <w:szCs w:val="21"/>
          <w:highlight w:val="none"/>
        </w:rPr>
        <w:t>3</w:t>
      </w:r>
      <w:r>
        <w:rPr>
          <w:rFonts w:hint="eastAsia" w:ascii="Times New Roman" w:hAnsi="Times New Roman" w:cs="Arial"/>
          <w:color w:val="000000"/>
          <w:kern w:val="0"/>
          <w:szCs w:val="21"/>
          <w:highlight w:val="none"/>
        </w:rPr>
        <w:t>、本合同付款方式为以下第</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）本合同项下的采购资金系甲方自行支付，付款程序为</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2</w:t>
      </w:r>
      <w:r>
        <w:rPr>
          <w:rFonts w:hint="eastAsia" w:ascii="Times New Roman" w:hAnsi="Times New Roman" w:cs="Arial"/>
          <w:color w:val="000000"/>
          <w:kern w:val="0"/>
          <w:szCs w:val="21"/>
          <w:highlight w:val="none"/>
        </w:rPr>
        <w:t>）本合同项下的采购资金须财政直接支付，付款程序为</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3</w:t>
      </w:r>
      <w:r>
        <w:rPr>
          <w:rFonts w:hint="eastAsia" w:ascii="Times New Roman" w:hAnsi="Times New Roman" w:cs="Arial"/>
          <w:color w:val="000000"/>
          <w:kern w:val="0"/>
          <w:szCs w:val="21"/>
          <w:highlight w:val="none"/>
        </w:rPr>
        <w:t>）其他方式：</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ascii="Times New Roman" w:hAnsi="Times New Roman" w:cs="Arial"/>
          <w:color w:val="000000"/>
          <w:kern w:val="0"/>
          <w:szCs w:val="21"/>
          <w:highlight w:val="none"/>
        </w:rPr>
        <w:t>4</w:t>
      </w:r>
      <w:r>
        <w:rPr>
          <w:rFonts w:hint="eastAsia" w:ascii="Times New Roman" w:hAnsi="Times New Roman" w:cs="Arial"/>
          <w:color w:val="000000"/>
          <w:kern w:val="0"/>
          <w:szCs w:val="21"/>
          <w:highlight w:val="none"/>
        </w:rPr>
        <w:t>、本合同项下的采购资金付款进度按招标文件规定，未规定时按以下第</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项支付：</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）一次性付款：乙方合同履行达到</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（条件）时，一次性付款；</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2</w:t>
      </w:r>
      <w:r>
        <w:rPr>
          <w:rFonts w:hint="eastAsia" w:ascii="Times New Roman" w:hAnsi="Times New Roman" w:cs="Arial"/>
          <w:color w:val="000000"/>
          <w:kern w:val="0"/>
          <w:szCs w:val="21"/>
          <w:highlight w:val="none"/>
        </w:rPr>
        <w:t>）分期付款：</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时支付</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时支付</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时支付</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若收取了履约保证金，则不应重复设置尾款支付条件。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bookmarkStart w:id="263" w:name="_Hlk51575978"/>
      <w:r>
        <w:rPr>
          <w:rFonts w:ascii="Times New Roman" w:hAnsi="Times New Roman" w:cs="Arial"/>
          <w:color w:val="000000"/>
          <w:kern w:val="0"/>
          <w:szCs w:val="21"/>
          <w:highlight w:val="none"/>
        </w:rPr>
        <w:t>5</w:t>
      </w:r>
      <w:r>
        <w:rPr>
          <w:rFonts w:hint="eastAsia" w:ascii="Times New Roman" w:hAnsi="Times New Roman" w:cs="Arial"/>
          <w:color w:val="000000"/>
          <w:kern w:val="0"/>
          <w:szCs w:val="21"/>
          <w:highlight w:val="none"/>
        </w:rPr>
        <w:t>、乙方收款银行信息：</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账户名：</w:t>
      </w:r>
      <w:r>
        <w:rPr>
          <w:rFonts w:ascii="Times New Roman" w:hAnsi="Times New Roman" w:cs="Arial"/>
          <w:color w:val="000000"/>
          <w:kern w:val="0"/>
          <w:szCs w:val="21"/>
          <w:highlight w:val="none"/>
          <w:u w:val="singl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开户行：</w:t>
      </w:r>
      <w:r>
        <w:rPr>
          <w:rFonts w:ascii="Times New Roman" w:hAnsi="Times New Roman" w:cs="Arial"/>
          <w:color w:val="000000"/>
          <w:kern w:val="0"/>
          <w:szCs w:val="21"/>
          <w:highlight w:val="none"/>
          <w:u w:val="single"/>
        </w:rPr>
        <w:t xml:space="preserve">                 </w:t>
      </w:r>
      <w:r>
        <w:rPr>
          <w:rFonts w:ascii="Times New Roman" w:hAnsi="Times New Roman" w:cs="Arial"/>
          <w:color w:val="000000"/>
          <w:kern w:val="0"/>
          <w:szCs w:val="21"/>
          <w:highlight w:val="none"/>
        </w:rPr>
        <w:t xml:space="preserve">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账</w:t>
      </w:r>
      <w:r>
        <w:rPr>
          <w:rFonts w:ascii="Times New Roman" w:hAnsi="Times New Roman" w:cs="Arial"/>
          <w:color w:val="000000"/>
          <w:kern w:val="0"/>
          <w:szCs w:val="21"/>
          <w:highlight w:val="none"/>
        </w:rPr>
        <w:t xml:space="preserve">  </w:t>
      </w:r>
      <w:r>
        <w:rPr>
          <w:rFonts w:hint="eastAsia" w:ascii="Times New Roman" w:hAnsi="Times New Roman" w:cs="Arial"/>
          <w:color w:val="000000"/>
          <w:kern w:val="0"/>
          <w:szCs w:val="21"/>
          <w:highlight w:val="none"/>
        </w:rPr>
        <w:t>号：</w:t>
      </w:r>
      <w:r>
        <w:rPr>
          <w:rFonts w:ascii="Times New Roman" w:hAnsi="Times New Roman" w:cs="Arial"/>
          <w:color w:val="000000"/>
          <w:kern w:val="0"/>
          <w:szCs w:val="21"/>
          <w:highlight w:val="none"/>
          <w:u w:val="single"/>
        </w:rPr>
        <w:t xml:space="preserve">                  </w:t>
      </w:r>
      <w:bookmarkEnd w:id="263"/>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b/>
          <w:color w:val="000000"/>
          <w:kern w:val="0"/>
          <w:szCs w:val="21"/>
          <w:highlight w:val="none"/>
        </w:rPr>
      </w:pPr>
      <w:r>
        <w:rPr>
          <w:rFonts w:hint="eastAsia" w:ascii="Times New Roman" w:hAnsi="Times New Roman" w:cs="Arial"/>
          <w:b/>
          <w:color w:val="000000"/>
          <w:kern w:val="0"/>
          <w:szCs w:val="21"/>
          <w:highlight w:val="none"/>
        </w:rPr>
        <w:t>第四条</w:t>
      </w:r>
      <w:r>
        <w:rPr>
          <w:rFonts w:ascii="Times New Roman" w:hAnsi="Times New Roman" w:cs="Arial"/>
          <w:b/>
          <w:color w:val="000000"/>
          <w:kern w:val="0"/>
          <w:szCs w:val="21"/>
          <w:highlight w:val="none"/>
        </w:rPr>
        <w:t xml:space="preserve"> </w:t>
      </w:r>
      <w:r>
        <w:rPr>
          <w:rFonts w:hint="eastAsia" w:ascii="Times New Roman" w:hAnsi="Times New Roman" w:cs="Arial"/>
          <w:b/>
          <w:color w:val="000000"/>
          <w:kern w:val="0"/>
          <w:szCs w:val="21"/>
          <w:highlight w:val="none"/>
        </w:rPr>
        <w:t>履约保证金</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b/>
          <w:color w:val="000000"/>
          <w:kern w:val="0"/>
          <w:szCs w:val="21"/>
          <w:highlight w:val="none"/>
        </w:rPr>
      </w:pPr>
      <w:r>
        <w:rPr>
          <w:rFonts w:hint="eastAsia" w:ascii="Times New Roman" w:hAnsi="Times New Roman" w:cs="Arial"/>
          <w:color w:val="000000"/>
          <w:kern w:val="0"/>
          <w:szCs w:val="21"/>
          <w:highlight w:val="none"/>
        </w:rPr>
        <w:t>按以下第</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项处理：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、本项目设置履约保证金，乙方应于</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（时间）向甲方提交履约保证金</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元。履约保证金在</w:t>
      </w:r>
      <w:r>
        <w:rPr>
          <w:rFonts w:ascii="Times New Roman" w:hAnsi="Times New Roman" w:cs="Arial"/>
          <w:color w:val="000000"/>
          <w:kern w:val="0"/>
          <w:szCs w:val="21"/>
          <w:highlight w:val="none"/>
        </w:rPr>
        <w:t>_________</w:t>
      </w:r>
      <w:r>
        <w:rPr>
          <w:rFonts w:hint="eastAsia" w:ascii="Times New Roman" w:hAnsi="Times New Roman" w:cs="Arial"/>
          <w:color w:val="000000"/>
          <w:kern w:val="0"/>
          <w:szCs w:val="21"/>
          <w:highlight w:val="none"/>
        </w:rPr>
        <w:t>（时间）退还乙方。</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ascii="Times New Roman" w:hAnsi="Times New Roman" w:cs="Arial"/>
          <w:color w:val="000000"/>
          <w:kern w:val="0"/>
          <w:szCs w:val="21"/>
          <w:highlight w:val="none"/>
        </w:rPr>
        <w:t>2</w:t>
      </w:r>
      <w:r>
        <w:rPr>
          <w:rFonts w:hint="eastAsia" w:ascii="Times New Roman" w:hAnsi="Times New Roman" w:cs="Arial"/>
          <w:color w:val="000000"/>
          <w:kern w:val="0"/>
          <w:szCs w:val="21"/>
          <w:highlight w:val="none"/>
        </w:rPr>
        <w:t>、本项目不设置履约保证金。</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b/>
          <w:color w:val="000000"/>
          <w:kern w:val="0"/>
          <w:szCs w:val="21"/>
          <w:highlight w:val="none"/>
        </w:rPr>
      </w:pPr>
      <w:r>
        <w:rPr>
          <w:rFonts w:hint="eastAsia" w:ascii="Times New Roman" w:hAnsi="Times New Roman" w:cs="Arial"/>
          <w:b/>
          <w:color w:val="000000"/>
          <w:kern w:val="0"/>
          <w:szCs w:val="21"/>
          <w:highlight w:val="none"/>
        </w:rPr>
        <w:t>第五条</w:t>
      </w:r>
      <w:r>
        <w:rPr>
          <w:rFonts w:ascii="Times New Roman" w:hAnsi="Times New Roman" w:cs="Arial"/>
          <w:b/>
          <w:color w:val="000000"/>
          <w:kern w:val="0"/>
          <w:szCs w:val="21"/>
          <w:highlight w:val="none"/>
        </w:rPr>
        <w:t xml:space="preserve"> </w:t>
      </w:r>
      <w:r>
        <w:rPr>
          <w:rFonts w:hint="eastAsia" w:ascii="Times New Roman" w:hAnsi="Times New Roman" w:cs="Arial"/>
          <w:b/>
          <w:color w:val="000000"/>
          <w:kern w:val="0"/>
          <w:szCs w:val="21"/>
          <w:highlight w:val="none"/>
        </w:rPr>
        <w:t>合同的变更和终止</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除《政府采购法》第</w:t>
      </w:r>
      <w:r>
        <w:rPr>
          <w:rFonts w:ascii="Times New Roman" w:hAnsi="Times New Roman" w:cs="Arial"/>
          <w:color w:val="000000"/>
          <w:kern w:val="0"/>
          <w:szCs w:val="21"/>
          <w:highlight w:val="none"/>
        </w:rPr>
        <w:t>49</w:t>
      </w:r>
      <w:r>
        <w:rPr>
          <w:rFonts w:hint="eastAsia" w:ascii="Times New Roman" w:hAnsi="Times New Roman" w:cs="Arial"/>
          <w:color w:val="000000"/>
          <w:kern w:val="0"/>
          <w:szCs w:val="21"/>
          <w:highlight w:val="none"/>
        </w:rPr>
        <w:t>条、第</w:t>
      </w:r>
      <w:r>
        <w:rPr>
          <w:rFonts w:ascii="Times New Roman" w:hAnsi="Times New Roman" w:cs="Arial"/>
          <w:color w:val="000000"/>
          <w:kern w:val="0"/>
          <w:szCs w:val="21"/>
          <w:highlight w:val="none"/>
        </w:rPr>
        <w:t>50</w:t>
      </w:r>
      <w:r>
        <w:rPr>
          <w:rFonts w:hint="eastAsia" w:ascii="Times New Roman" w:hAnsi="Times New Roman" w:cs="Arial"/>
          <w:color w:val="000000"/>
          <w:kern w:val="0"/>
          <w:szCs w:val="21"/>
          <w:highlight w:val="none"/>
        </w:rPr>
        <w:t>条第二款规定的情形外，本合同一经签订，甲乙双方不得擅自终止合同或对合同实质性条款进行变更。确有特殊情况的，须经同级财政部门批准。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b/>
          <w:color w:val="000000"/>
          <w:kern w:val="0"/>
          <w:szCs w:val="21"/>
          <w:highlight w:val="none"/>
        </w:rPr>
      </w:pPr>
      <w:r>
        <w:rPr>
          <w:rFonts w:hint="eastAsia" w:ascii="Times New Roman" w:hAnsi="Times New Roman" w:cs="Arial"/>
          <w:b/>
          <w:color w:val="000000"/>
          <w:kern w:val="0"/>
          <w:szCs w:val="21"/>
          <w:highlight w:val="none"/>
        </w:rPr>
        <w:t>第六条</w:t>
      </w:r>
      <w:r>
        <w:rPr>
          <w:rFonts w:ascii="Times New Roman" w:hAnsi="Times New Roman" w:cs="Arial"/>
          <w:b/>
          <w:color w:val="000000"/>
          <w:kern w:val="0"/>
          <w:szCs w:val="21"/>
          <w:highlight w:val="none"/>
        </w:rPr>
        <w:t xml:space="preserve"> </w:t>
      </w:r>
      <w:r>
        <w:rPr>
          <w:rFonts w:hint="eastAsia" w:ascii="Times New Roman" w:hAnsi="Times New Roman" w:cs="Arial"/>
          <w:b/>
          <w:color w:val="000000"/>
          <w:kern w:val="0"/>
          <w:szCs w:val="21"/>
          <w:highlight w:val="none"/>
        </w:rPr>
        <w:t>合同的转让与分包</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乙方不得转让或分包本项目。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b/>
          <w:color w:val="000000"/>
          <w:kern w:val="0"/>
          <w:szCs w:val="21"/>
          <w:highlight w:val="none"/>
        </w:rPr>
      </w:pPr>
      <w:r>
        <w:rPr>
          <w:rFonts w:hint="eastAsia" w:ascii="Times New Roman" w:hAnsi="Times New Roman" w:cs="Arial"/>
          <w:b/>
          <w:color w:val="000000"/>
          <w:kern w:val="0"/>
          <w:szCs w:val="21"/>
          <w:highlight w:val="none"/>
        </w:rPr>
        <w:t>第七条</w:t>
      </w:r>
      <w:r>
        <w:rPr>
          <w:rFonts w:ascii="Times New Roman" w:hAnsi="Times New Roman" w:cs="Arial"/>
          <w:b/>
          <w:color w:val="000000"/>
          <w:kern w:val="0"/>
          <w:szCs w:val="21"/>
          <w:highlight w:val="none"/>
        </w:rPr>
        <w:t xml:space="preserve"> </w:t>
      </w:r>
      <w:r>
        <w:rPr>
          <w:rFonts w:hint="eastAsia" w:ascii="Times New Roman" w:hAnsi="Times New Roman" w:cs="Arial"/>
          <w:b/>
          <w:color w:val="000000"/>
          <w:kern w:val="0"/>
          <w:szCs w:val="21"/>
          <w:highlight w:val="none"/>
        </w:rPr>
        <w:t>争议的解决</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、因履行本合同引起的或与本合同有关的争议，甲、乙双方应首先通过友好协商解决，如果协商不能解决争议，则采取以下第</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种方式解决争议：</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1</w:t>
      </w:r>
      <w:r>
        <w:rPr>
          <w:rFonts w:hint="eastAsia" w:ascii="Times New Roman" w:hAnsi="Times New Roman" w:cs="Arial"/>
          <w:color w:val="000000"/>
          <w:kern w:val="0"/>
          <w:szCs w:val="21"/>
          <w:highlight w:val="none"/>
        </w:rPr>
        <w:t>）向甲方所在地有管辖权的人民法院提起诉讼；</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s="Arial"/>
          <w:color w:val="000000"/>
          <w:kern w:val="0"/>
          <w:szCs w:val="21"/>
          <w:highlight w:val="none"/>
        </w:rPr>
      </w:pPr>
      <w:r>
        <w:rPr>
          <w:rFonts w:hint="eastAsia" w:ascii="Times New Roman" w:hAnsi="Times New Roman" w:cs="Arial"/>
          <w:color w:val="000000"/>
          <w:kern w:val="0"/>
          <w:szCs w:val="21"/>
          <w:highlight w:val="none"/>
        </w:rPr>
        <w:t>（</w:t>
      </w:r>
      <w:r>
        <w:rPr>
          <w:rFonts w:ascii="Times New Roman" w:hAnsi="Times New Roman" w:cs="Arial"/>
          <w:color w:val="000000"/>
          <w:kern w:val="0"/>
          <w:szCs w:val="21"/>
          <w:highlight w:val="none"/>
        </w:rPr>
        <w:t>2</w:t>
      </w:r>
      <w:r>
        <w:rPr>
          <w:rFonts w:hint="eastAsia" w:ascii="Times New Roman" w:hAnsi="Times New Roman" w:cs="Arial"/>
          <w:color w:val="000000"/>
          <w:kern w:val="0"/>
          <w:szCs w:val="21"/>
          <w:highlight w:val="none"/>
        </w:rPr>
        <w:t>）向</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u w:val="single"/>
        </w:rPr>
        <w:t>嘉兴</w:t>
      </w:r>
      <w:r>
        <w:rPr>
          <w:rFonts w:ascii="Times New Roman" w:hAnsi="Times New Roman" w:cs="Arial"/>
          <w:color w:val="000000"/>
          <w:kern w:val="0"/>
          <w:szCs w:val="21"/>
          <w:highlight w:val="none"/>
          <w:u w:val="single"/>
        </w:rPr>
        <w:t xml:space="preserve"> </w:t>
      </w:r>
      <w:r>
        <w:rPr>
          <w:rFonts w:hint="eastAsia" w:ascii="Times New Roman" w:hAnsi="Times New Roman" w:cs="Arial"/>
          <w:color w:val="000000"/>
          <w:kern w:val="0"/>
          <w:szCs w:val="21"/>
          <w:highlight w:val="none"/>
        </w:rPr>
        <w:t>仲裁委员申请仲裁。</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
          <w:color w:val="000000"/>
          <w:kern w:val="0"/>
          <w:szCs w:val="21"/>
          <w:highlight w:val="none"/>
        </w:rPr>
      </w:pPr>
      <w:r>
        <w:rPr>
          <w:rFonts w:hint="eastAsia" w:ascii="Times New Roman" w:hAnsi="Times New Roman"/>
          <w:b/>
          <w:color w:val="000000"/>
          <w:kern w:val="0"/>
          <w:szCs w:val="21"/>
          <w:highlight w:val="none"/>
        </w:rPr>
        <w:t>第八条</w:t>
      </w:r>
      <w:r>
        <w:rPr>
          <w:rFonts w:ascii="Times New Roman" w:hAnsi="Times New Roman"/>
          <w:b/>
          <w:color w:val="000000"/>
          <w:kern w:val="0"/>
          <w:szCs w:val="21"/>
          <w:highlight w:val="none"/>
        </w:rPr>
        <w:t xml:space="preserve"> </w:t>
      </w:r>
      <w:r>
        <w:rPr>
          <w:rFonts w:hint="eastAsia" w:ascii="Times New Roman" w:hAnsi="Times New Roman"/>
          <w:b/>
          <w:color w:val="000000"/>
          <w:kern w:val="0"/>
          <w:szCs w:val="21"/>
          <w:highlight w:val="none"/>
        </w:rPr>
        <w:t>合同生效及备案</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olor w:val="000000"/>
          <w:kern w:val="0"/>
          <w:szCs w:val="21"/>
          <w:highlight w:val="none"/>
        </w:rPr>
      </w:pPr>
      <w:r>
        <w:rPr>
          <w:rFonts w:ascii="Times New Roman" w:hAnsi="Times New Roman"/>
          <w:color w:val="000000"/>
          <w:kern w:val="0"/>
          <w:szCs w:val="21"/>
          <w:highlight w:val="none"/>
        </w:rPr>
        <w:t>1</w:t>
      </w:r>
      <w:r>
        <w:rPr>
          <w:rFonts w:hint="eastAsia" w:ascii="Times New Roman" w:hAnsi="Times New Roman"/>
          <w:color w:val="000000"/>
          <w:kern w:val="0"/>
          <w:szCs w:val="21"/>
          <w:highlight w:val="none"/>
        </w:rPr>
        <w:t>、合同经双方法定代表人或被授权人签字并加盖单位公章后生效。</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olor w:val="000000"/>
          <w:kern w:val="0"/>
          <w:szCs w:val="21"/>
          <w:highlight w:val="none"/>
        </w:rPr>
      </w:pPr>
      <w:r>
        <w:rPr>
          <w:rFonts w:ascii="Times New Roman" w:hAnsi="Times New Roman"/>
          <w:color w:val="000000"/>
          <w:kern w:val="0"/>
          <w:szCs w:val="21"/>
          <w:highlight w:val="none"/>
        </w:rPr>
        <w:t>2</w:t>
      </w:r>
      <w:r>
        <w:rPr>
          <w:rFonts w:hint="eastAsia" w:ascii="Times New Roman" w:hAnsi="Times New Roman"/>
          <w:color w:val="000000"/>
          <w:kern w:val="0"/>
          <w:szCs w:val="21"/>
          <w:highlight w:val="none"/>
        </w:rPr>
        <w:t>、合同执行中涉及采购资金和采购内容修改或补充的，须经财政部门审批，并签书面补充协议报政府部门备案，方可作为主合同不可分割的一部分。</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olor w:val="000000"/>
          <w:kern w:val="0"/>
          <w:szCs w:val="21"/>
          <w:highlight w:val="none"/>
        </w:rPr>
      </w:pPr>
      <w:r>
        <w:rPr>
          <w:rFonts w:ascii="Times New Roman" w:hAnsi="Times New Roman"/>
          <w:color w:val="000000"/>
          <w:kern w:val="0"/>
          <w:szCs w:val="21"/>
          <w:highlight w:val="none"/>
        </w:rPr>
        <w:t>3</w:t>
      </w:r>
      <w:r>
        <w:rPr>
          <w:rFonts w:hint="eastAsia" w:ascii="Times New Roman" w:hAnsi="Times New Roman"/>
          <w:color w:val="000000"/>
          <w:kern w:val="0"/>
          <w:szCs w:val="21"/>
          <w:highlight w:val="none"/>
        </w:rPr>
        <w:t>、本合同未尽事宜，遵照《</w:t>
      </w:r>
      <w:r>
        <w:rPr>
          <w:rFonts w:hint="eastAsia" w:ascii="Times New Roman" w:hAnsi="Times New Roman" w:cs="Arial"/>
          <w:color w:val="000000"/>
          <w:kern w:val="0"/>
          <w:szCs w:val="21"/>
          <w:highlight w:val="none"/>
        </w:rPr>
        <w:t>中华人民共和国民法典</w:t>
      </w:r>
      <w:r>
        <w:rPr>
          <w:rFonts w:hint="eastAsia" w:ascii="Times New Roman" w:hAnsi="Times New Roman"/>
          <w:color w:val="000000"/>
          <w:kern w:val="0"/>
          <w:szCs w:val="21"/>
          <w:highlight w:val="none"/>
        </w:rPr>
        <w:t>》有关条文执行。</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olor w:val="000000"/>
          <w:kern w:val="0"/>
          <w:szCs w:val="21"/>
          <w:highlight w:val="none"/>
        </w:rPr>
      </w:pPr>
      <w:r>
        <w:rPr>
          <w:rFonts w:ascii="Times New Roman" w:hAnsi="Times New Roman"/>
          <w:color w:val="000000"/>
          <w:kern w:val="0"/>
          <w:szCs w:val="21"/>
          <w:highlight w:val="none"/>
        </w:rPr>
        <w:t>4</w:t>
      </w:r>
      <w:r>
        <w:rPr>
          <w:rFonts w:hint="eastAsia" w:ascii="Times New Roman" w:hAnsi="Times New Roman"/>
          <w:color w:val="000000"/>
          <w:kern w:val="0"/>
          <w:szCs w:val="21"/>
          <w:highlight w:val="none"/>
        </w:rPr>
        <w:t>、本合同一式五份，甲乙双方各执二份，一份送招标代理机构存档。</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color w:val="000000"/>
          <w:kern w:val="0"/>
          <w:szCs w:val="21"/>
          <w:highlight w:val="non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Arial"/>
          <w:b/>
          <w:bCs/>
          <w:color w:val="000000"/>
          <w:kern w:val="0"/>
          <w:szCs w:val="21"/>
          <w:highlight w:val="none"/>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color w:val="000000"/>
          <w:kern w:val="0"/>
          <w:szCs w:val="21"/>
          <w:highlight w:val="none"/>
        </w:rPr>
      </w:pPr>
      <w:r>
        <w:rPr>
          <w:rFonts w:hint="eastAsia" w:ascii="Times New Roman" w:hAnsi="Times New Roman"/>
          <w:b/>
          <w:color w:val="000000"/>
          <w:kern w:val="0"/>
          <w:szCs w:val="21"/>
          <w:highlight w:val="none"/>
        </w:rPr>
        <w:t>二、特殊专用条款部分</w:t>
      </w:r>
    </w:p>
    <w:p>
      <w:pPr>
        <w:pStyle w:val="28"/>
        <w:snapToGrid w:val="0"/>
        <w:spacing w:before="156" w:line="360" w:lineRule="auto"/>
        <w:ind w:firstLine="420" w:firstLineChars="200"/>
        <w:rPr>
          <w:rFonts w:ascii="Times New Roman" w:hAnsi="Times New Roman"/>
          <w:kern w:val="0"/>
          <w:sz w:val="21"/>
          <w:szCs w:val="21"/>
          <w:highlight w:val="none"/>
        </w:rPr>
      </w:pPr>
    </w:p>
    <w:p>
      <w:pPr>
        <w:pStyle w:val="28"/>
        <w:snapToGrid w:val="0"/>
        <w:spacing w:before="156" w:line="360" w:lineRule="auto"/>
        <w:ind w:firstLine="420" w:firstLineChars="200"/>
        <w:rPr>
          <w:rFonts w:ascii="Times New Roman" w:hAnsi="Times New Roman"/>
          <w:sz w:val="21"/>
          <w:szCs w:val="21"/>
          <w:highlight w:val="none"/>
        </w:rPr>
      </w:pPr>
      <w:r>
        <w:rPr>
          <w:rFonts w:hint="eastAsia" w:ascii="Times New Roman" w:hAnsi="Times New Roman"/>
          <w:sz w:val="21"/>
          <w:szCs w:val="21"/>
          <w:highlight w:val="none"/>
        </w:rPr>
        <w:t>·······（双方协商补充）</w:t>
      </w:r>
    </w:p>
    <w:p>
      <w:pPr>
        <w:pStyle w:val="28"/>
        <w:snapToGrid w:val="0"/>
        <w:spacing w:before="156" w:line="360" w:lineRule="auto"/>
        <w:rPr>
          <w:rFonts w:ascii="Times New Roman" w:hAnsi="Times New Roman"/>
          <w:color w:val="000000"/>
          <w:sz w:val="21"/>
          <w:szCs w:val="21"/>
          <w:highlight w:val="none"/>
        </w:rPr>
      </w:pPr>
    </w:p>
    <w:p>
      <w:pPr>
        <w:pStyle w:val="28"/>
        <w:snapToGrid w:val="0"/>
        <w:spacing w:before="156" w:line="360" w:lineRule="auto"/>
        <w:rPr>
          <w:rFonts w:ascii="Times New Roman" w:hAnsi="Times New Roman"/>
          <w:color w:val="000000"/>
          <w:sz w:val="21"/>
          <w:szCs w:val="21"/>
          <w:highlight w:val="none"/>
        </w:rPr>
      </w:pPr>
    </w:p>
    <w:p>
      <w:pPr>
        <w:pStyle w:val="28"/>
        <w:snapToGrid w:val="0"/>
        <w:spacing w:before="156" w:line="360" w:lineRule="auto"/>
        <w:rPr>
          <w:rFonts w:ascii="Times New Roman" w:hAnsi="Times New Roman"/>
          <w:color w:val="000000"/>
          <w:sz w:val="21"/>
          <w:szCs w:val="21"/>
          <w:highlight w:val="none"/>
        </w:rPr>
      </w:pPr>
      <w:r>
        <w:rPr>
          <w:rFonts w:hint="eastAsia" w:ascii="Times New Roman" w:hAnsi="Times New Roman"/>
          <w:color w:val="000000"/>
          <w:sz w:val="21"/>
          <w:szCs w:val="21"/>
          <w:highlight w:val="none"/>
        </w:rPr>
        <w:t>甲方：</w:t>
      </w:r>
      <w:r>
        <w:rPr>
          <w:rFonts w:ascii="Times New Roman" w:hAnsi="Times New Roman"/>
          <w:color w:val="000000"/>
          <w:sz w:val="21"/>
          <w:szCs w:val="21"/>
          <w:highlight w:val="none"/>
        </w:rPr>
        <w:t xml:space="preserve">                                     </w:t>
      </w:r>
      <w:r>
        <w:rPr>
          <w:rFonts w:hint="eastAsia" w:ascii="Times New Roman" w:hAnsi="Times New Roman"/>
          <w:color w:val="000000"/>
          <w:sz w:val="21"/>
          <w:szCs w:val="21"/>
          <w:highlight w:val="none"/>
        </w:rPr>
        <w:t>乙方：</w:t>
      </w:r>
    </w:p>
    <w:p>
      <w:pPr>
        <w:pStyle w:val="28"/>
        <w:snapToGrid w:val="0"/>
        <w:spacing w:before="156" w:line="360" w:lineRule="auto"/>
        <w:rPr>
          <w:rFonts w:ascii="Times New Roman" w:hAnsi="Times New Roman"/>
          <w:color w:val="000000"/>
          <w:sz w:val="21"/>
          <w:szCs w:val="21"/>
          <w:highlight w:val="none"/>
        </w:rPr>
      </w:pPr>
      <w:r>
        <w:rPr>
          <w:rFonts w:hint="eastAsia" w:ascii="Times New Roman" w:hAnsi="Times New Roman"/>
          <w:color w:val="000000"/>
          <w:sz w:val="21"/>
          <w:szCs w:val="21"/>
          <w:highlight w:val="none"/>
        </w:rPr>
        <w:t>地址：</w:t>
      </w:r>
      <w:r>
        <w:rPr>
          <w:rFonts w:ascii="Times New Roman" w:hAnsi="Times New Roman"/>
          <w:color w:val="000000"/>
          <w:sz w:val="21"/>
          <w:szCs w:val="21"/>
          <w:highlight w:val="none"/>
        </w:rPr>
        <w:t xml:space="preserve">                                     </w:t>
      </w:r>
      <w:r>
        <w:rPr>
          <w:rFonts w:hint="eastAsia" w:ascii="Times New Roman" w:hAnsi="Times New Roman"/>
          <w:color w:val="000000"/>
          <w:sz w:val="21"/>
          <w:szCs w:val="21"/>
          <w:highlight w:val="none"/>
        </w:rPr>
        <w:t>地址：</w:t>
      </w:r>
    </w:p>
    <w:p>
      <w:pPr>
        <w:pStyle w:val="28"/>
        <w:snapToGrid w:val="0"/>
        <w:spacing w:before="156" w:line="360" w:lineRule="auto"/>
        <w:rPr>
          <w:rFonts w:ascii="Times New Roman" w:hAnsi="Times New Roman"/>
          <w:color w:val="000000"/>
          <w:sz w:val="21"/>
          <w:szCs w:val="21"/>
          <w:highlight w:val="none"/>
        </w:rPr>
      </w:pPr>
      <w:r>
        <w:rPr>
          <w:rFonts w:hint="eastAsia" w:ascii="Times New Roman" w:hAnsi="Times New Roman"/>
          <w:color w:val="000000"/>
          <w:sz w:val="21"/>
          <w:szCs w:val="21"/>
          <w:highlight w:val="none"/>
        </w:rPr>
        <w:t>法定代表人或被授权人：</w:t>
      </w:r>
      <w:r>
        <w:rPr>
          <w:rFonts w:ascii="Times New Roman" w:hAnsi="Times New Roman"/>
          <w:color w:val="000000"/>
          <w:sz w:val="21"/>
          <w:szCs w:val="21"/>
          <w:highlight w:val="none"/>
        </w:rPr>
        <w:t xml:space="preserve">                     </w:t>
      </w:r>
      <w:r>
        <w:rPr>
          <w:rFonts w:hint="eastAsia" w:ascii="Times New Roman" w:hAnsi="Times New Roman"/>
          <w:color w:val="000000"/>
          <w:sz w:val="21"/>
          <w:szCs w:val="21"/>
          <w:highlight w:val="none"/>
        </w:rPr>
        <w:t>法定代表人或被授权人：</w:t>
      </w:r>
    </w:p>
    <w:p>
      <w:pPr>
        <w:pStyle w:val="28"/>
        <w:snapToGrid w:val="0"/>
        <w:spacing w:before="156" w:line="360" w:lineRule="auto"/>
        <w:rPr>
          <w:rFonts w:ascii="Times New Roman" w:hAnsi="Times New Roman"/>
          <w:color w:val="000000"/>
          <w:sz w:val="21"/>
          <w:szCs w:val="21"/>
          <w:highlight w:val="none"/>
        </w:rPr>
      </w:pPr>
      <w:r>
        <w:rPr>
          <w:rFonts w:hint="eastAsia" w:ascii="Times New Roman" w:hAnsi="Times New Roman"/>
          <w:color w:val="000000"/>
          <w:sz w:val="21"/>
          <w:szCs w:val="21"/>
          <w:highlight w:val="none"/>
        </w:rPr>
        <w:t>签订地点：</w:t>
      </w:r>
    </w:p>
    <w:p>
      <w:pPr>
        <w:pStyle w:val="28"/>
        <w:snapToGrid w:val="0"/>
        <w:spacing w:before="156" w:line="360" w:lineRule="auto"/>
        <w:rPr>
          <w:color w:val="000000"/>
          <w:highlight w:val="none"/>
        </w:rPr>
      </w:pPr>
      <w:r>
        <w:rPr>
          <w:rFonts w:hint="eastAsia" w:ascii="Times New Roman" w:hAnsi="Times New Roman"/>
          <w:color w:val="000000"/>
          <w:sz w:val="21"/>
          <w:szCs w:val="21"/>
          <w:highlight w:val="none"/>
        </w:rPr>
        <w:t>签订日期：</w:t>
      </w:r>
      <w:r>
        <w:rPr>
          <w:rFonts w:ascii="Times New Roman" w:hAnsi="Times New Roman"/>
          <w:color w:val="000000"/>
          <w:sz w:val="21"/>
          <w:szCs w:val="21"/>
          <w:highlight w:val="none"/>
        </w:rPr>
        <w:t xml:space="preserve">     </w:t>
      </w:r>
      <w:r>
        <w:rPr>
          <w:rFonts w:hint="eastAsia" w:ascii="Times New Roman" w:hAnsi="Times New Roman"/>
          <w:color w:val="000000"/>
          <w:sz w:val="21"/>
          <w:szCs w:val="21"/>
          <w:highlight w:val="none"/>
        </w:rPr>
        <w:t>年</w:t>
      </w:r>
      <w:r>
        <w:rPr>
          <w:rFonts w:ascii="Times New Roman" w:hAnsi="Times New Roman"/>
          <w:color w:val="000000"/>
          <w:sz w:val="21"/>
          <w:szCs w:val="21"/>
          <w:highlight w:val="none"/>
        </w:rPr>
        <w:t xml:space="preserve">   </w:t>
      </w:r>
      <w:r>
        <w:rPr>
          <w:rFonts w:hint="eastAsia" w:ascii="Times New Roman" w:hAnsi="Times New Roman"/>
          <w:color w:val="000000"/>
          <w:sz w:val="21"/>
          <w:szCs w:val="21"/>
          <w:highlight w:val="none"/>
        </w:rPr>
        <w:t>月</w:t>
      </w:r>
      <w:r>
        <w:rPr>
          <w:rFonts w:ascii="Times New Roman" w:hAnsi="Times New Roman"/>
          <w:color w:val="000000"/>
          <w:sz w:val="21"/>
          <w:szCs w:val="21"/>
          <w:highlight w:val="none"/>
        </w:rPr>
        <w:t xml:space="preserve">  </w:t>
      </w:r>
      <w:r>
        <w:rPr>
          <w:rFonts w:hint="eastAsia" w:ascii="Times New Roman" w:hAnsi="Times New Roman"/>
          <w:color w:val="000000"/>
          <w:sz w:val="21"/>
          <w:szCs w:val="21"/>
          <w:highlight w:val="none"/>
        </w:rPr>
        <w:t>日</w:t>
      </w:r>
    </w:p>
    <w:p>
      <w:pPr>
        <w:pStyle w:val="39"/>
        <w:ind w:firstLineChars="0"/>
        <w:rPr>
          <w:rFonts w:ascii="Times New Roman" w:hAnsi="Times New Roman" w:eastAsia="宋体"/>
          <w:b/>
          <w:sz w:val="21"/>
          <w:szCs w:val="21"/>
          <w:highlight w:val="none"/>
        </w:rPr>
      </w:pPr>
    </w:p>
    <w:p>
      <w:pPr>
        <w:pStyle w:val="39"/>
        <w:ind w:firstLineChars="0"/>
        <w:rPr>
          <w:rFonts w:ascii="Times New Roman" w:hAnsi="Times New Roman" w:eastAsia="宋体"/>
          <w:b/>
          <w:sz w:val="21"/>
          <w:szCs w:val="21"/>
          <w:highlight w:val="none"/>
        </w:rPr>
      </w:pPr>
    </w:p>
    <w:p>
      <w:pPr>
        <w:pStyle w:val="39"/>
        <w:ind w:firstLine="0" w:firstLineChars="0"/>
        <w:rPr>
          <w:rFonts w:ascii="Times New Roman" w:hAnsi="Times New Roman" w:cs="Arial"/>
          <w:b/>
          <w:bCs/>
          <w:kern w:val="0"/>
          <w:szCs w:val="21"/>
          <w:highlight w:val="none"/>
        </w:rPr>
      </w:pPr>
      <w:r>
        <w:rPr>
          <w:rFonts w:ascii="Times New Roman" w:hAnsi="Times New Roman" w:cs="Arial"/>
          <w:b/>
          <w:bCs/>
          <w:kern w:val="0"/>
          <w:szCs w:val="21"/>
          <w:highlight w:val="none"/>
        </w:rPr>
        <w:t xml:space="preserve"> </w:t>
      </w:r>
    </w:p>
    <w:p>
      <w:pPr>
        <w:widowControl/>
        <w:jc w:val="left"/>
        <w:rPr>
          <w:rFonts w:ascii="宋体" w:hAnsi="宋体" w:cs="宋体"/>
          <w:color w:val="000000"/>
          <w:sz w:val="24"/>
          <w:szCs w:val="24"/>
          <w:highlight w:val="none"/>
          <w:lang w:bidi="zh-TW"/>
        </w:rPr>
        <w:sectPr>
          <w:pgSz w:w="11905" w:h="16838"/>
          <w:pgMar w:top="1474" w:right="1559" w:bottom="1247" w:left="1797" w:header="851" w:footer="851" w:gutter="0"/>
          <w:cols w:space="720" w:num="1"/>
          <w:docGrid w:type="lines" w:linePitch="312" w:charSpace="0"/>
        </w:sectPr>
      </w:pPr>
    </w:p>
    <w:tbl>
      <w:tblPr>
        <w:tblStyle w:val="49"/>
        <w:tblW w:w="0" w:type="auto"/>
        <w:tblInd w:w="93" w:type="dxa"/>
        <w:tblLayout w:type="fixed"/>
        <w:tblCellMar>
          <w:top w:w="0" w:type="dxa"/>
          <w:left w:w="108" w:type="dxa"/>
          <w:bottom w:w="0" w:type="dxa"/>
          <w:right w:w="108" w:type="dxa"/>
        </w:tblCellMar>
      </w:tblPr>
      <w:tblGrid>
        <w:gridCol w:w="4620"/>
        <w:gridCol w:w="4840"/>
        <w:gridCol w:w="1280"/>
        <w:gridCol w:w="1600"/>
        <w:gridCol w:w="1740"/>
      </w:tblGrid>
      <w:tr>
        <w:tblPrEx>
          <w:tblCellMar>
            <w:top w:w="0" w:type="dxa"/>
            <w:left w:w="108" w:type="dxa"/>
            <w:bottom w:w="0" w:type="dxa"/>
            <w:right w:w="108" w:type="dxa"/>
          </w:tblCellMar>
        </w:tblPrEx>
        <w:trPr>
          <w:trHeight w:val="735" w:hRule="atLeast"/>
        </w:trPr>
        <w:tc>
          <w:tcPr>
            <w:tcW w:w="14080" w:type="dxa"/>
            <w:gridSpan w:val="5"/>
            <w:vAlign w:val="center"/>
          </w:tcPr>
          <w:p>
            <w:pPr>
              <w:widowControl/>
              <w:jc w:val="center"/>
              <w:rPr>
                <w:rFonts w:ascii="Times New Roman" w:hAnsi="Times New Roman" w:cs="宋体"/>
                <w:b/>
                <w:bCs/>
                <w:color w:val="000000"/>
                <w:kern w:val="0"/>
                <w:sz w:val="48"/>
                <w:szCs w:val="48"/>
                <w:highlight w:val="none"/>
              </w:rPr>
            </w:pPr>
            <w:r>
              <w:rPr>
                <w:rFonts w:hint="eastAsia" w:ascii="Times New Roman" w:hAnsi="Times New Roman" w:cs="宋体"/>
                <w:b/>
                <w:bCs/>
                <w:color w:val="000000"/>
                <w:kern w:val="0"/>
                <w:sz w:val="48"/>
                <w:szCs w:val="48"/>
                <w:highlight w:val="none"/>
              </w:rPr>
              <w:t>政</w:t>
            </w:r>
            <w:r>
              <w:rPr>
                <w:rFonts w:ascii="Times New Roman" w:hAnsi="Times New Roman" w:cs="宋体"/>
                <w:b/>
                <w:bCs/>
                <w:color w:val="000000"/>
                <w:kern w:val="0"/>
                <w:sz w:val="48"/>
                <w:szCs w:val="48"/>
                <w:highlight w:val="none"/>
              </w:rPr>
              <w:t xml:space="preserve"> </w:t>
            </w:r>
            <w:r>
              <w:rPr>
                <w:rFonts w:hint="eastAsia" w:ascii="Times New Roman" w:hAnsi="Times New Roman" w:cs="宋体"/>
                <w:b/>
                <w:bCs/>
                <w:color w:val="000000"/>
                <w:kern w:val="0"/>
                <w:sz w:val="48"/>
                <w:szCs w:val="48"/>
                <w:highlight w:val="none"/>
              </w:rPr>
              <w:t>府</w:t>
            </w:r>
            <w:r>
              <w:rPr>
                <w:rFonts w:ascii="Times New Roman" w:hAnsi="Times New Roman" w:cs="宋体"/>
                <w:b/>
                <w:bCs/>
                <w:color w:val="000000"/>
                <w:kern w:val="0"/>
                <w:sz w:val="48"/>
                <w:szCs w:val="48"/>
                <w:highlight w:val="none"/>
              </w:rPr>
              <w:t xml:space="preserve"> </w:t>
            </w:r>
            <w:r>
              <w:rPr>
                <w:rFonts w:hint="eastAsia" w:ascii="Times New Roman" w:hAnsi="Times New Roman" w:cs="宋体"/>
                <w:b/>
                <w:bCs/>
                <w:color w:val="000000"/>
                <w:kern w:val="0"/>
                <w:sz w:val="48"/>
                <w:szCs w:val="48"/>
                <w:highlight w:val="none"/>
              </w:rPr>
              <w:t>采</w:t>
            </w:r>
            <w:r>
              <w:rPr>
                <w:rFonts w:ascii="Times New Roman" w:hAnsi="Times New Roman" w:cs="宋体"/>
                <w:b/>
                <w:bCs/>
                <w:color w:val="000000"/>
                <w:kern w:val="0"/>
                <w:sz w:val="48"/>
                <w:szCs w:val="48"/>
                <w:highlight w:val="none"/>
              </w:rPr>
              <w:t xml:space="preserve"> </w:t>
            </w:r>
            <w:r>
              <w:rPr>
                <w:rFonts w:hint="eastAsia" w:ascii="Times New Roman" w:hAnsi="Times New Roman" w:cs="宋体"/>
                <w:b/>
                <w:bCs/>
                <w:color w:val="000000"/>
                <w:kern w:val="0"/>
                <w:sz w:val="48"/>
                <w:szCs w:val="48"/>
                <w:highlight w:val="none"/>
              </w:rPr>
              <w:t>购</w:t>
            </w:r>
            <w:r>
              <w:rPr>
                <w:rFonts w:ascii="Times New Roman" w:hAnsi="Times New Roman" w:cs="宋体"/>
                <w:b/>
                <w:bCs/>
                <w:color w:val="000000"/>
                <w:kern w:val="0"/>
                <w:sz w:val="48"/>
                <w:szCs w:val="48"/>
                <w:highlight w:val="none"/>
              </w:rPr>
              <w:t xml:space="preserve"> </w:t>
            </w:r>
            <w:r>
              <w:rPr>
                <w:rFonts w:hint="eastAsia" w:ascii="Times New Roman" w:hAnsi="Times New Roman" w:cs="宋体"/>
                <w:b/>
                <w:bCs/>
                <w:color w:val="000000"/>
                <w:kern w:val="0"/>
                <w:sz w:val="48"/>
                <w:szCs w:val="48"/>
                <w:highlight w:val="none"/>
              </w:rPr>
              <w:t>项</w:t>
            </w:r>
            <w:r>
              <w:rPr>
                <w:rFonts w:ascii="Times New Roman" w:hAnsi="Times New Roman" w:cs="宋体"/>
                <w:b/>
                <w:bCs/>
                <w:color w:val="000000"/>
                <w:kern w:val="0"/>
                <w:sz w:val="48"/>
                <w:szCs w:val="48"/>
                <w:highlight w:val="none"/>
              </w:rPr>
              <w:t xml:space="preserve"> </w:t>
            </w:r>
            <w:r>
              <w:rPr>
                <w:rFonts w:hint="eastAsia" w:ascii="Times New Roman" w:hAnsi="Times New Roman" w:cs="宋体"/>
                <w:b/>
                <w:bCs/>
                <w:color w:val="000000"/>
                <w:kern w:val="0"/>
                <w:sz w:val="48"/>
                <w:szCs w:val="48"/>
                <w:highlight w:val="none"/>
              </w:rPr>
              <w:t>目</w:t>
            </w:r>
            <w:r>
              <w:rPr>
                <w:rFonts w:ascii="Times New Roman" w:hAnsi="Times New Roman" w:cs="宋体"/>
                <w:b/>
                <w:bCs/>
                <w:color w:val="000000"/>
                <w:kern w:val="0"/>
                <w:sz w:val="48"/>
                <w:szCs w:val="48"/>
                <w:highlight w:val="none"/>
              </w:rPr>
              <w:t xml:space="preserve"> </w:t>
            </w:r>
            <w:r>
              <w:rPr>
                <w:rFonts w:hint="eastAsia" w:ascii="Times New Roman" w:hAnsi="Times New Roman" w:cs="宋体"/>
                <w:b/>
                <w:bCs/>
                <w:color w:val="000000"/>
                <w:kern w:val="0"/>
                <w:sz w:val="48"/>
                <w:szCs w:val="48"/>
                <w:highlight w:val="none"/>
              </w:rPr>
              <w:t>验</w:t>
            </w:r>
            <w:r>
              <w:rPr>
                <w:rFonts w:ascii="Times New Roman" w:hAnsi="Times New Roman" w:cs="宋体"/>
                <w:b/>
                <w:bCs/>
                <w:color w:val="000000"/>
                <w:kern w:val="0"/>
                <w:sz w:val="48"/>
                <w:szCs w:val="48"/>
                <w:highlight w:val="none"/>
              </w:rPr>
              <w:t xml:space="preserve"> </w:t>
            </w:r>
            <w:r>
              <w:rPr>
                <w:rFonts w:hint="eastAsia" w:ascii="Times New Roman" w:hAnsi="Times New Roman" w:cs="宋体"/>
                <w:b/>
                <w:bCs/>
                <w:color w:val="000000"/>
                <w:kern w:val="0"/>
                <w:sz w:val="48"/>
                <w:szCs w:val="48"/>
                <w:highlight w:val="none"/>
              </w:rPr>
              <w:t>收</w:t>
            </w:r>
            <w:r>
              <w:rPr>
                <w:rFonts w:ascii="Times New Roman" w:hAnsi="Times New Roman" w:cs="宋体"/>
                <w:b/>
                <w:bCs/>
                <w:color w:val="000000"/>
                <w:kern w:val="0"/>
                <w:sz w:val="48"/>
                <w:szCs w:val="48"/>
                <w:highlight w:val="none"/>
              </w:rPr>
              <w:t xml:space="preserve"> </w:t>
            </w:r>
            <w:r>
              <w:rPr>
                <w:rFonts w:hint="eastAsia" w:ascii="Times New Roman" w:hAnsi="Times New Roman" w:cs="宋体"/>
                <w:b/>
                <w:bCs/>
                <w:color w:val="000000"/>
                <w:kern w:val="0"/>
                <w:sz w:val="48"/>
                <w:szCs w:val="48"/>
                <w:highlight w:val="none"/>
              </w:rPr>
              <w:t>单</w:t>
            </w:r>
          </w:p>
        </w:tc>
      </w:tr>
      <w:tr>
        <w:tblPrEx>
          <w:tblCellMar>
            <w:top w:w="0" w:type="dxa"/>
            <w:left w:w="108" w:type="dxa"/>
            <w:bottom w:w="0" w:type="dxa"/>
            <w:right w:w="108" w:type="dxa"/>
          </w:tblCellMar>
        </w:tblPrEx>
        <w:trPr>
          <w:trHeight w:val="570" w:hRule="atLeast"/>
        </w:trPr>
        <w:tc>
          <w:tcPr>
            <w:tcW w:w="14080" w:type="dxa"/>
            <w:gridSpan w:val="5"/>
            <w:vAlign w:val="center"/>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按照《政府采购委托汇总确认书》</w:t>
            </w:r>
            <w:r>
              <w:rPr>
                <w:rFonts w:ascii="Times New Roman" w:hAnsi="Times New Roman" w:cs="宋体"/>
                <w:color w:val="000000"/>
                <w:kern w:val="0"/>
                <w:sz w:val="24"/>
                <w:highlight w:val="none"/>
              </w:rPr>
              <w:t xml:space="preserve">         </w:t>
            </w:r>
            <w:r>
              <w:rPr>
                <w:rFonts w:hint="eastAsia" w:ascii="Times New Roman" w:hAnsi="Times New Roman" w:cs="宋体"/>
                <w:color w:val="000000"/>
                <w:kern w:val="0"/>
                <w:sz w:val="24"/>
                <w:highlight w:val="none"/>
              </w:rPr>
              <w:t>号，采购编号：</w:t>
            </w:r>
            <w:r>
              <w:rPr>
                <w:rFonts w:ascii="Times New Roman" w:hAnsi="Times New Roman" w:cs="宋体"/>
                <w:color w:val="000000"/>
                <w:kern w:val="0"/>
                <w:sz w:val="24"/>
                <w:highlight w:val="none"/>
              </w:rPr>
              <w:t xml:space="preserve">      </w:t>
            </w:r>
            <w:r>
              <w:rPr>
                <w:rFonts w:hint="eastAsia" w:ascii="Times New Roman" w:hAnsi="Times New Roman" w:cs="宋体"/>
                <w:color w:val="000000"/>
                <w:kern w:val="0"/>
                <w:sz w:val="24"/>
                <w:highlight w:val="none"/>
              </w:rPr>
              <w:t>号</w:t>
            </w:r>
            <w:r>
              <w:rPr>
                <w:rFonts w:ascii="Times New Roman" w:hAnsi="Times New Roman" w:cs="宋体"/>
                <w:color w:val="000000"/>
                <w:kern w:val="0"/>
                <w:sz w:val="24"/>
                <w:highlight w:val="none"/>
              </w:rPr>
              <w:t xml:space="preserve"> ,</w:t>
            </w:r>
            <w:r>
              <w:rPr>
                <w:rFonts w:hint="eastAsia" w:ascii="Times New Roman" w:hAnsi="Times New Roman" w:cs="宋体"/>
                <w:color w:val="000000"/>
                <w:kern w:val="0"/>
                <w:sz w:val="24"/>
                <w:highlight w:val="none"/>
              </w:rPr>
              <w:t>合同号：</w:t>
            </w:r>
            <w:r>
              <w:rPr>
                <w:rFonts w:ascii="Times New Roman" w:hAnsi="Times New Roman" w:cs="宋体"/>
                <w:color w:val="000000"/>
                <w:kern w:val="0"/>
                <w:sz w:val="24"/>
                <w:highlight w:val="none"/>
              </w:rPr>
              <w:t xml:space="preserve">      </w:t>
            </w:r>
            <w:r>
              <w:rPr>
                <w:rFonts w:hint="eastAsia" w:ascii="Times New Roman" w:hAnsi="Times New Roman" w:cs="宋体"/>
                <w:color w:val="000000"/>
                <w:kern w:val="0"/>
                <w:sz w:val="24"/>
                <w:highlight w:val="none"/>
              </w:rPr>
              <w:t>号</w:t>
            </w:r>
            <w:r>
              <w:rPr>
                <w:rFonts w:ascii="Times New Roman" w:hAnsi="Times New Roman" w:cs="宋体"/>
                <w:color w:val="000000"/>
                <w:kern w:val="0"/>
                <w:sz w:val="24"/>
                <w:highlight w:val="none"/>
              </w:rPr>
              <w:t xml:space="preserve"> </w:t>
            </w:r>
          </w:p>
        </w:tc>
      </w:tr>
      <w:tr>
        <w:tblPrEx>
          <w:tblCellMar>
            <w:top w:w="0" w:type="dxa"/>
            <w:left w:w="108" w:type="dxa"/>
            <w:bottom w:w="0" w:type="dxa"/>
            <w:right w:w="108" w:type="dxa"/>
          </w:tblCellMar>
        </w:tblPrEx>
        <w:trPr>
          <w:trHeight w:val="570" w:hRule="atLeast"/>
        </w:trPr>
        <w:tc>
          <w:tcPr>
            <w:tcW w:w="14080" w:type="dxa"/>
            <w:gridSpan w:val="5"/>
            <w:vAlign w:val="center"/>
          </w:tcPr>
          <w:p>
            <w:pPr>
              <w:widowControl/>
              <w:jc w:val="left"/>
              <w:rPr>
                <w:rFonts w:ascii="Times New Roman" w:hAnsi="Times New Roman" w:cs="宋体"/>
                <w:color w:val="000000"/>
                <w:kern w:val="0"/>
                <w:sz w:val="26"/>
                <w:szCs w:val="26"/>
                <w:highlight w:val="none"/>
              </w:rPr>
            </w:pPr>
            <w:r>
              <w:rPr>
                <w:rFonts w:hint="eastAsia" w:ascii="Times New Roman" w:hAnsi="Times New Roman" w:cs="宋体"/>
                <w:color w:val="000000"/>
                <w:kern w:val="0"/>
                <w:sz w:val="26"/>
                <w:szCs w:val="26"/>
                <w:highlight w:val="none"/>
              </w:rPr>
              <w:t>以下项目已采购到位并验收合格。</w:t>
            </w:r>
          </w:p>
        </w:tc>
      </w:tr>
      <w:tr>
        <w:tblPrEx>
          <w:tblCellMar>
            <w:top w:w="0" w:type="dxa"/>
            <w:left w:w="108" w:type="dxa"/>
            <w:bottom w:w="0" w:type="dxa"/>
            <w:right w:w="108" w:type="dxa"/>
          </w:tblCellMar>
        </w:tblPrEx>
        <w:trPr>
          <w:trHeight w:val="870" w:hRule="atLeast"/>
        </w:trPr>
        <w:tc>
          <w:tcPr>
            <w:tcW w:w="4620" w:type="dxa"/>
            <w:tcBorders>
              <w:top w:val="single" w:color="auto" w:sz="4" w:space="0"/>
              <w:left w:val="single" w:color="auto" w:sz="4" w:space="0"/>
              <w:bottom w:val="nil"/>
              <w:right w:val="single" w:color="auto" w:sz="4" w:space="0"/>
            </w:tcBorders>
            <w:vAlign w:val="center"/>
          </w:tcPr>
          <w:p>
            <w:pPr>
              <w:widowControl/>
              <w:jc w:val="center"/>
              <w:rPr>
                <w:rFonts w:ascii="Times New Roman" w:hAnsi="Times New Roman" w:cs="宋体"/>
                <w:color w:val="000000"/>
                <w:kern w:val="0"/>
                <w:sz w:val="28"/>
                <w:szCs w:val="28"/>
                <w:highlight w:val="none"/>
              </w:rPr>
            </w:pPr>
            <w:r>
              <w:rPr>
                <w:rFonts w:hint="eastAsia" w:ascii="Times New Roman" w:hAnsi="Times New Roman" w:cs="宋体"/>
                <w:color w:val="000000"/>
                <w:kern w:val="0"/>
                <w:sz w:val="28"/>
                <w:szCs w:val="28"/>
                <w:highlight w:val="none"/>
              </w:rPr>
              <w:t>采购货物（服务，工程）名称</w:t>
            </w:r>
          </w:p>
        </w:tc>
        <w:tc>
          <w:tcPr>
            <w:tcW w:w="4840" w:type="dxa"/>
            <w:tcBorders>
              <w:top w:val="single" w:color="auto" w:sz="4" w:space="0"/>
              <w:left w:val="nil"/>
              <w:bottom w:val="nil"/>
              <w:right w:val="single" w:color="auto" w:sz="4" w:space="0"/>
            </w:tcBorders>
            <w:vAlign w:val="center"/>
          </w:tcPr>
          <w:p>
            <w:pPr>
              <w:widowControl/>
              <w:jc w:val="center"/>
              <w:rPr>
                <w:rFonts w:ascii="Times New Roman" w:hAnsi="Times New Roman" w:cs="宋体"/>
                <w:color w:val="000000"/>
                <w:kern w:val="0"/>
                <w:sz w:val="28"/>
                <w:szCs w:val="28"/>
                <w:highlight w:val="none"/>
              </w:rPr>
            </w:pPr>
            <w:r>
              <w:rPr>
                <w:rFonts w:hint="eastAsia" w:ascii="Times New Roman" w:hAnsi="Times New Roman" w:cs="宋体"/>
                <w:color w:val="000000"/>
                <w:kern w:val="0"/>
                <w:sz w:val="28"/>
                <w:szCs w:val="28"/>
                <w:highlight w:val="none"/>
              </w:rPr>
              <w:t>规格、型号</w:t>
            </w:r>
          </w:p>
        </w:tc>
        <w:tc>
          <w:tcPr>
            <w:tcW w:w="1280" w:type="dxa"/>
            <w:tcBorders>
              <w:top w:val="single" w:color="auto" w:sz="4" w:space="0"/>
              <w:left w:val="nil"/>
              <w:bottom w:val="nil"/>
              <w:right w:val="single" w:color="auto" w:sz="4" w:space="0"/>
            </w:tcBorders>
            <w:vAlign w:val="center"/>
          </w:tcPr>
          <w:p>
            <w:pPr>
              <w:widowControl/>
              <w:jc w:val="center"/>
              <w:rPr>
                <w:rFonts w:ascii="Times New Roman" w:hAnsi="Times New Roman" w:cs="宋体"/>
                <w:color w:val="000000"/>
                <w:kern w:val="0"/>
                <w:sz w:val="28"/>
                <w:szCs w:val="28"/>
                <w:highlight w:val="none"/>
              </w:rPr>
            </w:pPr>
            <w:r>
              <w:rPr>
                <w:rFonts w:hint="eastAsia" w:ascii="Times New Roman" w:hAnsi="Times New Roman" w:cs="宋体"/>
                <w:color w:val="000000"/>
                <w:kern w:val="0"/>
                <w:sz w:val="28"/>
                <w:szCs w:val="28"/>
                <w:highlight w:val="none"/>
              </w:rPr>
              <w:t>数量</w:t>
            </w:r>
          </w:p>
        </w:tc>
        <w:tc>
          <w:tcPr>
            <w:tcW w:w="1600" w:type="dxa"/>
            <w:tcBorders>
              <w:top w:val="single" w:color="auto" w:sz="4" w:space="0"/>
              <w:left w:val="nil"/>
              <w:bottom w:val="nil"/>
              <w:right w:val="single" w:color="auto" w:sz="4" w:space="0"/>
            </w:tcBorders>
            <w:vAlign w:val="center"/>
          </w:tcPr>
          <w:p>
            <w:pPr>
              <w:widowControl/>
              <w:jc w:val="center"/>
              <w:rPr>
                <w:rFonts w:ascii="Times New Roman" w:hAnsi="Times New Roman" w:cs="宋体"/>
                <w:color w:val="000000"/>
                <w:kern w:val="0"/>
                <w:sz w:val="28"/>
                <w:szCs w:val="28"/>
                <w:highlight w:val="none"/>
              </w:rPr>
            </w:pPr>
            <w:r>
              <w:rPr>
                <w:rFonts w:hint="eastAsia" w:ascii="Times New Roman" w:hAnsi="Times New Roman" w:cs="宋体"/>
                <w:color w:val="000000"/>
                <w:kern w:val="0"/>
                <w:sz w:val="28"/>
                <w:szCs w:val="28"/>
                <w:highlight w:val="none"/>
              </w:rPr>
              <w:t>核定总价</w:t>
            </w:r>
          </w:p>
        </w:tc>
        <w:tc>
          <w:tcPr>
            <w:tcW w:w="174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宋体"/>
                <w:color w:val="000000"/>
                <w:kern w:val="0"/>
                <w:sz w:val="28"/>
                <w:szCs w:val="28"/>
                <w:highlight w:val="none"/>
              </w:rPr>
            </w:pPr>
            <w:r>
              <w:rPr>
                <w:rFonts w:hint="eastAsia" w:ascii="Times New Roman" w:hAnsi="Times New Roman" w:cs="宋体"/>
                <w:color w:val="000000"/>
                <w:kern w:val="0"/>
                <w:sz w:val="28"/>
                <w:szCs w:val="28"/>
                <w:highlight w:val="none"/>
              </w:rPr>
              <w:t>采购人</w:t>
            </w:r>
            <w:r>
              <w:rPr>
                <w:rFonts w:ascii="Times New Roman" w:hAnsi="Times New Roman" w:cs="宋体"/>
                <w:color w:val="000000"/>
                <w:kern w:val="0"/>
                <w:sz w:val="28"/>
                <w:szCs w:val="28"/>
                <w:highlight w:val="none"/>
              </w:rPr>
              <w:br w:type="textWrapping"/>
            </w:r>
            <w:r>
              <w:rPr>
                <w:rFonts w:hint="eastAsia" w:ascii="Times New Roman" w:hAnsi="Times New Roman" w:cs="宋体"/>
                <w:color w:val="000000"/>
                <w:kern w:val="0"/>
                <w:sz w:val="28"/>
                <w:szCs w:val="28"/>
                <w:highlight w:val="none"/>
              </w:rPr>
              <w:t>验收意见</w:t>
            </w:r>
          </w:p>
        </w:tc>
      </w:tr>
      <w:tr>
        <w:tblPrEx>
          <w:tblCellMar>
            <w:top w:w="0" w:type="dxa"/>
            <w:left w:w="108" w:type="dxa"/>
            <w:bottom w:w="0" w:type="dxa"/>
            <w:right w:w="108" w:type="dxa"/>
          </w:tblCellMar>
        </w:tblPrEx>
        <w:trPr>
          <w:trHeight w:val="746" w:hRule="atLeast"/>
        </w:trPr>
        <w:tc>
          <w:tcPr>
            <w:tcW w:w="462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宋体"/>
                <w:color w:val="000000"/>
                <w:kern w:val="0"/>
                <w:sz w:val="28"/>
                <w:szCs w:val="28"/>
                <w:highlight w:val="none"/>
              </w:rPr>
            </w:pPr>
            <w:r>
              <w:rPr>
                <w:rFonts w:hint="eastAsia" w:ascii="Times New Roman" w:hAnsi="Times New Roman" w:cs="宋体"/>
                <w:color w:val="000000"/>
                <w:kern w:val="0"/>
                <w:sz w:val="28"/>
                <w:szCs w:val="28"/>
                <w:highlight w:val="none"/>
              </w:rPr>
              <w:t>　</w:t>
            </w:r>
          </w:p>
        </w:tc>
        <w:tc>
          <w:tcPr>
            <w:tcW w:w="484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宋体"/>
                <w:color w:val="000000"/>
                <w:kern w:val="0"/>
                <w:sz w:val="26"/>
                <w:szCs w:val="26"/>
                <w:highlight w:val="none"/>
              </w:rPr>
            </w:pPr>
            <w:r>
              <w:rPr>
                <w:rFonts w:hint="eastAsia" w:ascii="Times New Roman" w:hAnsi="Times New Roman" w:cs="宋体"/>
                <w:color w:val="000000"/>
                <w:kern w:val="0"/>
                <w:sz w:val="26"/>
                <w:szCs w:val="26"/>
                <w:highlight w:val="none"/>
              </w:rPr>
              <w:t>　</w:t>
            </w:r>
          </w:p>
        </w:tc>
        <w:tc>
          <w:tcPr>
            <w:tcW w:w="128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宋体"/>
                <w:color w:val="000000"/>
                <w:kern w:val="0"/>
                <w:sz w:val="26"/>
                <w:szCs w:val="26"/>
                <w:highlight w:val="none"/>
              </w:rPr>
            </w:pPr>
            <w:r>
              <w:rPr>
                <w:rFonts w:hint="eastAsia" w:ascii="Times New Roman" w:hAnsi="Times New Roman" w:cs="宋体"/>
                <w:color w:val="000000"/>
                <w:kern w:val="0"/>
                <w:sz w:val="26"/>
                <w:szCs w:val="26"/>
                <w:highlight w:val="none"/>
              </w:rPr>
              <w:t>　</w:t>
            </w:r>
          </w:p>
        </w:tc>
        <w:tc>
          <w:tcPr>
            <w:tcW w:w="1600"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cs="宋体"/>
                <w:color w:val="000000"/>
                <w:kern w:val="0"/>
                <w:sz w:val="26"/>
                <w:szCs w:val="26"/>
                <w:highlight w:val="none"/>
              </w:rPr>
            </w:pPr>
            <w:r>
              <w:rPr>
                <w:rFonts w:hint="eastAsia" w:ascii="Times New Roman" w:hAnsi="Times New Roman" w:cs="宋体"/>
                <w:color w:val="000000"/>
                <w:kern w:val="0"/>
                <w:sz w:val="26"/>
                <w:szCs w:val="26"/>
                <w:highlight w:val="none"/>
              </w:rPr>
              <w:t>　</w:t>
            </w:r>
          </w:p>
        </w:tc>
        <w:tc>
          <w:tcPr>
            <w:tcW w:w="1740" w:type="dxa"/>
            <w:tcBorders>
              <w:top w:val="nil"/>
              <w:left w:val="nil"/>
              <w:bottom w:val="single" w:color="auto" w:sz="4" w:space="0"/>
              <w:right w:val="single" w:color="auto" w:sz="4" w:space="0"/>
            </w:tcBorders>
            <w:vAlign w:val="bottom"/>
          </w:tcPr>
          <w:p>
            <w:pPr>
              <w:widowControl/>
              <w:jc w:val="left"/>
              <w:rPr>
                <w:rFonts w:ascii="Times New Roman" w:hAnsi="Times New Roman" w:cs="宋体"/>
                <w:color w:val="000000"/>
                <w:kern w:val="0"/>
                <w:sz w:val="26"/>
                <w:szCs w:val="26"/>
                <w:highlight w:val="none"/>
              </w:rPr>
            </w:pPr>
            <w:r>
              <w:rPr>
                <w:rFonts w:hint="eastAsia" w:ascii="Times New Roman" w:hAnsi="Times New Roman" w:cs="宋体"/>
                <w:color w:val="000000"/>
                <w:kern w:val="0"/>
                <w:sz w:val="26"/>
                <w:szCs w:val="26"/>
                <w:highlight w:val="none"/>
              </w:rPr>
              <w:t>　</w:t>
            </w:r>
          </w:p>
        </w:tc>
      </w:tr>
      <w:tr>
        <w:tblPrEx>
          <w:tblCellMar>
            <w:top w:w="0" w:type="dxa"/>
            <w:left w:w="108" w:type="dxa"/>
            <w:bottom w:w="0" w:type="dxa"/>
            <w:right w:w="108" w:type="dxa"/>
          </w:tblCellMar>
        </w:tblPrEx>
        <w:trPr>
          <w:trHeight w:val="750" w:hRule="atLeast"/>
        </w:trPr>
        <w:tc>
          <w:tcPr>
            <w:tcW w:w="4620" w:type="dxa"/>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宋体"/>
                <w:color w:val="000000"/>
                <w:kern w:val="0"/>
                <w:sz w:val="26"/>
                <w:szCs w:val="26"/>
                <w:highlight w:val="none"/>
              </w:rPr>
            </w:pPr>
            <w:r>
              <w:rPr>
                <w:rFonts w:hint="eastAsia" w:ascii="Times New Roman" w:hAnsi="Times New Roman" w:cs="宋体"/>
                <w:color w:val="000000"/>
                <w:kern w:val="0"/>
                <w:sz w:val="26"/>
                <w:szCs w:val="26"/>
                <w:highlight w:val="none"/>
              </w:rPr>
              <w:t>合计总价款（人民币）</w:t>
            </w:r>
          </w:p>
        </w:tc>
        <w:tc>
          <w:tcPr>
            <w:tcW w:w="9460" w:type="dxa"/>
            <w:gridSpan w:val="4"/>
            <w:tcBorders>
              <w:top w:val="nil"/>
              <w:left w:val="nil"/>
              <w:bottom w:val="single" w:color="auto" w:sz="4" w:space="0"/>
              <w:right w:val="single" w:color="000000" w:sz="4" w:space="0"/>
            </w:tcBorders>
            <w:vAlign w:val="center"/>
          </w:tcPr>
          <w:p>
            <w:pPr>
              <w:widowControl/>
              <w:jc w:val="left"/>
              <w:rPr>
                <w:rFonts w:ascii="Times New Roman" w:hAnsi="Times New Roman" w:cs="宋体"/>
                <w:color w:val="000000"/>
                <w:kern w:val="0"/>
                <w:sz w:val="26"/>
                <w:szCs w:val="26"/>
                <w:highlight w:val="none"/>
              </w:rPr>
            </w:pPr>
            <w:r>
              <w:rPr>
                <w:rFonts w:hint="eastAsia" w:ascii="Times New Roman" w:hAnsi="Times New Roman" w:cs="宋体"/>
                <w:color w:val="000000"/>
                <w:kern w:val="0"/>
                <w:sz w:val="26"/>
                <w:szCs w:val="26"/>
                <w:highlight w:val="none"/>
              </w:rPr>
              <w:t>人民币</w:t>
            </w:r>
            <w:r>
              <w:rPr>
                <w:rFonts w:ascii="Times New Roman" w:hAnsi="Times New Roman" w:cs="宋体"/>
                <w:color w:val="000000"/>
                <w:kern w:val="0"/>
                <w:sz w:val="26"/>
                <w:szCs w:val="26"/>
                <w:highlight w:val="none"/>
                <w:u w:val="single"/>
              </w:rPr>
              <w:t xml:space="preserve">                 </w:t>
            </w:r>
            <w:r>
              <w:rPr>
                <w:rFonts w:hint="eastAsia" w:ascii="Times New Roman" w:hAnsi="Times New Roman" w:cs="宋体"/>
                <w:color w:val="000000"/>
                <w:kern w:val="0"/>
                <w:sz w:val="26"/>
                <w:szCs w:val="26"/>
                <w:highlight w:val="none"/>
              </w:rPr>
              <w:t>元整。</w:t>
            </w:r>
            <w:r>
              <w:rPr>
                <w:rFonts w:ascii="Times New Roman" w:hAnsi="Times New Roman" w:cs="宋体"/>
                <w:color w:val="000000"/>
                <w:kern w:val="0"/>
                <w:sz w:val="26"/>
                <w:szCs w:val="26"/>
                <w:highlight w:val="none"/>
              </w:rPr>
              <w:t xml:space="preserve">       </w:t>
            </w:r>
            <w:r>
              <w:rPr>
                <w:rFonts w:hint="eastAsia" w:ascii="Times New Roman" w:hAnsi="Times New Roman" w:cs="宋体"/>
                <w:color w:val="000000"/>
                <w:kern w:val="0"/>
                <w:sz w:val="26"/>
                <w:szCs w:val="26"/>
                <w:highlight w:val="none"/>
              </w:rPr>
              <w:t>￥</w:t>
            </w:r>
            <w:r>
              <w:rPr>
                <w:rFonts w:ascii="Times New Roman" w:hAnsi="Times New Roman" w:cs="宋体"/>
                <w:color w:val="000000"/>
                <w:kern w:val="0"/>
                <w:sz w:val="26"/>
                <w:szCs w:val="26"/>
                <w:highlight w:val="none"/>
              </w:rPr>
              <w:t xml:space="preserve">: </w:t>
            </w:r>
            <w:r>
              <w:rPr>
                <w:rFonts w:ascii="Times New Roman" w:hAnsi="Times New Roman" w:cs="宋体"/>
                <w:color w:val="000000"/>
                <w:kern w:val="0"/>
                <w:sz w:val="26"/>
                <w:szCs w:val="26"/>
                <w:highlight w:val="none"/>
                <w:u w:val="single"/>
              </w:rPr>
              <w:t xml:space="preserve">             </w:t>
            </w:r>
          </w:p>
        </w:tc>
      </w:tr>
      <w:tr>
        <w:tblPrEx>
          <w:tblCellMar>
            <w:top w:w="0" w:type="dxa"/>
            <w:left w:w="108" w:type="dxa"/>
            <w:bottom w:w="0" w:type="dxa"/>
            <w:right w:w="108" w:type="dxa"/>
          </w:tblCellMar>
        </w:tblPrEx>
        <w:trPr>
          <w:trHeight w:val="690" w:hRule="atLeast"/>
        </w:trPr>
        <w:tc>
          <w:tcPr>
            <w:tcW w:w="4620" w:type="dxa"/>
            <w:tcBorders>
              <w:top w:val="nil"/>
              <w:left w:val="single" w:color="auto" w:sz="4" w:space="0"/>
              <w:bottom w:val="nil"/>
              <w:right w:val="nil"/>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供货单位（盖章）：</w:t>
            </w:r>
            <w:r>
              <w:rPr>
                <w:rFonts w:ascii="Times New Roman" w:hAnsi="Times New Roman" w:cs="宋体"/>
                <w:color w:val="000000"/>
                <w:kern w:val="0"/>
                <w:sz w:val="24"/>
                <w:highlight w:val="none"/>
              </w:rPr>
              <w:t xml:space="preserve">                     </w:t>
            </w:r>
          </w:p>
        </w:tc>
        <w:tc>
          <w:tcPr>
            <w:tcW w:w="4840" w:type="dxa"/>
            <w:vAlign w:val="center"/>
          </w:tcPr>
          <w:p>
            <w:pPr>
              <w:widowControl/>
              <w:jc w:val="righ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采购人（盖章）</w:t>
            </w:r>
            <w:r>
              <w:rPr>
                <w:rFonts w:ascii="Times New Roman" w:hAnsi="Times New Roman" w:cs="宋体"/>
                <w:color w:val="000000"/>
                <w:kern w:val="0"/>
                <w:sz w:val="24"/>
                <w:highlight w:val="none"/>
              </w:rPr>
              <w:t>:</w:t>
            </w:r>
          </w:p>
        </w:tc>
        <w:tc>
          <w:tcPr>
            <w:tcW w:w="2880" w:type="dxa"/>
            <w:gridSpan w:val="2"/>
            <w:vAlign w:val="bottom"/>
          </w:tcPr>
          <w:p>
            <w:pPr>
              <w:widowControl/>
              <w:jc w:val="left"/>
              <w:rPr>
                <w:rFonts w:ascii="Times New Roman" w:hAnsi="Times New Roman" w:cs="宋体"/>
                <w:color w:val="000000"/>
                <w:kern w:val="0"/>
                <w:sz w:val="24"/>
                <w:highlight w:val="none"/>
              </w:rPr>
            </w:pPr>
          </w:p>
        </w:tc>
        <w:tc>
          <w:tcPr>
            <w:tcW w:w="1740" w:type="dxa"/>
            <w:tcBorders>
              <w:top w:val="nil"/>
              <w:left w:val="nil"/>
              <w:bottom w:val="nil"/>
              <w:right w:val="single" w:color="auto" w:sz="4" w:space="0"/>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　</w:t>
            </w:r>
          </w:p>
        </w:tc>
      </w:tr>
      <w:tr>
        <w:tblPrEx>
          <w:tblCellMar>
            <w:top w:w="0" w:type="dxa"/>
            <w:left w:w="108" w:type="dxa"/>
            <w:bottom w:w="0" w:type="dxa"/>
            <w:right w:w="108" w:type="dxa"/>
          </w:tblCellMar>
        </w:tblPrEx>
        <w:trPr>
          <w:trHeight w:val="525" w:hRule="atLeast"/>
        </w:trPr>
        <w:tc>
          <w:tcPr>
            <w:tcW w:w="4620" w:type="dxa"/>
            <w:tcBorders>
              <w:top w:val="nil"/>
              <w:left w:val="single" w:color="auto" w:sz="4" w:space="0"/>
              <w:bottom w:val="nil"/>
              <w:right w:val="nil"/>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经办项目负责人：</w:t>
            </w:r>
          </w:p>
        </w:tc>
        <w:tc>
          <w:tcPr>
            <w:tcW w:w="4840" w:type="dxa"/>
            <w:vAlign w:val="center"/>
          </w:tcPr>
          <w:p>
            <w:pPr>
              <w:widowControl/>
              <w:jc w:val="righ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项目验收组组长：</w:t>
            </w:r>
          </w:p>
        </w:tc>
        <w:tc>
          <w:tcPr>
            <w:tcW w:w="2880" w:type="dxa"/>
            <w:gridSpan w:val="2"/>
            <w:vAlign w:val="bottom"/>
          </w:tcPr>
          <w:p>
            <w:pPr>
              <w:widowControl/>
              <w:jc w:val="left"/>
              <w:rPr>
                <w:rFonts w:ascii="Times New Roman" w:hAnsi="Times New Roman" w:cs="宋体"/>
                <w:color w:val="000000"/>
                <w:kern w:val="0"/>
                <w:sz w:val="24"/>
                <w:highlight w:val="none"/>
              </w:rPr>
            </w:pPr>
          </w:p>
        </w:tc>
        <w:tc>
          <w:tcPr>
            <w:tcW w:w="1740" w:type="dxa"/>
            <w:tcBorders>
              <w:top w:val="nil"/>
              <w:left w:val="nil"/>
              <w:bottom w:val="nil"/>
              <w:right w:val="single" w:color="auto" w:sz="4" w:space="0"/>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　</w:t>
            </w:r>
          </w:p>
        </w:tc>
      </w:tr>
      <w:tr>
        <w:tblPrEx>
          <w:tblCellMar>
            <w:top w:w="0" w:type="dxa"/>
            <w:left w:w="108" w:type="dxa"/>
            <w:bottom w:w="0" w:type="dxa"/>
            <w:right w:w="108" w:type="dxa"/>
          </w:tblCellMar>
        </w:tblPrEx>
        <w:trPr>
          <w:trHeight w:val="525" w:hRule="atLeast"/>
        </w:trPr>
        <w:tc>
          <w:tcPr>
            <w:tcW w:w="4620" w:type="dxa"/>
            <w:tcBorders>
              <w:top w:val="nil"/>
              <w:left w:val="single" w:color="auto" w:sz="4" w:space="0"/>
              <w:bottom w:val="nil"/>
              <w:right w:val="nil"/>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联系电话：</w:t>
            </w:r>
          </w:p>
        </w:tc>
        <w:tc>
          <w:tcPr>
            <w:tcW w:w="4840" w:type="dxa"/>
            <w:vAlign w:val="center"/>
          </w:tcPr>
          <w:p>
            <w:pPr>
              <w:widowControl/>
              <w:jc w:val="righ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联系电话：</w:t>
            </w:r>
          </w:p>
        </w:tc>
        <w:tc>
          <w:tcPr>
            <w:tcW w:w="1280" w:type="dxa"/>
            <w:vAlign w:val="bottom"/>
          </w:tcPr>
          <w:p>
            <w:pPr>
              <w:widowControl/>
              <w:jc w:val="left"/>
              <w:rPr>
                <w:rFonts w:ascii="Times New Roman" w:hAnsi="Times New Roman" w:cs="宋体"/>
                <w:color w:val="000000"/>
                <w:kern w:val="0"/>
                <w:sz w:val="24"/>
                <w:highlight w:val="none"/>
              </w:rPr>
            </w:pPr>
          </w:p>
        </w:tc>
        <w:tc>
          <w:tcPr>
            <w:tcW w:w="1600" w:type="dxa"/>
            <w:vAlign w:val="bottom"/>
          </w:tcPr>
          <w:p>
            <w:pPr>
              <w:widowControl/>
              <w:jc w:val="left"/>
              <w:rPr>
                <w:rFonts w:ascii="Times New Roman" w:hAnsi="Times New Roman" w:cs="宋体"/>
                <w:color w:val="000000"/>
                <w:kern w:val="0"/>
                <w:sz w:val="24"/>
                <w:highlight w:val="none"/>
              </w:rPr>
            </w:pPr>
          </w:p>
        </w:tc>
        <w:tc>
          <w:tcPr>
            <w:tcW w:w="1740" w:type="dxa"/>
            <w:tcBorders>
              <w:top w:val="nil"/>
              <w:left w:val="nil"/>
              <w:bottom w:val="nil"/>
              <w:right w:val="single" w:color="auto" w:sz="4" w:space="0"/>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　</w:t>
            </w:r>
          </w:p>
        </w:tc>
      </w:tr>
      <w:tr>
        <w:tblPrEx>
          <w:tblCellMar>
            <w:top w:w="0" w:type="dxa"/>
            <w:left w:w="108" w:type="dxa"/>
            <w:bottom w:w="0" w:type="dxa"/>
            <w:right w:w="108" w:type="dxa"/>
          </w:tblCellMar>
        </w:tblPrEx>
        <w:trPr>
          <w:trHeight w:val="540" w:hRule="atLeast"/>
        </w:trPr>
        <w:tc>
          <w:tcPr>
            <w:tcW w:w="4620" w:type="dxa"/>
            <w:tcBorders>
              <w:top w:val="nil"/>
              <w:left w:val="single" w:color="auto" w:sz="4" w:space="0"/>
              <w:bottom w:val="nil"/>
              <w:right w:val="nil"/>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开户银行：</w:t>
            </w:r>
          </w:p>
        </w:tc>
        <w:tc>
          <w:tcPr>
            <w:tcW w:w="4840" w:type="dxa"/>
            <w:vAlign w:val="center"/>
          </w:tcPr>
          <w:p>
            <w:pPr>
              <w:widowControl/>
              <w:jc w:val="righ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项目验收组成员（签名）：</w:t>
            </w:r>
          </w:p>
        </w:tc>
        <w:tc>
          <w:tcPr>
            <w:tcW w:w="1280" w:type="dxa"/>
            <w:vAlign w:val="bottom"/>
          </w:tcPr>
          <w:p>
            <w:pPr>
              <w:widowControl/>
              <w:jc w:val="left"/>
              <w:rPr>
                <w:rFonts w:ascii="Times New Roman" w:hAnsi="Times New Roman" w:cs="宋体"/>
                <w:color w:val="000000"/>
                <w:kern w:val="0"/>
                <w:sz w:val="24"/>
                <w:highlight w:val="none"/>
              </w:rPr>
            </w:pPr>
          </w:p>
        </w:tc>
        <w:tc>
          <w:tcPr>
            <w:tcW w:w="1600" w:type="dxa"/>
            <w:vAlign w:val="bottom"/>
          </w:tcPr>
          <w:p>
            <w:pPr>
              <w:widowControl/>
              <w:jc w:val="left"/>
              <w:rPr>
                <w:rFonts w:ascii="Times New Roman" w:hAnsi="Times New Roman" w:cs="宋体"/>
                <w:color w:val="000000"/>
                <w:kern w:val="0"/>
                <w:sz w:val="24"/>
                <w:highlight w:val="none"/>
              </w:rPr>
            </w:pPr>
          </w:p>
        </w:tc>
        <w:tc>
          <w:tcPr>
            <w:tcW w:w="1740" w:type="dxa"/>
            <w:tcBorders>
              <w:top w:val="nil"/>
              <w:left w:val="nil"/>
              <w:bottom w:val="nil"/>
              <w:right w:val="single" w:color="auto" w:sz="4" w:space="0"/>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　</w:t>
            </w:r>
          </w:p>
        </w:tc>
      </w:tr>
      <w:tr>
        <w:tblPrEx>
          <w:tblCellMar>
            <w:top w:w="0" w:type="dxa"/>
            <w:left w:w="108" w:type="dxa"/>
            <w:bottom w:w="0" w:type="dxa"/>
            <w:right w:w="108" w:type="dxa"/>
          </w:tblCellMar>
        </w:tblPrEx>
        <w:trPr>
          <w:trHeight w:val="675" w:hRule="atLeast"/>
        </w:trPr>
        <w:tc>
          <w:tcPr>
            <w:tcW w:w="4620" w:type="dxa"/>
            <w:tcBorders>
              <w:top w:val="nil"/>
              <w:left w:val="single" w:color="auto" w:sz="4" w:space="0"/>
              <w:bottom w:val="single" w:color="auto" w:sz="4" w:space="0"/>
              <w:right w:val="nil"/>
            </w:tcBorders>
            <w:vAlign w:val="center"/>
          </w:tcPr>
          <w:p>
            <w:pPr>
              <w:widowControl/>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银行账号：</w:t>
            </w:r>
          </w:p>
        </w:tc>
        <w:tc>
          <w:tcPr>
            <w:tcW w:w="4840" w:type="dxa"/>
            <w:tcBorders>
              <w:top w:val="nil"/>
              <w:left w:val="nil"/>
              <w:bottom w:val="single" w:color="auto" w:sz="4" w:space="0"/>
              <w:right w:val="nil"/>
            </w:tcBorders>
            <w:vAlign w:val="bottom"/>
          </w:tcPr>
          <w:p>
            <w:pPr>
              <w:widowControl/>
              <w:jc w:val="left"/>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　</w:t>
            </w:r>
          </w:p>
        </w:tc>
        <w:tc>
          <w:tcPr>
            <w:tcW w:w="4620" w:type="dxa"/>
            <w:gridSpan w:val="3"/>
            <w:tcBorders>
              <w:top w:val="nil"/>
              <w:left w:val="nil"/>
              <w:bottom w:val="single" w:color="auto" w:sz="4" w:space="0"/>
              <w:right w:val="single" w:color="000000" w:sz="4" w:space="0"/>
            </w:tcBorders>
            <w:vAlign w:val="center"/>
          </w:tcPr>
          <w:p>
            <w:pPr>
              <w:widowControl/>
              <w:rPr>
                <w:rFonts w:ascii="Times New Roman" w:hAnsi="Times New Roman" w:cs="宋体"/>
                <w:color w:val="000000"/>
                <w:kern w:val="0"/>
                <w:sz w:val="24"/>
                <w:highlight w:val="none"/>
              </w:rPr>
            </w:pPr>
            <w:r>
              <w:rPr>
                <w:rFonts w:hint="eastAsia" w:ascii="Times New Roman" w:hAnsi="Times New Roman" w:cs="宋体"/>
                <w:color w:val="000000"/>
                <w:kern w:val="0"/>
                <w:sz w:val="24"/>
                <w:highlight w:val="none"/>
              </w:rPr>
              <w:t>验收时间：</w:t>
            </w:r>
            <w:r>
              <w:rPr>
                <w:rFonts w:ascii="Times New Roman" w:hAnsi="Times New Roman" w:cs="宋体"/>
                <w:color w:val="000000"/>
                <w:kern w:val="0"/>
                <w:sz w:val="24"/>
                <w:highlight w:val="none"/>
              </w:rPr>
              <w:t xml:space="preserve">       </w:t>
            </w:r>
            <w:r>
              <w:rPr>
                <w:rFonts w:hint="eastAsia" w:ascii="Times New Roman" w:hAnsi="Times New Roman" w:cs="宋体"/>
                <w:color w:val="000000"/>
                <w:kern w:val="0"/>
                <w:sz w:val="24"/>
                <w:highlight w:val="none"/>
              </w:rPr>
              <w:t>年</w:t>
            </w:r>
            <w:r>
              <w:rPr>
                <w:rFonts w:ascii="Times New Roman" w:hAnsi="Times New Roman" w:cs="宋体"/>
                <w:color w:val="000000"/>
                <w:kern w:val="0"/>
                <w:sz w:val="24"/>
                <w:highlight w:val="none"/>
              </w:rPr>
              <w:t xml:space="preserve">     </w:t>
            </w:r>
            <w:r>
              <w:rPr>
                <w:rFonts w:hint="eastAsia" w:ascii="Times New Roman" w:hAnsi="Times New Roman" w:cs="宋体"/>
                <w:color w:val="000000"/>
                <w:kern w:val="0"/>
                <w:sz w:val="24"/>
                <w:highlight w:val="none"/>
              </w:rPr>
              <w:t>月</w:t>
            </w:r>
            <w:r>
              <w:rPr>
                <w:rFonts w:ascii="Times New Roman" w:hAnsi="Times New Roman" w:cs="宋体"/>
                <w:color w:val="000000"/>
                <w:kern w:val="0"/>
                <w:sz w:val="24"/>
                <w:highlight w:val="none"/>
              </w:rPr>
              <w:t xml:space="preserve">     </w:t>
            </w:r>
            <w:r>
              <w:rPr>
                <w:rFonts w:hint="eastAsia" w:ascii="Times New Roman" w:hAnsi="Times New Roman" w:cs="宋体"/>
                <w:color w:val="000000"/>
                <w:kern w:val="0"/>
                <w:sz w:val="24"/>
                <w:highlight w:val="none"/>
              </w:rPr>
              <w:t>日</w:t>
            </w:r>
          </w:p>
        </w:tc>
      </w:tr>
      <w:tr>
        <w:tblPrEx>
          <w:tblCellMar>
            <w:top w:w="0" w:type="dxa"/>
            <w:left w:w="108" w:type="dxa"/>
            <w:bottom w:w="0" w:type="dxa"/>
            <w:right w:w="108" w:type="dxa"/>
          </w:tblCellMar>
        </w:tblPrEx>
        <w:trPr>
          <w:trHeight w:val="345" w:hRule="atLeast"/>
        </w:trPr>
        <w:tc>
          <w:tcPr>
            <w:tcW w:w="14080" w:type="dxa"/>
            <w:gridSpan w:val="5"/>
            <w:tcBorders>
              <w:top w:val="single" w:color="auto" w:sz="4" w:space="0"/>
              <w:left w:val="nil"/>
              <w:bottom w:val="nil"/>
              <w:right w:val="nil"/>
            </w:tcBorders>
            <w:vAlign w:val="center"/>
          </w:tcPr>
          <w:p>
            <w:pPr>
              <w:widowControl/>
              <w:jc w:val="left"/>
              <w:rPr>
                <w:rFonts w:ascii="Times New Roman" w:hAnsi="Times New Roman" w:cs="宋体"/>
                <w:color w:val="000000"/>
                <w:kern w:val="0"/>
                <w:sz w:val="22"/>
                <w:highlight w:val="none"/>
              </w:rPr>
            </w:pPr>
            <w:r>
              <w:rPr>
                <w:rFonts w:hint="eastAsia" w:ascii="Times New Roman" w:hAnsi="Times New Roman" w:cs="宋体"/>
                <w:color w:val="000000"/>
                <w:kern w:val="0"/>
                <w:sz w:val="22"/>
                <w:highlight w:val="none"/>
              </w:rPr>
              <w:t>本单一式四联：第一联采购人留存，第二联作为财政支付凭证，第三联供货单位留存，第四联采购办存档备查。</w:t>
            </w:r>
          </w:p>
          <w:p>
            <w:pPr>
              <w:rPr>
                <w:rFonts w:ascii="Times New Roman" w:hAnsi="Times New Roman" w:cs="宋体"/>
                <w:color w:val="000000"/>
                <w:sz w:val="22"/>
                <w:highlight w:val="none"/>
              </w:rPr>
            </w:pPr>
          </w:p>
          <w:p>
            <w:pPr>
              <w:rPr>
                <w:rFonts w:ascii="Times New Roman" w:hAnsi="Times New Roman" w:cs="宋体"/>
                <w:color w:val="000000"/>
                <w:sz w:val="22"/>
                <w:highlight w:val="none"/>
              </w:rPr>
            </w:pPr>
          </w:p>
          <w:p>
            <w:pPr>
              <w:rPr>
                <w:rFonts w:ascii="Times New Roman" w:hAnsi="Times New Roman" w:cs="宋体"/>
                <w:color w:val="000000"/>
                <w:sz w:val="22"/>
                <w:highlight w:val="none"/>
              </w:rPr>
            </w:pPr>
          </w:p>
        </w:tc>
      </w:tr>
    </w:tbl>
    <w:p>
      <w:pPr>
        <w:widowControl/>
        <w:spacing w:line="360" w:lineRule="auto"/>
        <w:jc w:val="left"/>
        <w:rPr>
          <w:rFonts w:ascii="Times New Roman" w:hAnsi="Times New Roman"/>
          <w:color w:val="000000"/>
          <w:szCs w:val="21"/>
          <w:highlight w:val="none"/>
        </w:rPr>
        <w:sectPr>
          <w:pgSz w:w="16838" w:h="11906" w:orient="landscape"/>
          <w:pgMar w:top="1797" w:right="1474" w:bottom="1559" w:left="1247" w:header="851" w:footer="851" w:gutter="0"/>
          <w:cols w:space="720" w:num="1"/>
        </w:sectPr>
      </w:pPr>
    </w:p>
    <w:p>
      <w:pPr>
        <w:pStyle w:val="46"/>
        <w:rPr>
          <w:rFonts w:ascii="Times New Roman" w:hAnsi="Times New Roman"/>
          <w:color w:val="000000"/>
          <w:sz w:val="21"/>
          <w:szCs w:val="21"/>
          <w:highlight w:val="none"/>
        </w:rPr>
      </w:pPr>
      <w:bookmarkStart w:id="264" w:name="_Toc11067543"/>
      <w:r>
        <w:rPr>
          <w:rFonts w:hint="eastAsia" w:ascii="Times New Roman" w:hAnsi="Times New Roman"/>
          <w:color w:val="000000"/>
          <w:highlight w:val="none"/>
        </w:rPr>
        <w:t>第六章</w:t>
      </w:r>
      <w:r>
        <w:rPr>
          <w:rFonts w:ascii="Times New Roman" w:hAnsi="Times New Roman"/>
          <w:color w:val="000000"/>
          <w:highlight w:val="none"/>
        </w:rPr>
        <w:t xml:space="preserve">  </w:t>
      </w:r>
      <w:r>
        <w:rPr>
          <w:rFonts w:hint="eastAsia" w:ascii="Times New Roman" w:hAnsi="Times New Roman"/>
          <w:color w:val="000000"/>
          <w:highlight w:val="none"/>
        </w:rPr>
        <w:t>投标文件格式</w:t>
      </w:r>
      <w:bookmarkEnd w:id="264"/>
    </w:p>
    <w:p>
      <w:pPr>
        <w:pStyle w:val="189"/>
        <w:snapToGrid w:val="0"/>
        <w:spacing w:line="400" w:lineRule="exact"/>
        <w:jc w:val="center"/>
        <w:rPr>
          <w:rFonts w:ascii="Times New Roman" w:hAnsi="Times New Roman" w:eastAsia="宋体" w:cs="宋体"/>
          <w:b/>
          <w:color w:val="000000"/>
          <w:sz w:val="32"/>
          <w:szCs w:val="32"/>
          <w:highlight w:val="none"/>
        </w:rPr>
      </w:pPr>
      <w:bookmarkStart w:id="265" w:name="_Toc430786286"/>
    </w:p>
    <w:p>
      <w:pPr>
        <w:pStyle w:val="189"/>
        <w:snapToGrid w:val="0"/>
        <w:spacing w:line="400" w:lineRule="exact"/>
        <w:jc w:val="center"/>
        <w:rPr>
          <w:rFonts w:ascii="Times New Roman" w:hAnsi="Times New Roman" w:eastAsia="宋体" w:cs="宋体"/>
          <w:b/>
          <w:color w:val="000000"/>
          <w:sz w:val="32"/>
          <w:szCs w:val="32"/>
          <w:highlight w:val="none"/>
        </w:rPr>
      </w:pPr>
      <w:r>
        <w:rPr>
          <w:rFonts w:hint="eastAsia" w:ascii="Times New Roman" w:hAnsi="Times New Roman" w:eastAsia="宋体" w:cs="宋体"/>
          <w:b/>
          <w:color w:val="000000"/>
          <w:sz w:val="32"/>
          <w:szCs w:val="32"/>
          <w:highlight w:val="none"/>
        </w:rPr>
        <w:t>政府采购活动现场确认声明书</w:t>
      </w:r>
    </w:p>
    <w:p>
      <w:pPr>
        <w:pStyle w:val="189"/>
        <w:snapToGrid w:val="0"/>
        <w:spacing w:line="400" w:lineRule="exact"/>
        <w:jc w:val="center"/>
        <w:rPr>
          <w:rFonts w:ascii="Times New Roman" w:hAnsi="Times New Roman" w:eastAsia="宋体" w:cs="宋体"/>
          <w:b/>
          <w:color w:val="000000"/>
          <w:sz w:val="24"/>
          <w:szCs w:val="24"/>
          <w:highlight w:val="none"/>
        </w:rPr>
      </w:pPr>
      <w:r>
        <w:rPr>
          <w:rFonts w:hint="eastAsia" w:ascii="Times New Roman" w:hAnsi="Times New Roman" w:eastAsia="宋体" w:cs="宋体"/>
          <w:b/>
          <w:color w:val="000000"/>
          <w:sz w:val="24"/>
          <w:szCs w:val="24"/>
          <w:highlight w:val="none"/>
        </w:rPr>
        <w:t>（要求在电子投标文件解密后，将以下表格填写完成后，通过电子邮件方式将清晰扫描件传给</w:t>
      </w:r>
      <w:r>
        <w:rPr>
          <w:rFonts w:hint="eastAsia" w:ascii="Times New Roman" w:hAnsi="Times New Roman" w:eastAsia="宋体" w:cs="宋体"/>
          <w:b/>
          <w:color w:val="000000"/>
          <w:sz w:val="24"/>
          <w:szCs w:val="24"/>
          <w:highlight w:val="none"/>
          <w:lang w:eastAsia="zh-CN"/>
        </w:rPr>
        <w:t>443675436</w:t>
      </w:r>
      <w:r>
        <w:rPr>
          <w:rFonts w:ascii="Times New Roman" w:hAnsi="Times New Roman" w:eastAsia="宋体" w:cs="宋体"/>
          <w:b/>
          <w:color w:val="000000"/>
          <w:sz w:val="24"/>
          <w:szCs w:val="24"/>
          <w:highlight w:val="none"/>
        </w:rPr>
        <w:t>@qq.com</w:t>
      </w:r>
      <w:r>
        <w:rPr>
          <w:rFonts w:hint="eastAsia" w:ascii="Times New Roman" w:hAnsi="Times New Roman" w:eastAsia="宋体" w:cs="宋体"/>
          <w:b/>
          <w:color w:val="000000"/>
          <w:sz w:val="24"/>
          <w:szCs w:val="24"/>
          <w:highlight w:val="none"/>
        </w:rPr>
        <w:t>，不要封存于投标文件里）</w:t>
      </w:r>
    </w:p>
    <w:p>
      <w:pPr>
        <w:pStyle w:val="189"/>
        <w:snapToGrid w:val="0"/>
        <w:spacing w:line="400" w:lineRule="exact"/>
        <w:rPr>
          <w:rFonts w:ascii="Times New Roman" w:hAnsi="Times New Roman" w:eastAsia="宋体" w:cs="宋体"/>
          <w:color w:val="000000"/>
          <w:kern w:val="0"/>
          <w:sz w:val="21"/>
          <w:szCs w:val="21"/>
          <w:highlight w:val="none"/>
        </w:rPr>
      </w:pPr>
      <w:r>
        <w:rPr>
          <w:rFonts w:ascii="Times New Roman" w:hAnsi="Times New Roman" w:eastAsia="宋体" w:cs="宋体"/>
          <w:color w:val="000000"/>
          <w:kern w:val="0"/>
          <w:sz w:val="21"/>
          <w:szCs w:val="21"/>
          <w:highlight w:val="none"/>
        </w:rPr>
        <w:t xml:space="preserve"> </w:t>
      </w:r>
    </w:p>
    <w:p>
      <w:pPr>
        <w:pStyle w:val="189"/>
        <w:snapToGrid w:val="0"/>
        <w:spacing w:line="400" w:lineRule="exact"/>
        <w:rPr>
          <w:rFonts w:ascii="Times New Roman" w:hAnsi="Times New Roman" w:eastAsia="宋体" w:cs="宋体"/>
          <w:b/>
          <w:color w:val="000000"/>
          <w:sz w:val="21"/>
          <w:szCs w:val="21"/>
          <w:highlight w:val="none"/>
        </w:rPr>
      </w:pPr>
      <w:r>
        <w:rPr>
          <w:rFonts w:hint="eastAsia" w:ascii="Times New Roman" w:hAnsi="Times New Roman" w:eastAsia="宋体" w:cs="宋体"/>
          <w:color w:val="000000"/>
          <w:kern w:val="0"/>
          <w:sz w:val="21"/>
          <w:szCs w:val="21"/>
          <w:highlight w:val="none"/>
          <w:lang w:eastAsia="zh-CN"/>
        </w:rPr>
        <w:t>嘉兴市秀洲区公路与运输管理服务中心</w:t>
      </w:r>
      <w:r>
        <w:rPr>
          <w:rFonts w:hint="eastAsia" w:ascii="Times New Roman" w:hAnsi="Times New Roman" w:eastAsia="宋体" w:cs="宋体"/>
          <w:color w:val="000000"/>
          <w:kern w:val="0"/>
          <w:sz w:val="21"/>
          <w:szCs w:val="21"/>
          <w:highlight w:val="none"/>
        </w:rPr>
        <w:t>：</w:t>
      </w:r>
    </w:p>
    <w:p>
      <w:pPr>
        <w:pStyle w:val="189"/>
        <w:snapToGrid w:val="0"/>
        <w:spacing w:line="400" w:lineRule="exact"/>
        <w:ind w:firstLine="444" w:firstLineChars="200"/>
        <w:rPr>
          <w:rFonts w:ascii="Times New Roman" w:hAnsi="Times New Roman" w:eastAsia="宋体" w:cs="宋体"/>
          <w:color w:val="000000"/>
          <w:spacing w:val="6"/>
          <w:sz w:val="21"/>
          <w:szCs w:val="21"/>
          <w:highlight w:val="none"/>
        </w:rPr>
      </w:pPr>
      <w:r>
        <w:rPr>
          <w:rFonts w:hint="eastAsia" w:ascii="Times New Roman" w:hAnsi="Times New Roman" w:eastAsia="宋体" w:cs="宋体"/>
          <w:color w:val="000000"/>
          <w:spacing w:val="6"/>
          <w:sz w:val="21"/>
          <w:szCs w:val="21"/>
          <w:highlight w:val="none"/>
        </w:rPr>
        <w:t>本人经由</w:t>
      </w:r>
      <w:r>
        <w:rPr>
          <w:rFonts w:ascii="Times New Roman" w:hAnsi="Times New Roman" w:eastAsia="宋体" w:cs="宋体"/>
          <w:color w:val="000000"/>
          <w:spacing w:val="6"/>
          <w:sz w:val="21"/>
          <w:szCs w:val="21"/>
          <w:highlight w:val="none"/>
          <w:u w:val="single"/>
        </w:rPr>
        <w:t xml:space="preserve">                  </w:t>
      </w:r>
      <w:r>
        <w:rPr>
          <w:rFonts w:hint="eastAsia" w:ascii="Times New Roman" w:hAnsi="Times New Roman" w:eastAsia="宋体" w:cs="宋体"/>
          <w:color w:val="000000"/>
          <w:spacing w:val="6"/>
          <w:sz w:val="21"/>
          <w:szCs w:val="21"/>
          <w:highlight w:val="none"/>
          <w:u w:val="single"/>
        </w:rPr>
        <w:t>（单位）</w:t>
      </w:r>
      <w:r>
        <w:rPr>
          <w:rFonts w:hint="eastAsia" w:ascii="Times New Roman" w:hAnsi="Times New Roman" w:eastAsia="宋体" w:cs="宋体"/>
          <w:color w:val="000000"/>
          <w:spacing w:val="6"/>
          <w:sz w:val="21"/>
          <w:szCs w:val="21"/>
          <w:highlight w:val="none"/>
        </w:rPr>
        <w:t>负责人</w:t>
      </w:r>
      <w:r>
        <w:rPr>
          <w:rFonts w:ascii="Times New Roman" w:hAnsi="Times New Roman" w:eastAsia="宋体" w:cs="宋体"/>
          <w:color w:val="000000"/>
          <w:spacing w:val="6"/>
          <w:sz w:val="21"/>
          <w:szCs w:val="21"/>
          <w:highlight w:val="none"/>
          <w:u w:val="single"/>
        </w:rPr>
        <w:t xml:space="preserve">        </w:t>
      </w:r>
      <w:r>
        <w:rPr>
          <w:rFonts w:hint="eastAsia" w:ascii="Times New Roman" w:hAnsi="Times New Roman" w:eastAsia="宋体" w:cs="宋体"/>
          <w:color w:val="000000"/>
          <w:spacing w:val="6"/>
          <w:sz w:val="21"/>
          <w:szCs w:val="21"/>
          <w:highlight w:val="none"/>
          <w:u w:val="single"/>
        </w:rPr>
        <w:t>（姓名）</w:t>
      </w:r>
      <w:r>
        <w:rPr>
          <w:rFonts w:hint="eastAsia" w:ascii="Times New Roman" w:hAnsi="Times New Roman" w:eastAsia="宋体" w:cs="宋体"/>
          <w:color w:val="000000"/>
          <w:spacing w:val="6"/>
          <w:sz w:val="21"/>
          <w:szCs w:val="21"/>
          <w:highlight w:val="none"/>
        </w:rPr>
        <w:t>合法授权参加</w:t>
      </w:r>
      <w:r>
        <w:rPr>
          <w:rFonts w:ascii="Times New Roman" w:hAnsi="Times New Roman" w:eastAsia="宋体" w:cs="宋体"/>
          <w:color w:val="000000"/>
          <w:spacing w:val="6"/>
          <w:sz w:val="21"/>
          <w:szCs w:val="21"/>
          <w:highlight w:val="none"/>
          <w:u w:val="single"/>
        </w:rPr>
        <w:t xml:space="preserve">                </w:t>
      </w:r>
      <w:r>
        <w:rPr>
          <w:rFonts w:hint="eastAsia" w:ascii="Times New Roman" w:hAnsi="Times New Roman" w:eastAsia="宋体" w:cs="宋体"/>
          <w:color w:val="000000"/>
          <w:spacing w:val="6"/>
          <w:sz w:val="21"/>
          <w:szCs w:val="21"/>
          <w:highlight w:val="none"/>
        </w:rPr>
        <w:t>项目（编号：</w:t>
      </w:r>
      <w:r>
        <w:rPr>
          <w:rFonts w:ascii="Times New Roman" w:hAnsi="Times New Roman" w:eastAsia="宋体" w:cs="宋体"/>
          <w:color w:val="000000"/>
          <w:spacing w:val="6"/>
          <w:sz w:val="21"/>
          <w:szCs w:val="21"/>
          <w:highlight w:val="none"/>
          <w:u w:val="single"/>
        </w:rPr>
        <w:t xml:space="preserve">        </w:t>
      </w:r>
      <w:r>
        <w:rPr>
          <w:rFonts w:hint="eastAsia" w:ascii="Times New Roman" w:hAnsi="Times New Roman" w:eastAsia="宋体" w:cs="宋体"/>
          <w:color w:val="000000"/>
          <w:spacing w:val="6"/>
          <w:sz w:val="21"/>
          <w:szCs w:val="21"/>
          <w:highlight w:val="none"/>
        </w:rPr>
        <w:t>）政府采购活动，经与本单位法人代表（负责人）联系确认，现就有关公平竞争事项郑重声明如下：</w:t>
      </w:r>
      <w:r>
        <w:rPr>
          <w:rFonts w:ascii="Times New Roman" w:hAnsi="Times New Roman" w:eastAsia="宋体" w:cs="宋体"/>
          <w:color w:val="000000"/>
          <w:spacing w:val="6"/>
          <w:sz w:val="21"/>
          <w:szCs w:val="21"/>
          <w:highlight w:val="none"/>
        </w:rPr>
        <w:t xml:space="preserve"> </w:t>
      </w:r>
    </w:p>
    <w:p>
      <w:pPr>
        <w:pStyle w:val="264"/>
        <w:widowControl/>
        <w:numPr>
          <w:ilvl w:val="0"/>
          <w:numId w:val="11"/>
        </w:numPr>
        <w:snapToGrid w:val="0"/>
        <w:spacing w:line="400" w:lineRule="exact"/>
        <w:ind w:firstLine="396" w:firstLineChars="189"/>
        <w:rPr>
          <w:rFonts w:ascii="Times New Roman" w:hAnsi="Times New Roman" w:cs="宋体"/>
          <w:color w:val="000000"/>
          <w:kern w:val="0"/>
          <w:szCs w:val="21"/>
          <w:highlight w:val="none"/>
        </w:rPr>
      </w:pPr>
      <w:r>
        <w:rPr>
          <w:rFonts w:hint="eastAsia" w:ascii="Times New Roman" w:hAnsi="Times New Roman" w:cs="宋体"/>
          <w:color w:val="000000"/>
          <w:kern w:val="0"/>
          <w:szCs w:val="21"/>
          <w:highlight w:val="none"/>
        </w:rPr>
        <w:t>本单位与采购人之间</w:t>
      </w:r>
      <w:r>
        <w:rPr>
          <w:rFonts w:ascii="Times New Roman" w:hAnsi="Times New Roman" w:cs="宋体"/>
          <w:color w:val="000000"/>
          <w:kern w:val="0"/>
          <w:szCs w:val="21"/>
          <w:highlight w:val="none"/>
        </w:rPr>
        <w:t xml:space="preserve"> </w:t>
      </w:r>
      <w:r>
        <w:rPr>
          <w:rFonts w:hint="eastAsia" w:ascii="Times New Roman" w:hAnsi="Times New Roman" w:cs="宋体"/>
          <w:color w:val="000000"/>
          <w:kern w:val="0"/>
          <w:szCs w:val="21"/>
          <w:highlight w:val="none"/>
        </w:rPr>
        <w:t>□不存在利害关系</w:t>
      </w:r>
      <w:r>
        <w:rPr>
          <w:rFonts w:ascii="Times New Roman" w:hAnsi="Times New Roman" w:cs="宋体"/>
          <w:color w:val="000000"/>
          <w:kern w:val="0"/>
          <w:szCs w:val="21"/>
          <w:highlight w:val="none"/>
        </w:rPr>
        <w:t xml:space="preserve"> </w:t>
      </w:r>
      <w:r>
        <w:rPr>
          <w:rFonts w:hint="eastAsia" w:ascii="Times New Roman" w:hAnsi="Times New Roman" w:cs="宋体"/>
          <w:color w:val="000000"/>
          <w:kern w:val="0"/>
          <w:szCs w:val="21"/>
          <w:highlight w:val="none"/>
        </w:rPr>
        <w:t>□存在下列利害关系</w:t>
      </w:r>
      <w:r>
        <w:rPr>
          <w:rFonts w:ascii="Times New Roman" w:hAnsi="Times New Roman" w:cs="宋体"/>
          <w:color w:val="000000"/>
          <w:kern w:val="0"/>
          <w:szCs w:val="21"/>
          <w:highlight w:val="none"/>
          <w:u w:val="single"/>
        </w:rPr>
        <w:t xml:space="preserve">           </w:t>
      </w:r>
      <w:r>
        <w:rPr>
          <w:rFonts w:hint="eastAsia" w:ascii="Times New Roman" w:hAnsi="Times New Roman" w:cs="宋体"/>
          <w:color w:val="000000"/>
          <w:kern w:val="0"/>
          <w:szCs w:val="21"/>
          <w:highlight w:val="none"/>
        </w:rPr>
        <w:t>：</w:t>
      </w:r>
    </w:p>
    <w:p>
      <w:pPr>
        <w:pStyle w:val="264"/>
        <w:widowControl/>
        <w:snapToGrid w:val="0"/>
        <w:spacing w:line="400" w:lineRule="exact"/>
        <w:rPr>
          <w:rFonts w:ascii="Times New Roman" w:hAnsi="Times New Roman" w:cs="宋体"/>
          <w:color w:val="000000"/>
          <w:kern w:val="0"/>
          <w:szCs w:val="21"/>
          <w:highlight w:val="none"/>
        </w:rPr>
      </w:pPr>
      <w:r>
        <w:rPr>
          <w:rFonts w:ascii="Times New Roman" w:hAnsi="Times New Roman" w:cs="宋体"/>
          <w:color w:val="000000"/>
          <w:kern w:val="0"/>
          <w:szCs w:val="21"/>
          <w:highlight w:val="none"/>
        </w:rPr>
        <w:t xml:space="preserve">  A.</w:t>
      </w:r>
      <w:r>
        <w:rPr>
          <w:rFonts w:hint="eastAsia" w:ascii="Times New Roman" w:hAnsi="Times New Roman" w:cs="宋体"/>
          <w:color w:val="000000"/>
          <w:kern w:val="0"/>
          <w:szCs w:val="21"/>
          <w:highlight w:val="none"/>
        </w:rPr>
        <w:t>投资关系</w:t>
      </w:r>
      <w:r>
        <w:rPr>
          <w:rFonts w:ascii="Times New Roman" w:hAnsi="Times New Roman" w:cs="宋体"/>
          <w:color w:val="000000"/>
          <w:kern w:val="0"/>
          <w:szCs w:val="21"/>
          <w:highlight w:val="none"/>
        </w:rPr>
        <w:t xml:space="preserve">    B.</w:t>
      </w:r>
      <w:r>
        <w:rPr>
          <w:rFonts w:hint="eastAsia" w:ascii="Times New Roman" w:hAnsi="Times New Roman" w:cs="宋体"/>
          <w:color w:val="000000"/>
          <w:kern w:val="0"/>
          <w:szCs w:val="21"/>
          <w:highlight w:val="none"/>
        </w:rPr>
        <w:t>行政隶属关系</w:t>
      </w:r>
      <w:r>
        <w:rPr>
          <w:rFonts w:ascii="Times New Roman" w:hAnsi="Times New Roman" w:cs="宋体"/>
          <w:color w:val="000000"/>
          <w:kern w:val="0"/>
          <w:szCs w:val="21"/>
          <w:highlight w:val="none"/>
        </w:rPr>
        <w:t xml:space="preserve">    C.</w:t>
      </w:r>
      <w:r>
        <w:rPr>
          <w:rFonts w:hint="eastAsia" w:ascii="Times New Roman" w:hAnsi="Times New Roman" w:cs="宋体"/>
          <w:color w:val="000000"/>
          <w:kern w:val="0"/>
          <w:szCs w:val="21"/>
          <w:highlight w:val="none"/>
        </w:rPr>
        <w:t>业务指导关系</w:t>
      </w:r>
    </w:p>
    <w:p>
      <w:pPr>
        <w:pStyle w:val="264"/>
        <w:widowControl/>
        <w:snapToGrid w:val="0"/>
        <w:spacing w:line="400" w:lineRule="exact"/>
        <w:rPr>
          <w:rFonts w:ascii="Times New Roman" w:hAnsi="Times New Roman" w:cs="宋体"/>
          <w:color w:val="000000"/>
          <w:kern w:val="0"/>
          <w:szCs w:val="21"/>
          <w:highlight w:val="none"/>
        </w:rPr>
      </w:pPr>
      <w:r>
        <w:rPr>
          <w:rFonts w:ascii="Times New Roman" w:hAnsi="Times New Roman" w:cs="宋体"/>
          <w:color w:val="000000"/>
          <w:kern w:val="0"/>
          <w:szCs w:val="21"/>
          <w:highlight w:val="none"/>
        </w:rPr>
        <w:t xml:space="preserve">  D.</w:t>
      </w:r>
      <w:r>
        <w:rPr>
          <w:rFonts w:hint="eastAsia" w:ascii="Times New Roman" w:hAnsi="Times New Roman" w:cs="宋体"/>
          <w:color w:val="000000"/>
          <w:kern w:val="0"/>
          <w:szCs w:val="21"/>
          <w:highlight w:val="none"/>
        </w:rPr>
        <w:t>其他可能</w:t>
      </w:r>
      <w:r>
        <w:rPr>
          <w:rFonts w:hint="eastAsia" w:ascii="Times New Roman" w:hAnsi="Times New Roman" w:cs="宋体"/>
          <w:color w:val="000000"/>
          <w:szCs w:val="21"/>
          <w:highlight w:val="none"/>
        </w:rPr>
        <w:t>影响采购公正的</w:t>
      </w:r>
      <w:r>
        <w:rPr>
          <w:rFonts w:hint="eastAsia" w:ascii="Times New Roman" w:hAnsi="Times New Roman" w:cs="宋体"/>
          <w:color w:val="000000"/>
          <w:kern w:val="0"/>
          <w:szCs w:val="21"/>
          <w:highlight w:val="none"/>
        </w:rPr>
        <w:t>利害关系</w:t>
      </w:r>
      <w:r>
        <w:rPr>
          <w:rFonts w:hint="eastAsia" w:ascii="Times New Roman" w:hAnsi="Times New Roman" w:cs="宋体"/>
          <w:color w:val="000000"/>
          <w:kern w:val="0"/>
          <w:szCs w:val="21"/>
          <w:highlight w:val="none"/>
          <w:u w:val="single"/>
        </w:rPr>
        <w:t>（如有，请如实说明）</w:t>
      </w:r>
      <w:r>
        <w:rPr>
          <w:rFonts w:ascii="Times New Roman" w:hAnsi="Times New Roman" w:cs="宋体"/>
          <w:color w:val="000000"/>
          <w:kern w:val="0"/>
          <w:szCs w:val="21"/>
          <w:highlight w:val="none"/>
          <w:u w:val="single"/>
        </w:rPr>
        <w:t xml:space="preserve">                 </w:t>
      </w:r>
      <w:r>
        <w:rPr>
          <w:rFonts w:hint="eastAsia" w:ascii="Times New Roman" w:hAnsi="Times New Roman" w:cs="宋体"/>
          <w:color w:val="000000"/>
          <w:kern w:val="0"/>
          <w:szCs w:val="21"/>
          <w:highlight w:val="none"/>
        </w:rPr>
        <w:t>。</w:t>
      </w:r>
    </w:p>
    <w:p>
      <w:pPr>
        <w:pStyle w:val="264"/>
        <w:widowControl/>
        <w:snapToGrid w:val="0"/>
        <w:spacing w:line="400" w:lineRule="exact"/>
        <w:rPr>
          <w:rFonts w:ascii="Times New Roman" w:hAnsi="Times New Roman" w:cs="宋体"/>
          <w:color w:val="000000"/>
          <w:kern w:val="0"/>
          <w:szCs w:val="21"/>
          <w:highlight w:val="none"/>
        </w:rPr>
      </w:pPr>
      <w:r>
        <w:rPr>
          <w:rFonts w:ascii="Times New Roman" w:hAnsi="Times New Roman" w:cs="宋体"/>
          <w:color w:val="000000"/>
          <w:spacing w:val="6"/>
          <w:szCs w:val="21"/>
          <w:highlight w:val="none"/>
        </w:rPr>
        <w:t xml:space="preserve">  </w:t>
      </w:r>
      <w:r>
        <w:rPr>
          <w:rFonts w:hint="eastAsia" w:ascii="Times New Roman" w:hAnsi="Times New Roman" w:cs="宋体"/>
          <w:color w:val="000000"/>
          <w:spacing w:val="6"/>
          <w:szCs w:val="21"/>
          <w:highlight w:val="none"/>
        </w:rPr>
        <w:t>二、</w:t>
      </w:r>
      <w:r>
        <w:rPr>
          <w:rFonts w:hint="eastAsia" w:ascii="Times New Roman" w:hAnsi="Times New Roman" w:cs="宋体"/>
          <w:color w:val="000000"/>
          <w:kern w:val="0"/>
          <w:szCs w:val="21"/>
          <w:highlight w:val="none"/>
        </w:rPr>
        <w:t>现已清楚知道参加本项目采购活动的其他所有供应商名称，本单位</w:t>
      </w:r>
      <w:r>
        <w:rPr>
          <w:rFonts w:ascii="Times New Roman" w:hAnsi="Times New Roman" w:cs="宋体"/>
          <w:color w:val="000000"/>
          <w:kern w:val="0"/>
          <w:szCs w:val="21"/>
          <w:highlight w:val="none"/>
        </w:rPr>
        <w:t xml:space="preserve"> </w:t>
      </w:r>
      <w:r>
        <w:rPr>
          <w:rFonts w:hint="eastAsia" w:ascii="Times New Roman" w:hAnsi="Times New Roman" w:cs="宋体"/>
          <w:color w:val="000000"/>
          <w:kern w:val="0"/>
          <w:szCs w:val="21"/>
          <w:highlight w:val="none"/>
        </w:rPr>
        <w:t>□与其他所有供应商之间均不存在利害关系</w:t>
      </w:r>
      <w:r>
        <w:rPr>
          <w:rFonts w:ascii="Times New Roman" w:hAnsi="Times New Roman" w:cs="宋体"/>
          <w:color w:val="000000"/>
          <w:kern w:val="0"/>
          <w:szCs w:val="21"/>
          <w:highlight w:val="none"/>
        </w:rPr>
        <w:t xml:space="preserve"> </w:t>
      </w:r>
      <w:r>
        <w:rPr>
          <w:rFonts w:hint="eastAsia" w:ascii="Times New Roman" w:hAnsi="Times New Roman" w:cs="宋体"/>
          <w:color w:val="000000"/>
          <w:kern w:val="0"/>
          <w:szCs w:val="21"/>
          <w:highlight w:val="none"/>
        </w:rPr>
        <w:t>□与</w:t>
      </w:r>
      <w:r>
        <w:rPr>
          <w:rFonts w:ascii="Times New Roman" w:hAnsi="Times New Roman" w:cs="宋体"/>
          <w:color w:val="000000"/>
          <w:kern w:val="0"/>
          <w:szCs w:val="21"/>
          <w:highlight w:val="none"/>
          <w:u w:val="single"/>
        </w:rPr>
        <w:t xml:space="preserve">           </w:t>
      </w:r>
      <w:r>
        <w:rPr>
          <w:rFonts w:hint="eastAsia" w:ascii="Times New Roman" w:hAnsi="Times New Roman" w:cs="宋体"/>
          <w:color w:val="000000"/>
          <w:kern w:val="0"/>
          <w:szCs w:val="21"/>
          <w:highlight w:val="none"/>
          <w:u w:val="single"/>
        </w:rPr>
        <w:t>（供应商名称）</w:t>
      </w:r>
      <w:r>
        <w:rPr>
          <w:rFonts w:hint="eastAsia" w:ascii="Times New Roman" w:hAnsi="Times New Roman" w:cs="宋体"/>
          <w:color w:val="000000"/>
          <w:kern w:val="0"/>
          <w:szCs w:val="21"/>
          <w:highlight w:val="none"/>
        </w:rPr>
        <w:t>之间存在下列利害关系</w:t>
      </w:r>
      <w:r>
        <w:rPr>
          <w:rFonts w:ascii="Times New Roman" w:hAnsi="Times New Roman" w:cs="宋体"/>
          <w:color w:val="000000"/>
          <w:kern w:val="0"/>
          <w:szCs w:val="21"/>
          <w:highlight w:val="none"/>
          <w:u w:val="single"/>
        </w:rPr>
        <w:t xml:space="preserve">          </w:t>
      </w:r>
      <w:r>
        <w:rPr>
          <w:rFonts w:hint="eastAsia" w:ascii="Times New Roman" w:hAnsi="Times New Roman" w:cs="宋体"/>
          <w:color w:val="000000"/>
          <w:kern w:val="0"/>
          <w:szCs w:val="21"/>
          <w:highlight w:val="none"/>
        </w:rPr>
        <w:t>：</w:t>
      </w:r>
    </w:p>
    <w:p>
      <w:pPr>
        <w:pStyle w:val="189"/>
        <w:snapToGrid w:val="0"/>
        <w:spacing w:line="400" w:lineRule="exact"/>
        <w:rPr>
          <w:rFonts w:ascii="Times New Roman" w:hAnsi="Times New Roman" w:eastAsia="宋体" w:cs="宋体"/>
          <w:color w:val="000000"/>
          <w:kern w:val="0"/>
          <w:sz w:val="21"/>
          <w:szCs w:val="21"/>
          <w:highlight w:val="none"/>
        </w:rPr>
      </w:pPr>
      <w:r>
        <w:rPr>
          <w:rFonts w:ascii="Times New Roman" w:hAnsi="Times New Roman" w:eastAsia="宋体" w:cs="宋体"/>
          <w:color w:val="000000"/>
          <w:kern w:val="0"/>
          <w:sz w:val="21"/>
          <w:szCs w:val="21"/>
          <w:highlight w:val="none"/>
        </w:rPr>
        <w:t xml:space="preserve">  A.</w:t>
      </w:r>
      <w:r>
        <w:rPr>
          <w:rFonts w:hint="eastAsia" w:ascii="Times New Roman" w:hAnsi="Times New Roman" w:eastAsia="宋体" w:cs="宋体"/>
          <w:color w:val="000000"/>
          <w:kern w:val="0"/>
          <w:sz w:val="21"/>
          <w:szCs w:val="21"/>
          <w:highlight w:val="none"/>
        </w:rPr>
        <w:t>法定代表人或负责人或实际控制人是同一人</w:t>
      </w:r>
    </w:p>
    <w:p>
      <w:pPr>
        <w:pStyle w:val="189"/>
        <w:snapToGrid w:val="0"/>
        <w:spacing w:line="400" w:lineRule="exact"/>
        <w:rPr>
          <w:rFonts w:ascii="Times New Roman" w:hAnsi="Times New Roman" w:eastAsia="宋体" w:cs="宋体"/>
          <w:color w:val="000000"/>
          <w:spacing w:val="6"/>
          <w:sz w:val="21"/>
          <w:szCs w:val="21"/>
          <w:highlight w:val="none"/>
        </w:rPr>
      </w:pPr>
      <w:r>
        <w:rPr>
          <w:rFonts w:ascii="Times New Roman" w:hAnsi="Times New Roman" w:eastAsia="宋体" w:cs="宋体"/>
          <w:color w:val="000000"/>
          <w:kern w:val="0"/>
          <w:sz w:val="21"/>
          <w:szCs w:val="21"/>
          <w:highlight w:val="none"/>
        </w:rPr>
        <w:t xml:space="preserve">  B.</w:t>
      </w:r>
      <w:r>
        <w:rPr>
          <w:rFonts w:hint="eastAsia" w:ascii="Times New Roman" w:hAnsi="Times New Roman" w:eastAsia="宋体" w:cs="宋体"/>
          <w:color w:val="000000"/>
          <w:kern w:val="0"/>
          <w:sz w:val="21"/>
          <w:szCs w:val="21"/>
          <w:highlight w:val="none"/>
        </w:rPr>
        <w:t>法定代表人或负责人或实际控制人是夫妻关系</w:t>
      </w:r>
    </w:p>
    <w:p>
      <w:pPr>
        <w:pStyle w:val="189"/>
        <w:snapToGrid w:val="0"/>
        <w:spacing w:line="400" w:lineRule="exact"/>
        <w:rPr>
          <w:rFonts w:ascii="Times New Roman" w:hAnsi="Times New Roman" w:eastAsia="宋体" w:cs="宋体"/>
          <w:color w:val="000000"/>
          <w:spacing w:val="6"/>
          <w:sz w:val="21"/>
          <w:szCs w:val="21"/>
          <w:highlight w:val="none"/>
        </w:rPr>
      </w:pPr>
      <w:r>
        <w:rPr>
          <w:rFonts w:ascii="Times New Roman" w:hAnsi="Times New Roman" w:eastAsia="宋体" w:cs="宋体"/>
          <w:color w:val="000000"/>
          <w:kern w:val="0"/>
          <w:sz w:val="21"/>
          <w:szCs w:val="21"/>
          <w:highlight w:val="none"/>
        </w:rPr>
        <w:t xml:space="preserve">  C.</w:t>
      </w:r>
      <w:r>
        <w:rPr>
          <w:rFonts w:hint="eastAsia" w:ascii="Times New Roman" w:hAnsi="Times New Roman" w:eastAsia="宋体" w:cs="宋体"/>
          <w:color w:val="000000"/>
          <w:kern w:val="0"/>
          <w:sz w:val="21"/>
          <w:szCs w:val="21"/>
          <w:highlight w:val="none"/>
        </w:rPr>
        <w:t>法定代表人或负责人或实际控制人是直系血亲关系</w:t>
      </w:r>
    </w:p>
    <w:p>
      <w:pPr>
        <w:pStyle w:val="189"/>
        <w:snapToGrid w:val="0"/>
        <w:spacing w:line="400" w:lineRule="exact"/>
        <w:rPr>
          <w:rFonts w:ascii="Times New Roman" w:hAnsi="Times New Roman" w:eastAsia="宋体" w:cs="宋体"/>
          <w:color w:val="000000"/>
          <w:spacing w:val="6"/>
          <w:sz w:val="21"/>
          <w:szCs w:val="21"/>
          <w:highlight w:val="none"/>
        </w:rPr>
      </w:pPr>
      <w:r>
        <w:rPr>
          <w:rFonts w:ascii="Times New Roman" w:hAnsi="Times New Roman" w:eastAsia="宋体" w:cs="宋体"/>
          <w:color w:val="000000"/>
          <w:kern w:val="0"/>
          <w:sz w:val="21"/>
          <w:szCs w:val="21"/>
          <w:highlight w:val="none"/>
        </w:rPr>
        <w:t xml:space="preserve">  D.</w:t>
      </w:r>
      <w:r>
        <w:rPr>
          <w:rFonts w:hint="eastAsia" w:ascii="Times New Roman" w:hAnsi="Times New Roman" w:eastAsia="宋体" w:cs="宋体"/>
          <w:color w:val="000000"/>
          <w:kern w:val="0"/>
          <w:sz w:val="21"/>
          <w:szCs w:val="21"/>
          <w:highlight w:val="none"/>
        </w:rPr>
        <w:t>法定代表人或负责人或实际控制人存在三代以内旁系血亲关系</w:t>
      </w:r>
    </w:p>
    <w:p>
      <w:pPr>
        <w:pStyle w:val="189"/>
        <w:snapToGrid w:val="0"/>
        <w:spacing w:line="400" w:lineRule="exact"/>
        <w:rPr>
          <w:rFonts w:ascii="Times New Roman" w:hAnsi="Times New Roman" w:eastAsia="宋体" w:cs="宋体"/>
          <w:color w:val="000000"/>
          <w:kern w:val="0"/>
          <w:sz w:val="21"/>
          <w:szCs w:val="21"/>
          <w:highlight w:val="none"/>
        </w:rPr>
      </w:pPr>
      <w:r>
        <w:rPr>
          <w:rFonts w:ascii="Times New Roman" w:hAnsi="Times New Roman" w:eastAsia="宋体" w:cs="宋体"/>
          <w:color w:val="000000"/>
          <w:kern w:val="0"/>
          <w:sz w:val="21"/>
          <w:szCs w:val="21"/>
          <w:highlight w:val="none"/>
        </w:rPr>
        <w:t xml:space="preserve">  E.</w:t>
      </w:r>
      <w:r>
        <w:rPr>
          <w:rFonts w:hint="eastAsia" w:ascii="Times New Roman" w:hAnsi="Times New Roman" w:eastAsia="宋体" w:cs="宋体"/>
          <w:color w:val="000000"/>
          <w:kern w:val="0"/>
          <w:sz w:val="21"/>
          <w:szCs w:val="21"/>
          <w:highlight w:val="none"/>
        </w:rPr>
        <w:t>法定代表人或负责人或实际控制人存在近姻亲关系</w:t>
      </w:r>
    </w:p>
    <w:p>
      <w:pPr>
        <w:pStyle w:val="189"/>
        <w:snapToGrid w:val="0"/>
        <w:spacing w:line="400" w:lineRule="exact"/>
        <w:rPr>
          <w:rFonts w:ascii="Times New Roman" w:hAnsi="Times New Roman" w:eastAsia="宋体" w:cs="宋体"/>
          <w:color w:val="000000"/>
          <w:kern w:val="0"/>
          <w:sz w:val="21"/>
          <w:szCs w:val="21"/>
          <w:highlight w:val="none"/>
        </w:rPr>
      </w:pPr>
      <w:r>
        <w:rPr>
          <w:rFonts w:ascii="Times New Roman" w:hAnsi="Times New Roman" w:eastAsia="宋体" w:cs="宋体"/>
          <w:color w:val="000000"/>
          <w:kern w:val="0"/>
          <w:sz w:val="21"/>
          <w:szCs w:val="21"/>
          <w:highlight w:val="none"/>
        </w:rPr>
        <w:t xml:space="preserve">  F.</w:t>
      </w:r>
      <w:r>
        <w:rPr>
          <w:rFonts w:hint="eastAsia" w:ascii="Times New Roman" w:hAnsi="Times New Roman" w:eastAsia="宋体" w:cs="宋体"/>
          <w:color w:val="000000"/>
          <w:kern w:val="0"/>
          <w:sz w:val="21"/>
          <w:szCs w:val="21"/>
          <w:highlight w:val="none"/>
        </w:rPr>
        <w:t>法定代表人或负责人或实际控制人存在股份控制或实际控制关系</w:t>
      </w:r>
    </w:p>
    <w:p>
      <w:pPr>
        <w:pStyle w:val="189"/>
        <w:snapToGrid w:val="0"/>
        <w:spacing w:line="400" w:lineRule="exact"/>
        <w:rPr>
          <w:rFonts w:ascii="Times New Roman" w:hAnsi="Times New Roman" w:eastAsia="宋体" w:cs="宋体"/>
          <w:color w:val="000000"/>
          <w:kern w:val="0"/>
          <w:sz w:val="21"/>
          <w:szCs w:val="21"/>
          <w:highlight w:val="none"/>
        </w:rPr>
      </w:pPr>
      <w:r>
        <w:rPr>
          <w:rFonts w:ascii="Times New Roman" w:hAnsi="Times New Roman" w:eastAsia="宋体" w:cs="宋体"/>
          <w:color w:val="000000"/>
          <w:kern w:val="0"/>
          <w:sz w:val="21"/>
          <w:szCs w:val="21"/>
          <w:highlight w:val="none"/>
        </w:rPr>
        <w:t xml:space="preserve">  G.</w:t>
      </w:r>
      <w:r>
        <w:rPr>
          <w:rFonts w:hint="eastAsia" w:ascii="Times New Roman" w:hAnsi="Times New Roman" w:eastAsia="宋体" w:cs="宋体"/>
          <w:color w:val="000000"/>
          <w:kern w:val="0"/>
          <w:sz w:val="21"/>
          <w:szCs w:val="21"/>
          <w:highlight w:val="none"/>
        </w:rPr>
        <w:t>存在共同直接或间接投资设立子公司、联营企业和合营企业情况</w:t>
      </w:r>
    </w:p>
    <w:p>
      <w:pPr>
        <w:pStyle w:val="189"/>
        <w:snapToGrid w:val="0"/>
        <w:spacing w:line="400" w:lineRule="exact"/>
        <w:rPr>
          <w:rFonts w:ascii="Times New Roman" w:hAnsi="Times New Roman" w:eastAsia="宋体" w:cs="宋体"/>
          <w:color w:val="000000"/>
          <w:sz w:val="21"/>
          <w:szCs w:val="21"/>
          <w:highlight w:val="none"/>
        </w:rPr>
      </w:pPr>
      <w:r>
        <w:rPr>
          <w:rFonts w:ascii="Times New Roman" w:hAnsi="Times New Roman" w:eastAsia="宋体" w:cs="宋体"/>
          <w:color w:val="000000"/>
          <w:kern w:val="0"/>
          <w:sz w:val="21"/>
          <w:szCs w:val="21"/>
          <w:highlight w:val="none"/>
        </w:rPr>
        <w:t xml:space="preserve">  H.</w:t>
      </w:r>
      <w:r>
        <w:rPr>
          <w:rFonts w:hint="eastAsia" w:ascii="Times New Roman" w:hAnsi="Times New Roman" w:eastAsia="宋体" w:cs="宋体"/>
          <w:color w:val="000000"/>
          <w:kern w:val="0"/>
          <w:sz w:val="21"/>
          <w:szCs w:val="21"/>
          <w:highlight w:val="none"/>
        </w:rPr>
        <w:t>存在分级代理或代销关系、同一生产制造商关系、</w:t>
      </w:r>
      <w:r>
        <w:rPr>
          <w:rFonts w:hint="eastAsia" w:ascii="Times New Roman" w:hAnsi="Times New Roman" w:eastAsia="宋体" w:cs="宋体"/>
          <w:color w:val="000000"/>
          <w:sz w:val="21"/>
          <w:szCs w:val="21"/>
          <w:highlight w:val="none"/>
        </w:rPr>
        <w:t>管理关系、重要业务（占主营业务收入</w:t>
      </w:r>
      <w:r>
        <w:rPr>
          <w:rFonts w:ascii="Times New Roman" w:hAnsi="Times New Roman" w:eastAsia="宋体" w:cs="宋体"/>
          <w:color w:val="000000"/>
          <w:sz w:val="21"/>
          <w:szCs w:val="21"/>
          <w:highlight w:val="none"/>
        </w:rPr>
        <w:t>50%</w:t>
      </w:r>
      <w:r>
        <w:rPr>
          <w:rFonts w:hint="eastAsia" w:ascii="Times New Roman" w:hAnsi="Times New Roman" w:eastAsia="宋体" w:cs="宋体"/>
          <w:color w:val="000000"/>
          <w:sz w:val="21"/>
          <w:szCs w:val="21"/>
          <w:highlight w:val="none"/>
        </w:rPr>
        <w:t>以上）或重要财务往来关系（如融资）等其他实质性控制关系</w:t>
      </w:r>
    </w:p>
    <w:p>
      <w:pPr>
        <w:pStyle w:val="189"/>
        <w:snapToGrid w:val="0"/>
        <w:spacing w:line="400" w:lineRule="exact"/>
        <w:rPr>
          <w:rFonts w:ascii="Times New Roman" w:hAnsi="Times New Roman" w:eastAsia="宋体" w:cs="宋体"/>
          <w:color w:val="000000"/>
          <w:spacing w:val="6"/>
          <w:sz w:val="21"/>
          <w:szCs w:val="21"/>
          <w:highlight w:val="none"/>
        </w:rPr>
      </w:pPr>
      <w:r>
        <w:rPr>
          <w:rFonts w:ascii="Times New Roman" w:hAnsi="Times New Roman" w:eastAsia="宋体" w:cs="宋体"/>
          <w:color w:val="000000"/>
          <w:sz w:val="21"/>
          <w:szCs w:val="21"/>
          <w:highlight w:val="none"/>
        </w:rPr>
        <w:t xml:space="preserve">    I</w:t>
      </w:r>
      <w:r>
        <w:rPr>
          <w:rFonts w:ascii="Times New Roman" w:hAnsi="Times New Roman" w:eastAsia="宋体" w:cs="宋体"/>
          <w:color w:val="000000"/>
          <w:kern w:val="0"/>
          <w:sz w:val="21"/>
          <w:szCs w:val="21"/>
          <w:highlight w:val="none"/>
        </w:rPr>
        <w:t>.</w:t>
      </w:r>
      <w:r>
        <w:rPr>
          <w:rFonts w:hint="eastAsia" w:ascii="Times New Roman" w:hAnsi="Times New Roman" w:eastAsia="宋体" w:cs="宋体"/>
          <w:color w:val="000000"/>
          <w:sz w:val="21"/>
          <w:szCs w:val="21"/>
          <w:highlight w:val="none"/>
        </w:rPr>
        <w:t>其他利害关系情况</w:t>
      </w:r>
      <w:r>
        <w:rPr>
          <w:rFonts w:ascii="Times New Roman" w:hAnsi="Times New Roman" w:eastAsia="宋体" w:cs="宋体"/>
          <w:color w:val="000000"/>
          <w:sz w:val="21"/>
          <w:szCs w:val="21"/>
          <w:highlight w:val="none"/>
          <w:u w:val="single"/>
        </w:rPr>
        <w:t xml:space="preserve">                              </w:t>
      </w:r>
      <w:r>
        <w:rPr>
          <w:rFonts w:hint="eastAsia" w:ascii="Times New Roman" w:hAnsi="Times New Roman" w:eastAsia="宋体" w:cs="宋体"/>
          <w:color w:val="000000"/>
          <w:kern w:val="0"/>
          <w:sz w:val="21"/>
          <w:szCs w:val="21"/>
          <w:highlight w:val="none"/>
        </w:rPr>
        <w:t>。</w:t>
      </w:r>
    </w:p>
    <w:p>
      <w:pPr>
        <w:pStyle w:val="264"/>
        <w:widowControl/>
        <w:numPr>
          <w:ilvl w:val="0"/>
          <w:numId w:val="12"/>
        </w:numPr>
        <w:snapToGrid w:val="0"/>
        <w:spacing w:line="400" w:lineRule="exact"/>
        <w:ind w:firstLine="396" w:firstLineChars="189"/>
        <w:rPr>
          <w:rFonts w:ascii="Times New Roman" w:hAnsi="Times New Roman" w:cs="宋体"/>
          <w:color w:val="000000"/>
          <w:kern w:val="0"/>
          <w:szCs w:val="21"/>
          <w:highlight w:val="none"/>
        </w:rPr>
      </w:pPr>
      <w:r>
        <w:rPr>
          <w:rFonts w:hint="eastAsia" w:ascii="Times New Roman" w:hAnsi="Times New Roman" w:cs="宋体"/>
          <w:color w:val="000000"/>
          <w:szCs w:val="21"/>
          <w:highlight w:val="none"/>
        </w:rPr>
        <w:t>现已清楚知道并</w:t>
      </w:r>
      <w:r>
        <w:rPr>
          <w:rFonts w:hint="eastAsia" w:ascii="Times New Roman" w:hAnsi="Times New Roman" w:cs="宋体"/>
          <w:color w:val="000000"/>
          <w:kern w:val="0"/>
          <w:szCs w:val="21"/>
          <w:highlight w:val="none"/>
        </w:rPr>
        <w:t>严格遵守政府采购法律法规和现场纪律。</w:t>
      </w:r>
    </w:p>
    <w:p>
      <w:pPr>
        <w:pStyle w:val="264"/>
        <w:widowControl/>
        <w:numPr>
          <w:ilvl w:val="0"/>
          <w:numId w:val="12"/>
        </w:numPr>
        <w:snapToGrid w:val="0"/>
        <w:spacing w:line="400" w:lineRule="exact"/>
        <w:ind w:firstLine="396" w:firstLineChars="189"/>
        <w:rPr>
          <w:rFonts w:ascii="Times New Roman" w:hAnsi="Times New Roman" w:cs="宋体"/>
          <w:color w:val="000000"/>
          <w:kern w:val="0"/>
          <w:szCs w:val="21"/>
          <w:highlight w:val="none"/>
        </w:rPr>
      </w:pPr>
      <w:r>
        <w:rPr>
          <w:rFonts w:hint="eastAsia" w:ascii="Times New Roman" w:hAnsi="Times New Roman" w:cs="宋体"/>
          <w:color w:val="000000"/>
          <w:kern w:val="0"/>
          <w:szCs w:val="21"/>
          <w:highlight w:val="none"/>
        </w:rPr>
        <w:t>我发现</w:t>
      </w:r>
      <w:r>
        <w:rPr>
          <w:rFonts w:ascii="Times New Roman" w:hAnsi="Times New Roman" w:cs="宋体"/>
          <w:color w:val="000000"/>
          <w:kern w:val="0"/>
          <w:szCs w:val="21"/>
          <w:highlight w:val="none"/>
          <w:u w:val="single"/>
        </w:rPr>
        <w:t xml:space="preserve">                    </w:t>
      </w:r>
      <w:r>
        <w:rPr>
          <w:rFonts w:hint="eastAsia" w:ascii="Times New Roman" w:hAnsi="Times New Roman" w:cs="宋体"/>
          <w:color w:val="000000"/>
          <w:kern w:val="0"/>
          <w:szCs w:val="21"/>
          <w:highlight w:val="none"/>
        </w:rPr>
        <w:t>供应商之间存在或可能存在上述第二条第</w:t>
      </w:r>
      <w:r>
        <w:rPr>
          <w:rFonts w:ascii="Times New Roman" w:hAnsi="Times New Roman" w:cs="宋体"/>
          <w:color w:val="000000"/>
          <w:kern w:val="0"/>
          <w:szCs w:val="21"/>
          <w:highlight w:val="none"/>
          <w:u w:val="single"/>
        </w:rPr>
        <w:t xml:space="preserve">        </w:t>
      </w:r>
      <w:r>
        <w:rPr>
          <w:rFonts w:hint="eastAsia" w:ascii="Times New Roman" w:hAnsi="Times New Roman" w:cs="宋体"/>
          <w:color w:val="000000"/>
          <w:kern w:val="0"/>
          <w:szCs w:val="21"/>
          <w:highlight w:val="none"/>
        </w:rPr>
        <w:t>项利害关系。</w:t>
      </w:r>
    </w:p>
    <w:p>
      <w:pPr>
        <w:pStyle w:val="189"/>
        <w:snapToGrid w:val="0"/>
        <w:spacing w:line="400" w:lineRule="exact"/>
        <w:ind w:firstLine="420" w:firstLineChars="200"/>
        <w:rPr>
          <w:rFonts w:ascii="Times New Roman" w:hAnsi="Times New Roman" w:eastAsia="宋体" w:cs="宋体"/>
          <w:color w:val="000000"/>
          <w:sz w:val="21"/>
          <w:szCs w:val="21"/>
          <w:highlight w:val="none"/>
        </w:rPr>
      </w:pPr>
    </w:p>
    <w:p>
      <w:pPr>
        <w:pStyle w:val="189"/>
        <w:snapToGrid w:val="0"/>
        <w:spacing w:line="400" w:lineRule="exact"/>
        <w:ind w:firstLine="420" w:firstLineChars="200"/>
        <w:rPr>
          <w:rFonts w:ascii="Times New Roman" w:hAnsi="Times New Roman" w:eastAsia="宋体" w:cs="宋体"/>
          <w:color w:val="000000"/>
          <w:sz w:val="21"/>
          <w:szCs w:val="21"/>
          <w:highlight w:val="none"/>
        </w:rPr>
      </w:pPr>
    </w:p>
    <w:p>
      <w:pPr>
        <w:pStyle w:val="189"/>
        <w:snapToGrid w:val="0"/>
        <w:spacing w:line="400" w:lineRule="exact"/>
        <w:ind w:firstLine="420" w:firstLineChars="200"/>
        <w:rPr>
          <w:rFonts w:ascii="Times New Roman" w:hAnsi="Times New Roman" w:eastAsia="宋体" w:cs="宋体"/>
          <w:color w:val="000000"/>
          <w:sz w:val="21"/>
          <w:szCs w:val="21"/>
          <w:highlight w:val="none"/>
        </w:rPr>
      </w:pPr>
      <w:r>
        <w:rPr>
          <w:rFonts w:ascii="Times New Roman" w:hAnsi="Times New Roman" w:eastAsia="宋体" w:cs="宋体"/>
          <w:color w:val="000000"/>
          <w:sz w:val="21"/>
          <w:szCs w:val="21"/>
          <w:highlight w:val="none"/>
        </w:rPr>
        <w:t xml:space="preserve">                                   </w:t>
      </w:r>
      <w:r>
        <w:rPr>
          <w:rFonts w:hint="eastAsia" w:ascii="Times New Roman" w:hAnsi="Times New Roman" w:eastAsia="宋体" w:cs="宋体"/>
          <w:color w:val="000000"/>
          <w:sz w:val="21"/>
          <w:szCs w:val="21"/>
          <w:highlight w:val="none"/>
        </w:rPr>
        <w:t>供应商代表签名：</w:t>
      </w:r>
    </w:p>
    <w:p>
      <w:pPr>
        <w:snapToGrid w:val="0"/>
        <w:spacing w:line="360" w:lineRule="auto"/>
        <w:jc w:val="left"/>
        <w:rPr>
          <w:rFonts w:ascii="Times New Roman" w:hAnsi="Times New Roman" w:cs="宋体"/>
          <w:b/>
          <w:color w:val="000000"/>
          <w:szCs w:val="21"/>
          <w:highlight w:val="none"/>
        </w:rPr>
      </w:pPr>
      <w:r>
        <w:rPr>
          <w:rFonts w:ascii="Times New Roman" w:hAnsi="Times New Roman" w:cs="宋体"/>
          <w:color w:val="000000"/>
          <w:szCs w:val="21"/>
          <w:highlight w:val="none"/>
        </w:rPr>
        <w:t xml:space="preserve">                                         </w:t>
      </w:r>
      <w:r>
        <w:rPr>
          <w:rFonts w:hint="eastAsia" w:ascii="Times New Roman" w:hAnsi="Times New Roman" w:cs="宋体"/>
          <w:color w:val="000000"/>
          <w:szCs w:val="21"/>
          <w:highlight w:val="none"/>
        </w:rPr>
        <w:t>年</w:t>
      </w:r>
      <w:r>
        <w:rPr>
          <w:rFonts w:ascii="Times New Roman" w:hAnsi="Times New Roman" w:cs="宋体"/>
          <w:color w:val="000000"/>
          <w:szCs w:val="21"/>
          <w:highlight w:val="none"/>
        </w:rPr>
        <w:t xml:space="preserve">  </w:t>
      </w:r>
      <w:r>
        <w:rPr>
          <w:rFonts w:hint="eastAsia" w:ascii="Times New Roman" w:hAnsi="Times New Roman" w:cs="宋体"/>
          <w:color w:val="000000"/>
          <w:szCs w:val="21"/>
          <w:highlight w:val="none"/>
        </w:rPr>
        <w:t>月</w:t>
      </w:r>
      <w:r>
        <w:rPr>
          <w:rFonts w:ascii="Times New Roman" w:hAnsi="Times New Roman" w:cs="宋体"/>
          <w:color w:val="000000"/>
          <w:szCs w:val="21"/>
          <w:highlight w:val="none"/>
        </w:rPr>
        <w:t xml:space="preserve">  </w:t>
      </w:r>
      <w:r>
        <w:rPr>
          <w:rFonts w:hint="eastAsia" w:ascii="Times New Roman" w:hAnsi="Times New Roman" w:cs="宋体"/>
          <w:color w:val="000000"/>
          <w:szCs w:val="21"/>
          <w:highlight w:val="none"/>
        </w:rPr>
        <w:t>日</w:t>
      </w:r>
    </w:p>
    <w:p>
      <w:pPr>
        <w:snapToGrid w:val="0"/>
        <w:spacing w:line="360" w:lineRule="auto"/>
        <w:ind w:firstLine="938" w:firstLineChars="445"/>
        <w:rPr>
          <w:rFonts w:ascii="Times New Roman" w:hAnsi="Times New Roman"/>
          <w:b/>
          <w:bCs/>
          <w:color w:val="000000"/>
          <w:szCs w:val="21"/>
          <w:highlight w:val="none"/>
        </w:rPr>
      </w:pPr>
    </w:p>
    <w:bookmarkEnd w:id="265"/>
    <w:p>
      <w:pPr>
        <w:snapToGrid w:val="0"/>
        <w:spacing w:line="360" w:lineRule="auto"/>
        <w:rPr>
          <w:rFonts w:ascii="Times New Roman" w:hAnsi="Times New Roman"/>
          <w:b/>
          <w:bCs/>
          <w:color w:val="000000"/>
          <w:szCs w:val="21"/>
          <w:highlight w:val="none"/>
        </w:rPr>
      </w:pPr>
      <w:r>
        <w:rPr>
          <w:rFonts w:ascii="Times New Roman" w:hAnsi="Times New Roman"/>
          <w:b/>
          <w:color w:val="000000"/>
          <w:szCs w:val="21"/>
          <w:highlight w:val="none"/>
        </w:rPr>
        <w:t>1</w:t>
      </w:r>
      <w:r>
        <w:rPr>
          <w:rFonts w:hint="eastAsia" w:ascii="Times New Roman" w:hAnsi="Times New Roman"/>
          <w:b/>
          <w:color w:val="000000"/>
          <w:szCs w:val="21"/>
          <w:highlight w:val="none"/>
        </w:rPr>
        <w:t>、投标文件</w:t>
      </w:r>
      <w:r>
        <w:rPr>
          <w:rFonts w:hint="eastAsia" w:ascii="Times New Roman" w:hAnsi="Times New Roman"/>
          <w:b/>
          <w:bCs/>
          <w:color w:val="000000"/>
          <w:szCs w:val="21"/>
          <w:highlight w:val="none"/>
        </w:rPr>
        <w:t>的封面格式：</w:t>
      </w:r>
    </w:p>
    <w:p>
      <w:pPr>
        <w:snapToGrid w:val="0"/>
        <w:spacing w:before="120" w:beforeLines="50" w:after="50"/>
        <w:rPr>
          <w:rFonts w:ascii="Times New Roman" w:hAnsi="Times New Roman"/>
          <w:b/>
          <w:bCs/>
          <w:color w:val="000000"/>
          <w:szCs w:val="21"/>
          <w:highlight w:val="none"/>
        </w:rPr>
      </w:pPr>
      <w:r>
        <w:rPr>
          <w:rFonts w:ascii="Times New Roman" w:hAnsi="Times New Roman"/>
          <w:b/>
          <w:bCs/>
          <w:color w:val="000000"/>
          <w:szCs w:val="21"/>
          <w:highlight w:val="none"/>
        </w:rPr>
        <w:t xml:space="preserve">                                                                             </w:t>
      </w:r>
    </w:p>
    <w:p>
      <w:pPr>
        <w:snapToGrid w:val="0"/>
        <w:spacing w:line="360" w:lineRule="auto"/>
        <w:jc w:val="center"/>
        <w:rPr>
          <w:rFonts w:ascii="Times New Roman" w:hAnsi="Times New Roman"/>
          <w:bCs/>
          <w:color w:val="000000"/>
          <w:szCs w:val="21"/>
          <w:highlight w:val="none"/>
        </w:rPr>
      </w:pPr>
      <w:r>
        <w:rPr>
          <w:rFonts w:hint="eastAsia" w:ascii="Times New Roman" w:hAnsi="Times New Roman"/>
          <w:bCs/>
          <w:color w:val="000000"/>
          <w:szCs w:val="21"/>
          <w:highlight w:val="none"/>
        </w:rPr>
        <w:t>投标文件</w:t>
      </w:r>
    </w:p>
    <w:p>
      <w:pPr>
        <w:snapToGrid w:val="0"/>
        <w:spacing w:line="360" w:lineRule="auto"/>
        <w:ind w:firstLine="934" w:firstLineChars="445"/>
        <w:rPr>
          <w:rFonts w:ascii="Times New Roman" w:hAnsi="Times New Roman"/>
          <w:bCs/>
          <w:color w:val="000000"/>
          <w:szCs w:val="21"/>
          <w:highlight w:val="none"/>
        </w:rPr>
      </w:pPr>
      <w:r>
        <w:rPr>
          <w:rFonts w:hint="eastAsia" w:ascii="Times New Roman" w:hAnsi="Times New Roman"/>
          <w:bCs/>
          <w:color w:val="000000"/>
          <w:szCs w:val="21"/>
          <w:highlight w:val="none"/>
        </w:rPr>
        <w:t>项目名称：</w:t>
      </w:r>
    </w:p>
    <w:p>
      <w:pPr>
        <w:snapToGrid w:val="0"/>
        <w:spacing w:line="360" w:lineRule="auto"/>
        <w:ind w:firstLine="420" w:firstLineChars="200"/>
        <w:rPr>
          <w:rFonts w:ascii="Times New Roman" w:hAnsi="Times New Roman"/>
          <w:bCs/>
          <w:color w:val="000000"/>
          <w:szCs w:val="21"/>
          <w:highlight w:val="none"/>
        </w:rPr>
      </w:pPr>
      <w:r>
        <w:rPr>
          <w:rFonts w:ascii="Times New Roman" w:hAnsi="Times New Roman"/>
          <w:bCs/>
          <w:color w:val="000000"/>
          <w:szCs w:val="21"/>
          <w:highlight w:val="none"/>
        </w:rPr>
        <w:t xml:space="preserve">     </w:t>
      </w:r>
      <w:r>
        <w:rPr>
          <w:rFonts w:hint="eastAsia" w:ascii="Times New Roman" w:hAnsi="Times New Roman"/>
          <w:bCs/>
          <w:color w:val="000000"/>
          <w:szCs w:val="21"/>
          <w:highlight w:val="none"/>
        </w:rPr>
        <w:t>项目编号：</w:t>
      </w:r>
    </w:p>
    <w:p>
      <w:pPr>
        <w:pStyle w:val="14"/>
        <w:snapToGrid w:val="0"/>
        <w:spacing w:line="360" w:lineRule="auto"/>
        <w:ind w:firstLine="873" w:firstLineChars="416"/>
        <w:rPr>
          <w:bCs/>
          <w:color w:val="000000"/>
          <w:szCs w:val="21"/>
          <w:highlight w:val="none"/>
        </w:rPr>
      </w:pPr>
      <w:r>
        <w:rPr>
          <w:rFonts w:hint="eastAsia"/>
          <w:bCs/>
          <w:color w:val="000000"/>
          <w:szCs w:val="21"/>
          <w:highlight w:val="none"/>
        </w:rPr>
        <w:t>投标人名称：（盖章）</w:t>
      </w:r>
    </w:p>
    <w:p>
      <w:pPr>
        <w:pStyle w:val="14"/>
        <w:snapToGrid w:val="0"/>
        <w:spacing w:line="360" w:lineRule="auto"/>
        <w:ind w:firstLine="873" w:firstLineChars="416"/>
        <w:rPr>
          <w:bCs/>
          <w:color w:val="000000"/>
          <w:szCs w:val="21"/>
          <w:highlight w:val="none"/>
        </w:rPr>
      </w:pPr>
      <w:r>
        <w:rPr>
          <w:rFonts w:hint="eastAsia"/>
          <w:bCs/>
          <w:color w:val="000000"/>
          <w:szCs w:val="21"/>
          <w:highlight w:val="none"/>
        </w:rPr>
        <w:t>投标人地址：</w:t>
      </w:r>
    </w:p>
    <w:p>
      <w:pPr>
        <w:pStyle w:val="14"/>
        <w:snapToGrid w:val="0"/>
        <w:spacing w:line="360" w:lineRule="auto"/>
        <w:ind w:firstLine="873" w:firstLineChars="416"/>
        <w:rPr>
          <w:color w:val="000000"/>
          <w:szCs w:val="21"/>
          <w:highlight w:val="none"/>
        </w:rPr>
      </w:pPr>
    </w:p>
    <w:p>
      <w:pPr>
        <w:snapToGrid w:val="0"/>
        <w:spacing w:line="360" w:lineRule="auto"/>
        <w:ind w:firstLine="645"/>
        <w:jc w:val="center"/>
        <w:rPr>
          <w:rFonts w:ascii="Times New Roman" w:hAnsi="Times New Roman"/>
          <w:color w:val="000000"/>
          <w:szCs w:val="21"/>
          <w:highlight w:val="none"/>
        </w:rPr>
      </w:pPr>
      <w:r>
        <w:rPr>
          <w:rFonts w:ascii="Times New Roman" w:hAnsi="Times New Roman"/>
          <w:color w:val="000000"/>
          <w:szCs w:val="21"/>
          <w:highlight w:val="none"/>
        </w:rPr>
        <w:t xml:space="preserve">                        </w:t>
      </w: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p>
    <w:p>
      <w:pPr>
        <w:snapToGrid w:val="0"/>
        <w:spacing w:line="360" w:lineRule="auto"/>
        <w:rPr>
          <w:rFonts w:ascii="Times New Roman" w:hAnsi="Times New Roman"/>
          <w:b/>
          <w:color w:val="000000"/>
          <w:szCs w:val="21"/>
          <w:highlight w:val="none"/>
        </w:rPr>
      </w:pPr>
    </w:p>
    <w:p>
      <w:pPr>
        <w:snapToGrid w:val="0"/>
        <w:spacing w:line="360" w:lineRule="auto"/>
        <w:rPr>
          <w:rFonts w:ascii="Times New Roman" w:hAnsi="Times New Roman"/>
          <w:b/>
          <w:color w:val="000000"/>
          <w:szCs w:val="21"/>
          <w:highlight w:val="none"/>
        </w:rPr>
      </w:pPr>
    </w:p>
    <w:p>
      <w:pPr>
        <w:snapToGrid w:val="0"/>
        <w:spacing w:line="360" w:lineRule="auto"/>
        <w:rPr>
          <w:rFonts w:ascii="Times New Roman" w:hAnsi="Times New Roman"/>
          <w:color w:val="000000"/>
          <w:szCs w:val="21"/>
          <w:highlight w:val="none"/>
        </w:rPr>
      </w:pPr>
      <w:r>
        <w:rPr>
          <w:rFonts w:ascii="Times New Roman" w:hAnsi="Times New Roman"/>
          <w:b/>
          <w:color w:val="000000"/>
          <w:szCs w:val="21"/>
          <w:highlight w:val="none"/>
        </w:rPr>
        <w:t>2</w:t>
      </w:r>
      <w:r>
        <w:rPr>
          <w:rFonts w:hint="eastAsia" w:ascii="Times New Roman" w:hAnsi="Times New Roman"/>
          <w:b/>
          <w:color w:val="000000"/>
          <w:szCs w:val="21"/>
          <w:highlight w:val="none"/>
        </w:rPr>
        <w:t>、</w:t>
      </w:r>
      <w:bookmarkStart w:id="266" w:name="_Hlk46482715"/>
      <w:r>
        <w:rPr>
          <w:rFonts w:hint="eastAsia" w:ascii="Times New Roman" w:hAnsi="Times New Roman"/>
          <w:b/>
          <w:color w:val="000000"/>
          <w:szCs w:val="21"/>
          <w:highlight w:val="none"/>
        </w:rPr>
        <w:t>投标文件</w:t>
      </w:r>
      <w:bookmarkEnd w:id="266"/>
      <w:r>
        <w:rPr>
          <w:rFonts w:hint="eastAsia" w:ascii="Times New Roman" w:hAnsi="Times New Roman"/>
          <w:b/>
          <w:color w:val="000000"/>
          <w:szCs w:val="21"/>
          <w:highlight w:val="none"/>
        </w:rPr>
        <w:t>目录</w:t>
      </w:r>
      <w:r>
        <w:rPr>
          <w:rFonts w:hint="eastAsia" w:ascii="Times New Roman" w:hAnsi="Times New Roman"/>
          <w:b/>
          <w:bCs/>
          <w:color w:val="000000"/>
          <w:szCs w:val="21"/>
          <w:highlight w:val="none"/>
        </w:rPr>
        <w:t>（请按照“第三章投标人须知，三、投标文件的编制”的顺序自行编制目录）</w:t>
      </w:r>
    </w:p>
    <w:p>
      <w:pPr>
        <w:snapToGrid w:val="0"/>
        <w:spacing w:line="360" w:lineRule="auto"/>
        <w:rPr>
          <w:rFonts w:ascii="Times New Roman" w:hAnsi="Times New Roman"/>
          <w:b/>
          <w:bCs/>
          <w:color w:val="000000"/>
          <w:szCs w:val="21"/>
          <w:highlight w:val="none"/>
        </w:rPr>
      </w:pPr>
      <w:r>
        <w:rPr>
          <w:rFonts w:hint="eastAsia" w:ascii="Times New Roman" w:hAnsi="Times New Roman"/>
          <w:b/>
          <w:bCs/>
          <w:color w:val="000000"/>
          <w:szCs w:val="21"/>
          <w:highlight w:val="none"/>
        </w:rPr>
        <w:t>例如：</w:t>
      </w:r>
    </w:p>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资格文件</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1</w:t>
      </w:r>
      <w:r>
        <w:rPr>
          <w:rFonts w:hint="eastAsia" w:ascii="Times New Roman" w:hAnsi="Times New Roman"/>
          <w:color w:val="000000"/>
          <w:szCs w:val="21"/>
          <w:highlight w:val="none"/>
        </w:rPr>
        <w:t>）投标声明书————————————————（页码）</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2</w:t>
      </w:r>
      <w:r>
        <w:rPr>
          <w:rFonts w:hint="eastAsia" w:ascii="Times New Roman" w:hAnsi="Times New Roman"/>
          <w:color w:val="000000"/>
          <w:szCs w:val="21"/>
          <w:highlight w:val="none"/>
        </w:rPr>
        <w:t>）诚信承诺书————————————————（页码）</w:t>
      </w:r>
    </w:p>
    <w:p>
      <w:pPr>
        <w:snapToGrid w:val="0"/>
        <w:spacing w:line="360" w:lineRule="auto"/>
        <w:jc w:val="left"/>
        <w:rPr>
          <w:rFonts w:ascii="Times New Roman" w:hAnsi="Times New Roman"/>
          <w:color w:val="000000"/>
          <w:szCs w:val="21"/>
          <w:highlight w:val="none"/>
        </w:rPr>
      </w:pPr>
      <w:r>
        <w:rPr>
          <w:rFonts w:hint="eastAsia" w:ascii="Times New Roman" w:hAnsi="Times New Roman"/>
          <w:color w:val="000000"/>
          <w:szCs w:val="21"/>
          <w:highlight w:val="none"/>
        </w:rPr>
        <w:t>（</w:t>
      </w:r>
      <w:r>
        <w:rPr>
          <w:rFonts w:ascii="Times New Roman" w:hAnsi="Times New Roman"/>
          <w:color w:val="000000"/>
          <w:szCs w:val="21"/>
          <w:highlight w:val="none"/>
        </w:rPr>
        <w:t>3</w:t>
      </w:r>
      <w:r>
        <w:rPr>
          <w:rFonts w:hint="eastAsia" w:ascii="Times New Roman" w:hAnsi="Times New Roman"/>
          <w:color w:val="000000"/>
          <w:szCs w:val="21"/>
          <w:highlight w:val="none"/>
        </w:rPr>
        <w:t>）法定代表人授权委托书———————————（页码）</w:t>
      </w:r>
    </w:p>
    <w:p>
      <w:pPr>
        <w:snapToGrid w:val="0"/>
        <w:spacing w:line="360" w:lineRule="auto"/>
        <w:jc w:val="center"/>
        <w:rPr>
          <w:rFonts w:ascii="Times New Roman" w:hAnsi="Times New Roman"/>
          <w:b/>
          <w:bCs/>
          <w:color w:val="000000"/>
          <w:szCs w:val="21"/>
          <w:highlight w:val="none"/>
        </w:rPr>
      </w:pPr>
      <w:r>
        <w:rPr>
          <w:rFonts w:ascii="Times New Roman" w:hAnsi="Times New Roman"/>
          <w:b/>
          <w:bCs/>
          <w:color w:val="000000"/>
          <w:szCs w:val="21"/>
          <w:highlight w:val="none"/>
        </w:rPr>
        <w:t>……</w:t>
      </w:r>
    </w:p>
    <w:p>
      <w:pPr>
        <w:snapToGrid w:val="0"/>
        <w:spacing w:line="360" w:lineRule="auto"/>
        <w:jc w:val="left"/>
        <w:rPr>
          <w:rFonts w:ascii="Times New Roman" w:hAnsi="Times New Roman"/>
          <w:b/>
          <w:color w:val="000000"/>
          <w:szCs w:val="21"/>
          <w:highlight w:val="none"/>
        </w:rPr>
      </w:pPr>
      <w:r>
        <w:rPr>
          <w:rFonts w:ascii="Times New Roman" w:hAnsi="Times New Roman"/>
          <w:b/>
          <w:color w:val="000000"/>
          <w:szCs w:val="21"/>
          <w:highlight w:val="none"/>
        </w:rPr>
        <w:br w:type="page"/>
      </w:r>
      <w:r>
        <w:rPr>
          <w:rFonts w:ascii="Times New Roman" w:hAnsi="Times New Roman"/>
          <w:b/>
          <w:color w:val="000000"/>
          <w:szCs w:val="21"/>
          <w:highlight w:val="none"/>
        </w:rPr>
        <w:t>3</w:t>
      </w:r>
      <w:r>
        <w:rPr>
          <w:rFonts w:hint="eastAsia" w:ascii="Times New Roman" w:hAnsi="Times New Roman"/>
          <w:b/>
          <w:color w:val="000000"/>
          <w:szCs w:val="21"/>
          <w:highlight w:val="none"/>
        </w:rPr>
        <w:t>、投标声明书格式：</w:t>
      </w:r>
    </w:p>
    <w:p>
      <w:pPr>
        <w:snapToGrid w:val="0"/>
        <w:spacing w:line="360" w:lineRule="auto"/>
        <w:jc w:val="center"/>
        <w:rPr>
          <w:rFonts w:ascii="Times New Roman" w:hAnsi="Times New Roman"/>
          <w:b/>
          <w:bCs/>
          <w:color w:val="000000"/>
          <w:szCs w:val="21"/>
          <w:highlight w:val="none"/>
        </w:rPr>
      </w:pPr>
      <w:r>
        <w:rPr>
          <w:rFonts w:hint="eastAsia" w:ascii="Times New Roman" w:hAnsi="Times New Roman"/>
          <w:b/>
          <w:bCs/>
          <w:color w:val="000000"/>
          <w:szCs w:val="21"/>
          <w:highlight w:val="none"/>
        </w:rPr>
        <w:t>投标声明书</w:t>
      </w:r>
    </w:p>
    <w:p>
      <w:pPr>
        <w:snapToGrid w:val="0"/>
        <w:spacing w:line="360" w:lineRule="auto"/>
        <w:rPr>
          <w:rFonts w:hint="eastAsia" w:ascii="Times New Roman" w:hAnsi="Times New Roman" w:eastAsia="宋体"/>
          <w:color w:val="000000"/>
          <w:szCs w:val="21"/>
          <w:highlight w:val="none"/>
          <w:lang w:eastAsia="zh-CN"/>
        </w:rPr>
      </w:pPr>
      <w:r>
        <w:rPr>
          <w:rFonts w:hint="eastAsia" w:ascii="Times New Roman" w:hAnsi="Times New Roman"/>
          <w:color w:val="000000"/>
          <w:szCs w:val="21"/>
          <w:highlight w:val="none"/>
        </w:rPr>
        <w:t>致：</w:t>
      </w:r>
      <w:r>
        <w:rPr>
          <w:rFonts w:hint="eastAsia" w:ascii="Times New Roman" w:hAnsi="Times New Roman"/>
          <w:color w:val="000000"/>
          <w:szCs w:val="21"/>
          <w:highlight w:val="none"/>
          <w:lang w:eastAsia="zh-CN"/>
        </w:rPr>
        <w:t>嘉兴市秀洲区公路与运输管理服务中心</w:t>
      </w:r>
    </w:p>
    <w:p>
      <w:pPr>
        <w:snapToGrid w:val="0"/>
        <w:spacing w:line="360" w:lineRule="auto"/>
        <w:ind w:firstLine="630" w:firstLineChars="300"/>
        <w:rPr>
          <w:rFonts w:ascii="Times New Roman" w:hAnsi="Times New Roman"/>
          <w:color w:val="000000"/>
          <w:szCs w:val="21"/>
          <w:highlight w:val="none"/>
        </w:rPr>
      </w:pPr>
      <w:r>
        <w:rPr>
          <w:rFonts w:ascii="Times New Roman" w:hAnsi="Times New Roman"/>
          <w:color w:val="000000"/>
          <w:szCs w:val="21"/>
          <w:highlight w:val="none"/>
        </w:rPr>
        <w:t>_______________</w:t>
      </w:r>
      <w:r>
        <w:rPr>
          <w:rFonts w:hint="eastAsia" w:ascii="Times New Roman" w:hAnsi="Times New Roman"/>
          <w:color w:val="000000"/>
          <w:szCs w:val="21"/>
          <w:highlight w:val="none"/>
        </w:rPr>
        <w:t>（投标人名称）系中华人民共和国合法企业，经营地址</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w:t>
      </w:r>
    </w:p>
    <w:p>
      <w:pPr>
        <w:snapToGrid w:val="0"/>
        <w:spacing w:line="360" w:lineRule="auto"/>
        <w:ind w:firstLine="645"/>
        <w:rPr>
          <w:rFonts w:ascii="Times New Roman" w:hAnsi="Times New Roman"/>
          <w:color w:val="000000"/>
          <w:szCs w:val="21"/>
          <w:highlight w:val="none"/>
        </w:rPr>
      </w:pPr>
      <w:r>
        <w:rPr>
          <w:rFonts w:hint="eastAsia" w:ascii="Times New Roman" w:hAnsi="Times New Roman"/>
          <w:color w:val="000000"/>
          <w:szCs w:val="21"/>
          <w:highlight w:val="none"/>
        </w:rPr>
        <w:t>我</w:t>
      </w:r>
      <w:r>
        <w:rPr>
          <w:rFonts w:ascii="Times New Roman" w:hAnsi="Times New Roman"/>
          <w:color w:val="000000"/>
          <w:szCs w:val="21"/>
          <w:highlight w:val="none"/>
        </w:rPr>
        <w:t>____________</w:t>
      </w:r>
      <w:r>
        <w:rPr>
          <w:rFonts w:hint="eastAsia" w:ascii="Times New Roman" w:hAnsi="Times New Roman"/>
          <w:color w:val="000000"/>
          <w:szCs w:val="21"/>
          <w:highlight w:val="none"/>
        </w:rPr>
        <w:t>（姓名）系</w:t>
      </w:r>
      <w:r>
        <w:rPr>
          <w:rFonts w:ascii="Times New Roman" w:hAnsi="Times New Roman"/>
          <w:color w:val="000000"/>
          <w:szCs w:val="21"/>
          <w:highlight w:val="none"/>
        </w:rPr>
        <w:t>_______________</w:t>
      </w:r>
      <w:r>
        <w:rPr>
          <w:rFonts w:hint="eastAsia" w:ascii="Times New Roman" w:hAnsi="Times New Roman"/>
          <w:color w:val="000000"/>
          <w:szCs w:val="21"/>
          <w:highlight w:val="none"/>
        </w:rPr>
        <w:t>（投标人名称）的法定代表人，我方愿意参加贵方组织的</w:t>
      </w:r>
      <w:r>
        <w:rPr>
          <w:rFonts w:ascii="Times New Roman" w:hAnsi="Times New Roman"/>
          <w:color w:val="000000"/>
          <w:szCs w:val="21"/>
          <w:highlight w:val="none"/>
        </w:rPr>
        <w:t>_____________________________</w:t>
      </w:r>
      <w:r>
        <w:rPr>
          <w:rFonts w:hint="eastAsia" w:ascii="Times New Roman" w:hAnsi="Times New Roman"/>
          <w:color w:val="000000"/>
          <w:szCs w:val="21"/>
          <w:highlight w:val="none"/>
        </w:rPr>
        <w:t>项目的投标，为便于贵方公正、择优地确定中标人及其服务，我方就本次投标有关事项郑重声明如下：</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1.</w:t>
      </w:r>
      <w:r>
        <w:rPr>
          <w:rFonts w:hint="eastAsia" w:ascii="Times New Roman" w:hAnsi="Times New Roman"/>
          <w:color w:val="000000"/>
          <w:szCs w:val="21"/>
          <w:highlight w:val="none"/>
        </w:rPr>
        <w:t>我方向贵方提交的所有投标文件、资料都是准确的和真实的。</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2.</w:t>
      </w:r>
      <w:r>
        <w:rPr>
          <w:rFonts w:hint="eastAsia" w:ascii="Times New Roman" w:hAnsi="Times New Roman"/>
          <w:color w:val="000000"/>
          <w:szCs w:val="21"/>
          <w:highlight w:val="none"/>
        </w:rPr>
        <w:t>我方不是采购人的附属机构；在获知本项目采购信息后，与采购人聘请的为此项目提供咨询服务的公司及其附属机构没有任何联系。</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3.</w:t>
      </w:r>
      <w:r>
        <w:rPr>
          <w:rFonts w:hint="eastAsia" w:ascii="Times New Roman" w:hAnsi="Times New Roman"/>
          <w:color w:val="000000"/>
          <w:szCs w:val="21"/>
          <w:highlight w:val="none"/>
        </w:rPr>
        <w:t>我方此次向贵方提供的服务为：</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4.</w:t>
      </w:r>
      <w:r>
        <w:rPr>
          <w:rFonts w:hint="eastAsia" w:ascii="Times New Roman" w:hAnsi="Times New Roman"/>
          <w:color w:val="000000"/>
          <w:szCs w:val="21"/>
          <w:highlight w:val="none"/>
        </w:rPr>
        <w:t>我方诚意提请贵方关注：近期有关本项目服务的重大决策和事项有：</w:t>
      </w:r>
    </w:p>
    <w:p>
      <w:pPr>
        <w:snapToGrid w:val="0"/>
        <w:spacing w:line="360" w:lineRule="auto"/>
        <w:ind w:firstLine="420" w:firstLineChars="200"/>
        <w:rPr>
          <w:rFonts w:ascii="Times New Roman" w:hAnsi="Times New Roman"/>
          <w:color w:val="000000"/>
          <w:szCs w:val="21"/>
          <w:highlight w:val="none"/>
          <w:u w:val="single"/>
        </w:rPr>
      </w:pPr>
      <w:r>
        <w:rPr>
          <w:rFonts w:hint="eastAsia" w:ascii="Times New Roman" w:hAnsi="Times New Roman"/>
          <w:color w:val="000000"/>
          <w:szCs w:val="21"/>
          <w:highlight w:val="none"/>
          <w:u w:val="single"/>
        </w:rPr>
        <w:t>　　　　　　　　　　　　　　　　　　　　　　　　　　　</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5.</w:t>
      </w:r>
      <w:r>
        <w:rPr>
          <w:rFonts w:hint="eastAsia" w:ascii="Times New Roman" w:hAnsi="Times New Roman"/>
          <w:color w:val="000000"/>
          <w:szCs w:val="21"/>
          <w:highlight w:val="none"/>
        </w:rPr>
        <w:t>我方在参加本项目的政府采购活动前三年内，在经营活动中没有重大违法记录。</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6.</w:t>
      </w:r>
      <w:r>
        <w:rPr>
          <w:rFonts w:hint="eastAsia" w:ascii="Times New Roman" w:hAnsi="Times New Roman"/>
          <w:color w:val="000000"/>
          <w:szCs w:val="21"/>
          <w:highlight w:val="none"/>
        </w:rPr>
        <w:t>以上事项如有虚假或隐瞒，我方愿意承担一切后果，并不再寻求任何旨在减轻或免除法律责任的辩解。</w:t>
      </w:r>
    </w:p>
    <w:p>
      <w:pPr>
        <w:snapToGrid w:val="0"/>
        <w:spacing w:line="360" w:lineRule="auto"/>
        <w:ind w:firstLine="420" w:firstLineChars="200"/>
        <w:rPr>
          <w:rFonts w:ascii="Times New Roman" w:hAnsi="Times New Roman"/>
          <w:color w:val="000000"/>
          <w:szCs w:val="21"/>
          <w:highlight w:val="none"/>
        </w:rPr>
      </w:pPr>
    </w:p>
    <w:p>
      <w:pPr>
        <w:snapToGrid w:val="0"/>
        <w:spacing w:line="360" w:lineRule="auto"/>
        <w:ind w:firstLine="420" w:firstLineChars="200"/>
        <w:rPr>
          <w:rFonts w:ascii="Times New Roman" w:hAnsi="Times New Roman"/>
          <w:color w:val="000000"/>
          <w:szCs w:val="21"/>
          <w:highlight w:val="none"/>
        </w:rPr>
      </w:pPr>
    </w:p>
    <w:p>
      <w:pPr>
        <w:snapToGrid w:val="0"/>
        <w:spacing w:line="360" w:lineRule="auto"/>
        <w:ind w:firstLine="420" w:firstLineChars="200"/>
        <w:rPr>
          <w:rFonts w:ascii="Times New Roman" w:hAnsi="Times New Roman"/>
          <w:color w:val="000000"/>
          <w:szCs w:val="21"/>
          <w:highlight w:val="none"/>
          <w:u w:val="single"/>
        </w:rPr>
      </w:pPr>
      <w:r>
        <w:rPr>
          <w:rFonts w:hint="eastAsia" w:ascii="Times New Roman" w:hAnsi="Times New Roman"/>
          <w:color w:val="000000"/>
          <w:szCs w:val="21"/>
          <w:highlight w:val="none"/>
        </w:rPr>
        <w:t>法定代表人或被授权人签字（或盖章）：</w:t>
      </w:r>
      <w:r>
        <w:rPr>
          <w:rFonts w:ascii="Times New Roman" w:hAnsi="Times New Roman"/>
          <w:color w:val="000000"/>
          <w:szCs w:val="21"/>
          <w:highlight w:val="none"/>
          <w:u w:val="single"/>
        </w:rPr>
        <w:t xml:space="preserve">             </w:t>
      </w:r>
    </w:p>
    <w:p>
      <w:pPr>
        <w:snapToGrid w:val="0"/>
        <w:spacing w:line="360" w:lineRule="auto"/>
        <w:ind w:firstLine="420" w:firstLineChars="200"/>
        <w:rPr>
          <w:rFonts w:ascii="Times New Roman" w:hAnsi="Times New Roman"/>
          <w:color w:val="000000"/>
          <w:szCs w:val="21"/>
          <w:highlight w:val="none"/>
        </w:rPr>
      </w:pPr>
      <w:r>
        <w:rPr>
          <w:rFonts w:hint="eastAsia" w:ascii="Times New Roman" w:hAnsi="Times New Roman"/>
          <w:color w:val="000000"/>
          <w:szCs w:val="21"/>
          <w:highlight w:val="none"/>
        </w:rPr>
        <w:t>投标人公章：</w:t>
      </w:r>
      <w:r>
        <w:rPr>
          <w:rFonts w:ascii="Times New Roman" w:hAnsi="Times New Roman"/>
          <w:color w:val="000000"/>
          <w:szCs w:val="21"/>
          <w:highlight w:val="none"/>
          <w:u w:val="single"/>
        </w:rPr>
        <w:t xml:space="preserve">                    </w:t>
      </w:r>
      <w:r>
        <w:rPr>
          <w:rFonts w:ascii="Times New Roman" w:hAnsi="Times New Roman"/>
          <w:color w:val="000000"/>
          <w:szCs w:val="21"/>
          <w:highlight w:val="none"/>
        </w:rPr>
        <w:t xml:space="preserve">                 </w:t>
      </w:r>
    </w:p>
    <w:p>
      <w:pPr>
        <w:snapToGrid w:val="0"/>
        <w:spacing w:line="360" w:lineRule="auto"/>
        <w:ind w:firstLine="6300" w:firstLineChars="3000"/>
        <w:rPr>
          <w:rFonts w:ascii="Times New Roman" w:hAnsi="Times New Roman"/>
          <w:color w:val="000000"/>
          <w:szCs w:val="21"/>
          <w:highlight w:val="none"/>
        </w:rPr>
      </w:pP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p>
    <w:p>
      <w:pPr>
        <w:pStyle w:val="28"/>
        <w:snapToGrid w:val="0"/>
        <w:spacing w:before="120" w:line="360" w:lineRule="auto"/>
        <w:rPr>
          <w:rFonts w:ascii="Times New Roman" w:hAnsi="Times New Roman"/>
          <w:color w:val="000000"/>
          <w:sz w:val="21"/>
          <w:szCs w:val="21"/>
          <w:highlight w:val="none"/>
        </w:rPr>
      </w:pPr>
    </w:p>
    <w:p>
      <w:pPr>
        <w:widowControl/>
        <w:spacing w:line="360" w:lineRule="auto"/>
        <w:jc w:val="left"/>
        <w:rPr>
          <w:rFonts w:ascii="Times New Roman" w:hAnsi="Times New Roman"/>
          <w:b/>
          <w:color w:val="000000"/>
          <w:szCs w:val="21"/>
          <w:highlight w:val="none"/>
        </w:rPr>
        <w:sectPr>
          <w:pgSz w:w="11906" w:h="16838"/>
          <w:pgMar w:top="1440" w:right="1797" w:bottom="1440" w:left="1797" w:header="851" w:footer="851" w:gutter="0"/>
          <w:cols w:space="720" w:num="1"/>
        </w:sectPr>
      </w:pPr>
    </w:p>
    <w:p>
      <w:pPr>
        <w:spacing w:line="360" w:lineRule="auto"/>
        <w:jc w:val="left"/>
        <w:rPr>
          <w:rFonts w:ascii="Times New Roman" w:hAnsi="Times New Roman"/>
          <w:b/>
          <w:color w:val="000000"/>
          <w:szCs w:val="21"/>
          <w:highlight w:val="none"/>
        </w:rPr>
      </w:pPr>
      <w:r>
        <w:rPr>
          <w:rFonts w:ascii="Times New Roman" w:hAnsi="Times New Roman"/>
          <w:b/>
          <w:color w:val="000000"/>
          <w:szCs w:val="21"/>
          <w:highlight w:val="none"/>
        </w:rPr>
        <w:t>4</w:t>
      </w:r>
      <w:r>
        <w:rPr>
          <w:rFonts w:hint="eastAsia" w:ascii="Times New Roman" w:hAnsi="Times New Roman"/>
          <w:b/>
          <w:color w:val="000000"/>
          <w:szCs w:val="21"/>
          <w:highlight w:val="none"/>
        </w:rPr>
        <w:t>、诚信承诺书</w:t>
      </w:r>
    </w:p>
    <w:p>
      <w:pPr>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诚信承诺书</w:t>
      </w:r>
    </w:p>
    <w:p>
      <w:pPr>
        <w:spacing w:line="360" w:lineRule="auto"/>
        <w:rPr>
          <w:rFonts w:ascii="Times New Roman" w:hAnsi="Times New Roman"/>
          <w:color w:val="000000"/>
          <w:szCs w:val="21"/>
          <w:highlight w:val="none"/>
        </w:rPr>
      </w:pPr>
      <w:r>
        <w:rPr>
          <w:rFonts w:hint="eastAsia" w:ascii="Times New Roman" w:hAnsi="Times New Roman"/>
          <w:color w:val="000000"/>
          <w:szCs w:val="21"/>
          <w:highlight w:val="none"/>
          <w:u w:val="single"/>
          <w:lang w:eastAsia="zh-CN"/>
        </w:rPr>
        <w:t>嘉兴市秀洲区公路与运输管理服务中心</w:t>
      </w:r>
      <w:r>
        <w:rPr>
          <w:rFonts w:hint="eastAsia" w:ascii="Times New Roman" w:hAnsi="Times New Roman"/>
          <w:color w:val="000000"/>
          <w:szCs w:val="21"/>
          <w:highlight w:val="none"/>
        </w:rPr>
        <w:t>：</w:t>
      </w:r>
    </w:p>
    <w:p>
      <w:pPr>
        <w:spacing w:line="360" w:lineRule="auto"/>
        <w:ind w:firstLine="420" w:firstLineChars="200"/>
        <w:rPr>
          <w:rFonts w:ascii="Times New Roman" w:hAnsi="Times New Roman"/>
          <w:color w:val="000000"/>
          <w:szCs w:val="21"/>
          <w:highlight w:val="none"/>
        </w:rPr>
      </w:pPr>
      <w:r>
        <w:rPr>
          <w:rFonts w:hint="eastAsia" w:ascii="Times New Roman" w:hAnsi="Times New Roman"/>
          <w:color w:val="000000"/>
          <w:szCs w:val="21"/>
          <w:highlight w:val="none"/>
        </w:rPr>
        <w:t>我方在参加贵单位的</w:t>
      </w:r>
      <w:r>
        <w:rPr>
          <w:rFonts w:ascii="Times New Roman" w:hAnsi="Times New Roman"/>
          <w:color w:val="000000"/>
          <w:szCs w:val="21"/>
          <w:highlight w:val="none"/>
        </w:rPr>
        <w:t xml:space="preserve"> </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政府采购项目的招投标活动中，郑重承诺如下：</w:t>
      </w:r>
    </w:p>
    <w:p>
      <w:pPr>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1</w:t>
      </w:r>
      <w:r>
        <w:rPr>
          <w:rFonts w:hint="eastAsia" w:ascii="Times New Roman" w:hAnsi="Times New Roman"/>
          <w:color w:val="000000"/>
          <w:szCs w:val="21"/>
          <w:highlight w:val="none"/>
        </w:rPr>
        <w:t>、我方申报的所有资料都是真实、准确、完整的；</w:t>
      </w:r>
    </w:p>
    <w:p>
      <w:pPr>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2</w:t>
      </w:r>
      <w:r>
        <w:rPr>
          <w:rFonts w:hint="eastAsia" w:ascii="Times New Roman" w:hAnsi="Times New Roman"/>
          <w:color w:val="000000"/>
          <w:szCs w:val="21"/>
          <w:highlight w:val="none"/>
        </w:rPr>
        <w:t>、我方无资质挂靠情形，保证不参与串标、围标及抬标；</w:t>
      </w:r>
    </w:p>
    <w:p>
      <w:pPr>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3</w:t>
      </w:r>
      <w:r>
        <w:rPr>
          <w:rFonts w:hint="eastAsia" w:ascii="Times New Roman" w:hAnsi="Times New Roman"/>
          <w:color w:val="000000"/>
          <w:szCs w:val="21"/>
          <w:highlight w:val="none"/>
        </w:rPr>
        <w:t>、我方未处于被各级行政主管部门做出停止市场行为处罚的期限内；</w:t>
      </w:r>
    </w:p>
    <w:p>
      <w:pPr>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4</w:t>
      </w:r>
      <w:r>
        <w:rPr>
          <w:rFonts w:hint="eastAsia" w:ascii="Times New Roman" w:hAnsi="Times New Roman"/>
          <w:color w:val="000000"/>
          <w:szCs w:val="21"/>
          <w:highlight w:val="none"/>
        </w:rPr>
        <w:t>、若我方中标，将严格按照规定及时与采购人签订合同；</w:t>
      </w:r>
    </w:p>
    <w:p>
      <w:pPr>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5</w:t>
      </w:r>
      <w:r>
        <w:rPr>
          <w:rFonts w:hint="eastAsia" w:ascii="Times New Roman" w:hAnsi="Times New Roman"/>
          <w:color w:val="000000"/>
          <w:szCs w:val="21"/>
          <w:highlight w:val="none"/>
        </w:rPr>
        <w:t>、若我方中标，将严格按照招标文件要求及投标文件承诺的报价、质量、服务期、投标方案、项目经理等内容组织实施；</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pPr>
        <w:spacing w:line="360" w:lineRule="auto"/>
        <w:ind w:firstLine="420" w:firstLineChars="200"/>
        <w:rPr>
          <w:rFonts w:ascii="Times New Roman" w:hAnsi="Times New Roman"/>
          <w:color w:val="000000"/>
          <w:szCs w:val="21"/>
          <w:highlight w:val="none"/>
        </w:rPr>
      </w:pPr>
      <w:r>
        <w:rPr>
          <w:rFonts w:hint="eastAsia" w:ascii="Times New Roman" w:hAnsi="Times New Roman"/>
          <w:color w:val="000000"/>
          <w:szCs w:val="21"/>
          <w:highlight w:val="none"/>
        </w:rPr>
        <w:t>特此承诺。</w:t>
      </w:r>
    </w:p>
    <w:p>
      <w:pPr>
        <w:spacing w:line="360" w:lineRule="auto"/>
        <w:ind w:firstLine="420" w:firstLineChars="200"/>
        <w:rPr>
          <w:rFonts w:ascii="Times New Roman" w:hAnsi="Times New Roman"/>
          <w:color w:val="000000"/>
          <w:szCs w:val="21"/>
          <w:highlight w:val="none"/>
        </w:rPr>
      </w:pPr>
      <w:r>
        <w:rPr>
          <w:rFonts w:hint="eastAsia" w:ascii="Times New Roman" w:hAnsi="Times New Roman"/>
          <w:color w:val="000000"/>
          <w:szCs w:val="21"/>
          <w:highlight w:val="none"/>
        </w:rPr>
        <w:t>投标人（加盖公章）：</w:t>
      </w:r>
      <w:r>
        <w:rPr>
          <w:rFonts w:ascii="Times New Roman" w:hAnsi="Times New Roman"/>
          <w:color w:val="000000"/>
          <w:szCs w:val="21"/>
          <w:highlight w:val="none"/>
          <w:u w:val="single"/>
        </w:rPr>
        <w:t xml:space="preserve">                        </w:t>
      </w:r>
    </w:p>
    <w:p>
      <w:pPr>
        <w:spacing w:line="360" w:lineRule="auto"/>
        <w:ind w:firstLine="420" w:firstLineChars="200"/>
        <w:rPr>
          <w:rFonts w:ascii="Times New Roman" w:hAnsi="Times New Roman"/>
          <w:color w:val="000000"/>
          <w:szCs w:val="21"/>
          <w:highlight w:val="none"/>
        </w:rPr>
      </w:pPr>
      <w:r>
        <w:rPr>
          <w:rFonts w:hint="eastAsia" w:ascii="Times New Roman" w:hAnsi="Times New Roman"/>
          <w:color w:val="000000"/>
          <w:szCs w:val="21"/>
          <w:highlight w:val="none"/>
        </w:rPr>
        <w:t>投标人代表（签名）：</w:t>
      </w:r>
      <w:r>
        <w:rPr>
          <w:rFonts w:ascii="Times New Roman" w:hAnsi="Times New Roman"/>
          <w:color w:val="000000"/>
          <w:szCs w:val="21"/>
          <w:highlight w:val="none"/>
          <w:u w:val="single"/>
        </w:rPr>
        <w:t xml:space="preserve">                        </w:t>
      </w:r>
    </w:p>
    <w:p>
      <w:pPr>
        <w:spacing w:line="360" w:lineRule="auto"/>
        <w:ind w:firstLine="420" w:firstLineChars="200"/>
        <w:rPr>
          <w:rFonts w:ascii="Times New Roman" w:hAnsi="Times New Roman"/>
          <w:color w:val="000000"/>
          <w:szCs w:val="21"/>
          <w:highlight w:val="none"/>
        </w:rPr>
      </w:pPr>
    </w:p>
    <w:p>
      <w:pPr>
        <w:spacing w:line="360" w:lineRule="auto"/>
        <w:ind w:firstLine="4305" w:firstLineChars="2050"/>
        <w:rPr>
          <w:rFonts w:ascii="Times New Roman" w:hAnsi="Times New Roman"/>
          <w:color w:val="000000"/>
          <w:szCs w:val="21"/>
          <w:highlight w:val="none"/>
        </w:rPr>
      </w:pPr>
      <w:r>
        <w:rPr>
          <w:rFonts w:hint="eastAsia" w:ascii="Times New Roman" w:hAnsi="Times New Roman"/>
          <w:color w:val="000000"/>
          <w:szCs w:val="21"/>
          <w:highlight w:val="none"/>
        </w:rPr>
        <w:t>日</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期：</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年</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日</w:t>
      </w:r>
    </w:p>
    <w:p>
      <w:pPr>
        <w:pStyle w:val="28"/>
        <w:snapToGrid w:val="0"/>
        <w:spacing w:before="120" w:line="360" w:lineRule="auto"/>
        <w:rPr>
          <w:rFonts w:ascii="Times New Roman" w:hAnsi="Times New Roman"/>
          <w:color w:val="000000"/>
          <w:sz w:val="21"/>
          <w:szCs w:val="21"/>
          <w:highlight w:val="none"/>
        </w:rPr>
      </w:pPr>
    </w:p>
    <w:p>
      <w:pPr>
        <w:pStyle w:val="28"/>
        <w:snapToGrid w:val="0"/>
        <w:spacing w:before="120" w:line="360" w:lineRule="auto"/>
        <w:rPr>
          <w:rFonts w:ascii="Times New Roman" w:hAnsi="Times New Roman"/>
          <w:color w:val="000000"/>
          <w:sz w:val="21"/>
          <w:szCs w:val="21"/>
          <w:highlight w:val="none"/>
        </w:rPr>
      </w:pPr>
    </w:p>
    <w:p>
      <w:pPr>
        <w:snapToGrid w:val="0"/>
        <w:spacing w:line="360" w:lineRule="auto"/>
        <w:rPr>
          <w:rFonts w:ascii="Times New Roman" w:hAnsi="Times New Roman"/>
          <w:b/>
          <w:color w:val="000000"/>
          <w:szCs w:val="21"/>
          <w:highlight w:val="none"/>
        </w:rPr>
      </w:pPr>
      <w:r>
        <w:rPr>
          <w:rFonts w:ascii="Times New Roman" w:hAnsi="Times New Roman"/>
          <w:b/>
          <w:color w:val="000000"/>
          <w:szCs w:val="21"/>
          <w:highlight w:val="none"/>
        </w:rPr>
        <w:br w:type="page"/>
      </w:r>
      <w:r>
        <w:rPr>
          <w:rFonts w:ascii="Times New Roman" w:hAnsi="Times New Roman"/>
          <w:b/>
          <w:color w:val="000000"/>
          <w:szCs w:val="21"/>
          <w:highlight w:val="none"/>
        </w:rPr>
        <w:t>5</w:t>
      </w:r>
      <w:r>
        <w:rPr>
          <w:rFonts w:hint="eastAsia" w:ascii="Times New Roman" w:hAnsi="Times New Roman"/>
          <w:b/>
          <w:color w:val="000000"/>
          <w:szCs w:val="21"/>
          <w:highlight w:val="none"/>
        </w:rPr>
        <w:t>、法定代表人授权委托书格式：</w:t>
      </w:r>
    </w:p>
    <w:p>
      <w:pPr>
        <w:snapToGrid w:val="0"/>
        <w:spacing w:line="360" w:lineRule="auto"/>
        <w:jc w:val="center"/>
        <w:rPr>
          <w:rFonts w:ascii="Times New Roman" w:hAnsi="Times New Roman"/>
          <w:color w:val="000000"/>
          <w:szCs w:val="21"/>
          <w:highlight w:val="none"/>
        </w:rPr>
      </w:pPr>
    </w:p>
    <w:p>
      <w:pPr>
        <w:snapToGrid w:val="0"/>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法定代表人授权委托书</w:t>
      </w:r>
    </w:p>
    <w:p>
      <w:pPr>
        <w:snapToGrid w:val="0"/>
        <w:spacing w:line="360" w:lineRule="auto"/>
        <w:rPr>
          <w:rFonts w:hint="eastAsia" w:ascii="Times New Roman" w:hAnsi="Times New Roman" w:eastAsia="宋体"/>
          <w:b/>
          <w:bCs/>
          <w:color w:val="000000"/>
          <w:szCs w:val="21"/>
          <w:highlight w:val="none"/>
          <w:lang w:eastAsia="zh-CN"/>
        </w:rPr>
      </w:pPr>
      <w:r>
        <w:rPr>
          <w:rFonts w:hint="eastAsia" w:ascii="Times New Roman" w:hAnsi="Times New Roman"/>
          <w:bCs/>
          <w:color w:val="000000"/>
          <w:szCs w:val="21"/>
          <w:highlight w:val="none"/>
        </w:rPr>
        <w:t>致：</w:t>
      </w:r>
      <w:r>
        <w:rPr>
          <w:rFonts w:hint="eastAsia" w:ascii="Times New Roman" w:hAnsi="Times New Roman"/>
          <w:color w:val="000000"/>
          <w:szCs w:val="21"/>
          <w:highlight w:val="none"/>
          <w:lang w:eastAsia="zh-CN"/>
        </w:rPr>
        <w:t>嘉兴市秀洲区公路与运输管理服务中心</w:t>
      </w:r>
    </w:p>
    <w:p>
      <w:pPr>
        <w:snapToGrid w:val="0"/>
        <w:spacing w:line="360" w:lineRule="auto"/>
        <w:ind w:firstLine="630" w:firstLineChars="300"/>
        <w:rPr>
          <w:rFonts w:ascii="Times New Roman" w:hAnsi="Times New Roman"/>
          <w:color w:val="000000"/>
          <w:szCs w:val="21"/>
          <w:highlight w:val="none"/>
        </w:rPr>
      </w:pPr>
      <w:r>
        <w:rPr>
          <w:rFonts w:hint="eastAsia" w:ascii="Times New Roman" w:hAnsi="Times New Roman"/>
          <w:color w:val="000000"/>
          <w:szCs w:val="21"/>
          <w:highlight w:val="none"/>
        </w:rPr>
        <w:t>我</w:t>
      </w:r>
      <w:r>
        <w:rPr>
          <w:rFonts w:ascii="Times New Roman" w:hAnsi="Times New Roman"/>
          <w:color w:val="000000"/>
          <w:szCs w:val="21"/>
          <w:highlight w:val="none"/>
        </w:rPr>
        <w:t>_____________</w:t>
      </w:r>
      <w:r>
        <w:rPr>
          <w:rFonts w:hint="eastAsia" w:ascii="Times New Roman" w:hAnsi="Times New Roman"/>
          <w:color w:val="000000"/>
          <w:szCs w:val="21"/>
          <w:highlight w:val="none"/>
        </w:rPr>
        <w:t>（姓名）系</w:t>
      </w:r>
      <w:r>
        <w:rPr>
          <w:rFonts w:ascii="Times New Roman" w:hAnsi="Times New Roman"/>
          <w:color w:val="000000"/>
          <w:szCs w:val="21"/>
          <w:highlight w:val="none"/>
        </w:rPr>
        <w:t>___________________</w:t>
      </w:r>
      <w:r>
        <w:rPr>
          <w:rFonts w:hint="eastAsia" w:ascii="Times New Roman" w:hAnsi="Times New Roman"/>
          <w:color w:val="000000"/>
          <w:szCs w:val="21"/>
          <w:highlight w:val="none"/>
        </w:rPr>
        <w:t>（投标人名称）的法定代表人，现授权委托本单位在职职工</w:t>
      </w:r>
      <w:r>
        <w:rPr>
          <w:rFonts w:ascii="Times New Roman" w:hAnsi="Times New Roman"/>
          <w:color w:val="000000"/>
          <w:szCs w:val="21"/>
          <w:highlight w:val="none"/>
        </w:rPr>
        <w:t xml:space="preserve"> </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（姓名）以我方的名义参加</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项目的投标活动，并代表我方全权办理针对上述项目的投标、开标、评标、签约等具体事务和签署相关文件。</w:t>
      </w:r>
    </w:p>
    <w:p>
      <w:pPr>
        <w:snapToGrid w:val="0"/>
        <w:spacing w:line="360" w:lineRule="auto"/>
        <w:rPr>
          <w:rFonts w:ascii="Times New Roman" w:hAnsi="Times New Roman"/>
          <w:color w:val="000000"/>
          <w:szCs w:val="21"/>
          <w:highlight w:val="none"/>
        </w:rPr>
      </w:pPr>
      <w:r>
        <w:rPr>
          <w:rFonts w:ascii="Times New Roman" w:hAnsi="Times New Roman"/>
          <w:color w:val="000000"/>
          <w:szCs w:val="21"/>
          <w:highlight w:val="none"/>
        </w:rPr>
        <w:t xml:space="preserve">    </w:t>
      </w:r>
      <w:r>
        <w:rPr>
          <w:rFonts w:hint="eastAsia" w:ascii="Times New Roman" w:hAnsi="Times New Roman"/>
          <w:color w:val="000000"/>
          <w:szCs w:val="21"/>
          <w:highlight w:val="none"/>
        </w:rPr>
        <w:t>我方对被授权人的签名事项负全部责任。</w:t>
      </w:r>
    </w:p>
    <w:p>
      <w:pPr>
        <w:snapToGrid w:val="0"/>
        <w:spacing w:line="360" w:lineRule="auto"/>
        <w:ind w:firstLine="480"/>
        <w:rPr>
          <w:rFonts w:ascii="Times New Roman" w:hAnsi="Times New Roman"/>
          <w:color w:val="000000"/>
          <w:szCs w:val="21"/>
          <w:highlight w:val="none"/>
        </w:rPr>
      </w:pPr>
      <w:r>
        <w:rPr>
          <w:rFonts w:hint="eastAsia" w:ascii="Times New Roman" w:hAnsi="Times New Roman"/>
          <w:color w:val="000000"/>
          <w:szCs w:val="21"/>
          <w:highlight w:val="none"/>
          <w:u w:val="single"/>
        </w:rPr>
        <w:t>在撤销授权的书面通知以前，本授权书一直有效。</w:t>
      </w:r>
      <w:r>
        <w:rPr>
          <w:rFonts w:hint="eastAsia" w:ascii="Times New Roman" w:hAnsi="Times New Roman"/>
          <w:color w:val="000000"/>
          <w:szCs w:val="21"/>
          <w:highlight w:val="none"/>
        </w:rPr>
        <w:t>被授权人在授权书有效期内签署的所有文件不因授权的撤销而失效。</w:t>
      </w:r>
    </w:p>
    <w:p>
      <w:pPr>
        <w:snapToGrid w:val="0"/>
        <w:spacing w:line="360" w:lineRule="auto"/>
        <w:ind w:firstLine="480"/>
        <w:rPr>
          <w:rFonts w:ascii="Times New Roman" w:hAnsi="Times New Roman"/>
          <w:color w:val="000000"/>
          <w:szCs w:val="21"/>
          <w:highlight w:val="none"/>
        </w:rPr>
      </w:pPr>
      <w:r>
        <w:rPr>
          <w:rFonts w:hint="eastAsia" w:ascii="Times New Roman" w:hAnsi="Times New Roman"/>
          <w:color w:val="000000"/>
          <w:szCs w:val="21"/>
          <w:highlight w:val="none"/>
        </w:rPr>
        <w:t>被授权人无转委托权，特此委托。</w:t>
      </w:r>
    </w:p>
    <w:p>
      <w:pPr>
        <w:snapToGrid w:val="0"/>
        <w:spacing w:line="360" w:lineRule="auto"/>
        <w:rPr>
          <w:rFonts w:ascii="Times New Roman" w:hAnsi="Times New Roman"/>
          <w:color w:val="000000"/>
          <w:szCs w:val="21"/>
          <w:highlight w:val="none"/>
        </w:rPr>
      </w:pPr>
    </w:p>
    <w:p>
      <w:pPr>
        <w:snapToGrid w:val="0"/>
        <w:spacing w:line="360" w:lineRule="auto"/>
        <w:rPr>
          <w:rFonts w:ascii="Times New Roman" w:hAnsi="Times New Roman"/>
          <w:color w:val="000000"/>
          <w:szCs w:val="21"/>
          <w:highlight w:val="none"/>
          <w:u w:val="single"/>
        </w:rPr>
      </w:pPr>
      <w:r>
        <w:rPr>
          <w:rFonts w:hint="eastAsia" w:ascii="Times New Roman" w:hAnsi="Times New Roman"/>
          <w:color w:val="000000"/>
          <w:szCs w:val="21"/>
          <w:highlight w:val="none"/>
        </w:rPr>
        <w:t>被授权人签名：</w:t>
      </w:r>
      <w:r>
        <w:rPr>
          <w:rFonts w:ascii="Times New Roman" w:hAnsi="Times New Roman"/>
          <w:color w:val="000000"/>
          <w:szCs w:val="21"/>
          <w:highlight w:val="none"/>
          <w:u w:val="single"/>
        </w:rPr>
        <w:t xml:space="preserve">          </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法定代表人签名：</w:t>
      </w:r>
      <w:r>
        <w:rPr>
          <w:rFonts w:ascii="Times New Roman" w:hAnsi="Times New Roman"/>
          <w:color w:val="000000"/>
          <w:szCs w:val="21"/>
          <w:highlight w:val="none"/>
          <w:u w:val="single"/>
        </w:rPr>
        <w:t xml:space="preserve">          </w:t>
      </w:r>
    </w:p>
    <w:p>
      <w:pPr>
        <w:snapToGrid w:val="0"/>
        <w:spacing w:line="360" w:lineRule="auto"/>
        <w:ind w:firstLine="840" w:firstLineChars="400"/>
        <w:rPr>
          <w:rFonts w:ascii="Times New Roman" w:hAnsi="Times New Roman"/>
          <w:color w:val="000000"/>
          <w:szCs w:val="21"/>
          <w:highlight w:val="none"/>
        </w:rPr>
      </w:pPr>
      <w:r>
        <w:rPr>
          <w:rFonts w:hint="eastAsia" w:ascii="Times New Roman" w:hAnsi="Times New Roman"/>
          <w:color w:val="000000"/>
          <w:szCs w:val="21"/>
          <w:highlight w:val="none"/>
        </w:rPr>
        <w:t>职务：</w:t>
      </w:r>
      <w:r>
        <w:rPr>
          <w:rFonts w:ascii="Times New Roman" w:hAnsi="Times New Roman"/>
          <w:color w:val="000000"/>
          <w:szCs w:val="21"/>
          <w:highlight w:val="none"/>
          <w:u w:val="single"/>
        </w:rPr>
        <w:t xml:space="preserve">           </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职务：</w:t>
      </w:r>
      <w:r>
        <w:rPr>
          <w:rFonts w:ascii="Times New Roman" w:hAnsi="Times New Roman"/>
          <w:color w:val="000000"/>
          <w:szCs w:val="21"/>
          <w:highlight w:val="none"/>
          <w:u w:val="single"/>
        </w:rPr>
        <w:t xml:space="preserve">           </w:t>
      </w:r>
    </w:p>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被授权人身份证号码：</w:t>
      </w:r>
      <w:r>
        <w:rPr>
          <w:rFonts w:ascii="Times New Roman" w:hAnsi="Times New Roman"/>
          <w:color w:val="000000"/>
          <w:szCs w:val="21"/>
          <w:highlight w:val="none"/>
          <w:u w:val="single"/>
        </w:rPr>
        <w:t xml:space="preserve">                             </w:t>
      </w:r>
      <w:r>
        <w:rPr>
          <w:rFonts w:ascii="Times New Roman" w:hAnsi="Times New Roman"/>
          <w:color w:val="000000"/>
          <w:szCs w:val="21"/>
          <w:highlight w:val="none"/>
        </w:rPr>
        <w:t xml:space="preserve"> </w:t>
      </w:r>
    </w:p>
    <w:p>
      <w:pPr>
        <w:snapToGrid w:val="0"/>
        <w:spacing w:line="360" w:lineRule="auto"/>
        <w:rPr>
          <w:rFonts w:ascii="Times New Roman" w:hAnsi="Times New Roman"/>
          <w:color w:val="000000"/>
          <w:szCs w:val="21"/>
          <w:highlight w:val="none"/>
        </w:rPr>
      </w:pPr>
      <w:r>
        <w:rPr>
          <w:rFonts w:ascii="Times New Roman" w:hAnsi="Times New Roman"/>
          <w:color w:val="000000"/>
          <w:szCs w:val="21"/>
          <w:highlight w:val="none"/>
        </w:rPr>
        <w:t xml:space="preserve">                                   </w:t>
      </w:r>
    </w:p>
    <w:p>
      <w:pPr>
        <w:snapToGrid w:val="0"/>
        <w:spacing w:before="120" w:beforeLines="50" w:after="50" w:line="360" w:lineRule="auto"/>
        <w:rPr>
          <w:rFonts w:ascii="Times New Roman" w:hAnsi="Times New Roman"/>
          <w:color w:val="000000"/>
          <w:szCs w:val="21"/>
          <w:highlight w:val="none"/>
        </w:rPr>
      </w:pPr>
      <w:r>
        <w:rPr>
          <w:rFonts w:hint="eastAsia" w:ascii="Times New Roman" w:hAnsi="Times New Roman"/>
          <w:color w:val="000000"/>
          <w:szCs w:val="21"/>
          <w:highlight w:val="none"/>
        </w:rPr>
        <w:t>法定代表人身份证粘贴处（正反面）</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被授权人身份证粘贴处（正反面）</w:t>
      </w:r>
    </w:p>
    <w:p>
      <w:pPr>
        <w:snapToGrid w:val="0"/>
        <w:spacing w:before="120" w:beforeLines="50" w:after="50" w:line="360" w:lineRule="auto"/>
        <w:rPr>
          <w:rFonts w:ascii="Times New Roman" w:hAnsi="Times New Roman"/>
          <w:color w:val="000000"/>
          <w:szCs w:val="21"/>
          <w:highlight w:val="none"/>
        </w:rPr>
      </w:pPr>
    </w:p>
    <w:p>
      <w:pPr>
        <w:snapToGrid w:val="0"/>
        <w:spacing w:before="120" w:beforeLines="50" w:after="50" w:line="360" w:lineRule="auto"/>
        <w:rPr>
          <w:rFonts w:ascii="Times New Roman" w:hAnsi="Times New Roman"/>
          <w:color w:val="000000"/>
          <w:szCs w:val="21"/>
          <w:highlight w:val="none"/>
        </w:rPr>
      </w:pPr>
    </w:p>
    <w:p>
      <w:pPr>
        <w:snapToGrid w:val="0"/>
        <w:spacing w:before="120" w:beforeLines="50" w:after="50" w:line="360" w:lineRule="auto"/>
        <w:rPr>
          <w:rFonts w:ascii="Times New Roman" w:hAnsi="Times New Roman"/>
          <w:color w:val="000000"/>
          <w:szCs w:val="21"/>
          <w:highlight w:val="none"/>
        </w:rPr>
      </w:pPr>
    </w:p>
    <w:p>
      <w:pPr>
        <w:snapToGrid w:val="0"/>
        <w:spacing w:before="120" w:beforeLines="50" w:after="50" w:line="360" w:lineRule="auto"/>
        <w:rPr>
          <w:rFonts w:ascii="Times New Roman" w:hAnsi="Times New Roman"/>
          <w:color w:val="000000"/>
          <w:szCs w:val="21"/>
          <w:highlight w:val="none"/>
        </w:rPr>
      </w:pPr>
      <w:r>
        <w:rPr>
          <w:rFonts w:hint="eastAsia" w:ascii="Times New Roman" w:hAnsi="Times New Roman"/>
          <w:color w:val="000000"/>
          <w:szCs w:val="21"/>
          <w:highlight w:val="none"/>
        </w:rPr>
        <w:t>投标人公章：</w:t>
      </w:r>
    </w:p>
    <w:p>
      <w:pPr>
        <w:snapToGrid w:val="0"/>
        <w:spacing w:before="120" w:beforeLines="50" w:after="50" w:line="360" w:lineRule="auto"/>
        <w:rPr>
          <w:rFonts w:ascii="Times New Roman" w:hAnsi="Times New Roman"/>
          <w:color w:val="000000"/>
          <w:szCs w:val="21"/>
          <w:highlight w:val="none"/>
        </w:rPr>
      </w:pPr>
    </w:p>
    <w:p>
      <w:pPr>
        <w:snapToGrid w:val="0"/>
        <w:spacing w:before="120" w:beforeLines="50" w:after="50" w:line="360" w:lineRule="auto"/>
        <w:rPr>
          <w:rFonts w:ascii="Times New Roman" w:hAnsi="Times New Roman"/>
          <w:color w:val="000000"/>
          <w:szCs w:val="21"/>
          <w:highlight w:val="none"/>
        </w:rPr>
      </w:pPr>
    </w:p>
    <w:p>
      <w:pPr>
        <w:snapToGrid w:val="0"/>
        <w:spacing w:before="120" w:beforeLines="50" w:after="50"/>
        <w:jc w:val="right"/>
        <w:rPr>
          <w:rFonts w:ascii="Times New Roman" w:hAnsi="Times New Roman"/>
          <w:color w:val="000000"/>
          <w:szCs w:val="21"/>
          <w:highlight w:val="none"/>
        </w:rPr>
      </w:pPr>
      <w:r>
        <w:rPr>
          <w:rFonts w:ascii="Times New Roman" w:hAnsi="Times New Roman"/>
          <w:color w:val="000000"/>
          <w:szCs w:val="21"/>
          <w:highlight w:val="none"/>
        </w:rPr>
        <w:t xml:space="preserve">                                        </w:t>
      </w: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p>
    <w:p>
      <w:pPr>
        <w:pStyle w:val="294"/>
        <w:spacing w:line="360" w:lineRule="auto"/>
        <w:rPr>
          <w:rFonts w:ascii="Times New Roman" w:hAnsi="Times New Roman" w:eastAsia="宋体"/>
          <w:color w:val="000000"/>
          <w:sz w:val="21"/>
          <w:szCs w:val="21"/>
          <w:highlight w:val="none"/>
        </w:rPr>
      </w:pPr>
    </w:p>
    <w:p>
      <w:pPr>
        <w:snapToGrid w:val="0"/>
        <w:spacing w:before="120" w:beforeLines="50" w:after="50" w:line="360" w:lineRule="auto"/>
        <w:rPr>
          <w:rFonts w:ascii="Times New Roman" w:hAnsi="Times New Roman"/>
          <w:b/>
          <w:color w:val="000000"/>
          <w:szCs w:val="21"/>
          <w:highlight w:val="none"/>
        </w:rPr>
      </w:pPr>
      <w:r>
        <w:rPr>
          <w:rFonts w:hint="eastAsia" w:ascii="Times New Roman" w:hAnsi="Times New Roman"/>
          <w:b/>
          <w:color w:val="000000"/>
          <w:szCs w:val="21"/>
          <w:highlight w:val="none"/>
        </w:rPr>
        <w:t>注：此表请放一页，如要放</w:t>
      </w:r>
      <w:r>
        <w:rPr>
          <w:rFonts w:ascii="Times New Roman" w:hAnsi="Times New Roman"/>
          <w:b/>
          <w:color w:val="000000"/>
          <w:szCs w:val="21"/>
          <w:highlight w:val="none"/>
        </w:rPr>
        <w:t>2</w:t>
      </w:r>
      <w:r>
        <w:rPr>
          <w:rFonts w:hint="eastAsia" w:ascii="Times New Roman" w:hAnsi="Times New Roman"/>
          <w:b/>
          <w:color w:val="000000"/>
          <w:szCs w:val="21"/>
          <w:highlight w:val="none"/>
        </w:rPr>
        <w:t>页及以上请在每页上都加盖公章。</w:t>
      </w:r>
    </w:p>
    <w:p>
      <w:pPr>
        <w:snapToGrid w:val="0"/>
        <w:spacing w:before="120" w:beforeLines="50" w:after="50" w:line="360" w:lineRule="auto"/>
        <w:rPr>
          <w:rFonts w:ascii="Times New Roman" w:hAnsi="Times New Roman"/>
          <w:b/>
          <w:color w:val="000000"/>
          <w:szCs w:val="21"/>
          <w:highlight w:val="none"/>
        </w:rPr>
      </w:pPr>
    </w:p>
    <w:p>
      <w:pPr>
        <w:snapToGrid w:val="0"/>
        <w:spacing w:before="120" w:beforeLines="50" w:after="50" w:line="360" w:lineRule="auto"/>
        <w:rPr>
          <w:rFonts w:ascii="Times New Roman" w:hAnsi="Times New Roman"/>
          <w:b/>
          <w:color w:val="000000"/>
          <w:szCs w:val="21"/>
          <w:highlight w:val="none"/>
        </w:rPr>
      </w:pPr>
    </w:p>
    <w:p>
      <w:pPr>
        <w:widowControl/>
        <w:spacing w:line="360" w:lineRule="auto"/>
        <w:jc w:val="left"/>
        <w:rPr>
          <w:rFonts w:ascii="Times New Roman" w:hAnsi="Times New Roman"/>
          <w:b/>
          <w:color w:val="000000"/>
          <w:szCs w:val="21"/>
          <w:highlight w:val="none"/>
        </w:rPr>
        <w:sectPr>
          <w:pgSz w:w="11906" w:h="16838"/>
          <w:pgMar w:top="1440" w:right="1797" w:bottom="1440" w:left="1797" w:header="851" w:footer="851" w:gutter="0"/>
          <w:cols w:space="720" w:num="1"/>
        </w:sectPr>
      </w:pPr>
    </w:p>
    <w:p>
      <w:pPr>
        <w:snapToGrid w:val="0"/>
        <w:spacing w:line="360" w:lineRule="auto"/>
        <w:rPr>
          <w:rFonts w:ascii="Times New Roman" w:hAnsi="Times New Roman"/>
          <w:b/>
          <w:color w:val="000000"/>
          <w:szCs w:val="21"/>
          <w:highlight w:val="none"/>
        </w:rPr>
      </w:pPr>
      <w:r>
        <w:rPr>
          <w:rFonts w:ascii="Times New Roman" w:hAnsi="Times New Roman"/>
          <w:b/>
          <w:color w:val="000000"/>
          <w:szCs w:val="21"/>
          <w:highlight w:val="none"/>
        </w:rPr>
        <w:t>6</w:t>
      </w:r>
      <w:r>
        <w:rPr>
          <w:rFonts w:hint="eastAsia" w:ascii="Times New Roman" w:hAnsi="Times New Roman"/>
          <w:b/>
          <w:color w:val="000000"/>
          <w:szCs w:val="21"/>
          <w:highlight w:val="none"/>
        </w:rPr>
        <w:t>、具有履行合同所必需的设备和专业技术能力承诺函</w:t>
      </w:r>
    </w:p>
    <w:p>
      <w:pPr>
        <w:pStyle w:val="28"/>
        <w:snapToGrid w:val="0"/>
        <w:spacing w:before="24" w:beforeLines="10" w:after="24" w:afterLines="10"/>
        <w:jc w:val="center"/>
        <w:rPr>
          <w:rFonts w:ascii="Times New Roman" w:hAnsi="Times New Roman"/>
          <w:b/>
          <w:color w:val="000000"/>
          <w:highlight w:val="none"/>
        </w:rPr>
      </w:pPr>
    </w:p>
    <w:p>
      <w:pPr>
        <w:pStyle w:val="28"/>
        <w:snapToGrid w:val="0"/>
        <w:spacing w:before="24" w:beforeLines="10" w:after="24" w:afterLines="10"/>
        <w:jc w:val="center"/>
        <w:rPr>
          <w:rFonts w:ascii="Times New Roman" w:hAnsi="Times New Roman"/>
          <w:b/>
          <w:color w:val="000000"/>
          <w:sz w:val="21"/>
          <w:szCs w:val="21"/>
          <w:highlight w:val="none"/>
        </w:rPr>
      </w:pPr>
      <w:r>
        <w:rPr>
          <w:rFonts w:hint="eastAsia" w:ascii="Times New Roman" w:hAnsi="Times New Roman"/>
          <w:b/>
          <w:color w:val="000000"/>
          <w:sz w:val="21"/>
          <w:szCs w:val="21"/>
          <w:highlight w:val="none"/>
        </w:rPr>
        <w:t>具有履行合同所必需的设备和专业技术能力承诺函</w:t>
      </w:r>
    </w:p>
    <w:p>
      <w:pPr>
        <w:snapToGrid w:val="0"/>
        <w:spacing w:before="120" w:beforeLines="50" w:after="50" w:line="360" w:lineRule="auto"/>
        <w:rPr>
          <w:rFonts w:ascii="Times New Roman" w:hAnsi="Times New Roman"/>
          <w:b/>
          <w:color w:val="000000"/>
          <w:szCs w:val="21"/>
          <w:highlight w:val="none"/>
        </w:rPr>
      </w:pPr>
    </w:p>
    <w:p>
      <w:pPr>
        <w:spacing w:line="360" w:lineRule="auto"/>
        <w:rPr>
          <w:rFonts w:ascii="Times New Roman" w:hAnsi="Times New Roman"/>
          <w:color w:val="000000"/>
          <w:szCs w:val="21"/>
          <w:highlight w:val="none"/>
        </w:rPr>
      </w:pPr>
      <w:r>
        <w:rPr>
          <w:rFonts w:hint="eastAsia" w:ascii="Times New Roman" w:hAnsi="Times New Roman"/>
          <w:color w:val="000000"/>
          <w:spacing w:val="6"/>
          <w:szCs w:val="21"/>
          <w:highlight w:val="none"/>
          <w:u w:val="single"/>
          <w:lang w:eastAsia="zh-CN"/>
        </w:rPr>
        <w:t>嘉兴市秀洲区公路与运输管理服务中心</w:t>
      </w:r>
      <w:r>
        <w:rPr>
          <w:rFonts w:hint="eastAsia" w:ascii="Times New Roman" w:hAnsi="Times New Roman"/>
          <w:color w:val="000000"/>
          <w:szCs w:val="21"/>
          <w:highlight w:val="none"/>
        </w:rPr>
        <w:t>：</w:t>
      </w:r>
    </w:p>
    <w:p>
      <w:pPr>
        <w:snapToGrid w:val="0"/>
        <w:spacing w:line="360" w:lineRule="auto"/>
        <w:ind w:firstLine="420" w:firstLineChars="200"/>
        <w:rPr>
          <w:rFonts w:ascii="Times New Roman" w:hAnsi="Times New Roman"/>
          <w:color w:val="000000"/>
          <w:szCs w:val="21"/>
          <w:highlight w:val="none"/>
          <w:shd w:val="clear" w:color="auto" w:fill="FFFFFF"/>
        </w:rPr>
      </w:pPr>
    </w:p>
    <w:p>
      <w:pPr>
        <w:snapToGrid w:val="0"/>
        <w:spacing w:line="360" w:lineRule="auto"/>
        <w:ind w:firstLine="200"/>
        <w:rPr>
          <w:rFonts w:ascii="Times New Roman" w:hAnsi="Times New Roman"/>
          <w:color w:val="000000"/>
          <w:szCs w:val="21"/>
          <w:highlight w:val="none"/>
          <w:shd w:val="clear" w:color="auto" w:fill="FFFFFF"/>
        </w:rPr>
      </w:pPr>
      <w:r>
        <w:rPr>
          <w:rFonts w:hint="eastAsia" w:ascii="Times New Roman" w:hAnsi="Times New Roman"/>
          <w:color w:val="000000"/>
          <w:szCs w:val="21"/>
          <w:highlight w:val="none"/>
          <w:shd w:val="clear" w:color="auto" w:fill="FFFFFF"/>
        </w:rPr>
        <w:t>本公司（公司名称）参加</w:t>
      </w:r>
      <w:r>
        <w:rPr>
          <w:rFonts w:ascii="Times New Roman" w:hAnsi="Times New Roman" w:cs="宋体"/>
          <w:color w:val="000000"/>
          <w:szCs w:val="21"/>
          <w:highlight w:val="none"/>
          <w:u w:val="single"/>
        </w:rPr>
        <w:t xml:space="preserve">                                </w:t>
      </w:r>
      <w:r>
        <w:rPr>
          <w:rFonts w:hint="eastAsia" w:ascii="Times New Roman" w:hAnsi="Times New Roman" w:cs="宋体"/>
          <w:color w:val="000000"/>
          <w:szCs w:val="21"/>
          <w:highlight w:val="none"/>
        </w:rPr>
        <w:t>项目</w:t>
      </w:r>
      <w:r>
        <w:rPr>
          <w:rFonts w:hint="eastAsia" w:ascii="Times New Roman" w:hAnsi="Times New Roman"/>
          <w:color w:val="000000"/>
          <w:szCs w:val="21"/>
          <w:highlight w:val="none"/>
          <w:shd w:val="clear" w:color="auto" w:fill="FFFFFF"/>
        </w:rPr>
        <w:t>投标活动，现承诺如下：</w:t>
      </w:r>
    </w:p>
    <w:p>
      <w:pPr>
        <w:snapToGrid w:val="0"/>
        <w:spacing w:line="360" w:lineRule="auto"/>
        <w:rPr>
          <w:rFonts w:ascii="Times New Roman" w:hAnsi="Times New Roman"/>
          <w:color w:val="000000"/>
          <w:szCs w:val="21"/>
          <w:highlight w:val="none"/>
          <w:shd w:val="clear" w:color="auto" w:fill="FFFFFF"/>
        </w:rPr>
      </w:pPr>
    </w:p>
    <w:p>
      <w:pPr>
        <w:snapToGrid w:val="0"/>
        <w:spacing w:line="360" w:lineRule="auto"/>
        <w:rPr>
          <w:rFonts w:ascii="Times New Roman" w:hAnsi="Times New Roman"/>
          <w:color w:val="000000"/>
          <w:szCs w:val="21"/>
          <w:highlight w:val="none"/>
          <w:u w:val="single"/>
        </w:rPr>
      </w:pPr>
      <w:r>
        <w:rPr>
          <w:rFonts w:hint="eastAsia" w:ascii="Times New Roman" w:hAnsi="Times New Roman"/>
          <w:color w:val="000000"/>
          <w:szCs w:val="21"/>
          <w:highlight w:val="none"/>
          <w:shd w:val="clear" w:color="auto" w:fill="FFFFFF"/>
        </w:rPr>
        <w:t>我公司具有履行合同所需的设备和专业技术能力；</w:t>
      </w:r>
      <w:r>
        <w:rPr>
          <w:rFonts w:ascii="Times New Roman" w:hAnsi="Times New Roman"/>
          <w:color w:val="000000"/>
          <w:szCs w:val="21"/>
          <w:highlight w:val="none"/>
        </w:rPr>
        <w:br w:type="textWrapping"/>
      </w:r>
      <w:r>
        <w:rPr>
          <w:rFonts w:ascii="Times New Roman" w:hAnsi="Times New Roman"/>
          <w:color w:val="000000"/>
          <w:szCs w:val="21"/>
          <w:highlight w:val="none"/>
        </w:rPr>
        <w:br w:type="textWrapping"/>
      </w:r>
      <w:r>
        <w:rPr>
          <w:rFonts w:ascii="Times New Roman" w:hAnsi="Times New Roman"/>
          <w:color w:val="000000"/>
          <w:szCs w:val="21"/>
          <w:highlight w:val="none"/>
        </w:rPr>
        <w:br w:type="textWrapping"/>
      </w:r>
      <w:r>
        <w:rPr>
          <w:rFonts w:hint="eastAsia" w:ascii="Times New Roman" w:hAnsi="Times New Roman"/>
          <w:color w:val="000000"/>
          <w:szCs w:val="21"/>
          <w:highlight w:val="none"/>
          <w:shd w:val="clear" w:color="auto" w:fill="FFFFFF"/>
        </w:rPr>
        <w:t>如违反以上承诺，本公司愿承担一切法律责任。</w:t>
      </w:r>
      <w:r>
        <w:rPr>
          <w:rFonts w:ascii="Times New Roman" w:hAnsi="Times New Roman"/>
          <w:color w:val="000000"/>
          <w:szCs w:val="21"/>
          <w:highlight w:val="none"/>
        </w:rPr>
        <w:br w:type="textWrapping"/>
      </w:r>
      <w:r>
        <w:rPr>
          <w:rFonts w:ascii="Times New Roman" w:hAnsi="Times New Roman"/>
          <w:color w:val="000000"/>
          <w:szCs w:val="21"/>
          <w:highlight w:val="none"/>
        </w:rPr>
        <w:br w:type="textWrapping"/>
      </w:r>
      <w:r>
        <w:rPr>
          <w:rFonts w:hint="eastAsia" w:ascii="Times New Roman" w:hAnsi="Times New Roman"/>
          <w:color w:val="000000"/>
          <w:szCs w:val="21"/>
          <w:highlight w:val="none"/>
        </w:rPr>
        <w:t>法定代表人或被授权人签字（或盖章）：</w:t>
      </w:r>
      <w:r>
        <w:rPr>
          <w:rFonts w:ascii="Times New Roman" w:hAnsi="Times New Roman"/>
          <w:color w:val="000000"/>
          <w:szCs w:val="21"/>
          <w:highlight w:val="none"/>
          <w:u w:val="single"/>
        </w:rPr>
        <w:t xml:space="preserve">             </w:t>
      </w:r>
    </w:p>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投标人公章：</w:t>
      </w:r>
      <w:r>
        <w:rPr>
          <w:rFonts w:ascii="Times New Roman" w:hAnsi="Times New Roman"/>
          <w:color w:val="000000"/>
          <w:szCs w:val="21"/>
          <w:highlight w:val="none"/>
          <w:u w:val="single"/>
        </w:rPr>
        <w:t xml:space="preserve">               </w:t>
      </w:r>
      <w:r>
        <w:rPr>
          <w:rFonts w:ascii="Times New Roman" w:hAnsi="Times New Roman"/>
          <w:color w:val="000000"/>
          <w:szCs w:val="21"/>
          <w:highlight w:val="none"/>
        </w:rPr>
        <w:t xml:space="preserve">                      </w:t>
      </w:r>
    </w:p>
    <w:p>
      <w:pPr>
        <w:snapToGrid w:val="0"/>
        <w:spacing w:line="360" w:lineRule="auto"/>
        <w:ind w:firstLine="840" w:firstLineChars="400"/>
        <w:rPr>
          <w:rFonts w:ascii="Times New Roman" w:hAnsi="Times New Roman"/>
          <w:color w:val="000000"/>
          <w:szCs w:val="21"/>
          <w:highlight w:val="none"/>
        </w:rPr>
      </w:pP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p>
    <w:p>
      <w:pPr>
        <w:snapToGrid w:val="0"/>
        <w:spacing w:line="360" w:lineRule="auto"/>
        <w:rPr>
          <w:rFonts w:ascii="Times New Roman" w:hAnsi="Times New Roman"/>
          <w:color w:val="000000"/>
          <w:szCs w:val="21"/>
          <w:highlight w:val="none"/>
        </w:rPr>
      </w:pPr>
    </w:p>
    <w:p>
      <w:pPr>
        <w:pStyle w:val="28"/>
        <w:snapToGrid w:val="0"/>
        <w:spacing w:before="120" w:line="360" w:lineRule="auto"/>
        <w:rPr>
          <w:rFonts w:ascii="Times New Roman" w:hAnsi="Times New Roman"/>
          <w:b/>
          <w:sz w:val="21"/>
          <w:szCs w:val="21"/>
          <w:highlight w:val="none"/>
        </w:rPr>
      </w:pPr>
      <w:r>
        <w:rPr>
          <w:rFonts w:ascii="Times New Roman" w:hAnsi="Times New Roman"/>
          <w:b/>
          <w:color w:val="000000"/>
          <w:kern w:val="0"/>
          <w:szCs w:val="21"/>
          <w:highlight w:val="none"/>
        </w:rPr>
        <w:br w:type="page"/>
      </w:r>
      <w:r>
        <w:rPr>
          <w:rFonts w:hint="eastAsia" w:ascii="Calibri" w:hAnsi="Calibri" w:eastAsia="宋体" w:cs="微软雅黑"/>
          <w:b/>
          <w:bCs/>
          <w:kern w:val="0"/>
          <w:sz w:val="21"/>
          <w:szCs w:val="21"/>
          <w:highlight w:val="none"/>
          <w:lang w:val="en-US" w:eastAsia="zh-CN" w:bidi="ar-SA"/>
        </w:rPr>
        <w:t>7、提供中小企业声明函等证明材料（除监狱企业的证明文件格式自拟外）</w:t>
      </w:r>
    </w:p>
    <w:p>
      <w:pPr>
        <w:pStyle w:val="28"/>
        <w:snapToGrid w:val="0"/>
        <w:spacing w:before="120" w:line="360" w:lineRule="auto"/>
        <w:jc w:val="center"/>
        <w:rPr>
          <w:rFonts w:ascii="Times New Roman" w:hAnsi="Times New Roman"/>
          <w:b/>
          <w:color w:val="000000"/>
          <w:sz w:val="21"/>
          <w:szCs w:val="21"/>
          <w:highlight w:val="none"/>
        </w:rPr>
      </w:pPr>
      <w:r>
        <w:rPr>
          <w:rFonts w:hint="eastAsia" w:ascii="Times New Roman" w:hAnsi="Times New Roman"/>
          <w:b/>
          <w:color w:val="000000"/>
          <w:sz w:val="21"/>
          <w:szCs w:val="21"/>
          <w:highlight w:val="none"/>
        </w:rPr>
        <w:t>中小企业声明函（服务）</w:t>
      </w:r>
    </w:p>
    <w:p>
      <w:pPr>
        <w:snapToGrid w:val="0"/>
        <w:spacing w:line="440" w:lineRule="exact"/>
        <w:ind w:firstLine="420" w:firstLineChars="200"/>
        <w:jc w:val="left"/>
        <w:rPr>
          <w:color w:val="000000"/>
          <w:szCs w:val="21"/>
          <w:highlight w:val="none"/>
        </w:rPr>
      </w:pPr>
      <w:r>
        <w:rPr>
          <w:rFonts w:hint="eastAsia"/>
          <w:color w:val="000000"/>
          <w:szCs w:val="21"/>
          <w:highlight w:val="none"/>
        </w:rPr>
        <w:t>本公司（联合体）郑重声明，根据《政府采购促进中小企业发展管理办法》（财库﹝</w:t>
      </w:r>
      <w:r>
        <w:rPr>
          <w:color w:val="000000"/>
          <w:szCs w:val="21"/>
          <w:highlight w:val="none"/>
        </w:rPr>
        <w:t>2020</w:t>
      </w:r>
      <w:r>
        <w:rPr>
          <w:rFonts w:hint="eastAsia"/>
          <w:color w:val="000000"/>
          <w:szCs w:val="21"/>
          <w:highlight w:val="none"/>
        </w:rPr>
        <w:t>﹞</w:t>
      </w:r>
      <w:r>
        <w:rPr>
          <w:color w:val="000000"/>
          <w:szCs w:val="21"/>
          <w:highlight w:val="none"/>
        </w:rPr>
        <w:t xml:space="preserve">46 </w:t>
      </w:r>
      <w:r>
        <w:rPr>
          <w:rFonts w:hint="eastAsia"/>
          <w:color w:val="000000"/>
          <w:szCs w:val="21"/>
          <w:highlight w:val="none"/>
        </w:rPr>
        <w:t>号）的规定，本公司（联合体）参加</w:t>
      </w:r>
      <w:r>
        <w:rPr>
          <w:rFonts w:hint="eastAsia"/>
          <w:color w:val="000000"/>
          <w:szCs w:val="21"/>
          <w:highlight w:val="none"/>
          <w:u w:val="single"/>
        </w:rPr>
        <w:t>（单位名称）</w:t>
      </w:r>
      <w:r>
        <w:rPr>
          <w:rFonts w:hint="eastAsia"/>
          <w:color w:val="000000"/>
          <w:szCs w:val="21"/>
          <w:highlight w:val="none"/>
        </w:rPr>
        <w:t>的</w:t>
      </w:r>
      <w:r>
        <w:rPr>
          <w:rFonts w:hint="eastAsia"/>
          <w:color w:val="000000"/>
          <w:szCs w:val="21"/>
          <w:highlight w:val="none"/>
          <w:u w:val="single"/>
        </w:rPr>
        <w:t>（项目名称）</w:t>
      </w:r>
      <w:r>
        <w:rPr>
          <w:rFonts w:hint="eastAsia"/>
          <w:color w:val="000000"/>
          <w:szCs w:val="21"/>
          <w:highlight w:val="none"/>
        </w:rPr>
        <w:t>采购活动，服务全部由符合政策要求的中小企业承接。相关企业（含联合体中的中小企业、签订分包意向协议的中小企业）的具体情况如下：</w:t>
      </w:r>
      <w:r>
        <w:rPr>
          <w:color w:val="000000"/>
          <w:szCs w:val="21"/>
          <w:highlight w:val="none"/>
        </w:rPr>
        <w:t xml:space="preserve"> </w:t>
      </w:r>
    </w:p>
    <w:p>
      <w:pPr>
        <w:snapToGrid w:val="0"/>
        <w:spacing w:line="440" w:lineRule="exact"/>
        <w:ind w:firstLine="420" w:firstLineChars="200"/>
        <w:jc w:val="left"/>
        <w:rPr>
          <w:color w:val="000000"/>
          <w:szCs w:val="21"/>
          <w:highlight w:val="none"/>
        </w:rPr>
      </w:pPr>
      <w:r>
        <w:rPr>
          <w:color w:val="000000"/>
          <w:szCs w:val="21"/>
          <w:highlight w:val="none"/>
        </w:rPr>
        <w:t xml:space="preserve">1. </w:t>
      </w:r>
      <w:r>
        <w:rPr>
          <w:rFonts w:hint="eastAsia"/>
          <w:color w:val="000000"/>
          <w:szCs w:val="21"/>
          <w:highlight w:val="none"/>
          <w:u w:val="single"/>
        </w:rPr>
        <w:t>（标的名称）</w:t>
      </w:r>
      <w:r>
        <w:rPr>
          <w:color w:val="000000"/>
          <w:szCs w:val="21"/>
          <w:highlight w:val="none"/>
        </w:rPr>
        <w:t xml:space="preserve"> </w:t>
      </w:r>
      <w:r>
        <w:rPr>
          <w:rFonts w:hint="eastAsia"/>
          <w:color w:val="000000"/>
          <w:szCs w:val="21"/>
          <w:highlight w:val="none"/>
        </w:rPr>
        <w:t>，属于</w:t>
      </w:r>
      <w:r>
        <w:rPr>
          <w:rFonts w:hint="eastAsia"/>
          <w:color w:val="000000"/>
          <w:szCs w:val="21"/>
          <w:highlight w:val="none"/>
          <w:u w:val="single"/>
        </w:rPr>
        <w:t>（采购文件中明确的所属行业）</w:t>
      </w:r>
      <w:r>
        <w:rPr>
          <w:color w:val="000000"/>
          <w:szCs w:val="21"/>
          <w:highlight w:val="none"/>
          <w:u w:val="single"/>
        </w:rPr>
        <w:t xml:space="preserve"> </w:t>
      </w:r>
      <w:r>
        <w:rPr>
          <w:rFonts w:hint="eastAsia"/>
          <w:color w:val="000000"/>
          <w:szCs w:val="21"/>
          <w:highlight w:val="none"/>
          <w:u w:val="single"/>
        </w:rPr>
        <w:t>行业</w:t>
      </w:r>
      <w:r>
        <w:rPr>
          <w:rFonts w:hint="eastAsia"/>
          <w:color w:val="000000"/>
          <w:szCs w:val="21"/>
          <w:highlight w:val="none"/>
        </w:rPr>
        <w:t>；承接企业为</w:t>
      </w:r>
      <w:r>
        <w:rPr>
          <w:rFonts w:hint="eastAsia"/>
          <w:color w:val="000000"/>
          <w:szCs w:val="21"/>
          <w:highlight w:val="none"/>
          <w:u w:val="single"/>
        </w:rPr>
        <w:t>（企业名称）</w:t>
      </w:r>
      <w:r>
        <w:rPr>
          <w:rFonts w:hint="eastAsia"/>
          <w:color w:val="000000"/>
          <w:szCs w:val="21"/>
          <w:highlight w:val="none"/>
        </w:rPr>
        <w:t>，从业人员</w:t>
      </w:r>
      <w:r>
        <w:rPr>
          <w:color w:val="000000"/>
          <w:szCs w:val="21"/>
          <w:highlight w:val="none"/>
          <w:u w:val="single"/>
        </w:rPr>
        <w:t xml:space="preserve">   </w:t>
      </w:r>
      <w:r>
        <w:rPr>
          <w:rFonts w:hint="eastAsia"/>
          <w:color w:val="000000"/>
          <w:szCs w:val="21"/>
          <w:highlight w:val="none"/>
        </w:rPr>
        <w:t>人，营业收入为</w:t>
      </w:r>
      <w:r>
        <w:rPr>
          <w:color w:val="000000"/>
          <w:szCs w:val="21"/>
          <w:highlight w:val="none"/>
          <w:u w:val="single"/>
        </w:rPr>
        <w:t xml:space="preserve">   </w:t>
      </w:r>
      <w:r>
        <w:rPr>
          <w:rFonts w:hint="eastAsia"/>
          <w:color w:val="000000"/>
          <w:szCs w:val="21"/>
          <w:highlight w:val="none"/>
        </w:rPr>
        <w:t>万元，资产总额为</w:t>
      </w:r>
      <w:r>
        <w:rPr>
          <w:color w:val="000000"/>
          <w:szCs w:val="21"/>
          <w:highlight w:val="none"/>
          <w:u w:val="single"/>
        </w:rPr>
        <w:t xml:space="preserve">   </w:t>
      </w:r>
      <w:r>
        <w:rPr>
          <w:rFonts w:hint="eastAsia"/>
          <w:color w:val="000000"/>
          <w:szCs w:val="21"/>
          <w:highlight w:val="none"/>
        </w:rPr>
        <w:t>万元，属于</w:t>
      </w:r>
      <w:r>
        <w:rPr>
          <w:rFonts w:hint="eastAsia"/>
          <w:color w:val="000000"/>
          <w:szCs w:val="21"/>
          <w:highlight w:val="none"/>
          <w:u w:val="single"/>
        </w:rPr>
        <w:t>（中型企业、小</w:t>
      </w:r>
      <w:r>
        <w:rPr>
          <w:color w:val="000000"/>
          <w:szCs w:val="21"/>
          <w:highlight w:val="none"/>
          <w:u w:val="single"/>
        </w:rPr>
        <w:t xml:space="preserve"> </w:t>
      </w:r>
      <w:r>
        <w:rPr>
          <w:rFonts w:hint="eastAsia"/>
          <w:color w:val="000000"/>
          <w:szCs w:val="21"/>
          <w:highlight w:val="none"/>
          <w:u w:val="single"/>
        </w:rPr>
        <w:t>型企业、微型企业）</w:t>
      </w:r>
      <w:r>
        <w:rPr>
          <w:rFonts w:hint="eastAsia"/>
          <w:color w:val="000000"/>
          <w:szCs w:val="21"/>
          <w:highlight w:val="none"/>
        </w:rPr>
        <w:t>；</w:t>
      </w:r>
      <w:r>
        <w:rPr>
          <w:color w:val="000000"/>
          <w:szCs w:val="21"/>
          <w:highlight w:val="none"/>
        </w:rPr>
        <w:t xml:space="preserve"> </w:t>
      </w:r>
    </w:p>
    <w:p>
      <w:pPr>
        <w:snapToGrid w:val="0"/>
        <w:spacing w:line="440" w:lineRule="exact"/>
        <w:ind w:firstLine="420" w:firstLineChars="200"/>
        <w:jc w:val="left"/>
        <w:rPr>
          <w:color w:val="000000"/>
          <w:szCs w:val="21"/>
          <w:highlight w:val="none"/>
        </w:rPr>
      </w:pPr>
      <w:r>
        <w:rPr>
          <w:color w:val="000000"/>
          <w:szCs w:val="21"/>
          <w:highlight w:val="none"/>
        </w:rPr>
        <w:t xml:space="preserve">2. </w:t>
      </w:r>
      <w:r>
        <w:rPr>
          <w:rFonts w:hint="eastAsia"/>
          <w:color w:val="000000"/>
          <w:szCs w:val="21"/>
          <w:highlight w:val="none"/>
          <w:u w:val="single"/>
        </w:rPr>
        <w:t>（标的名称）</w:t>
      </w:r>
      <w:r>
        <w:rPr>
          <w:color w:val="000000"/>
          <w:szCs w:val="21"/>
          <w:highlight w:val="none"/>
        </w:rPr>
        <w:t xml:space="preserve"> </w:t>
      </w:r>
      <w:r>
        <w:rPr>
          <w:rFonts w:hint="eastAsia"/>
          <w:color w:val="000000"/>
          <w:szCs w:val="21"/>
          <w:highlight w:val="none"/>
        </w:rPr>
        <w:t>，属于（</w:t>
      </w:r>
      <w:r>
        <w:rPr>
          <w:rFonts w:hint="eastAsia"/>
          <w:color w:val="000000"/>
          <w:szCs w:val="21"/>
          <w:highlight w:val="none"/>
          <w:u w:val="single"/>
        </w:rPr>
        <w:t>采购文件中明确的所属行业）</w:t>
      </w:r>
      <w:r>
        <w:rPr>
          <w:color w:val="000000"/>
          <w:szCs w:val="21"/>
          <w:highlight w:val="none"/>
          <w:u w:val="single"/>
        </w:rPr>
        <w:t xml:space="preserve"> </w:t>
      </w:r>
      <w:r>
        <w:rPr>
          <w:rFonts w:hint="eastAsia"/>
          <w:color w:val="000000"/>
          <w:szCs w:val="21"/>
          <w:highlight w:val="none"/>
        </w:rPr>
        <w:t>行业；承接企业为</w:t>
      </w:r>
      <w:r>
        <w:rPr>
          <w:rFonts w:hint="eastAsia"/>
          <w:color w:val="000000"/>
          <w:szCs w:val="21"/>
          <w:highlight w:val="none"/>
          <w:u w:val="single"/>
        </w:rPr>
        <w:t>（企业名称）</w:t>
      </w:r>
      <w:r>
        <w:rPr>
          <w:rFonts w:hint="eastAsia"/>
          <w:color w:val="000000"/>
          <w:szCs w:val="21"/>
          <w:highlight w:val="none"/>
        </w:rPr>
        <w:t>，从业人员</w:t>
      </w:r>
      <w:r>
        <w:rPr>
          <w:color w:val="000000"/>
          <w:szCs w:val="21"/>
          <w:highlight w:val="none"/>
          <w:u w:val="single"/>
        </w:rPr>
        <w:t xml:space="preserve">   </w:t>
      </w:r>
      <w:r>
        <w:rPr>
          <w:rFonts w:hint="eastAsia"/>
          <w:color w:val="000000"/>
          <w:szCs w:val="21"/>
          <w:highlight w:val="none"/>
        </w:rPr>
        <w:t>人，营业收入为</w:t>
      </w:r>
      <w:r>
        <w:rPr>
          <w:color w:val="000000"/>
          <w:szCs w:val="21"/>
          <w:highlight w:val="none"/>
          <w:u w:val="single"/>
        </w:rPr>
        <w:t xml:space="preserve">   </w:t>
      </w:r>
      <w:r>
        <w:rPr>
          <w:rFonts w:hint="eastAsia"/>
          <w:color w:val="000000"/>
          <w:szCs w:val="21"/>
          <w:highlight w:val="none"/>
        </w:rPr>
        <w:t>万元，资产总额为</w:t>
      </w:r>
      <w:r>
        <w:rPr>
          <w:color w:val="000000"/>
          <w:szCs w:val="21"/>
          <w:highlight w:val="none"/>
          <w:u w:val="single"/>
        </w:rPr>
        <w:t xml:space="preserve">   </w:t>
      </w:r>
      <w:r>
        <w:rPr>
          <w:rFonts w:hint="eastAsia"/>
          <w:color w:val="000000"/>
          <w:szCs w:val="21"/>
          <w:highlight w:val="none"/>
        </w:rPr>
        <w:t>万元，属于</w:t>
      </w:r>
      <w:r>
        <w:rPr>
          <w:rFonts w:hint="eastAsia"/>
          <w:color w:val="000000"/>
          <w:szCs w:val="21"/>
          <w:highlight w:val="none"/>
          <w:u w:val="single"/>
        </w:rPr>
        <w:t>（中型企业、小型企业、微型企业）</w:t>
      </w:r>
      <w:r>
        <w:rPr>
          <w:rFonts w:hint="eastAsia"/>
          <w:color w:val="000000"/>
          <w:szCs w:val="21"/>
          <w:highlight w:val="none"/>
        </w:rPr>
        <w:t>；</w:t>
      </w:r>
    </w:p>
    <w:p>
      <w:pPr>
        <w:snapToGrid w:val="0"/>
        <w:spacing w:line="440" w:lineRule="exact"/>
        <w:ind w:firstLine="420" w:firstLineChars="200"/>
        <w:jc w:val="left"/>
        <w:rPr>
          <w:color w:val="000000"/>
          <w:szCs w:val="21"/>
          <w:highlight w:val="none"/>
        </w:rPr>
      </w:pPr>
      <w:r>
        <w:rPr>
          <w:color w:val="000000"/>
          <w:szCs w:val="21"/>
          <w:highlight w:val="none"/>
        </w:rPr>
        <w:t xml:space="preserve"> </w:t>
      </w:r>
      <w:r>
        <w:rPr>
          <w:rFonts w:hint="eastAsia"/>
          <w:color w:val="000000"/>
          <w:szCs w:val="21"/>
          <w:highlight w:val="none"/>
        </w:rPr>
        <w:t>……</w:t>
      </w:r>
    </w:p>
    <w:p>
      <w:pPr>
        <w:snapToGrid w:val="0"/>
        <w:spacing w:line="440" w:lineRule="exact"/>
        <w:ind w:firstLine="420" w:firstLineChars="200"/>
        <w:jc w:val="left"/>
        <w:rPr>
          <w:color w:val="000000"/>
          <w:szCs w:val="21"/>
          <w:highlight w:val="none"/>
        </w:rPr>
      </w:pPr>
      <w:r>
        <w:rPr>
          <w:rFonts w:hint="eastAsia"/>
          <w:color w:val="000000"/>
          <w:szCs w:val="21"/>
          <w:highlight w:val="none"/>
        </w:rPr>
        <w:t>以上企业，不属于大企业的分支机构，不存在控股股东为大企业的情形，也不存在与大企业的负责人为同一人的情形。</w:t>
      </w:r>
      <w:r>
        <w:rPr>
          <w:color w:val="000000"/>
          <w:szCs w:val="21"/>
          <w:highlight w:val="none"/>
        </w:rPr>
        <w:t xml:space="preserve"> </w:t>
      </w:r>
    </w:p>
    <w:p>
      <w:pPr>
        <w:snapToGrid w:val="0"/>
        <w:spacing w:line="440" w:lineRule="exact"/>
        <w:ind w:firstLine="420" w:firstLineChars="200"/>
        <w:jc w:val="left"/>
        <w:rPr>
          <w:rFonts w:ascii="宋体"/>
          <w:color w:val="000000"/>
          <w:szCs w:val="21"/>
          <w:highlight w:val="none"/>
        </w:rPr>
      </w:pPr>
      <w:r>
        <w:rPr>
          <w:rFonts w:hint="eastAsia"/>
          <w:color w:val="000000"/>
          <w:szCs w:val="21"/>
          <w:highlight w:val="none"/>
        </w:rPr>
        <w:t>本企业对上述声明内容的真实性负责。如有虚假，将依法承担相应责任。</w:t>
      </w:r>
      <w:r>
        <w:rPr>
          <w:rFonts w:hint="eastAsia" w:ascii="宋体" w:hAnsi="宋体"/>
          <w:color w:val="000000"/>
          <w:szCs w:val="21"/>
          <w:highlight w:val="none"/>
        </w:rPr>
        <w:t xml:space="preserve"> </w:t>
      </w:r>
    </w:p>
    <w:p>
      <w:pPr>
        <w:snapToGrid w:val="0"/>
        <w:spacing w:line="440" w:lineRule="exact"/>
        <w:ind w:firstLine="5040" w:firstLineChars="2400"/>
        <w:rPr>
          <w:rFonts w:ascii="宋体"/>
          <w:color w:val="000000"/>
          <w:szCs w:val="21"/>
          <w:highlight w:val="none"/>
        </w:rPr>
      </w:pPr>
      <w:r>
        <w:rPr>
          <w:rFonts w:hint="eastAsia" w:ascii="宋体" w:hAnsi="宋体"/>
          <w:color w:val="000000"/>
          <w:szCs w:val="21"/>
          <w:highlight w:val="none"/>
        </w:rPr>
        <w:t xml:space="preserve">投标人（盖章）： </w:t>
      </w:r>
    </w:p>
    <w:p>
      <w:pPr>
        <w:snapToGrid w:val="0"/>
        <w:spacing w:line="440" w:lineRule="exact"/>
        <w:rPr>
          <w:rFonts w:ascii="宋体"/>
          <w:color w:val="000000"/>
          <w:szCs w:val="21"/>
          <w:highlight w:val="none"/>
        </w:rPr>
      </w:pPr>
      <w:r>
        <w:rPr>
          <w:rFonts w:hint="eastAsia" w:ascii="宋体" w:hAnsi="宋体"/>
          <w:color w:val="000000"/>
          <w:szCs w:val="21"/>
          <w:highlight w:val="none"/>
        </w:rPr>
        <w:t xml:space="preserve">                                                      日  期：</w:t>
      </w:r>
    </w:p>
    <w:p>
      <w:pPr>
        <w:pStyle w:val="28"/>
        <w:spacing w:before="120" w:line="360" w:lineRule="auto"/>
        <w:ind w:firstLine="363"/>
        <w:rPr>
          <w:rFonts w:ascii="Times New Roman" w:hAnsi="Times New Roman"/>
          <w:b/>
          <w:color w:val="000000"/>
          <w:sz w:val="21"/>
          <w:szCs w:val="21"/>
          <w:highlight w:val="none"/>
        </w:rPr>
      </w:pPr>
    </w:p>
    <w:p>
      <w:pPr>
        <w:pStyle w:val="28"/>
        <w:spacing w:before="120" w:line="360" w:lineRule="auto"/>
        <w:ind w:firstLine="363"/>
        <w:rPr>
          <w:rFonts w:ascii="Times New Roman" w:hAnsi="Times New Roman"/>
          <w:color w:val="000000"/>
          <w:sz w:val="21"/>
          <w:szCs w:val="21"/>
          <w:highlight w:val="none"/>
        </w:rPr>
      </w:pPr>
      <w:r>
        <w:rPr>
          <w:rFonts w:hint="eastAsia" w:ascii="Times New Roman" w:hAnsi="Times New Roman"/>
          <w:b/>
          <w:color w:val="000000"/>
          <w:sz w:val="21"/>
          <w:szCs w:val="21"/>
          <w:highlight w:val="none"/>
        </w:rPr>
        <w:t>注：</w:t>
      </w:r>
      <w:r>
        <w:rPr>
          <w:rFonts w:ascii="Times New Roman" w:hAnsi="Times New Roman"/>
          <w:b/>
          <w:color w:val="000000"/>
          <w:sz w:val="21"/>
          <w:szCs w:val="21"/>
          <w:highlight w:val="none"/>
        </w:rPr>
        <w:t>1</w:t>
      </w:r>
      <w:r>
        <w:rPr>
          <w:rFonts w:hint="eastAsia" w:ascii="Times New Roman" w:hAnsi="Times New Roman"/>
          <w:b/>
          <w:color w:val="000000"/>
          <w:sz w:val="21"/>
          <w:szCs w:val="21"/>
          <w:highlight w:val="none"/>
        </w:rPr>
        <w:t>、从业人员、营业收入、资产总额填报上一年度数据，无上一年度数据的新成立企业可不填报。</w:t>
      </w:r>
    </w:p>
    <w:p>
      <w:pPr>
        <w:widowControl/>
        <w:spacing w:line="360" w:lineRule="auto"/>
        <w:ind w:firstLine="422" w:firstLineChars="200"/>
        <w:jc w:val="left"/>
        <w:textAlignment w:val="top"/>
        <w:rPr>
          <w:b/>
          <w:color w:val="000000"/>
          <w:szCs w:val="21"/>
          <w:highlight w:val="none"/>
        </w:rPr>
      </w:pPr>
      <w:r>
        <w:rPr>
          <w:b/>
          <w:color w:val="000000"/>
          <w:szCs w:val="21"/>
          <w:highlight w:val="none"/>
        </w:rPr>
        <w:t>2</w:t>
      </w:r>
      <w:r>
        <w:rPr>
          <w:rFonts w:hint="eastAsia"/>
          <w:b/>
          <w:color w:val="000000"/>
          <w:szCs w:val="21"/>
          <w:highlight w:val="none"/>
        </w:rPr>
        <w:t>、本项目所属行业见前附表。</w:t>
      </w:r>
    </w:p>
    <w:p>
      <w:pPr>
        <w:pStyle w:val="28"/>
        <w:spacing w:before="120" w:line="360" w:lineRule="auto"/>
        <w:ind w:firstLine="363"/>
        <w:rPr>
          <w:rFonts w:ascii="Times New Roman" w:hAnsi="Times New Roman"/>
          <w:b/>
          <w:color w:val="000000"/>
          <w:sz w:val="21"/>
          <w:szCs w:val="21"/>
          <w:highlight w:val="none"/>
        </w:rPr>
      </w:pPr>
      <w:r>
        <w:rPr>
          <w:rFonts w:ascii="Times New Roman" w:hAnsi="Times New Roman"/>
          <w:b/>
          <w:color w:val="000000"/>
          <w:sz w:val="21"/>
          <w:szCs w:val="21"/>
          <w:highlight w:val="none"/>
        </w:rPr>
        <w:t>3</w:t>
      </w:r>
      <w:r>
        <w:rPr>
          <w:rFonts w:hint="eastAsia" w:ascii="Times New Roman" w:hAnsi="Times New Roman"/>
          <w:b/>
          <w:color w:val="000000"/>
          <w:sz w:val="21"/>
          <w:szCs w:val="21"/>
          <w:highlight w:val="none"/>
        </w:rPr>
        <w:t>、中小企业划型标准规定按照工信部联企业</w:t>
      </w:r>
      <w:r>
        <w:rPr>
          <w:rFonts w:ascii="Times New Roman" w:hAnsi="Times New Roman"/>
          <w:b/>
          <w:color w:val="000000"/>
          <w:sz w:val="21"/>
          <w:szCs w:val="21"/>
          <w:highlight w:val="none"/>
        </w:rPr>
        <w:t>[2011]300</w:t>
      </w:r>
      <w:r>
        <w:rPr>
          <w:rFonts w:hint="eastAsia" w:ascii="Times New Roman" w:hAnsi="Times New Roman"/>
          <w:b/>
          <w:color w:val="000000"/>
          <w:sz w:val="21"/>
          <w:szCs w:val="21"/>
          <w:highlight w:val="none"/>
        </w:rPr>
        <w:t>号。</w:t>
      </w:r>
    </w:p>
    <w:p>
      <w:pPr>
        <w:pStyle w:val="28"/>
        <w:spacing w:before="120" w:line="360" w:lineRule="auto"/>
        <w:ind w:firstLine="363"/>
        <w:rPr>
          <w:rFonts w:ascii="Times New Roman" w:hAnsi="Times New Roman"/>
          <w:b/>
          <w:color w:val="000000"/>
          <w:sz w:val="21"/>
          <w:szCs w:val="21"/>
          <w:highlight w:val="none"/>
        </w:rPr>
      </w:pPr>
      <w:r>
        <w:rPr>
          <w:rFonts w:ascii="Times New Roman" w:hAnsi="Times New Roman"/>
          <w:b/>
          <w:color w:val="000000"/>
          <w:sz w:val="21"/>
          <w:szCs w:val="21"/>
          <w:highlight w:val="none"/>
        </w:rPr>
        <w:t>4</w:t>
      </w:r>
      <w:r>
        <w:rPr>
          <w:rFonts w:hint="eastAsia" w:ascii="Times New Roman" w:hAnsi="Times New Roman"/>
          <w:b/>
          <w:color w:val="000000"/>
          <w:sz w:val="21"/>
          <w:szCs w:val="21"/>
          <w:highlight w:val="none"/>
        </w:rPr>
        <w:t>、《中小企业声明函》格式不得擅自调整，格式中划横线的部分需要各供应商按实际情况如实填写，括号中的内容是对拟填写内容的说明。</w:t>
      </w:r>
    </w:p>
    <w:p>
      <w:pPr>
        <w:pStyle w:val="28"/>
        <w:spacing w:before="120" w:line="360" w:lineRule="auto"/>
        <w:ind w:firstLine="363"/>
        <w:rPr>
          <w:rFonts w:ascii="Times New Roman" w:hAnsi="Times New Roman"/>
          <w:b/>
          <w:color w:val="000000"/>
          <w:sz w:val="21"/>
          <w:szCs w:val="21"/>
          <w:highlight w:val="none"/>
        </w:rPr>
      </w:pPr>
      <w:r>
        <w:rPr>
          <w:rFonts w:ascii="Times New Roman" w:hAnsi="Times New Roman"/>
          <w:b/>
          <w:color w:val="000000"/>
          <w:sz w:val="21"/>
          <w:szCs w:val="21"/>
          <w:highlight w:val="none"/>
        </w:rPr>
        <w:t>5</w:t>
      </w:r>
      <w:r>
        <w:rPr>
          <w:rFonts w:hint="eastAsia" w:ascii="Times New Roman" w:hAnsi="Times New Roman"/>
          <w:b/>
          <w:color w:val="000000"/>
          <w:sz w:val="21"/>
          <w:szCs w:val="21"/>
          <w:highlight w:val="none"/>
        </w:rPr>
        <w:t>、中小企业对其声明内容的真实性负责，声明函内容不实的，属于提供虚假材料谋取中标、成交，依照《中华人民共和国政府采购法》等国家有关规定追究相应责任。</w:t>
      </w:r>
    </w:p>
    <w:p>
      <w:pPr>
        <w:widowControl/>
        <w:wordWrap w:val="0"/>
        <w:spacing w:line="23" w:lineRule="atLeast"/>
        <w:jc w:val="left"/>
        <w:textAlignment w:val="top"/>
        <w:rPr>
          <w:szCs w:val="21"/>
          <w:highlight w:val="none"/>
        </w:rPr>
      </w:pPr>
    </w:p>
    <w:p>
      <w:pPr>
        <w:widowControl/>
        <w:spacing w:line="440" w:lineRule="exact"/>
        <w:jc w:val="center"/>
        <w:textAlignment w:val="top"/>
        <w:rPr>
          <w:rFonts w:cs="微软雅黑"/>
          <w:b/>
          <w:bCs/>
          <w:kern w:val="0"/>
          <w:szCs w:val="21"/>
          <w:highlight w:val="none"/>
        </w:rPr>
      </w:pPr>
      <w:r>
        <w:rPr>
          <w:rFonts w:cs="微软雅黑"/>
          <w:b/>
          <w:bCs/>
          <w:kern w:val="0"/>
          <w:szCs w:val="21"/>
          <w:highlight w:val="none"/>
        </w:rPr>
        <w:br w:type="page"/>
      </w:r>
    </w:p>
    <w:p>
      <w:pPr>
        <w:widowControl/>
        <w:spacing w:line="440" w:lineRule="exact"/>
        <w:jc w:val="center"/>
        <w:textAlignment w:val="top"/>
        <w:rPr>
          <w:rFonts w:cs="微软雅黑"/>
          <w:szCs w:val="21"/>
          <w:highlight w:val="none"/>
        </w:rPr>
      </w:pPr>
      <w:r>
        <w:rPr>
          <w:rFonts w:hint="eastAsia" w:cs="微软雅黑"/>
          <w:b/>
          <w:bCs/>
          <w:kern w:val="0"/>
          <w:szCs w:val="21"/>
          <w:highlight w:val="none"/>
        </w:rPr>
        <w:t>残疾人福利性单位声明函</w:t>
      </w:r>
    </w:p>
    <w:p>
      <w:pPr>
        <w:widowControl/>
        <w:spacing w:line="440" w:lineRule="exact"/>
        <w:ind w:firstLine="420" w:firstLineChars="200"/>
        <w:jc w:val="left"/>
        <w:textAlignment w:val="top"/>
        <w:rPr>
          <w:rFonts w:cs="微软雅黑"/>
          <w:kern w:val="0"/>
          <w:szCs w:val="21"/>
          <w:highlight w:val="none"/>
        </w:rPr>
      </w:pPr>
      <w:r>
        <w:rPr>
          <w:rFonts w:hint="eastAsia" w:cs="微软雅黑"/>
          <w:kern w:val="0"/>
          <w:szCs w:val="21"/>
          <w:highlight w:val="none"/>
        </w:rPr>
        <w:t>本单位郑重声明，根据《财政部</w:t>
      </w:r>
      <w:r>
        <w:rPr>
          <w:rFonts w:cs="微软雅黑"/>
          <w:kern w:val="0"/>
          <w:szCs w:val="21"/>
          <w:highlight w:val="none"/>
        </w:rPr>
        <w:t xml:space="preserve"> </w:t>
      </w:r>
      <w:r>
        <w:rPr>
          <w:rFonts w:hint="eastAsia" w:cs="微软雅黑"/>
          <w:kern w:val="0"/>
          <w:szCs w:val="21"/>
          <w:highlight w:val="none"/>
        </w:rPr>
        <w:t>民政部</w:t>
      </w:r>
      <w:r>
        <w:rPr>
          <w:rFonts w:cs="微软雅黑"/>
          <w:kern w:val="0"/>
          <w:szCs w:val="21"/>
          <w:highlight w:val="none"/>
        </w:rPr>
        <w:t xml:space="preserve"> </w:t>
      </w:r>
      <w:r>
        <w:rPr>
          <w:rFonts w:hint="eastAsia" w:cs="微软雅黑"/>
          <w:kern w:val="0"/>
          <w:szCs w:val="21"/>
          <w:highlight w:val="none"/>
        </w:rPr>
        <w:t>中国残疾人联合会关于促进残疾人就业政府采购政策的通知》（财库〔</w:t>
      </w:r>
      <w:r>
        <w:rPr>
          <w:rFonts w:cs="微软雅黑"/>
          <w:kern w:val="0"/>
          <w:szCs w:val="21"/>
          <w:highlight w:val="none"/>
        </w:rPr>
        <w:t>2017</w:t>
      </w:r>
      <w:r>
        <w:rPr>
          <w:rFonts w:hint="eastAsia" w:cs="微软雅黑"/>
          <w:kern w:val="0"/>
          <w:szCs w:val="21"/>
          <w:highlight w:val="none"/>
        </w:rPr>
        <w:t>〕</w:t>
      </w:r>
      <w:r>
        <w:rPr>
          <w:rFonts w:cs="微软雅黑"/>
          <w:kern w:val="0"/>
          <w:szCs w:val="21"/>
          <w:highlight w:val="none"/>
        </w:rPr>
        <w:t xml:space="preserve"> 141</w:t>
      </w:r>
      <w:r>
        <w:rPr>
          <w:rFonts w:hint="eastAsia" w:cs="微软雅黑"/>
          <w:kern w:val="0"/>
          <w:szCs w:val="21"/>
          <w:highlight w:val="none"/>
        </w:rPr>
        <w:t>号）的规定，本单位为符合条件的残疾人福利性单位，且本单位参加</w:t>
      </w:r>
      <w:r>
        <w:rPr>
          <w:rFonts w:cs="微软雅黑"/>
          <w:kern w:val="0"/>
          <w:szCs w:val="21"/>
          <w:highlight w:val="none"/>
        </w:rPr>
        <w:t>______</w:t>
      </w:r>
      <w:r>
        <w:rPr>
          <w:rFonts w:hint="eastAsia" w:cs="微软雅黑"/>
          <w:kern w:val="0"/>
          <w:szCs w:val="21"/>
          <w:highlight w:val="none"/>
        </w:rPr>
        <w:t>单位的</w:t>
      </w:r>
      <w:r>
        <w:rPr>
          <w:rFonts w:cs="微软雅黑"/>
          <w:kern w:val="0"/>
          <w:szCs w:val="21"/>
          <w:highlight w:val="none"/>
        </w:rPr>
        <w:t>______</w:t>
      </w:r>
      <w:r>
        <w:rPr>
          <w:rFonts w:hint="eastAsia" w:cs="微软雅黑"/>
          <w:kern w:val="0"/>
          <w:szCs w:val="21"/>
          <w:highlight w:val="none"/>
        </w:rPr>
        <w:t>项目采购活动提供本单位制造的货物（由本单位承担工程</w:t>
      </w:r>
      <w:r>
        <w:rPr>
          <w:rFonts w:cs="微软雅黑"/>
          <w:kern w:val="0"/>
          <w:szCs w:val="21"/>
          <w:highlight w:val="none"/>
        </w:rPr>
        <w:t>/</w:t>
      </w:r>
      <w:r>
        <w:rPr>
          <w:rFonts w:hint="eastAsia" w:cs="微软雅黑"/>
          <w:kern w:val="0"/>
          <w:szCs w:val="21"/>
          <w:highlight w:val="none"/>
        </w:rPr>
        <w:t>提供服务），或者提供其他残疾人福利性单位制造的货物（不包括使用非残疾人福利性单位注册商标的货物）。</w:t>
      </w:r>
    </w:p>
    <w:p>
      <w:pPr>
        <w:widowControl/>
        <w:spacing w:line="440" w:lineRule="exact"/>
        <w:ind w:firstLine="420" w:firstLineChars="200"/>
        <w:jc w:val="left"/>
        <w:textAlignment w:val="top"/>
        <w:rPr>
          <w:rFonts w:cs="微软雅黑"/>
          <w:kern w:val="0"/>
          <w:szCs w:val="21"/>
          <w:highlight w:val="none"/>
        </w:rPr>
      </w:pPr>
      <w:r>
        <w:rPr>
          <w:rFonts w:hint="eastAsia" w:cs="微软雅黑"/>
          <w:kern w:val="0"/>
          <w:szCs w:val="21"/>
          <w:highlight w:val="none"/>
        </w:rPr>
        <w:t>本单位对上述声明的真实性负责。如有虚假，将依法承担相应责任。</w:t>
      </w:r>
    </w:p>
    <w:p>
      <w:pPr>
        <w:widowControl/>
        <w:spacing w:line="440" w:lineRule="exact"/>
        <w:ind w:firstLine="420" w:firstLineChars="200"/>
        <w:jc w:val="left"/>
        <w:textAlignment w:val="top"/>
        <w:rPr>
          <w:rFonts w:cs="微软雅黑"/>
          <w:szCs w:val="21"/>
          <w:highlight w:val="none"/>
        </w:rPr>
      </w:pPr>
    </w:p>
    <w:p>
      <w:pPr>
        <w:snapToGrid w:val="0"/>
        <w:spacing w:line="440" w:lineRule="exact"/>
        <w:ind w:firstLine="4725" w:firstLineChars="2250"/>
        <w:rPr>
          <w:kern w:val="0"/>
          <w:szCs w:val="21"/>
          <w:highlight w:val="none"/>
        </w:rPr>
      </w:pPr>
      <w:r>
        <w:rPr>
          <w:rFonts w:hint="eastAsia"/>
          <w:kern w:val="0"/>
          <w:szCs w:val="21"/>
          <w:highlight w:val="none"/>
        </w:rPr>
        <w:t>投标人（盖章）</w:t>
      </w:r>
    </w:p>
    <w:p>
      <w:pPr>
        <w:pStyle w:val="28"/>
        <w:snapToGrid w:val="0"/>
        <w:spacing w:before="120" w:line="360" w:lineRule="auto"/>
        <w:rPr>
          <w:kern w:val="0"/>
          <w:szCs w:val="21"/>
          <w:highlight w:val="none"/>
        </w:rPr>
      </w:pPr>
      <w:r>
        <w:rPr>
          <w:rFonts w:hint="eastAsia"/>
          <w:szCs w:val="21"/>
          <w:highlight w:val="none"/>
        </w:rPr>
        <w:t xml:space="preserve">                                      日期：  年   月   日</w:t>
      </w:r>
    </w:p>
    <w:p>
      <w:pPr>
        <w:snapToGrid w:val="0"/>
        <w:spacing w:line="360" w:lineRule="auto"/>
        <w:ind w:firstLine="5040" w:firstLineChars="2400"/>
        <w:jc w:val="both"/>
        <w:rPr>
          <w:b/>
          <w:highlight w:val="none"/>
        </w:rPr>
      </w:pPr>
      <w:r>
        <w:rPr>
          <w:highlight w:val="none"/>
        </w:rPr>
        <w:br w:type="page"/>
      </w:r>
      <w:r>
        <w:rPr>
          <w:rFonts w:hint="eastAsia" w:ascii="Times New Roman" w:hAnsi="Times New Roman" w:cs="Times New Roman"/>
          <w:b/>
          <w:color w:val="000000"/>
          <w:kern w:val="2"/>
          <w:sz w:val="21"/>
          <w:szCs w:val="21"/>
          <w:highlight w:val="none"/>
          <w:lang w:val="en-US" w:eastAsia="zh-CN" w:bidi="ar-SA"/>
        </w:rPr>
        <w:t>8</w:t>
      </w:r>
      <w:r>
        <w:rPr>
          <w:rFonts w:hint="eastAsia" w:ascii="Times New Roman" w:hAnsi="Times New Roman" w:eastAsia="宋体" w:cs="Times New Roman"/>
          <w:b/>
          <w:color w:val="000000"/>
          <w:kern w:val="2"/>
          <w:sz w:val="21"/>
          <w:szCs w:val="21"/>
          <w:highlight w:val="none"/>
          <w:lang w:val="en-US" w:eastAsia="zh-CN" w:bidi="ar-SA"/>
        </w:rPr>
        <w:t>、业绩一览表</w:t>
      </w:r>
    </w:p>
    <w:p>
      <w:pPr>
        <w:pStyle w:val="294"/>
        <w:spacing w:line="360" w:lineRule="auto"/>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rPr>
        <w:t>业绩一览表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61"/>
        <w:gridCol w:w="1320"/>
        <w:gridCol w:w="1099"/>
        <w:gridCol w:w="821"/>
        <w:gridCol w:w="710"/>
        <w:gridCol w:w="1162"/>
        <w:gridCol w:w="1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color w:val="000000"/>
                <w:szCs w:val="21"/>
                <w:highlight w:val="none"/>
              </w:rPr>
            </w:pPr>
            <w:r>
              <w:rPr>
                <w:rFonts w:hint="eastAsia" w:ascii="Times New Roman" w:hAnsi="Times New Roman"/>
                <w:b/>
                <w:color w:val="000000"/>
                <w:szCs w:val="21"/>
                <w:highlight w:val="none"/>
              </w:rPr>
              <w:t>序号</w:t>
            </w:r>
          </w:p>
        </w:tc>
        <w:tc>
          <w:tcPr>
            <w:tcW w:w="11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b/>
                <w:color w:val="000000"/>
                <w:szCs w:val="21"/>
                <w:highlight w:val="none"/>
              </w:rPr>
            </w:pPr>
            <w:r>
              <w:rPr>
                <w:rFonts w:hint="eastAsia" w:ascii="Times New Roman" w:hAnsi="Times New Roman"/>
                <w:b/>
                <w:color w:val="000000"/>
                <w:szCs w:val="21"/>
                <w:highlight w:val="none"/>
              </w:rPr>
              <w:t>采购人</w:t>
            </w:r>
            <w:r>
              <w:rPr>
                <w:rFonts w:ascii="Times New Roman" w:hAnsi="Times New Roman"/>
                <w:b/>
                <w:color w:val="000000"/>
                <w:szCs w:val="21"/>
                <w:highlight w:val="none"/>
              </w:rPr>
              <w:br w:type="textWrapping"/>
            </w:r>
            <w:r>
              <w:rPr>
                <w:rFonts w:hint="eastAsia" w:ascii="Times New Roman" w:hAnsi="Times New Roman"/>
                <w:b/>
                <w:color w:val="000000"/>
                <w:szCs w:val="21"/>
                <w:highlight w:val="none"/>
              </w:rPr>
              <w:t>名</w:t>
            </w:r>
            <w:r>
              <w:rPr>
                <w:rFonts w:ascii="Times New Roman" w:hAnsi="Times New Roman"/>
                <w:b/>
                <w:color w:val="000000"/>
                <w:szCs w:val="21"/>
                <w:highlight w:val="none"/>
              </w:rPr>
              <w:t xml:space="preserve">   </w:t>
            </w:r>
            <w:r>
              <w:rPr>
                <w:rFonts w:hint="eastAsia" w:ascii="Times New Roman" w:hAnsi="Times New Roman"/>
                <w:b/>
                <w:color w:val="000000"/>
                <w:szCs w:val="21"/>
                <w:highlight w:val="none"/>
              </w:rPr>
              <w:t>称</w:t>
            </w:r>
          </w:p>
        </w:tc>
        <w:tc>
          <w:tcPr>
            <w:tcW w:w="1320" w:type="dxa"/>
            <w:tcBorders>
              <w:top w:val="single" w:color="auto" w:sz="4" w:space="0"/>
              <w:left w:val="single" w:color="auto" w:sz="4" w:space="0"/>
              <w:bottom w:val="single" w:color="auto" w:sz="4" w:space="0"/>
              <w:right w:val="single" w:color="auto" w:sz="4" w:space="0"/>
            </w:tcBorders>
            <w:vAlign w:val="center"/>
          </w:tcPr>
          <w:p>
            <w:pPr>
              <w:tabs>
                <w:tab w:val="left" w:pos="6252"/>
              </w:tabs>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项目起止时间</w:t>
            </w:r>
          </w:p>
        </w:tc>
        <w:tc>
          <w:tcPr>
            <w:tcW w:w="1099" w:type="dxa"/>
            <w:tcBorders>
              <w:top w:val="single" w:color="auto" w:sz="4" w:space="0"/>
              <w:left w:val="single" w:color="auto" w:sz="4" w:space="0"/>
              <w:bottom w:val="single" w:color="auto" w:sz="4" w:space="0"/>
              <w:right w:val="single" w:color="auto" w:sz="4" w:space="0"/>
            </w:tcBorders>
            <w:vAlign w:val="center"/>
          </w:tcPr>
          <w:p>
            <w:pPr>
              <w:tabs>
                <w:tab w:val="left" w:pos="6252"/>
              </w:tabs>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项目名称</w:t>
            </w:r>
          </w:p>
        </w:tc>
        <w:tc>
          <w:tcPr>
            <w:tcW w:w="821" w:type="dxa"/>
            <w:tcBorders>
              <w:top w:val="single" w:color="auto" w:sz="4" w:space="0"/>
              <w:left w:val="single" w:color="auto" w:sz="4" w:space="0"/>
              <w:bottom w:val="single" w:color="auto" w:sz="4" w:space="0"/>
              <w:right w:val="single" w:color="auto" w:sz="4" w:space="0"/>
            </w:tcBorders>
            <w:vAlign w:val="center"/>
          </w:tcPr>
          <w:p>
            <w:pPr>
              <w:tabs>
                <w:tab w:val="left" w:pos="6252"/>
              </w:tabs>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采购</w:t>
            </w:r>
            <w:r>
              <w:rPr>
                <w:rFonts w:ascii="Times New Roman" w:hAnsi="Times New Roman"/>
                <w:b/>
                <w:color w:val="000000"/>
                <w:szCs w:val="21"/>
                <w:highlight w:val="none"/>
              </w:rPr>
              <w:br w:type="textWrapping"/>
            </w:r>
            <w:r>
              <w:rPr>
                <w:rFonts w:hint="eastAsia" w:ascii="Times New Roman" w:hAnsi="Times New Roman"/>
                <w:b/>
                <w:color w:val="000000"/>
                <w:szCs w:val="21"/>
                <w:highlight w:val="none"/>
              </w:rPr>
              <w:t>数量</w:t>
            </w:r>
          </w:p>
        </w:tc>
        <w:tc>
          <w:tcPr>
            <w:tcW w:w="710" w:type="dxa"/>
            <w:tcBorders>
              <w:top w:val="single" w:color="auto" w:sz="4" w:space="0"/>
              <w:left w:val="single" w:color="auto" w:sz="4" w:space="0"/>
              <w:bottom w:val="single" w:color="auto" w:sz="4" w:space="0"/>
              <w:right w:val="single" w:color="auto" w:sz="4" w:space="0"/>
            </w:tcBorders>
            <w:vAlign w:val="center"/>
          </w:tcPr>
          <w:p>
            <w:pPr>
              <w:tabs>
                <w:tab w:val="left" w:pos="6252"/>
              </w:tabs>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单价</w:t>
            </w:r>
          </w:p>
        </w:tc>
        <w:tc>
          <w:tcPr>
            <w:tcW w:w="1162" w:type="dxa"/>
            <w:tcBorders>
              <w:top w:val="single" w:color="auto" w:sz="4" w:space="0"/>
              <w:left w:val="single" w:color="auto" w:sz="4" w:space="0"/>
              <w:bottom w:val="single" w:color="auto" w:sz="4" w:space="0"/>
              <w:right w:val="single" w:color="auto" w:sz="4" w:space="0"/>
            </w:tcBorders>
            <w:vAlign w:val="center"/>
          </w:tcPr>
          <w:p>
            <w:pPr>
              <w:tabs>
                <w:tab w:val="left" w:pos="6252"/>
              </w:tabs>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合同金额</w:t>
            </w:r>
          </w:p>
          <w:p>
            <w:pPr>
              <w:tabs>
                <w:tab w:val="left" w:pos="6252"/>
              </w:tabs>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（万元）</w:t>
            </w:r>
          </w:p>
        </w:tc>
        <w:tc>
          <w:tcPr>
            <w:tcW w:w="1619" w:type="dxa"/>
            <w:tcBorders>
              <w:top w:val="single" w:color="auto" w:sz="4" w:space="0"/>
              <w:left w:val="single" w:color="auto" w:sz="4" w:space="0"/>
              <w:bottom w:val="single" w:color="auto" w:sz="4" w:space="0"/>
              <w:right w:val="single" w:color="auto" w:sz="4" w:space="0"/>
            </w:tcBorders>
            <w:vAlign w:val="center"/>
          </w:tcPr>
          <w:p>
            <w:pPr>
              <w:tabs>
                <w:tab w:val="left" w:pos="6252"/>
              </w:tabs>
              <w:spacing w:line="360" w:lineRule="auto"/>
              <w:jc w:val="center"/>
              <w:rPr>
                <w:rFonts w:ascii="Times New Roman" w:hAnsi="Times New Roman"/>
                <w:b/>
                <w:color w:val="000000"/>
                <w:szCs w:val="21"/>
                <w:highlight w:val="none"/>
              </w:rPr>
            </w:pPr>
            <w:r>
              <w:rPr>
                <w:rFonts w:hint="eastAsia" w:ascii="Times New Roman" w:hAnsi="Times New Roman"/>
                <w:b/>
                <w:color w:val="000000"/>
                <w:szCs w:val="21"/>
                <w:highlight w:val="none"/>
              </w:rPr>
              <w:t>采购人联系人及联系电话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r>
              <w:rPr>
                <w:rFonts w:ascii="Times New Roman" w:hAnsi="Times New Roman"/>
                <w:color w:val="000000"/>
                <w:szCs w:val="21"/>
                <w:highlight w:val="none"/>
              </w:rPr>
              <w:t>1</w:t>
            </w:r>
          </w:p>
        </w:tc>
        <w:tc>
          <w:tcPr>
            <w:tcW w:w="11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c>
          <w:tcPr>
            <w:tcW w:w="132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10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71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11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c>
          <w:tcPr>
            <w:tcW w:w="16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r>
              <w:rPr>
                <w:rFonts w:ascii="Times New Roman" w:hAnsi="Times New Roman"/>
                <w:color w:val="000000"/>
                <w:szCs w:val="21"/>
                <w:highlight w:val="none"/>
              </w:rPr>
              <w:t>2</w:t>
            </w:r>
          </w:p>
        </w:tc>
        <w:tc>
          <w:tcPr>
            <w:tcW w:w="11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c>
          <w:tcPr>
            <w:tcW w:w="132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10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71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11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c>
          <w:tcPr>
            <w:tcW w:w="16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r>
              <w:rPr>
                <w:rFonts w:ascii="Times New Roman" w:hAnsi="Times New Roman"/>
                <w:color w:val="000000"/>
                <w:szCs w:val="21"/>
                <w:highlight w:val="none"/>
              </w:rPr>
              <w:t>3</w:t>
            </w:r>
          </w:p>
        </w:tc>
        <w:tc>
          <w:tcPr>
            <w:tcW w:w="11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c>
          <w:tcPr>
            <w:tcW w:w="132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10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71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11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c>
          <w:tcPr>
            <w:tcW w:w="16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63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r>
              <w:rPr>
                <w:rFonts w:hint="eastAsia" w:ascii="Times New Roman" w:hAnsi="Times New Roman"/>
                <w:color w:val="000000"/>
                <w:szCs w:val="21"/>
                <w:highlight w:val="none"/>
              </w:rPr>
              <w:t>……</w:t>
            </w:r>
          </w:p>
        </w:tc>
        <w:tc>
          <w:tcPr>
            <w:tcW w:w="1161"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c>
          <w:tcPr>
            <w:tcW w:w="132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1099"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821"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710"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color w:val="000000"/>
                <w:szCs w:val="21"/>
                <w:highlight w:val="none"/>
              </w:rPr>
            </w:pPr>
          </w:p>
        </w:tc>
        <w:tc>
          <w:tcPr>
            <w:tcW w:w="1162"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c>
          <w:tcPr>
            <w:tcW w:w="1619"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000000"/>
                <w:szCs w:val="21"/>
                <w:highlight w:val="none"/>
              </w:rPr>
            </w:pPr>
          </w:p>
        </w:tc>
      </w:tr>
    </w:tbl>
    <w:p>
      <w:pPr>
        <w:snapToGrid w:val="0"/>
        <w:spacing w:before="120" w:beforeLines="50" w:line="400" w:lineRule="exact"/>
        <w:ind w:firstLine="200"/>
        <w:rPr>
          <w:rFonts w:ascii="Times New Roman" w:hAnsi="Times New Roman"/>
          <w:b/>
          <w:color w:val="000000"/>
          <w:szCs w:val="21"/>
          <w:highlight w:val="none"/>
        </w:rPr>
      </w:pPr>
      <w:r>
        <w:rPr>
          <w:rFonts w:hint="eastAsia" w:ascii="Times New Roman" w:hAnsi="Times New Roman"/>
          <w:b/>
          <w:color w:val="000000"/>
          <w:szCs w:val="21"/>
          <w:highlight w:val="none"/>
        </w:rPr>
        <w:t>注：</w:t>
      </w:r>
      <w:bookmarkStart w:id="267" w:name="_Hlk27161104"/>
      <w:r>
        <w:rPr>
          <w:rFonts w:hint="eastAsia" w:ascii="Times New Roman" w:hAnsi="Times New Roman"/>
          <w:b/>
          <w:color w:val="000000"/>
          <w:szCs w:val="21"/>
          <w:highlight w:val="none"/>
        </w:rPr>
        <w:t>按评分标准附证明材料</w:t>
      </w:r>
      <w:r>
        <w:rPr>
          <w:rFonts w:hint="eastAsia" w:ascii="Times New Roman" w:hAnsi="Times New Roman"/>
          <w:b/>
          <w:color w:val="000000"/>
          <w:szCs w:val="21"/>
          <w:highlight w:val="none"/>
          <w:lang w:eastAsia="zh-CN"/>
        </w:rPr>
        <w:t>，</w:t>
      </w:r>
      <w:r>
        <w:rPr>
          <w:rFonts w:hint="eastAsia"/>
          <w:b/>
          <w:color w:val="000000"/>
          <w:szCs w:val="21"/>
          <w:highlight w:val="none"/>
        </w:rPr>
        <w:t>如无则填写无。</w:t>
      </w:r>
      <w:bookmarkEnd w:id="267"/>
    </w:p>
    <w:p>
      <w:pPr>
        <w:snapToGrid w:val="0"/>
        <w:spacing w:before="120" w:beforeLines="50" w:line="400" w:lineRule="exact"/>
        <w:ind w:firstLine="200"/>
        <w:rPr>
          <w:rFonts w:ascii="Times New Roman" w:hAnsi="Times New Roman"/>
          <w:color w:val="000000"/>
          <w:szCs w:val="21"/>
          <w:highlight w:val="none"/>
          <w:u w:val="single"/>
        </w:rPr>
      </w:pPr>
      <w:r>
        <w:rPr>
          <w:rFonts w:hint="eastAsia" w:ascii="Times New Roman" w:hAnsi="Times New Roman"/>
          <w:color w:val="000000"/>
          <w:szCs w:val="21"/>
          <w:highlight w:val="none"/>
        </w:rPr>
        <w:t>法定代表人或被授权人签字（或盖章）</w:t>
      </w:r>
      <w:r>
        <w:rPr>
          <w:rFonts w:hint="eastAsia" w:ascii="Times New Roman" w:hAnsi="Times New Roman"/>
          <w:color w:val="000000"/>
          <w:spacing w:val="20"/>
          <w:szCs w:val="21"/>
          <w:highlight w:val="none"/>
        </w:rPr>
        <w:t>：</w:t>
      </w:r>
      <w:r>
        <w:rPr>
          <w:rFonts w:ascii="Times New Roman" w:hAnsi="Times New Roman"/>
          <w:color w:val="000000"/>
          <w:spacing w:val="20"/>
          <w:szCs w:val="21"/>
          <w:highlight w:val="none"/>
          <w:u w:val="single"/>
        </w:rPr>
        <w:t xml:space="preserve">          </w:t>
      </w:r>
    </w:p>
    <w:p>
      <w:pPr>
        <w:snapToGrid w:val="0"/>
        <w:spacing w:before="120" w:beforeLines="50" w:after="50" w:line="400" w:lineRule="exact"/>
        <w:ind w:firstLine="210" w:firstLineChars="100"/>
        <w:rPr>
          <w:rFonts w:ascii="Times New Roman" w:hAnsi="Times New Roman"/>
          <w:color w:val="000000"/>
          <w:szCs w:val="21"/>
          <w:highlight w:val="none"/>
        </w:rPr>
      </w:pPr>
      <w:r>
        <w:rPr>
          <w:rFonts w:hint="eastAsia" w:ascii="Times New Roman" w:hAnsi="Times New Roman"/>
          <w:color w:val="000000"/>
          <w:szCs w:val="21"/>
          <w:highlight w:val="none"/>
        </w:rPr>
        <w:t>投标人公章：</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p>
    <w:p>
      <w:pPr>
        <w:pStyle w:val="294"/>
        <w:spacing w:line="360" w:lineRule="auto"/>
        <w:jc w:val="left"/>
        <w:rPr>
          <w:rFonts w:ascii="Times New Roman" w:hAnsi="Times New Roman" w:eastAsia="宋体"/>
          <w:b/>
          <w:color w:val="000000"/>
          <w:sz w:val="21"/>
          <w:szCs w:val="21"/>
          <w:highlight w:val="none"/>
        </w:rPr>
      </w:pPr>
    </w:p>
    <w:p>
      <w:pPr>
        <w:pStyle w:val="294"/>
        <w:spacing w:line="360" w:lineRule="auto"/>
        <w:jc w:val="left"/>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lang w:val="en-US" w:eastAsia="zh-CN"/>
        </w:rPr>
        <w:t>9</w:t>
      </w:r>
      <w:r>
        <w:rPr>
          <w:rFonts w:hint="eastAsia" w:ascii="Times New Roman" w:hAnsi="Times New Roman" w:eastAsia="宋体"/>
          <w:b/>
          <w:color w:val="000000"/>
          <w:sz w:val="21"/>
          <w:szCs w:val="21"/>
          <w:highlight w:val="none"/>
        </w:rPr>
        <w:t>、</w:t>
      </w:r>
      <w:bookmarkStart w:id="268" w:name="_Hlk27161126"/>
      <w:r>
        <w:rPr>
          <w:rFonts w:hint="eastAsia" w:ascii="Times New Roman" w:hAnsi="Times New Roman" w:eastAsia="宋体"/>
          <w:b/>
          <w:color w:val="000000"/>
          <w:sz w:val="21"/>
          <w:szCs w:val="21"/>
          <w:highlight w:val="none"/>
        </w:rPr>
        <w:t>响应偏离表</w:t>
      </w:r>
      <w:bookmarkEnd w:id="268"/>
    </w:p>
    <w:p>
      <w:pPr>
        <w:ind w:firstLine="211" w:firstLineChars="100"/>
        <w:jc w:val="center"/>
        <w:rPr>
          <w:rFonts w:ascii="Times New Roman" w:hAnsi="Times New Roman"/>
          <w:b/>
          <w:bCs/>
          <w:color w:val="000000"/>
          <w:szCs w:val="21"/>
          <w:highlight w:val="none"/>
        </w:rPr>
      </w:pPr>
      <w:r>
        <w:rPr>
          <w:rFonts w:hint="eastAsia" w:ascii="Times New Roman" w:hAnsi="Times New Roman"/>
          <w:b/>
          <w:bCs/>
          <w:color w:val="000000"/>
          <w:szCs w:val="21"/>
          <w:highlight w:val="none"/>
        </w:rPr>
        <w:t>响应偏离表</w:t>
      </w:r>
    </w:p>
    <w:p>
      <w:pPr>
        <w:ind w:firstLine="210" w:firstLineChars="100"/>
        <w:rPr>
          <w:rFonts w:ascii="Times New Roman" w:hAnsi="Times New Roman"/>
          <w:color w:val="000000"/>
          <w:szCs w:val="21"/>
          <w:highlight w:val="none"/>
        </w:rPr>
      </w:pPr>
      <w:r>
        <w:rPr>
          <w:rFonts w:hint="eastAsia" w:ascii="Times New Roman" w:hAnsi="Times New Roman"/>
          <w:color w:val="000000"/>
          <w:szCs w:val="21"/>
          <w:highlight w:val="none"/>
        </w:rPr>
        <w:t>单位名称（盖章）：</w:t>
      </w:r>
    </w:p>
    <w:tbl>
      <w:tblPr>
        <w:tblStyle w:val="49"/>
        <w:tblW w:w="0" w:type="auto"/>
        <w:tblInd w:w="27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086"/>
        <w:gridCol w:w="3086"/>
        <w:gridCol w:w="1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Borders>
              <w:top w:val="single" w:color="auto" w:sz="12" w:space="0"/>
              <w:left w:val="single" w:color="auto" w:sz="12" w:space="0"/>
              <w:bottom w:val="single" w:color="auto" w:sz="4" w:space="0"/>
              <w:right w:val="single" w:color="auto" w:sz="4" w:space="0"/>
            </w:tcBorders>
          </w:tcPr>
          <w:p>
            <w:pPr>
              <w:spacing w:before="240" w:after="240"/>
              <w:jc w:val="center"/>
              <w:rPr>
                <w:rFonts w:ascii="Times New Roman" w:hAnsi="Times New Roman"/>
                <w:color w:val="000000"/>
                <w:szCs w:val="21"/>
                <w:highlight w:val="none"/>
              </w:rPr>
            </w:pPr>
            <w:r>
              <w:rPr>
                <w:rFonts w:hint="eastAsia" w:ascii="Times New Roman" w:hAnsi="Times New Roman"/>
                <w:color w:val="000000"/>
                <w:szCs w:val="21"/>
                <w:highlight w:val="none"/>
              </w:rPr>
              <w:t>序号</w:t>
            </w:r>
          </w:p>
        </w:tc>
        <w:tc>
          <w:tcPr>
            <w:tcW w:w="3086" w:type="dxa"/>
            <w:tcBorders>
              <w:top w:val="single" w:color="auto" w:sz="12" w:space="0"/>
              <w:left w:val="single" w:color="auto" w:sz="4" w:space="0"/>
              <w:bottom w:val="single" w:color="auto" w:sz="4" w:space="0"/>
              <w:right w:val="single" w:color="auto" w:sz="4" w:space="0"/>
            </w:tcBorders>
          </w:tcPr>
          <w:p>
            <w:pPr>
              <w:spacing w:before="240" w:after="240"/>
              <w:jc w:val="center"/>
              <w:rPr>
                <w:rFonts w:ascii="Times New Roman" w:hAnsi="Times New Roman"/>
                <w:color w:val="000000"/>
                <w:szCs w:val="21"/>
                <w:highlight w:val="none"/>
              </w:rPr>
            </w:pPr>
            <w:r>
              <w:rPr>
                <w:rFonts w:hint="eastAsia" w:ascii="Times New Roman" w:hAnsi="Times New Roman"/>
                <w:color w:val="000000"/>
                <w:szCs w:val="21"/>
                <w:highlight w:val="none"/>
              </w:rPr>
              <w:t>招标文件的规定</w:t>
            </w:r>
          </w:p>
        </w:tc>
        <w:tc>
          <w:tcPr>
            <w:tcW w:w="3086" w:type="dxa"/>
            <w:tcBorders>
              <w:top w:val="single" w:color="auto" w:sz="12" w:space="0"/>
              <w:left w:val="single" w:color="auto" w:sz="4" w:space="0"/>
              <w:bottom w:val="single" w:color="auto" w:sz="4" w:space="0"/>
              <w:right w:val="single" w:color="auto" w:sz="4" w:space="0"/>
            </w:tcBorders>
          </w:tcPr>
          <w:p>
            <w:pPr>
              <w:spacing w:before="240" w:after="240"/>
              <w:jc w:val="center"/>
              <w:rPr>
                <w:rFonts w:ascii="Times New Roman" w:hAnsi="Times New Roman"/>
                <w:color w:val="000000"/>
                <w:szCs w:val="21"/>
                <w:highlight w:val="none"/>
              </w:rPr>
            </w:pPr>
            <w:r>
              <w:rPr>
                <w:rFonts w:hint="eastAsia" w:ascii="Times New Roman" w:hAnsi="Times New Roman"/>
                <w:color w:val="000000"/>
                <w:szCs w:val="21"/>
                <w:highlight w:val="none"/>
              </w:rPr>
              <w:t>投标文件的相应</w:t>
            </w:r>
          </w:p>
        </w:tc>
        <w:tc>
          <w:tcPr>
            <w:tcW w:w="1411" w:type="dxa"/>
            <w:tcBorders>
              <w:top w:val="single" w:color="auto" w:sz="12" w:space="0"/>
              <w:left w:val="single" w:color="auto" w:sz="4" w:space="0"/>
              <w:bottom w:val="single" w:color="auto" w:sz="4" w:space="0"/>
              <w:right w:val="single" w:color="auto" w:sz="12" w:space="0"/>
            </w:tcBorders>
          </w:tcPr>
          <w:p>
            <w:pPr>
              <w:spacing w:before="240" w:after="240"/>
              <w:jc w:val="center"/>
              <w:rPr>
                <w:rFonts w:ascii="Times New Roman" w:hAnsi="Times New Roman"/>
                <w:color w:val="000000"/>
                <w:szCs w:val="21"/>
                <w:highlight w:val="none"/>
              </w:rPr>
            </w:pPr>
            <w:r>
              <w:rPr>
                <w:rFonts w:hint="eastAsia" w:ascii="Times New Roman" w:hAnsi="Times New Roman"/>
                <w:color w:val="000000"/>
                <w:szCs w:val="21"/>
                <w:highlight w:val="none"/>
              </w:rPr>
              <w:t>偏离说明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Borders>
              <w:top w:val="single" w:color="auto" w:sz="4" w:space="0"/>
              <w:left w:val="single" w:color="auto" w:sz="12" w:space="0"/>
              <w:bottom w:val="single" w:color="auto" w:sz="4" w:space="0"/>
              <w:right w:val="single" w:color="auto" w:sz="4" w:space="0"/>
            </w:tcBorders>
          </w:tcPr>
          <w:p>
            <w:pPr>
              <w:spacing w:before="240" w:after="240"/>
              <w:rPr>
                <w:rFonts w:ascii="Times New Roman" w:hAnsi="Times New Roman"/>
                <w:color w:val="000000"/>
                <w:szCs w:val="21"/>
                <w:highlight w:val="none"/>
              </w:rPr>
            </w:pPr>
          </w:p>
        </w:tc>
        <w:tc>
          <w:tcPr>
            <w:tcW w:w="3086" w:type="dxa"/>
            <w:tcBorders>
              <w:top w:val="single" w:color="auto" w:sz="4" w:space="0"/>
              <w:left w:val="single" w:color="auto" w:sz="4" w:space="0"/>
              <w:bottom w:val="single" w:color="auto" w:sz="4" w:space="0"/>
              <w:right w:val="single" w:color="auto" w:sz="4" w:space="0"/>
            </w:tcBorders>
          </w:tcPr>
          <w:p>
            <w:pPr>
              <w:spacing w:before="240" w:after="240"/>
              <w:rPr>
                <w:rFonts w:ascii="Times New Roman" w:hAnsi="Times New Roman"/>
                <w:color w:val="000000"/>
                <w:szCs w:val="21"/>
                <w:highlight w:val="none"/>
              </w:rPr>
            </w:pPr>
          </w:p>
        </w:tc>
        <w:tc>
          <w:tcPr>
            <w:tcW w:w="3086" w:type="dxa"/>
            <w:tcBorders>
              <w:top w:val="single" w:color="auto" w:sz="4" w:space="0"/>
              <w:left w:val="single" w:color="auto" w:sz="4" w:space="0"/>
              <w:bottom w:val="single" w:color="auto" w:sz="4" w:space="0"/>
              <w:right w:val="single" w:color="auto" w:sz="4" w:space="0"/>
            </w:tcBorders>
          </w:tcPr>
          <w:p>
            <w:pPr>
              <w:spacing w:before="240" w:after="240"/>
              <w:rPr>
                <w:rFonts w:ascii="Times New Roman" w:hAnsi="Times New Roman"/>
                <w:color w:val="000000"/>
                <w:szCs w:val="21"/>
                <w:highlight w:val="none"/>
              </w:rPr>
            </w:pPr>
          </w:p>
        </w:tc>
        <w:tc>
          <w:tcPr>
            <w:tcW w:w="1411" w:type="dxa"/>
            <w:tcBorders>
              <w:top w:val="single" w:color="auto" w:sz="4" w:space="0"/>
              <w:left w:val="single" w:color="auto" w:sz="4" w:space="0"/>
              <w:bottom w:val="single" w:color="auto" w:sz="4" w:space="0"/>
              <w:right w:val="single" w:color="auto" w:sz="12" w:space="0"/>
            </w:tcBorders>
          </w:tcPr>
          <w:p>
            <w:pPr>
              <w:spacing w:before="240" w:after="240"/>
              <w:rPr>
                <w:rFonts w:ascii="Times New Roman" w:hAnsi="Times New Roman"/>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Borders>
              <w:top w:val="single" w:color="auto" w:sz="4" w:space="0"/>
              <w:left w:val="single" w:color="auto" w:sz="12" w:space="0"/>
              <w:bottom w:val="single" w:color="auto" w:sz="4" w:space="0"/>
              <w:right w:val="single" w:color="auto" w:sz="4" w:space="0"/>
            </w:tcBorders>
          </w:tcPr>
          <w:p>
            <w:pPr>
              <w:spacing w:before="240" w:after="240"/>
              <w:rPr>
                <w:rFonts w:ascii="Times New Roman" w:hAnsi="Times New Roman"/>
                <w:color w:val="000000"/>
                <w:szCs w:val="21"/>
                <w:highlight w:val="none"/>
              </w:rPr>
            </w:pPr>
          </w:p>
        </w:tc>
        <w:tc>
          <w:tcPr>
            <w:tcW w:w="3086" w:type="dxa"/>
            <w:tcBorders>
              <w:top w:val="single" w:color="auto" w:sz="4" w:space="0"/>
              <w:left w:val="single" w:color="auto" w:sz="4" w:space="0"/>
              <w:bottom w:val="single" w:color="auto" w:sz="4" w:space="0"/>
              <w:right w:val="single" w:color="auto" w:sz="4" w:space="0"/>
            </w:tcBorders>
          </w:tcPr>
          <w:p>
            <w:pPr>
              <w:spacing w:before="240" w:after="240"/>
              <w:rPr>
                <w:rFonts w:ascii="Times New Roman" w:hAnsi="Times New Roman"/>
                <w:color w:val="000000"/>
                <w:szCs w:val="21"/>
                <w:highlight w:val="none"/>
              </w:rPr>
            </w:pPr>
          </w:p>
        </w:tc>
        <w:tc>
          <w:tcPr>
            <w:tcW w:w="3086" w:type="dxa"/>
            <w:tcBorders>
              <w:top w:val="single" w:color="auto" w:sz="4" w:space="0"/>
              <w:left w:val="single" w:color="auto" w:sz="4" w:space="0"/>
              <w:bottom w:val="single" w:color="auto" w:sz="4" w:space="0"/>
              <w:right w:val="single" w:color="auto" w:sz="4" w:space="0"/>
            </w:tcBorders>
          </w:tcPr>
          <w:p>
            <w:pPr>
              <w:spacing w:before="240" w:after="240"/>
              <w:rPr>
                <w:rFonts w:ascii="Times New Roman" w:hAnsi="Times New Roman"/>
                <w:color w:val="000000"/>
                <w:szCs w:val="21"/>
                <w:highlight w:val="none"/>
              </w:rPr>
            </w:pPr>
          </w:p>
        </w:tc>
        <w:tc>
          <w:tcPr>
            <w:tcW w:w="1411" w:type="dxa"/>
            <w:tcBorders>
              <w:top w:val="single" w:color="auto" w:sz="4" w:space="0"/>
              <w:left w:val="single" w:color="auto" w:sz="4" w:space="0"/>
              <w:bottom w:val="single" w:color="auto" w:sz="4" w:space="0"/>
              <w:right w:val="single" w:color="auto" w:sz="12" w:space="0"/>
            </w:tcBorders>
          </w:tcPr>
          <w:p>
            <w:pPr>
              <w:spacing w:before="240" w:after="240"/>
              <w:rPr>
                <w:rFonts w:ascii="Times New Roman" w:hAnsi="Times New Roman"/>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910" w:type="dxa"/>
            <w:tcBorders>
              <w:top w:val="single" w:color="auto" w:sz="4" w:space="0"/>
              <w:left w:val="single" w:color="auto" w:sz="12" w:space="0"/>
              <w:bottom w:val="single" w:color="auto" w:sz="12" w:space="0"/>
              <w:right w:val="single" w:color="auto" w:sz="4" w:space="0"/>
            </w:tcBorders>
          </w:tcPr>
          <w:p>
            <w:pPr>
              <w:spacing w:before="240" w:after="240"/>
              <w:rPr>
                <w:rFonts w:ascii="Times New Roman" w:hAnsi="Times New Roman"/>
                <w:color w:val="000000"/>
                <w:szCs w:val="21"/>
                <w:highlight w:val="none"/>
              </w:rPr>
            </w:pPr>
          </w:p>
        </w:tc>
        <w:tc>
          <w:tcPr>
            <w:tcW w:w="3086" w:type="dxa"/>
            <w:tcBorders>
              <w:top w:val="single" w:color="auto" w:sz="4" w:space="0"/>
              <w:left w:val="single" w:color="auto" w:sz="4" w:space="0"/>
              <w:bottom w:val="single" w:color="auto" w:sz="12" w:space="0"/>
              <w:right w:val="single" w:color="auto" w:sz="4" w:space="0"/>
            </w:tcBorders>
          </w:tcPr>
          <w:p>
            <w:pPr>
              <w:spacing w:before="240" w:after="240"/>
              <w:rPr>
                <w:rFonts w:ascii="Times New Roman" w:hAnsi="Times New Roman"/>
                <w:color w:val="000000"/>
                <w:szCs w:val="21"/>
                <w:highlight w:val="none"/>
              </w:rPr>
            </w:pPr>
          </w:p>
        </w:tc>
        <w:tc>
          <w:tcPr>
            <w:tcW w:w="3086" w:type="dxa"/>
            <w:tcBorders>
              <w:top w:val="single" w:color="auto" w:sz="4" w:space="0"/>
              <w:left w:val="single" w:color="auto" w:sz="4" w:space="0"/>
              <w:bottom w:val="single" w:color="auto" w:sz="12" w:space="0"/>
              <w:right w:val="single" w:color="auto" w:sz="4" w:space="0"/>
            </w:tcBorders>
          </w:tcPr>
          <w:p>
            <w:pPr>
              <w:spacing w:before="240" w:after="240"/>
              <w:rPr>
                <w:rFonts w:ascii="Times New Roman" w:hAnsi="Times New Roman"/>
                <w:color w:val="000000"/>
                <w:szCs w:val="21"/>
                <w:highlight w:val="none"/>
              </w:rPr>
            </w:pPr>
          </w:p>
        </w:tc>
        <w:tc>
          <w:tcPr>
            <w:tcW w:w="1411" w:type="dxa"/>
            <w:tcBorders>
              <w:top w:val="single" w:color="auto" w:sz="4" w:space="0"/>
              <w:left w:val="single" w:color="auto" w:sz="4" w:space="0"/>
              <w:bottom w:val="single" w:color="auto" w:sz="12" w:space="0"/>
              <w:right w:val="single" w:color="auto" w:sz="12" w:space="0"/>
            </w:tcBorders>
          </w:tcPr>
          <w:p>
            <w:pPr>
              <w:spacing w:before="240" w:after="240"/>
              <w:rPr>
                <w:rFonts w:ascii="Times New Roman" w:hAnsi="Times New Roman"/>
                <w:color w:val="000000"/>
                <w:szCs w:val="21"/>
                <w:highlight w:val="none"/>
              </w:rPr>
            </w:pPr>
          </w:p>
        </w:tc>
      </w:tr>
    </w:tbl>
    <w:p>
      <w:pPr>
        <w:spacing w:line="360" w:lineRule="auto"/>
        <w:rPr>
          <w:rFonts w:ascii="Times New Roman" w:hAnsi="Times New Roman"/>
          <w:b/>
          <w:color w:val="000000"/>
          <w:szCs w:val="21"/>
          <w:highlight w:val="none"/>
        </w:rPr>
      </w:pPr>
      <w:r>
        <w:rPr>
          <w:rFonts w:hint="eastAsia" w:ascii="Times New Roman" w:hAnsi="Times New Roman"/>
          <w:b/>
          <w:color w:val="000000"/>
          <w:szCs w:val="21"/>
          <w:highlight w:val="none"/>
        </w:rPr>
        <w:t>注：投标人的投标文件与招标文件第二章招标需求的规定存在偏离的，应在此表中如实说明。未在上表中说明的，将被认为完全响应招标文件的规定。</w:t>
      </w:r>
    </w:p>
    <w:p>
      <w:pPr>
        <w:snapToGrid w:val="0"/>
        <w:spacing w:before="120" w:beforeLines="50" w:line="400" w:lineRule="exact"/>
        <w:ind w:firstLine="200"/>
        <w:rPr>
          <w:rFonts w:ascii="Times New Roman" w:hAnsi="Times New Roman"/>
          <w:color w:val="000000"/>
          <w:sz w:val="24"/>
          <w:highlight w:val="none"/>
        </w:rPr>
      </w:pPr>
      <w:r>
        <w:rPr>
          <w:rFonts w:hint="eastAsia" w:ascii="Times New Roman" w:hAnsi="Times New Roman"/>
          <w:color w:val="000000"/>
          <w:szCs w:val="21"/>
          <w:highlight w:val="none"/>
        </w:rPr>
        <w:t>法定代表人或被授权人签字（或盖章）</w:t>
      </w:r>
      <w:r>
        <w:rPr>
          <w:rFonts w:hint="eastAsia" w:ascii="Times New Roman" w:hAnsi="Times New Roman"/>
          <w:color w:val="000000"/>
          <w:spacing w:val="20"/>
          <w:szCs w:val="21"/>
          <w:highlight w:val="none"/>
        </w:rPr>
        <w:t>：</w:t>
      </w:r>
      <w:r>
        <w:rPr>
          <w:rFonts w:ascii="Times New Roman" w:hAnsi="Times New Roman"/>
          <w:color w:val="000000"/>
          <w:spacing w:val="20"/>
          <w:szCs w:val="21"/>
          <w:highlight w:val="none"/>
          <w:u w:val="single"/>
        </w:rPr>
        <w:t xml:space="preserve">           </w:t>
      </w:r>
    </w:p>
    <w:p>
      <w:pPr>
        <w:snapToGrid w:val="0"/>
        <w:spacing w:before="120" w:beforeLines="50" w:line="400" w:lineRule="exact"/>
        <w:ind w:firstLine="200"/>
        <w:rPr>
          <w:rFonts w:ascii="Times New Roman" w:hAnsi="Times New Roman"/>
          <w:color w:val="000000"/>
          <w:szCs w:val="21"/>
          <w:highlight w:val="none"/>
        </w:rPr>
      </w:pPr>
      <w:r>
        <w:rPr>
          <w:rFonts w:hint="eastAsia" w:ascii="Times New Roman" w:hAnsi="Times New Roman"/>
          <w:color w:val="000000"/>
          <w:szCs w:val="21"/>
          <w:highlight w:val="none"/>
        </w:rPr>
        <w:t>投标人公章：</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年</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月</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日</w:t>
      </w:r>
    </w:p>
    <w:p>
      <w:pPr>
        <w:snapToGrid w:val="0"/>
        <w:spacing w:before="120" w:beforeLines="50" w:after="50" w:line="360" w:lineRule="auto"/>
        <w:rPr>
          <w:rFonts w:ascii="Times New Roman" w:hAnsi="Times New Roman"/>
          <w:color w:val="000000"/>
          <w:szCs w:val="21"/>
          <w:highlight w:val="none"/>
        </w:rPr>
      </w:pPr>
    </w:p>
    <w:p>
      <w:pPr>
        <w:snapToGrid w:val="0"/>
        <w:spacing w:before="120" w:beforeLines="50" w:after="50" w:line="360" w:lineRule="auto"/>
        <w:rPr>
          <w:rFonts w:ascii="Times New Roman" w:hAnsi="Times New Roman"/>
          <w:color w:val="000000"/>
          <w:szCs w:val="21"/>
          <w:highlight w:val="none"/>
        </w:rPr>
      </w:pPr>
    </w:p>
    <w:p>
      <w:pPr>
        <w:widowControl/>
        <w:spacing w:line="360" w:lineRule="auto"/>
        <w:jc w:val="left"/>
        <w:rPr>
          <w:rFonts w:ascii="Times New Roman" w:hAnsi="Times New Roman"/>
          <w:b/>
          <w:color w:val="000000"/>
          <w:szCs w:val="21"/>
          <w:highlight w:val="none"/>
        </w:rPr>
        <w:sectPr>
          <w:pgSz w:w="11906" w:h="16838"/>
          <w:pgMar w:top="1440" w:right="1797" w:bottom="1440" w:left="1797" w:header="851" w:footer="851" w:gutter="0"/>
          <w:cols w:space="720" w:num="1"/>
        </w:sectPr>
      </w:pPr>
    </w:p>
    <w:p>
      <w:pPr>
        <w:pStyle w:val="294"/>
        <w:spacing w:line="360" w:lineRule="auto"/>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1</w:t>
      </w:r>
      <w:r>
        <w:rPr>
          <w:rFonts w:hint="eastAsia" w:ascii="Times New Roman" w:hAnsi="Times New Roman" w:eastAsia="宋体"/>
          <w:b/>
          <w:color w:val="000000"/>
          <w:sz w:val="21"/>
          <w:szCs w:val="21"/>
          <w:highlight w:val="none"/>
          <w:lang w:val="en-US" w:eastAsia="zh-CN"/>
        </w:rPr>
        <w:t>0</w:t>
      </w:r>
      <w:r>
        <w:rPr>
          <w:rFonts w:hint="eastAsia" w:ascii="Times New Roman" w:hAnsi="Times New Roman" w:eastAsia="宋体"/>
          <w:b/>
          <w:color w:val="000000"/>
          <w:sz w:val="21"/>
          <w:szCs w:val="21"/>
          <w:highlight w:val="none"/>
        </w:rPr>
        <w:t>、实施人员一览表</w:t>
      </w:r>
    </w:p>
    <w:p>
      <w:pPr>
        <w:pStyle w:val="28"/>
        <w:adjustRightInd w:val="0"/>
        <w:spacing w:before="120" w:line="360" w:lineRule="auto"/>
        <w:jc w:val="center"/>
        <w:textAlignment w:val="baseline"/>
        <w:rPr>
          <w:rFonts w:ascii="Times New Roman" w:hAnsi="Times New Roman"/>
          <w:color w:val="000000"/>
          <w:sz w:val="21"/>
          <w:szCs w:val="21"/>
          <w:highlight w:val="none"/>
        </w:rPr>
      </w:pPr>
      <w:r>
        <w:rPr>
          <w:rFonts w:hint="eastAsia" w:ascii="Times New Roman" w:hAnsi="Times New Roman"/>
          <w:b/>
          <w:color w:val="000000"/>
          <w:sz w:val="21"/>
          <w:szCs w:val="21"/>
          <w:highlight w:val="none"/>
        </w:rPr>
        <w:t>实施人员一览表</w:t>
      </w:r>
    </w:p>
    <w:tbl>
      <w:tblPr>
        <w:tblStyle w:val="4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85"/>
        <w:gridCol w:w="1074"/>
        <w:gridCol w:w="970"/>
        <w:gridCol w:w="709"/>
        <w:gridCol w:w="1254"/>
        <w:gridCol w:w="1454"/>
        <w:gridCol w:w="1134"/>
        <w:gridCol w:w="13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85"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序号</w:t>
            </w:r>
          </w:p>
        </w:tc>
        <w:tc>
          <w:tcPr>
            <w:tcW w:w="107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项目组所任职务</w:t>
            </w:r>
          </w:p>
        </w:tc>
        <w:tc>
          <w:tcPr>
            <w:tcW w:w="970"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姓名</w:t>
            </w:r>
          </w:p>
        </w:tc>
        <w:tc>
          <w:tcPr>
            <w:tcW w:w="709"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职称</w:t>
            </w:r>
          </w:p>
        </w:tc>
        <w:tc>
          <w:tcPr>
            <w:tcW w:w="125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专业技术资格</w:t>
            </w:r>
          </w:p>
        </w:tc>
        <w:tc>
          <w:tcPr>
            <w:tcW w:w="145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专业技术资格证书编号</w:t>
            </w:r>
          </w:p>
        </w:tc>
        <w:tc>
          <w:tcPr>
            <w:tcW w:w="113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从事本工作时间</w:t>
            </w:r>
          </w:p>
        </w:tc>
        <w:tc>
          <w:tcPr>
            <w:tcW w:w="1348"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hint="eastAsia" w:ascii="Times New Roman" w:hAnsi="Times New Roman"/>
                <w:color w:val="000000"/>
                <w:sz w:val="21"/>
                <w:szCs w:val="21"/>
                <w:highlight w:val="none"/>
              </w:rPr>
              <w:t>是否为本项目驻点人员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ascii="Times New Roman" w:hAnsi="Times New Roman"/>
                <w:color w:val="000000"/>
                <w:sz w:val="21"/>
                <w:szCs w:val="21"/>
                <w:highlight w:val="none"/>
              </w:rPr>
              <w:t>1</w:t>
            </w:r>
          </w:p>
        </w:tc>
        <w:tc>
          <w:tcPr>
            <w:tcW w:w="107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pPr>
              <w:pStyle w:val="32"/>
              <w:jc w:val="center"/>
              <w:rPr>
                <w:rFonts w:ascii="Times New Roman" w:hAnsi="Times New Roman"/>
                <w:color w:val="000000"/>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ascii="Times New Roman" w:hAnsi="Times New Roman"/>
                <w:color w:val="000000"/>
                <w:sz w:val="21"/>
                <w:szCs w:val="21"/>
                <w:highlight w:val="none"/>
              </w:rPr>
              <w:t>2</w:t>
            </w:r>
          </w:p>
        </w:tc>
        <w:tc>
          <w:tcPr>
            <w:tcW w:w="107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pPr>
              <w:pStyle w:val="32"/>
              <w:jc w:val="center"/>
              <w:rPr>
                <w:rFonts w:ascii="Times New Roman" w:hAnsi="Times New Roman"/>
                <w:color w:val="000000"/>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ascii="Times New Roman" w:hAnsi="Times New Roman"/>
                <w:color w:val="000000"/>
                <w:sz w:val="21"/>
                <w:szCs w:val="21"/>
                <w:highlight w:val="none"/>
              </w:rPr>
              <w:t>3</w:t>
            </w:r>
          </w:p>
        </w:tc>
        <w:tc>
          <w:tcPr>
            <w:tcW w:w="107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pPr>
              <w:pStyle w:val="32"/>
              <w:jc w:val="center"/>
              <w:rPr>
                <w:rFonts w:ascii="Times New Roman" w:hAnsi="Times New Roman"/>
                <w:color w:val="000000"/>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r>
              <w:rPr>
                <w:rFonts w:ascii="Times New Roman" w:hAnsi="Times New Roman"/>
                <w:color w:val="000000"/>
                <w:sz w:val="21"/>
                <w:szCs w:val="21"/>
                <w:highlight w:val="none"/>
              </w:rPr>
              <w:t>4</w:t>
            </w:r>
          </w:p>
        </w:tc>
        <w:tc>
          <w:tcPr>
            <w:tcW w:w="107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pPr>
              <w:pStyle w:val="32"/>
              <w:jc w:val="center"/>
              <w:rPr>
                <w:rFonts w:ascii="Times New Roman" w:hAnsi="Times New Roman"/>
                <w:color w:val="000000"/>
                <w:sz w:val="21"/>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pStyle w:val="32"/>
              <w:jc w:val="center"/>
              <w:rPr>
                <w:rFonts w:ascii="Times New Roman" w:hAnsi="Times New Roman"/>
                <w:color w:val="000000"/>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58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szCs w:val="21"/>
                <w:highlight w:val="none"/>
              </w:rPr>
            </w:pPr>
            <w:r>
              <w:rPr>
                <w:rFonts w:hint="eastAsia" w:ascii="Times New Roman" w:hAnsi="Times New Roman"/>
                <w:color w:val="000000"/>
                <w:szCs w:val="21"/>
                <w:highlight w:val="none"/>
              </w:rPr>
              <w:t>…</w:t>
            </w:r>
          </w:p>
        </w:tc>
        <w:tc>
          <w:tcPr>
            <w:tcW w:w="107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szCs w:val="21"/>
                <w:highlight w:val="none"/>
              </w:rPr>
            </w:pPr>
          </w:p>
        </w:tc>
        <w:tc>
          <w:tcPr>
            <w:tcW w:w="97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szCs w:val="21"/>
                <w:highlight w:val="none"/>
              </w:rPr>
            </w:pPr>
          </w:p>
        </w:tc>
        <w:tc>
          <w:tcPr>
            <w:tcW w:w="709"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szCs w:val="21"/>
                <w:highlight w:val="none"/>
              </w:rPr>
            </w:pPr>
          </w:p>
        </w:tc>
        <w:tc>
          <w:tcPr>
            <w:tcW w:w="125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szCs w:val="21"/>
                <w:highlight w:val="none"/>
              </w:rPr>
            </w:pPr>
          </w:p>
        </w:tc>
        <w:tc>
          <w:tcPr>
            <w:tcW w:w="1454" w:type="dxa"/>
            <w:tcBorders>
              <w:top w:val="single" w:color="auto" w:sz="4" w:space="0"/>
              <w:left w:val="single" w:color="auto" w:sz="4" w:space="0"/>
              <w:bottom w:val="single" w:color="auto" w:sz="4" w:space="0"/>
              <w:right w:val="single" w:color="auto" w:sz="4" w:space="0"/>
            </w:tcBorders>
          </w:tcPr>
          <w:p>
            <w:pPr>
              <w:rPr>
                <w:rFonts w:ascii="Times New Roman" w:hAnsi="Times New Roman"/>
                <w:color w:val="000000"/>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szCs w:val="21"/>
                <w:highlight w:val="none"/>
              </w:rPr>
            </w:pPr>
          </w:p>
        </w:tc>
        <w:tc>
          <w:tcPr>
            <w:tcW w:w="1348"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olor w:val="000000"/>
                <w:szCs w:val="21"/>
                <w:highlight w:val="none"/>
              </w:rPr>
            </w:pPr>
          </w:p>
        </w:tc>
      </w:tr>
    </w:tbl>
    <w:p>
      <w:pPr>
        <w:spacing w:line="360" w:lineRule="auto"/>
        <w:rPr>
          <w:rFonts w:ascii="Times New Roman" w:hAnsi="Times New Roman"/>
          <w:b/>
          <w:color w:val="000000"/>
          <w:szCs w:val="21"/>
          <w:highlight w:val="none"/>
        </w:rPr>
      </w:pPr>
      <w:r>
        <w:rPr>
          <w:rFonts w:hint="eastAsia" w:ascii="Times New Roman" w:hAnsi="Times New Roman"/>
          <w:b/>
          <w:color w:val="000000"/>
          <w:szCs w:val="21"/>
          <w:highlight w:val="none"/>
        </w:rPr>
        <w:t>注：</w:t>
      </w:r>
      <w:r>
        <w:rPr>
          <w:rFonts w:ascii="Times New Roman" w:hAnsi="Times New Roman"/>
          <w:b/>
          <w:color w:val="000000"/>
          <w:szCs w:val="21"/>
          <w:highlight w:val="none"/>
        </w:rPr>
        <w:t>1</w:t>
      </w:r>
      <w:r>
        <w:rPr>
          <w:rFonts w:hint="eastAsia" w:ascii="Times New Roman" w:hAnsi="Times New Roman"/>
          <w:b/>
          <w:color w:val="000000"/>
          <w:szCs w:val="21"/>
          <w:highlight w:val="none"/>
        </w:rPr>
        <w:t>、“项目实施人员”指投标单位完成本项目所配备的人员。</w:t>
      </w:r>
    </w:p>
    <w:p>
      <w:pPr>
        <w:numPr>
          <w:ilvl w:val="0"/>
          <w:numId w:val="0"/>
        </w:numPr>
        <w:spacing w:line="360" w:lineRule="auto"/>
        <w:ind w:firstLine="422" w:firstLineChars="200"/>
        <w:rPr>
          <w:rFonts w:ascii="Times New Roman" w:hAnsi="Times New Roman"/>
          <w:b/>
          <w:color w:val="000000"/>
          <w:szCs w:val="21"/>
          <w:highlight w:val="none"/>
        </w:rPr>
      </w:pPr>
      <w:r>
        <w:rPr>
          <w:rFonts w:ascii="Times New Roman" w:hAnsi="Times New Roman"/>
          <w:b/>
          <w:szCs w:val="21"/>
          <w:highlight w:val="none"/>
        </w:rPr>
        <w:t>2</w:t>
      </w:r>
      <w:r>
        <w:rPr>
          <w:rFonts w:hint="eastAsia" w:ascii="Times New Roman" w:hAnsi="Times New Roman"/>
          <w:b/>
          <w:szCs w:val="21"/>
          <w:highlight w:val="none"/>
        </w:rPr>
        <w:t>、</w:t>
      </w:r>
      <w:r>
        <w:rPr>
          <w:rFonts w:hint="eastAsia"/>
          <w:b/>
          <w:color w:val="000000"/>
          <w:szCs w:val="21"/>
          <w:highlight w:val="none"/>
        </w:rPr>
        <w:t>附项目经理的身份证（双面扫描、职称资格证书、安全生产考核合格证书、公路工程专业二级及以上注册建造师证书的扫描件。 项目经理的建造师注册证书、安全生产考核合格证书书上的企业名称应与投标人名称一致，否则审查不予通过。附项目经理担任类似项目的项目经理或项目副经理、项目总工的相关业绩证明材料（应附中标通知书，或合同协议书，或由发包人或主管部门或质量监督机构出具的公路工程（标段）竣（交）工验收证明文件，如上述资料中均未体现人员姓名、任职、业绩规模等内容的，则还须提供项目发包人或项目质量管理部门或项目所在地行发包人管部门出具的证明材料）清晰可辨的复印件，否则评审不予通过。</w:t>
      </w:r>
      <w:r>
        <w:rPr>
          <w:rFonts w:hint="eastAsia"/>
          <w:b/>
          <w:color w:val="000000"/>
          <w:szCs w:val="21"/>
          <w:highlight w:val="none"/>
          <w:lang w:val="en-US" w:eastAsia="zh-CN"/>
        </w:rPr>
        <w:t>以上材料</w:t>
      </w:r>
      <w:r>
        <w:rPr>
          <w:rFonts w:hint="eastAsia"/>
          <w:b/>
          <w:szCs w:val="21"/>
          <w:highlight w:val="none"/>
        </w:rPr>
        <w:t>加盖</w:t>
      </w:r>
      <w:r>
        <w:rPr>
          <w:rFonts w:hint="eastAsia"/>
          <w:b/>
          <w:szCs w:val="21"/>
          <w:highlight w:val="none"/>
          <w:lang w:val="en-US" w:eastAsia="zh-CN"/>
        </w:rPr>
        <w:t>投标人</w:t>
      </w:r>
      <w:r>
        <w:rPr>
          <w:rFonts w:hint="eastAsia"/>
          <w:b/>
          <w:szCs w:val="21"/>
          <w:highlight w:val="none"/>
        </w:rPr>
        <w:t>公章。</w:t>
      </w:r>
    </w:p>
    <w:p>
      <w:pPr>
        <w:spacing w:line="360" w:lineRule="auto"/>
        <w:ind w:firstLine="422" w:firstLineChars="200"/>
        <w:rPr>
          <w:rFonts w:ascii="Times New Roman" w:hAnsi="Times New Roman"/>
          <w:b/>
          <w:color w:val="000000"/>
          <w:szCs w:val="21"/>
          <w:highlight w:val="none"/>
        </w:rPr>
      </w:pPr>
      <w:r>
        <w:rPr>
          <w:rFonts w:ascii="Times New Roman" w:hAnsi="Times New Roman"/>
          <w:b/>
          <w:color w:val="000000"/>
          <w:szCs w:val="21"/>
          <w:highlight w:val="none"/>
        </w:rPr>
        <w:t>3</w:t>
      </w:r>
      <w:r>
        <w:rPr>
          <w:rFonts w:hint="eastAsia" w:ascii="Times New Roman" w:hAnsi="Times New Roman"/>
          <w:b/>
          <w:color w:val="000000"/>
          <w:szCs w:val="21"/>
          <w:highlight w:val="none"/>
        </w:rPr>
        <w:t>、表格不够填写可添加。</w:t>
      </w:r>
    </w:p>
    <w:p>
      <w:pPr>
        <w:snapToGrid w:val="0"/>
        <w:spacing w:before="50" w:after="50" w:line="360" w:lineRule="auto"/>
        <w:rPr>
          <w:rFonts w:ascii="Times New Roman" w:hAnsi="Times New Roman"/>
          <w:color w:val="000000"/>
          <w:spacing w:val="20"/>
          <w:szCs w:val="21"/>
          <w:highlight w:val="none"/>
          <w:u w:val="single"/>
        </w:rPr>
      </w:pPr>
      <w:r>
        <w:rPr>
          <w:rFonts w:hint="eastAsia" w:ascii="Times New Roman" w:hAnsi="Times New Roman"/>
          <w:color w:val="000000"/>
          <w:szCs w:val="21"/>
          <w:highlight w:val="none"/>
        </w:rPr>
        <w:t>法定代表人或被授权人签字（或盖章）</w:t>
      </w:r>
      <w:r>
        <w:rPr>
          <w:rFonts w:hint="eastAsia" w:ascii="Times New Roman" w:hAnsi="Times New Roman"/>
          <w:color w:val="000000"/>
          <w:spacing w:val="20"/>
          <w:szCs w:val="21"/>
          <w:highlight w:val="none"/>
        </w:rPr>
        <w:t>：</w:t>
      </w:r>
      <w:r>
        <w:rPr>
          <w:rFonts w:ascii="Times New Roman" w:hAnsi="Times New Roman"/>
          <w:color w:val="000000"/>
          <w:spacing w:val="20"/>
          <w:szCs w:val="21"/>
          <w:highlight w:val="none"/>
          <w:u w:val="single"/>
        </w:rPr>
        <w:t xml:space="preserve">          </w:t>
      </w:r>
    </w:p>
    <w:p>
      <w:pPr>
        <w:pStyle w:val="294"/>
        <w:spacing w:line="360" w:lineRule="auto"/>
        <w:ind w:right="480"/>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投标人公章：</w:t>
      </w:r>
      <w:r>
        <w:rPr>
          <w:rFonts w:ascii="Times New Roman" w:hAnsi="Times New Roman" w:eastAsia="宋体"/>
          <w:color w:val="000000"/>
          <w:sz w:val="21"/>
          <w:szCs w:val="21"/>
          <w:highlight w:val="none"/>
        </w:rPr>
        <w:t xml:space="preserve">                                    </w:t>
      </w:r>
      <w:r>
        <w:rPr>
          <w:rFonts w:hint="eastAsia" w:ascii="Times New Roman" w:hAnsi="Times New Roman" w:eastAsia="宋体"/>
          <w:color w:val="000000"/>
          <w:sz w:val="21"/>
          <w:szCs w:val="21"/>
          <w:highlight w:val="none"/>
        </w:rPr>
        <w:t>年</w:t>
      </w:r>
      <w:r>
        <w:rPr>
          <w:rFonts w:ascii="Times New Roman" w:hAnsi="Times New Roman" w:eastAsia="宋体"/>
          <w:color w:val="000000"/>
          <w:sz w:val="21"/>
          <w:szCs w:val="21"/>
          <w:highlight w:val="none"/>
        </w:rPr>
        <w:t xml:space="preserve">    </w:t>
      </w:r>
      <w:r>
        <w:rPr>
          <w:rFonts w:hint="eastAsia" w:ascii="Times New Roman" w:hAnsi="Times New Roman" w:eastAsia="宋体"/>
          <w:color w:val="000000"/>
          <w:sz w:val="21"/>
          <w:szCs w:val="21"/>
          <w:highlight w:val="none"/>
        </w:rPr>
        <w:t>月</w:t>
      </w:r>
      <w:r>
        <w:rPr>
          <w:rFonts w:ascii="Times New Roman" w:hAnsi="Times New Roman" w:eastAsia="宋体"/>
          <w:color w:val="000000"/>
          <w:sz w:val="21"/>
          <w:szCs w:val="21"/>
          <w:highlight w:val="none"/>
        </w:rPr>
        <w:t xml:space="preserve">    </w:t>
      </w:r>
      <w:r>
        <w:rPr>
          <w:rFonts w:hint="eastAsia" w:ascii="Times New Roman" w:hAnsi="Times New Roman" w:eastAsia="宋体"/>
          <w:color w:val="000000"/>
          <w:sz w:val="21"/>
          <w:szCs w:val="21"/>
          <w:highlight w:val="none"/>
        </w:rPr>
        <w:t>日</w:t>
      </w:r>
    </w:p>
    <w:p>
      <w:pP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br w:type="page"/>
      </w:r>
    </w:p>
    <w:p>
      <w:pPr>
        <w:pStyle w:val="294"/>
        <w:spacing w:line="360" w:lineRule="auto"/>
        <w:ind w:right="480"/>
        <w:rPr>
          <w:rFonts w:ascii="Times New Roman" w:hAnsi="Times New Roman" w:eastAsia="宋体"/>
          <w:color w:val="000000"/>
          <w:sz w:val="21"/>
          <w:szCs w:val="21"/>
          <w:highlight w:val="none"/>
        </w:rPr>
      </w:pPr>
    </w:p>
    <w:p>
      <w:pPr>
        <w:snapToGrid w:val="0"/>
        <w:spacing w:before="120" w:beforeLines="50" w:after="50"/>
        <w:rPr>
          <w:rFonts w:ascii="Times New Roman" w:hAnsi="Times New Roman"/>
          <w:b/>
          <w:color w:val="000000"/>
          <w:szCs w:val="21"/>
          <w:highlight w:val="none"/>
        </w:rPr>
      </w:pPr>
    </w:p>
    <w:p>
      <w:pPr>
        <w:pStyle w:val="294"/>
        <w:spacing w:line="360" w:lineRule="auto"/>
        <w:rPr>
          <w:rFonts w:hAnsi="宋体" w:eastAsia="宋体"/>
          <w:b/>
          <w:sz w:val="21"/>
          <w:szCs w:val="21"/>
          <w:highlight w:val="none"/>
        </w:rPr>
      </w:pPr>
      <w:r>
        <w:rPr>
          <w:rFonts w:ascii="Times New Roman" w:hAnsi="Times New Roman" w:eastAsia="宋体"/>
          <w:b/>
          <w:color w:val="000000"/>
          <w:sz w:val="21"/>
          <w:szCs w:val="21"/>
          <w:highlight w:val="none"/>
        </w:rPr>
        <w:t>1</w:t>
      </w:r>
      <w:r>
        <w:rPr>
          <w:rFonts w:hint="eastAsia" w:ascii="Times New Roman" w:hAnsi="Times New Roman" w:eastAsia="宋体"/>
          <w:b/>
          <w:color w:val="000000"/>
          <w:sz w:val="21"/>
          <w:szCs w:val="21"/>
          <w:highlight w:val="none"/>
          <w:lang w:val="en-US" w:eastAsia="zh-CN"/>
        </w:rPr>
        <w:t>1</w:t>
      </w:r>
      <w:r>
        <w:rPr>
          <w:rFonts w:hint="eastAsia" w:ascii="Times New Roman" w:hAnsi="Times New Roman" w:eastAsia="宋体"/>
          <w:b/>
          <w:color w:val="000000"/>
          <w:sz w:val="21"/>
          <w:szCs w:val="21"/>
          <w:highlight w:val="none"/>
        </w:rPr>
        <w:t>、</w:t>
      </w:r>
      <w:r>
        <w:rPr>
          <w:rFonts w:hint="eastAsia" w:hAnsi="宋体" w:eastAsia="宋体"/>
          <w:b/>
          <w:sz w:val="21"/>
          <w:szCs w:val="21"/>
          <w:highlight w:val="none"/>
        </w:rPr>
        <w:t>投入设备一览表</w:t>
      </w:r>
    </w:p>
    <w:p>
      <w:pPr>
        <w:pStyle w:val="28"/>
        <w:adjustRightInd w:val="0"/>
        <w:spacing w:before="120" w:line="360" w:lineRule="auto"/>
        <w:jc w:val="center"/>
        <w:textAlignment w:val="baseline"/>
        <w:rPr>
          <w:rFonts w:hAnsi="宋体"/>
          <w:sz w:val="21"/>
          <w:szCs w:val="21"/>
          <w:highlight w:val="none"/>
        </w:rPr>
      </w:pPr>
      <w:r>
        <w:rPr>
          <w:rFonts w:hint="eastAsia" w:hAnsi="宋体"/>
          <w:b/>
          <w:sz w:val="21"/>
          <w:szCs w:val="21"/>
          <w:highlight w:val="none"/>
        </w:rPr>
        <w:t>投入设备一览表</w:t>
      </w:r>
    </w:p>
    <w:tbl>
      <w:tblPr>
        <w:tblStyle w:val="49"/>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83"/>
        <w:gridCol w:w="1651"/>
        <w:gridCol w:w="1100"/>
        <w:gridCol w:w="1240"/>
        <w:gridCol w:w="773"/>
        <w:gridCol w:w="773"/>
        <w:gridCol w:w="23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r>
              <w:rPr>
                <w:rFonts w:hint="eastAsia"/>
                <w:kern w:val="0"/>
                <w:sz w:val="18"/>
                <w:szCs w:val="21"/>
                <w:highlight w:val="none"/>
              </w:rPr>
              <w:t>序号</w:t>
            </w:r>
          </w:p>
        </w:tc>
        <w:tc>
          <w:tcPr>
            <w:tcW w:w="968"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r>
              <w:rPr>
                <w:rFonts w:hint="eastAsia"/>
                <w:kern w:val="0"/>
                <w:sz w:val="18"/>
                <w:szCs w:val="21"/>
                <w:highlight w:val="none"/>
              </w:rPr>
              <w:t>名称</w:t>
            </w:r>
          </w:p>
        </w:tc>
        <w:tc>
          <w:tcPr>
            <w:tcW w:w="645"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r>
              <w:rPr>
                <w:rFonts w:hint="eastAsia"/>
                <w:kern w:val="0"/>
                <w:sz w:val="18"/>
                <w:szCs w:val="21"/>
                <w:highlight w:val="none"/>
              </w:rPr>
              <w:t>品牌</w:t>
            </w:r>
          </w:p>
        </w:tc>
        <w:tc>
          <w:tcPr>
            <w:tcW w:w="727" w:type="pct"/>
            <w:tcBorders>
              <w:top w:val="single" w:color="auto" w:sz="6" w:space="0"/>
              <w:left w:val="single" w:color="auto" w:sz="6" w:space="0"/>
              <w:bottom w:val="single" w:color="auto" w:sz="4" w:space="0"/>
              <w:right w:val="single" w:color="auto" w:sz="6" w:space="0"/>
            </w:tcBorders>
            <w:vAlign w:val="center"/>
          </w:tcPr>
          <w:p>
            <w:pPr>
              <w:jc w:val="center"/>
              <w:rPr>
                <w:kern w:val="0"/>
                <w:sz w:val="18"/>
                <w:szCs w:val="21"/>
                <w:highlight w:val="none"/>
              </w:rPr>
            </w:pPr>
            <w:r>
              <w:rPr>
                <w:rFonts w:hint="eastAsia"/>
                <w:kern w:val="0"/>
                <w:sz w:val="18"/>
                <w:szCs w:val="21"/>
                <w:highlight w:val="none"/>
              </w:rPr>
              <w:t>型号、规格</w:t>
            </w:r>
          </w:p>
        </w:tc>
        <w:tc>
          <w:tcPr>
            <w:tcW w:w="453" w:type="pct"/>
            <w:tcBorders>
              <w:top w:val="single" w:color="auto" w:sz="6" w:space="0"/>
              <w:left w:val="single" w:color="auto" w:sz="6" w:space="0"/>
              <w:bottom w:val="single" w:color="auto" w:sz="6" w:space="0"/>
              <w:right w:val="single" w:color="auto" w:sz="4" w:space="0"/>
            </w:tcBorders>
            <w:vAlign w:val="center"/>
          </w:tcPr>
          <w:p>
            <w:pPr>
              <w:jc w:val="center"/>
              <w:rPr>
                <w:kern w:val="0"/>
                <w:sz w:val="18"/>
                <w:szCs w:val="21"/>
                <w:highlight w:val="none"/>
              </w:rPr>
            </w:pPr>
            <w:r>
              <w:rPr>
                <w:rFonts w:hint="eastAsia"/>
                <w:kern w:val="0"/>
                <w:sz w:val="18"/>
                <w:szCs w:val="21"/>
                <w:highlight w:val="none"/>
              </w:rPr>
              <w:t>单位</w:t>
            </w:r>
          </w:p>
        </w:tc>
        <w:tc>
          <w:tcPr>
            <w:tcW w:w="453" w:type="pct"/>
            <w:tcBorders>
              <w:top w:val="single" w:color="auto" w:sz="6" w:space="0"/>
              <w:left w:val="single" w:color="auto" w:sz="4" w:space="0"/>
              <w:bottom w:val="single" w:color="auto" w:sz="6" w:space="0"/>
              <w:right w:val="single" w:color="auto" w:sz="6" w:space="0"/>
            </w:tcBorders>
            <w:vAlign w:val="center"/>
          </w:tcPr>
          <w:p>
            <w:pPr>
              <w:jc w:val="center"/>
              <w:rPr>
                <w:kern w:val="0"/>
                <w:sz w:val="18"/>
                <w:szCs w:val="21"/>
                <w:highlight w:val="none"/>
              </w:rPr>
            </w:pPr>
            <w:r>
              <w:rPr>
                <w:rFonts w:hint="eastAsia"/>
                <w:kern w:val="0"/>
                <w:sz w:val="18"/>
                <w:szCs w:val="21"/>
                <w:highlight w:val="none"/>
              </w:rPr>
              <w:t>数量</w:t>
            </w:r>
          </w:p>
        </w:tc>
        <w:tc>
          <w:tcPr>
            <w:tcW w:w="1353"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r>
              <w:rPr>
                <w:rFonts w:hint="eastAsia"/>
                <w:kern w:val="0"/>
                <w:sz w:val="18"/>
                <w:szCs w:val="21"/>
                <w:highlight w:val="none"/>
              </w:rPr>
              <w:t>设备性质（自有</w:t>
            </w:r>
            <w:r>
              <w:rPr>
                <w:kern w:val="0"/>
                <w:sz w:val="18"/>
                <w:szCs w:val="21"/>
                <w:highlight w:val="none"/>
              </w:rPr>
              <w:t>/</w:t>
            </w:r>
            <w:r>
              <w:rPr>
                <w:rFonts w:hint="eastAsia"/>
                <w:kern w:val="0"/>
                <w:sz w:val="18"/>
                <w:szCs w:val="21"/>
                <w:highlight w:val="none"/>
              </w:rPr>
              <w:t>租赁）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727" w:type="pct"/>
            <w:tcBorders>
              <w:top w:val="single" w:color="auto" w:sz="4"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727"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401"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968"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645"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727"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c>
          <w:tcPr>
            <w:tcW w:w="453" w:type="pct"/>
            <w:tcBorders>
              <w:top w:val="single" w:color="auto" w:sz="6" w:space="0"/>
              <w:left w:val="single" w:color="auto" w:sz="6" w:space="0"/>
              <w:bottom w:val="single" w:color="auto" w:sz="6" w:space="0"/>
              <w:right w:val="single" w:color="auto" w:sz="4" w:space="0"/>
            </w:tcBorders>
            <w:vAlign w:val="center"/>
          </w:tcPr>
          <w:p>
            <w:pPr>
              <w:jc w:val="center"/>
              <w:rPr>
                <w:kern w:val="0"/>
                <w:sz w:val="18"/>
                <w:szCs w:val="21"/>
                <w:highlight w:val="none"/>
              </w:rPr>
            </w:pPr>
          </w:p>
        </w:tc>
        <w:tc>
          <w:tcPr>
            <w:tcW w:w="453" w:type="pct"/>
            <w:tcBorders>
              <w:top w:val="single" w:color="auto" w:sz="6" w:space="0"/>
              <w:left w:val="single" w:color="auto" w:sz="4" w:space="0"/>
              <w:bottom w:val="single" w:color="auto" w:sz="6" w:space="0"/>
              <w:right w:val="single" w:color="auto" w:sz="6" w:space="0"/>
            </w:tcBorders>
            <w:vAlign w:val="center"/>
          </w:tcPr>
          <w:p>
            <w:pPr>
              <w:jc w:val="center"/>
              <w:rPr>
                <w:kern w:val="0"/>
                <w:sz w:val="18"/>
                <w:szCs w:val="21"/>
                <w:highlight w:val="none"/>
              </w:rPr>
            </w:pPr>
          </w:p>
        </w:tc>
        <w:tc>
          <w:tcPr>
            <w:tcW w:w="1353" w:type="pct"/>
            <w:tcBorders>
              <w:top w:val="single" w:color="auto" w:sz="6" w:space="0"/>
              <w:left w:val="single" w:color="auto" w:sz="6" w:space="0"/>
              <w:bottom w:val="single" w:color="auto" w:sz="6" w:space="0"/>
              <w:right w:val="single" w:color="auto" w:sz="6" w:space="0"/>
            </w:tcBorders>
            <w:vAlign w:val="center"/>
          </w:tcPr>
          <w:p>
            <w:pPr>
              <w:jc w:val="center"/>
              <w:rPr>
                <w:kern w:val="0"/>
                <w:sz w:val="18"/>
                <w:szCs w:val="21"/>
                <w:highlight w:val="none"/>
              </w:rPr>
            </w:pPr>
          </w:p>
        </w:tc>
      </w:tr>
    </w:tbl>
    <w:p>
      <w:pPr>
        <w:snapToGrid w:val="0"/>
        <w:spacing w:before="120" w:beforeLines="50" w:after="50"/>
        <w:rPr>
          <w:rFonts w:ascii="宋体" w:hAnsi="宋体"/>
          <w:b/>
          <w:szCs w:val="21"/>
          <w:highlight w:val="none"/>
        </w:rPr>
      </w:pPr>
      <w:r>
        <w:rPr>
          <w:rFonts w:hint="eastAsia" w:ascii="宋体" w:hAnsi="宋体"/>
          <w:b/>
          <w:szCs w:val="21"/>
          <w:highlight w:val="none"/>
        </w:rPr>
        <w:t>注：①表格行数不够可自行添加。</w:t>
      </w:r>
    </w:p>
    <w:p>
      <w:pPr>
        <w:pStyle w:val="294"/>
        <w:spacing w:line="360" w:lineRule="auto"/>
        <w:rPr>
          <w:rFonts w:ascii="Times New Roman" w:hAnsi="Times New Roman"/>
          <w:b/>
          <w:color w:val="000000"/>
          <w:szCs w:val="21"/>
          <w:highlight w:val="none"/>
        </w:rPr>
      </w:pPr>
    </w:p>
    <w:p>
      <w:pPr>
        <w:snapToGrid w:val="0"/>
        <w:spacing w:before="50" w:after="50" w:line="360" w:lineRule="auto"/>
        <w:rPr>
          <w:rFonts w:ascii="Times New Roman" w:hAnsi="Times New Roman"/>
          <w:color w:val="000000"/>
          <w:spacing w:val="20"/>
          <w:szCs w:val="21"/>
          <w:highlight w:val="none"/>
          <w:u w:val="single"/>
        </w:rPr>
      </w:pPr>
      <w:r>
        <w:rPr>
          <w:rFonts w:hint="eastAsia" w:ascii="Times New Roman" w:hAnsi="Times New Roman"/>
          <w:color w:val="000000"/>
          <w:szCs w:val="21"/>
          <w:highlight w:val="none"/>
        </w:rPr>
        <w:t>法定代表人或被授权人签字（或盖章）</w:t>
      </w:r>
      <w:r>
        <w:rPr>
          <w:rFonts w:hint="eastAsia" w:ascii="Times New Roman" w:hAnsi="Times New Roman"/>
          <w:color w:val="000000"/>
          <w:spacing w:val="20"/>
          <w:szCs w:val="21"/>
          <w:highlight w:val="none"/>
        </w:rPr>
        <w:t>：</w:t>
      </w:r>
      <w:r>
        <w:rPr>
          <w:rFonts w:ascii="Times New Roman" w:hAnsi="Times New Roman"/>
          <w:color w:val="000000"/>
          <w:spacing w:val="20"/>
          <w:szCs w:val="21"/>
          <w:highlight w:val="none"/>
          <w:u w:val="single"/>
        </w:rPr>
        <w:t xml:space="preserve">        </w:t>
      </w:r>
    </w:p>
    <w:p>
      <w:pPr>
        <w:pStyle w:val="98"/>
        <w:spacing w:after="120" w:line="360" w:lineRule="auto"/>
        <w:ind w:right="480"/>
        <w:rPr>
          <w:rFonts w:ascii="Times New Roman" w:hAnsi="Times New Roman"/>
          <w:b/>
          <w:color w:val="000000"/>
          <w:highlight w:val="none"/>
        </w:rPr>
      </w:pPr>
      <w:r>
        <w:rPr>
          <w:rFonts w:hint="eastAsia" w:ascii="Times New Roman" w:hAnsi="Times New Roman"/>
          <w:color w:val="000000"/>
          <w:sz w:val="21"/>
          <w:highlight w:val="none"/>
        </w:rPr>
        <w:t>投标人公章</w:t>
      </w:r>
      <w:r>
        <w:rPr>
          <w:rFonts w:hint="eastAsia" w:ascii="Times New Roman" w:hAnsi="Times New Roman"/>
          <w:color w:val="000000"/>
          <w:highlight w:val="none"/>
        </w:rPr>
        <w:t>：</w:t>
      </w:r>
      <w:r>
        <w:rPr>
          <w:rFonts w:ascii="Times New Roman" w:hAnsi="Times New Roman"/>
          <w:color w:val="000000"/>
          <w:highlight w:val="none"/>
        </w:rPr>
        <w:t xml:space="preserve">                           </w:t>
      </w:r>
      <w:r>
        <w:rPr>
          <w:rFonts w:hint="eastAsia" w:ascii="Times New Roman" w:hAnsi="Times New Roman"/>
          <w:color w:val="000000"/>
          <w:highlight w:val="none"/>
        </w:rPr>
        <w:t>年</w:t>
      </w:r>
      <w:r>
        <w:rPr>
          <w:rFonts w:ascii="Times New Roman" w:hAnsi="Times New Roman"/>
          <w:color w:val="000000"/>
          <w:highlight w:val="none"/>
        </w:rPr>
        <w:t xml:space="preserve">    </w:t>
      </w:r>
      <w:r>
        <w:rPr>
          <w:rFonts w:hint="eastAsia" w:ascii="Times New Roman" w:hAnsi="Times New Roman"/>
          <w:color w:val="000000"/>
          <w:highlight w:val="none"/>
        </w:rPr>
        <w:t>月</w:t>
      </w:r>
      <w:r>
        <w:rPr>
          <w:rFonts w:ascii="Times New Roman" w:hAnsi="Times New Roman"/>
          <w:color w:val="000000"/>
          <w:highlight w:val="none"/>
        </w:rPr>
        <w:t xml:space="preserve">    </w:t>
      </w:r>
      <w:r>
        <w:rPr>
          <w:rFonts w:hint="eastAsia" w:ascii="Times New Roman" w:hAnsi="Times New Roman"/>
          <w:color w:val="000000"/>
          <w:highlight w:val="none"/>
        </w:rPr>
        <w:t>日</w:t>
      </w:r>
    </w:p>
    <w:p>
      <w:pPr>
        <w:snapToGrid w:val="0"/>
        <w:spacing w:before="120" w:beforeLines="50" w:after="50"/>
        <w:rPr>
          <w:rFonts w:ascii="Times New Roman" w:hAnsi="Times New Roman"/>
          <w:b/>
          <w:color w:val="000000"/>
          <w:szCs w:val="21"/>
          <w:highlight w:val="none"/>
        </w:rPr>
      </w:pPr>
      <w:r>
        <w:rPr>
          <w:rFonts w:ascii="Times New Roman" w:hAnsi="Times New Roman"/>
          <w:b/>
          <w:color w:val="000000"/>
          <w:szCs w:val="21"/>
          <w:highlight w:val="none"/>
        </w:rPr>
        <w:br w:type="page"/>
      </w:r>
      <w:r>
        <w:rPr>
          <w:rFonts w:ascii="Times New Roman" w:hAnsi="Times New Roman"/>
          <w:b/>
          <w:color w:val="000000"/>
          <w:szCs w:val="21"/>
          <w:highlight w:val="none"/>
        </w:rPr>
        <w:t>1</w:t>
      </w:r>
      <w:r>
        <w:rPr>
          <w:rFonts w:hint="eastAsia" w:ascii="Times New Roman" w:hAnsi="Times New Roman"/>
          <w:b/>
          <w:color w:val="000000"/>
          <w:szCs w:val="21"/>
          <w:highlight w:val="none"/>
          <w:lang w:val="en-US" w:eastAsia="zh-CN"/>
        </w:rPr>
        <w:t>2</w:t>
      </w:r>
      <w:r>
        <w:rPr>
          <w:rFonts w:hint="eastAsia" w:ascii="Times New Roman" w:hAnsi="Times New Roman"/>
          <w:b/>
          <w:color w:val="000000"/>
          <w:szCs w:val="21"/>
          <w:highlight w:val="none"/>
        </w:rPr>
        <w:t>、投标函：</w:t>
      </w:r>
    </w:p>
    <w:p>
      <w:pPr>
        <w:snapToGrid w:val="0"/>
        <w:spacing w:before="120" w:beforeLines="50" w:after="50"/>
        <w:jc w:val="center"/>
        <w:rPr>
          <w:rFonts w:ascii="Times New Roman" w:hAnsi="Times New Roman"/>
          <w:b/>
          <w:color w:val="000000"/>
          <w:szCs w:val="21"/>
          <w:highlight w:val="none"/>
        </w:rPr>
      </w:pPr>
      <w:r>
        <w:rPr>
          <w:rFonts w:hint="eastAsia" w:ascii="Times New Roman" w:hAnsi="Times New Roman"/>
          <w:b/>
          <w:color w:val="000000"/>
          <w:szCs w:val="21"/>
          <w:highlight w:val="none"/>
        </w:rPr>
        <w:t>投</w:t>
      </w:r>
      <w:r>
        <w:rPr>
          <w:rFonts w:ascii="Times New Roman" w:hAnsi="Times New Roman"/>
          <w:b/>
          <w:color w:val="000000"/>
          <w:szCs w:val="21"/>
          <w:highlight w:val="none"/>
        </w:rPr>
        <w:t xml:space="preserve"> </w:t>
      </w:r>
      <w:r>
        <w:rPr>
          <w:rFonts w:hint="eastAsia" w:ascii="Times New Roman" w:hAnsi="Times New Roman"/>
          <w:b/>
          <w:color w:val="000000"/>
          <w:szCs w:val="21"/>
          <w:highlight w:val="none"/>
        </w:rPr>
        <w:t>标</w:t>
      </w:r>
      <w:r>
        <w:rPr>
          <w:rFonts w:ascii="Times New Roman" w:hAnsi="Times New Roman"/>
          <w:b/>
          <w:color w:val="000000"/>
          <w:szCs w:val="21"/>
          <w:highlight w:val="none"/>
        </w:rPr>
        <w:t xml:space="preserve"> </w:t>
      </w:r>
      <w:r>
        <w:rPr>
          <w:rFonts w:hint="eastAsia" w:ascii="Times New Roman" w:hAnsi="Times New Roman"/>
          <w:b/>
          <w:color w:val="000000"/>
          <w:szCs w:val="21"/>
          <w:highlight w:val="none"/>
        </w:rPr>
        <w:t>函</w:t>
      </w:r>
    </w:p>
    <w:p>
      <w:pPr>
        <w:snapToGrid w:val="0"/>
        <w:spacing w:line="360" w:lineRule="auto"/>
        <w:rPr>
          <w:rFonts w:hint="eastAsia" w:ascii="Times New Roman" w:hAnsi="Times New Roman" w:eastAsia="宋体"/>
          <w:color w:val="000000"/>
          <w:szCs w:val="21"/>
          <w:highlight w:val="none"/>
          <w:lang w:eastAsia="zh-CN"/>
        </w:rPr>
      </w:pPr>
      <w:r>
        <w:rPr>
          <w:rFonts w:hint="eastAsia" w:ascii="Times New Roman" w:hAnsi="Times New Roman"/>
          <w:color w:val="000000"/>
          <w:szCs w:val="21"/>
          <w:highlight w:val="none"/>
        </w:rPr>
        <w:t>致：</w:t>
      </w:r>
      <w:r>
        <w:rPr>
          <w:rFonts w:hint="eastAsia" w:ascii="Times New Roman" w:hAnsi="Times New Roman"/>
          <w:color w:val="000000"/>
          <w:szCs w:val="21"/>
          <w:highlight w:val="none"/>
          <w:lang w:eastAsia="zh-CN"/>
        </w:rPr>
        <w:t>嘉兴市秀洲区公路与运输管理服务中心</w:t>
      </w:r>
    </w:p>
    <w:p>
      <w:pPr>
        <w:snapToGrid w:val="0"/>
        <w:spacing w:before="120" w:beforeLines="50" w:after="50" w:line="360" w:lineRule="auto"/>
        <w:ind w:firstLine="420" w:firstLineChars="200"/>
        <w:rPr>
          <w:rFonts w:ascii="Times New Roman" w:hAnsi="Times New Roman"/>
          <w:bCs/>
          <w:color w:val="000000"/>
          <w:szCs w:val="21"/>
          <w:highlight w:val="none"/>
        </w:rPr>
      </w:pPr>
      <w:r>
        <w:rPr>
          <w:rFonts w:hint="eastAsia" w:ascii="Times New Roman" w:hAnsi="Times New Roman"/>
          <w:color w:val="000000"/>
          <w:szCs w:val="21"/>
          <w:highlight w:val="none"/>
        </w:rPr>
        <w:t>根据贵方为</w:t>
      </w:r>
      <w:r>
        <w:rPr>
          <w:rFonts w:hint="eastAsia" w:ascii="Times New Roman" w:hAnsi="Times New Roman"/>
          <w:bCs/>
          <w:color w:val="000000"/>
          <w:szCs w:val="21"/>
          <w:highlight w:val="none"/>
        </w:rPr>
        <w:t>项目名称：</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的招标公告（项目编号：</w:t>
      </w:r>
      <w:r>
        <w:rPr>
          <w:rFonts w:ascii="Times New Roman" w:hAnsi="Times New Roman"/>
          <w:color w:val="000000"/>
          <w:szCs w:val="21"/>
          <w:highlight w:val="none"/>
          <w:u w:val="single"/>
        </w:rPr>
        <w:t xml:space="preserve">            </w:t>
      </w:r>
      <w:r>
        <w:rPr>
          <w:rFonts w:hint="eastAsia" w:ascii="Times New Roman" w:hAnsi="Times New Roman"/>
          <w:color w:val="000000"/>
          <w:szCs w:val="21"/>
          <w:highlight w:val="none"/>
        </w:rPr>
        <w:t>号），签字代表</w:t>
      </w:r>
      <w:r>
        <w:rPr>
          <w:rFonts w:ascii="Times New Roman" w:hAnsi="Times New Roman"/>
          <w:color w:val="000000"/>
          <w:szCs w:val="21"/>
          <w:highlight w:val="none"/>
        </w:rPr>
        <w:t>______</w:t>
      </w:r>
      <w:r>
        <w:rPr>
          <w:rFonts w:ascii="Times New Roman" w:hAnsi="Times New Roman"/>
          <w:color w:val="000000"/>
          <w:szCs w:val="21"/>
          <w:highlight w:val="none"/>
          <w:u w:val="single"/>
        </w:rPr>
        <w:t xml:space="preserve">_     </w:t>
      </w:r>
      <w:r>
        <w:rPr>
          <w:rFonts w:hint="eastAsia" w:ascii="Times New Roman" w:hAnsi="Times New Roman"/>
          <w:color w:val="000000"/>
          <w:szCs w:val="21"/>
          <w:highlight w:val="none"/>
        </w:rPr>
        <w:t>（全名）经正式授权并代表投标人</w:t>
      </w:r>
      <w:r>
        <w:rPr>
          <w:rFonts w:ascii="Times New Roman" w:hAnsi="Times New Roman"/>
          <w:color w:val="000000"/>
          <w:szCs w:val="21"/>
          <w:highlight w:val="none"/>
        </w:rPr>
        <w:t>_____</w:t>
      </w:r>
      <w:r>
        <w:rPr>
          <w:rFonts w:ascii="Times New Roman" w:hAnsi="Times New Roman"/>
          <w:color w:val="000000"/>
          <w:szCs w:val="21"/>
          <w:highlight w:val="none"/>
          <w:u w:val="single"/>
        </w:rPr>
        <w:t xml:space="preserve">__         </w:t>
      </w:r>
      <w:r>
        <w:rPr>
          <w:rFonts w:hint="eastAsia" w:ascii="Times New Roman" w:hAnsi="Times New Roman"/>
          <w:color w:val="000000"/>
          <w:szCs w:val="21"/>
          <w:highlight w:val="none"/>
        </w:rPr>
        <w:t>（投标人名称）提交资格文件、商务技术文件、报价文件各一份。</w:t>
      </w:r>
    </w:p>
    <w:p>
      <w:pPr>
        <w:snapToGrid w:val="0"/>
        <w:spacing w:line="360" w:lineRule="auto"/>
        <w:ind w:firstLine="420" w:firstLineChars="200"/>
        <w:rPr>
          <w:rFonts w:ascii="Times New Roman" w:hAnsi="Times New Roman"/>
          <w:color w:val="000000"/>
          <w:szCs w:val="21"/>
          <w:highlight w:val="none"/>
        </w:rPr>
      </w:pPr>
      <w:r>
        <w:rPr>
          <w:rFonts w:hint="eastAsia" w:ascii="Times New Roman" w:hAnsi="Times New Roman"/>
          <w:color w:val="000000"/>
          <w:szCs w:val="21"/>
          <w:highlight w:val="none"/>
        </w:rPr>
        <w:t>据此函，签字代表宣布同意如下：</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1.</w:t>
      </w:r>
      <w:r>
        <w:rPr>
          <w:rFonts w:hint="eastAsia" w:ascii="Times New Roman" w:hAnsi="Times New Roman"/>
          <w:color w:val="000000"/>
          <w:szCs w:val="21"/>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2.</w:t>
      </w:r>
      <w:r>
        <w:rPr>
          <w:rFonts w:hint="eastAsia" w:ascii="Times New Roman" w:hAnsi="Times New Roman"/>
          <w:color w:val="000000"/>
          <w:szCs w:val="21"/>
          <w:highlight w:val="none"/>
        </w:rPr>
        <w:t>投标人在投标之前已经与贵方进行了充分的沟通，完全理解并接受招标文件的各项规定和要求，对招标文件的合理性、合法性不再有异议。</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3.</w:t>
      </w:r>
      <w:r>
        <w:rPr>
          <w:rFonts w:hint="eastAsia" w:ascii="Times New Roman" w:hAnsi="Times New Roman"/>
          <w:color w:val="000000"/>
          <w:szCs w:val="21"/>
          <w:highlight w:val="none"/>
        </w:rPr>
        <w:t>本投标有效期自开标日起</w:t>
      </w:r>
      <w:r>
        <w:rPr>
          <w:rFonts w:ascii="Times New Roman" w:hAnsi="Times New Roman"/>
          <w:color w:val="000000"/>
          <w:szCs w:val="21"/>
          <w:highlight w:val="none"/>
          <w:u w:val="single"/>
        </w:rPr>
        <w:t xml:space="preserve"> 90 </w:t>
      </w:r>
      <w:r>
        <w:rPr>
          <w:rFonts w:hint="eastAsia" w:ascii="Times New Roman" w:hAnsi="Times New Roman"/>
          <w:color w:val="000000"/>
          <w:szCs w:val="21"/>
          <w:highlight w:val="none"/>
        </w:rPr>
        <w:t>天。</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4.</w:t>
      </w:r>
      <w:r>
        <w:rPr>
          <w:rFonts w:hint="eastAsia" w:ascii="Times New Roman" w:hAnsi="Times New Roman"/>
          <w:color w:val="000000"/>
          <w:szCs w:val="21"/>
          <w:highlight w:val="none"/>
        </w:rPr>
        <w:t>如中标，本投标文件至本项目合同履行完毕止均保持有效，本投标人将按“招标文件”及政府采购法律、法规的规定履行合同责任和义务。</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5.</w:t>
      </w:r>
      <w:r>
        <w:rPr>
          <w:rFonts w:hint="eastAsia" w:ascii="Times New Roman" w:hAnsi="Times New Roman"/>
          <w:color w:val="000000"/>
          <w:szCs w:val="21"/>
          <w:highlight w:val="none"/>
        </w:rPr>
        <w:t>投标人同意按照贵方要求提供与投标有关的一切数据或资料。</w:t>
      </w:r>
    </w:p>
    <w:p>
      <w:pPr>
        <w:snapToGrid w:val="0"/>
        <w:spacing w:line="360" w:lineRule="auto"/>
        <w:ind w:firstLine="420" w:firstLineChars="200"/>
        <w:rPr>
          <w:rFonts w:ascii="Times New Roman" w:hAnsi="Times New Roman"/>
          <w:color w:val="000000"/>
          <w:szCs w:val="21"/>
          <w:highlight w:val="none"/>
        </w:rPr>
      </w:pPr>
      <w:r>
        <w:rPr>
          <w:rFonts w:ascii="Times New Roman" w:hAnsi="Times New Roman"/>
          <w:color w:val="000000"/>
          <w:szCs w:val="21"/>
          <w:highlight w:val="none"/>
        </w:rPr>
        <w:t>6.</w:t>
      </w:r>
      <w:r>
        <w:rPr>
          <w:rFonts w:hint="eastAsia" w:ascii="Times New Roman" w:hAnsi="Times New Roman"/>
          <w:color w:val="000000"/>
          <w:szCs w:val="21"/>
          <w:highlight w:val="none"/>
        </w:rPr>
        <w:t>与本投标有关的一切正式往来信函请寄：</w:t>
      </w:r>
    </w:p>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地址：</w:t>
      </w:r>
      <w:r>
        <w:rPr>
          <w:rFonts w:ascii="Times New Roman" w:hAnsi="Times New Roman"/>
          <w:color w:val="000000"/>
          <w:szCs w:val="21"/>
          <w:highlight w:val="none"/>
        </w:rPr>
        <w:t>__________</w:t>
      </w:r>
      <w:r>
        <w:rPr>
          <w:rFonts w:ascii="Times New Roman" w:hAnsi="Times New Roman"/>
          <w:color w:val="000000"/>
          <w:szCs w:val="21"/>
          <w:highlight w:val="none"/>
          <w:u w:val="single"/>
        </w:rPr>
        <w:t xml:space="preserve">        _</w:t>
      </w:r>
      <w:r>
        <w:rPr>
          <w:rFonts w:ascii="Times New Roman" w:hAnsi="Times New Roman"/>
          <w:color w:val="000000"/>
          <w:szCs w:val="21"/>
          <w:highlight w:val="none"/>
        </w:rPr>
        <w:t>____</w:t>
      </w:r>
      <w:r>
        <w:rPr>
          <w:rFonts w:hint="eastAsia" w:ascii="Times New Roman" w:hAnsi="Times New Roman"/>
          <w:color w:val="000000"/>
          <w:szCs w:val="21"/>
          <w:highlight w:val="none"/>
        </w:rPr>
        <w:t>邮编：</w:t>
      </w:r>
      <w:r>
        <w:rPr>
          <w:rFonts w:ascii="Times New Roman" w:hAnsi="Times New Roman"/>
          <w:color w:val="000000"/>
          <w:szCs w:val="21"/>
          <w:highlight w:val="none"/>
        </w:rPr>
        <w:t xml:space="preserve">__________   </w:t>
      </w:r>
      <w:r>
        <w:rPr>
          <w:rFonts w:hint="eastAsia" w:ascii="Times New Roman" w:hAnsi="Times New Roman"/>
          <w:color w:val="000000"/>
          <w:szCs w:val="21"/>
          <w:highlight w:val="none"/>
        </w:rPr>
        <w:t>电话：</w:t>
      </w:r>
      <w:r>
        <w:rPr>
          <w:rFonts w:ascii="Times New Roman" w:hAnsi="Times New Roman"/>
          <w:color w:val="000000"/>
          <w:szCs w:val="21"/>
          <w:highlight w:val="none"/>
        </w:rPr>
        <w:t>______________</w:t>
      </w:r>
    </w:p>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传真：</w:t>
      </w:r>
      <w:r>
        <w:rPr>
          <w:rFonts w:ascii="Times New Roman" w:hAnsi="Times New Roman"/>
          <w:color w:val="000000"/>
          <w:szCs w:val="21"/>
          <w:highlight w:val="none"/>
        </w:rPr>
        <w:t>______________</w:t>
      </w:r>
      <w:r>
        <w:rPr>
          <w:rFonts w:hint="eastAsia" w:ascii="Times New Roman" w:hAnsi="Times New Roman"/>
          <w:color w:val="000000"/>
          <w:szCs w:val="21"/>
          <w:highlight w:val="none"/>
        </w:rPr>
        <w:t>投标人代表姓名：</w:t>
      </w:r>
      <w:r>
        <w:rPr>
          <w:rFonts w:ascii="Times New Roman" w:hAnsi="Times New Roman"/>
          <w:color w:val="000000"/>
          <w:szCs w:val="21"/>
          <w:highlight w:val="none"/>
        </w:rPr>
        <w:t xml:space="preserve">__________  </w:t>
      </w:r>
      <w:r>
        <w:rPr>
          <w:rFonts w:hint="eastAsia" w:ascii="Times New Roman" w:hAnsi="Times New Roman"/>
          <w:color w:val="000000"/>
          <w:szCs w:val="21"/>
          <w:highlight w:val="none"/>
        </w:rPr>
        <w:t>职务：</w:t>
      </w:r>
      <w:r>
        <w:rPr>
          <w:rFonts w:ascii="Times New Roman" w:hAnsi="Times New Roman"/>
          <w:color w:val="000000"/>
          <w:szCs w:val="21"/>
          <w:highlight w:val="none"/>
        </w:rPr>
        <w:t>______</w:t>
      </w:r>
      <w:r>
        <w:rPr>
          <w:rFonts w:ascii="Times New Roman" w:hAnsi="Times New Roman"/>
          <w:color w:val="000000"/>
          <w:szCs w:val="21"/>
          <w:highlight w:val="none"/>
          <w:u w:val="single"/>
        </w:rPr>
        <w:t xml:space="preserve"> </w:t>
      </w:r>
      <w:r>
        <w:rPr>
          <w:rFonts w:ascii="Times New Roman" w:hAnsi="Times New Roman"/>
          <w:color w:val="000000"/>
          <w:szCs w:val="21"/>
          <w:highlight w:val="none"/>
        </w:rPr>
        <w:t>_______</w:t>
      </w:r>
    </w:p>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投标人名称</w:t>
      </w:r>
      <w:r>
        <w:rPr>
          <w:rFonts w:ascii="Times New Roman" w:hAnsi="Times New Roman"/>
          <w:color w:val="000000"/>
          <w:szCs w:val="21"/>
          <w:highlight w:val="none"/>
        </w:rPr>
        <w:t>(</w:t>
      </w:r>
      <w:r>
        <w:rPr>
          <w:rFonts w:hint="eastAsia" w:ascii="Times New Roman" w:hAnsi="Times New Roman"/>
          <w:color w:val="000000"/>
          <w:szCs w:val="21"/>
          <w:highlight w:val="none"/>
        </w:rPr>
        <w:t>公章</w:t>
      </w:r>
      <w:r>
        <w:rPr>
          <w:rFonts w:ascii="Times New Roman" w:hAnsi="Times New Roman"/>
          <w:color w:val="000000"/>
          <w:szCs w:val="21"/>
          <w:highlight w:val="none"/>
        </w:rPr>
        <w:t>):___________________</w:t>
      </w:r>
    </w:p>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开户银行：</w:t>
      </w:r>
      <w:r>
        <w:rPr>
          <w:rFonts w:ascii="Times New Roman" w:hAnsi="Times New Roman"/>
          <w:color w:val="000000"/>
          <w:szCs w:val="21"/>
          <w:highlight w:val="none"/>
          <w:u w:val="single"/>
        </w:rPr>
        <w:t xml:space="preserve">                      </w:t>
      </w:r>
      <w:r>
        <w:rPr>
          <w:rFonts w:ascii="Times New Roman" w:hAnsi="Times New Roman"/>
          <w:color w:val="000000"/>
          <w:szCs w:val="21"/>
          <w:highlight w:val="none"/>
        </w:rPr>
        <w:t xml:space="preserve">   </w:t>
      </w:r>
      <w:r>
        <w:rPr>
          <w:rFonts w:hint="eastAsia" w:ascii="Times New Roman" w:hAnsi="Times New Roman"/>
          <w:color w:val="000000"/>
          <w:szCs w:val="21"/>
          <w:highlight w:val="none"/>
        </w:rPr>
        <w:t>银行账号：</w:t>
      </w:r>
      <w:r>
        <w:rPr>
          <w:rFonts w:ascii="Times New Roman" w:hAnsi="Times New Roman"/>
          <w:color w:val="000000"/>
          <w:szCs w:val="21"/>
          <w:highlight w:val="none"/>
          <w:u w:val="single"/>
        </w:rPr>
        <w:t xml:space="preserve">                    </w:t>
      </w:r>
      <w:r>
        <w:rPr>
          <w:rFonts w:ascii="Times New Roman" w:hAnsi="Times New Roman"/>
          <w:color w:val="000000"/>
          <w:szCs w:val="21"/>
          <w:highlight w:val="none"/>
        </w:rPr>
        <w:t xml:space="preserve"> </w:t>
      </w:r>
    </w:p>
    <w:p>
      <w:pPr>
        <w:snapToGrid w:val="0"/>
        <w:spacing w:line="360" w:lineRule="auto"/>
        <w:rPr>
          <w:rFonts w:ascii="Times New Roman" w:hAnsi="Times New Roman"/>
          <w:color w:val="000000"/>
          <w:szCs w:val="21"/>
          <w:highlight w:val="none"/>
        </w:rPr>
      </w:pPr>
      <w:r>
        <w:rPr>
          <w:rFonts w:hint="eastAsia" w:ascii="Times New Roman" w:hAnsi="Times New Roman"/>
          <w:color w:val="000000"/>
          <w:szCs w:val="21"/>
          <w:highlight w:val="none"/>
        </w:rPr>
        <w:t>法定代表人签字（或盖章）：</w:t>
      </w:r>
      <w:r>
        <w:rPr>
          <w:rFonts w:ascii="Times New Roman" w:hAnsi="Times New Roman"/>
          <w:color w:val="000000"/>
          <w:szCs w:val="21"/>
          <w:highlight w:val="none"/>
        </w:rPr>
        <w:t xml:space="preserve">___________          </w:t>
      </w:r>
      <w:r>
        <w:rPr>
          <w:rFonts w:hint="eastAsia" w:ascii="Times New Roman" w:hAnsi="Times New Roman"/>
          <w:color w:val="000000"/>
          <w:szCs w:val="21"/>
          <w:highlight w:val="none"/>
        </w:rPr>
        <w:t>日期</w:t>
      </w:r>
      <w:r>
        <w:rPr>
          <w:rFonts w:ascii="Times New Roman" w:hAnsi="Times New Roman"/>
          <w:color w:val="000000"/>
          <w:szCs w:val="21"/>
          <w:highlight w:val="none"/>
        </w:rPr>
        <w:t>:_____</w:t>
      </w:r>
      <w:r>
        <w:rPr>
          <w:rFonts w:hint="eastAsia" w:ascii="Times New Roman" w:hAnsi="Times New Roman"/>
          <w:color w:val="000000"/>
          <w:szCs w:val="21"/>
          <w:highlight w:val="none"/>
        </w:rPr>
        <w:t>年</w:t>
      </w:r>
      <w:r>
        <w:rPr>
          <w:rFonts w:ascii="Times New Roman" w:hAnsi="Times New Roman"/>
          <w:color w:val="000000"/>
          <w:szCs w:val="21"/>
          <w:highlight w:val="none"/>
        </w:rPr>
        <w:t>___</w:t>
      </w:r>
      <w:r>
        <w:rPr>
          <w:rFonts w:hint="eastAsia" w:ascii="Times New Roman" w:hAnsi="Times New Roman"/>
          <w:color w:val="000000"/>
          <w:szCs w:val="21"/>
          <w:highlight w:val="none"/>
        </w:rPr>
        <w:t>月</w:t>
      </w:r>
      <w:r>
        <w:rPr>
          <w:rFonts w:ascii="Times New Roman" w:hAnsi="Times New Roman"/>
          <w:color w:val="000000"/>
          <w:szCs w:val="21"/>
          <w:highlight w:val="none"/>
        </w:rPr>
        <w:t>___</w:t>
      </w:r>
      <w:r>
        <w:rPr>
          <w:rFonts w:hint="eastAsia" w:ascii="Times New Roman" w:hAnsi="Times New Roman"/>
          <w:color w:val="000000"/>
          <w:szCs w:val="21"/>
          <w:highlight w:val="none"/>
        </w:rPr>
        <w:t>日</w:t>
      </w:r>
    </w:p>
    <w:p>
      <w:pPr>
        <w:snapToGrid w:val="0"/>
        <w:spacing w:before="50" w:after="50"/>
        <w:rPr>
          <w:rFonts w:ascii="Times New Roman" w:hAnsi="Times New Roman"/>
          <w:color w:val="000000"/>
          <w:szCs w:val="21"/>
          <w:highlight w:val="none"/>
        </w:rPr>
      </w:pPr>
    </w:p>
    <w:p>
      <w:pPr>
        <w:snapToGrid w:val="0"/>
        <w:spacing w:before="50" w:after="50"/>
        <w:rPr>
          <w:rFonts w:ascii="Times New Roman" w:hAnsi="Times New Roman"/>
          <w:color w:val="000000"/>
          <w:szCs w:val="21"/>
          <w:highlight w:val="none"/>
        </w:rPr>
      </w:pPr>
    </w:p>
    <w:p>
      <w:pPr>
        <w:widowControl/>
        <w:jc w:val="left"/>
        <w:rPr>
          <w:rFonts w:ascii="Times New Roman" w:hAnsi="Times New Roman"/>
          <w:color w:val="000000"/>
          <w:szCs w:val="21"/>
          <w:highlight w:val="none"/>
        </w:rPr>
        <w:sectPr>
          <w:pgSz w:w="11906" w:h="16838"/>
          <w:pgMar w:top="1440" w:right="1797" w:bottom="1440" w:left="1797" w:header="851" w:footer="851" w:gutter="0"/>
          <w:cols w:space="720" w:num="1"/>
        </w:sectPr>
      </w:pPr>
    </w:p>
    <w:p>
      <w:pPr>
        <w:pStyle w:val="294"/>
        <w:spacing w:line="360" w:lineRule="auto"/>
        <w:rPr>
          <w:rFonts w:ascii="Times New Roman" w:hAnsi="Times New Roman" w:eastAsia="宋体"/>
          <w:b/>
          <w:color w:val="000000"/>
          <w:sz w:val="21"/>
          <w:szCs w:val="21"/>
          <w:highlight w:val="none"/>
        </w:rPr>
      </w:pPr>
      <w:r>
        <w:rPr>
          <w:rFonts w:ascii="Times New Roman" w:hAnsi="Times New Roman" w:eastAsia="宋体"/>
          <w:b/>
          <w:bCs/>
          <w:color w:val="000000"/>
          <w:sz w:val="21"/>
          <w:szCs w:val="21"/>
          <w:highlight w:val="none"/>
        </w:rPr>
        <w:t>1</w:t>
      </w:r>
      <w:r>
        <w:rPr>
          <w:rFonts w:hint="eastAsia" w:ascii="Times New Roman" w:hAnsi="Times New Roman" w:eastAsia="宋体"/>
          <w:b/>
          <w:bCs/>
          <w:color w:val="000000"/>
          <w:sz w:val="21"/>
          <w:szCs w:val="21"/>
          <w:highlight w:val="none"/>
          <w:lang w:val="en-US" w:eastAsia="zh-CN"/>
        </w:rPr>
        <w:t>3</w:t>
      </w:r>
      <w:r>
        <w:rPr>
          <w:rFonts w:hint="eastAsia" w:ascii="Times New Roman" w:hAnsi="Times New Roman" w:eastAsia="宋体"/>
          <w:b/>
          <w:bCs/>
          <w:color w:val="000000"/>
          <w:sz w:val="21"/>
          <w:szCs w:val="21"/>
          <w:highlight w:val="none"/>
        </w:rPr>
        <w:t>、</w:t>
      </w:r>
      <w:r>
        <w:rPr>
          <w:rFonts w:hint="eastAsia" w:ascii="Times New Roman" w:hAnsi="Times New Roman" w:eastAsia="宋体"/>
          <w:b/>
          <w:color w:val="000000"/>
          <w:sz w:val="21"/>
          <w:szCs w:val="21"/>
          <w:highlight w:val="none"/>
        </w:rPr>
        <w:t>开标一览表</w:t>
      </w:r>
    </w:p>
    <w:p>
      <w:pPr>
        <w:pStyle w:val="294"/>
        <w:jc w:val="center"/>
        <w:rPr>
          <w:rFonts w:hAnsi="宋体" w:eastAsia="宋体"/>
          <w:b/>
          <w:sz w:val="21"/>
          <w:szCs w:val="21"/>
          <w:highlight w:val="none"/>
        </w:rPr>
      </w:pPr>
      <w:r>
        <w:rPr>
          <w:rFonts w:hint="eastAsia" w:hAnsi="宋体" w:eastAsia="宋体"/>
          <w:b/>
          <w:sz w:val="21"/>
          <w:szCs w:val="21"/>
          <w:highlight w:val="none"/>
        </w:rPr>
        <w:t>开标一览表</w:t>
      </w:r>
    </w:p>
    <w:p>
      <w:pPr>
        <w:snapToGrid w:val="0"/>
        <w:spacing w:before="50" w:after="50"/>
        <w:rPr>
          <w:rFonts w:ascii="宋体" w:hAnsi="宋体"/>
          <w:szCs w:val="21"/>
          <w:highlight w:val="none"/>
          <w:u w:val="single"/>
        </w:rPr>
      </w:pPr>
      <w:r>
        <w:rPr>
          <w:rFonts w:hint="eastAsia" w:ascii="宋体" w:hAnsi="宋体"/>
          <w:szCs w:val="21"/>
          <w:highlight w:val="none"/>
        </w:rPr>
        <w:t>招标编号：</w:t>
      </w:r>
      <w:r>
        <w:rPr>
          <w:rFonts w:hint="eastAsia" w:ascii="宋体" w:hAnsi="宋体"/>
          <w:szCs w:val="21"/>
          <w:highlight w:val="none"/>
          <w:u w:val="single"/>
        </w:rPr>
        <w:t xml:space="preserve">            </w:t>
      </w:r>
      <w:r>
        <w:rPr>
          <w:rFonts w:hint="eastAsia" w:ascii="宋体" w:hAnsi="宋体"/>
          <w:szCs w:val="21"/>
          <w:highlight w:val="none"/>
        </w:rPr>
        <w:t xml:space="preserve">  </w:t>
      </w:r>
    </w:p>
    <w:p>
      <w:pPr>
        <w:snapToGrid w:val="0"/>
        <w:spacing w:before="50" w:after="50"/>
        <w:ind w:right="482"/>
        <w:rPr>
          <w:rFonts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 xml:space="preserve">                               </w:t>
      </w:r>
    </w:p>
    <w:p>
      <w:pPr>
        <w:snapToGrid w:val="0"/>
        <w:spacing w:before="50" w:after="50"/>
        <w:ind w:right="482"/>
        <w:rPr>
          <w:rFonts w:ascii="Times New Roman" w:hAnsi="Times New Roman"/>
          <w:szCs w:val="21"/>
          <w:highlight w:val="none"/>
        </w:rPr>
      </w:pPr>
      <w:r>
        <w:rPr>
          <w:rFonts w:hint="eastAsia" w:ascii="Times New Roman" w:hAnsi="Times New Roman"/>
          <w:szCs w:val="21"/>
          <w:highlight w:val="none"/>
        </w:rPr>
        <w:t>金额单位：人民币（元）</w:t>
      </w:r>
    </w:p>
    <w:tbl>
      <w:tblPr>
        <w:tblStyle w:val="49"/>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2554"/>
        <w:gridCol w:w="2287"/>
        <w:gridCol w:w="1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913" w:type="pct"/>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Times New Roman" w:hAnsi="Times New Roman"/>
                <w:szCs w:val="21"/>
                <w:highlight w:val="none"/>
              </w:rPr>
            </w:pPr>
            <w:r>
              <w:rPr>
                <w:rFonts w:hint="eastAsia" w:ascii="Times New Roman" w:hAnsi="Times New Roman"/>
                <w:szCs w:val="21"/>
                <w:highlight w:val="none"/>
              </w:rPr>
              <w:t>序号</w:t>
            </w:r>
          </w:p>
        </w:tc>
        <w:tc>
          <w:tcPr>
            <w:tcW w:w="1577" w:type="pct"/>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Times New Roman" w:hAnsi="Times New Roman"/>
                <w:szCs w:val="21"/>
                <w:highlight w:val="none"/>
              </w:rPr>
            </w:pPr>
            <w:r>
              <w:rPr>
                <w:rFonts w:hint="eastAsia" w:ascii="Times New Roman" w:hAnsi="Times New Roman"/>
                <w:szCs w:val="21"/>
                <w:highlight w:val="none"/>
              </w:rPr>
              <w:t>投标报价</w:t>
            </w:r>
          </w:p>
        </w:tc>
        <w:tc>
          <w:tcPr>
            <w:tcW w:w="1412" w:type="pct"/>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Times New Roman" w:hAnsi="Times New Roman"/>
                <w:szCs w:val="21"/>
                <w:highlight w:val="none"/>
              </w:rPr>
            </w:pPr>
            <w:r>
              <w:rPr>
                <w:rFonts w:hint="eastAsia" w:ascii="Times New Roman" w:hAnsi="Times New Roman"/>
                <w:szCs w:val="21"/>
                <w:highlight w:val="none"/>
              </w:rPr>
              <w:t>项目经理</w:t>
            </w:r>
          </w:p>
        </w:tc>
        <w:tc>
          <w:tcPr>
            <w:tcW w:w="1098" w:type="pct"/>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Times New Roman" w:hAnsi="Times New Roman"/>
                <w:szCs w:val="21"/>
                <w:highlight w:val="none"/>
              </w:rPr>
            </w:pPr>
            <w:r>
              <w:rPr>
                <w:rFonts w:hint="eastAsia" w:ascii="Times New Roman" w:hAnsi="Times New Roman"/>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913" w:type="pct"/>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Times New Roman" w:hAnsi="Times New Roman"/>
                <w:szCs w:val="21"/>
                <w:highlight w:val="none"/>
              </w:rPr>
            </w:pPr>
            <w:r>
              <w:rPr>
                <w:rFonts w:ascii="Times New Roman" w:hAnsi="Times New Roman"/>
                <w:szCs w:val="21"/>
                <w:highlight w:val="none"/>
              </w:rPr>
              <w:t>1</w:t>
            </w:r>
          </w:p>
        </w:tc>
        <w:tc>
          <w:tcPr>
            <w:tcW w:w="1577" w:type="pct"/>
            <w:tcBorders>
              <w:top w:val="single" w:color="auto" w:sz="4" w:space="0"/>
              <w:left w:val="single" w:color="auto" w:sz="4" w:space="0"/>
              <w:bottom w:val="single" w:color="auto" w:sz="4" w:space="0"/>
              <w:right w:val="single" w:color="auto" w:sz="4" w:space="0"/>
            </w:tcBorders>
            <w:vAlign w:val="center"/>
          </w:tcPr>
          <w:p>
            <w:pPr>
              <w:spacing w:line="540" w:lineRule="exact"/>
              <w:jc w:val="left"/>
              <w:rPr>
                <w:rFonts w:ascii="Times New Roman" w:hAnsi="Times New Roman"/>
                <w:szCs w:val="21"/>
                <w:highlight w:val="none"/>
              </w:rPr>
            </w:pPr>
            <w:r>
              <w:rPr>
                <w:rFonts w:ascii="Times New Roman" w:hAnsi="Times New Roman"/>
                <w:szCs w:val="21"/>
                <w:highlight w:val="none"/>
              </w:rPr>
              <w:t>(</w:t>
            </w:r>
            <w:r>
              <w:rPr>
                <w:rFonts w:hint="eastAsia" w:ascii="Times New Roman" w:hAnsi="Times New Roman"/>
                <w:szCs w:val="21"/>
                <w:highlight w:val="none"/>
              </w:rPr>
              <w:t>小写</w:t>
            </w:r>
            <w:r>
              <w:rPr>
                <w:rFonts w:ascii="Times New Roman" w:hAnsi="Times New Roman"/>
                <w:szCs w:val="21"/>
                <w:highlight w:val="none"/>
              </w:rPr>
              <w:t>)</w:t>
            </w:r>
            <w:r>
              <w:rPr>
                <w:rFonts w:hint="eastAsia" w:ascii="Times New Roman" w:hAnsi="Times New Roman"/>
                <w:szCs w:val="21"/>
                <w:highlight w:val="none"/>
              </w:rPr>
              <w:t>￥</w:t>
            </w:r>
            <w:r>
              <w:rPr>
                <w:rFonts w:ascii="Times New Roman" w:hAnsi="Times New Roman"/>
                <w:szCs w:val="21"/>
                <w:highlight w:val="none"/>
              </w:rPr>
              <w:t>:</w:t>
            </w:r>
          </w:p>
          <w:p>
            <w:pPr>
              <w:spacing w:line="540" w:lineRule="exact"/>
              <w:rPr>
                <w:rFonts w:ascii="Times New Roman" w:hAnsi="Times New Roman"/>
                <w:szCs w:val="21"/>
                <w:highlight w:val="none"/>
              </w:rPr>
            </w:pPr>
            <w:r>
              <w:rPr>
                <w:rFonts w:ascii="Times New Roman" w:hAnsi="Times New Roman"/>
                <w:szCs w:val="21"/>
                <w:highlight w:val="none"/>
              </w:rPr>
              <w:t>(</w:t>
            </w:r>
            <w:r>
              <w:rPr>
                <w:rFonts w:hint="eastAsia" w:ascii="Times New Roman" w:hAnsi="Times New Roman"/>
                <w:szCs w:val="21"/>
                <w:highlight w:val="none"/>
              </w:rPr>
              <w:t>大写</w:t>
            </w:r>
            <w:r>
              <w:rPr>
                <w:rFonts w:ascii="Times New Roman" w:hAnsi="Times New Roman"/>
                <w:szCs w:val="21"/>
                <w:highlight w:val="none"/>
              </w:rPr>
              <w:t>)</w:t>
            </w:r>
            <w:r>
              <w:rPr>
                <w:rFonts w:hint="eastAsia" w:ascii="Times New Roman" w:hAnsi="Times New Roman"/>
                <w:szCs w:val="21"/>
                <w:highlight w:val="none"/>
              </w:rPr>
              <w:t>人民币：</w:t>
            </w:r>
          </w:p>
        </w:tc>
        <w:tc>
          <w:tcPr>
            <w:tcW w:w="1412" w:type="pct"/>
            <w:tcBorders>
              <w:top w:val="single" w:color="auto" w:sz="4" w:space="0"/>
              <w:left w:val="single" w:color="auto" w:sz="4" w:space="0"/>
              <w:bottom w:val="single" w:color="auto" w:sz="4" w:space="0"/>
              <w:right w:val="single" w:color="auto" w:sz="4" w:space="0"/>
            </w:tcBorders>
          </w:tcPr>
          <w:p>
            <w:pPr>
              <w:spacing w:line="540" w:lineRule="exact"/>
              <w:jc w:val="left"/>
              <w:rPr>
                <w:rFonts w:ascii="Times New Roman" w:hAnsi="Times New Roman"/>
                <w:szCs w:val="21"/>
                <w:highlight w:val="none"/>
              </w:rPr>
            </w:pPr>
          </w:p>
        </w:tc>
        <w:tc>
          <w:tcPr>
            <w:tcW w:w="1098" w:type="pct"/>
            <w:tcBorders>
              <w:top w:val="single" w:color="auto" w:sz="4" w:space="0"/>
              <w:left w:val="single" w:color="auto" w:sz="4" w:space="0"/>
              <w:bottom w:val="single" w:color="auto" w:sz="4" w:space="0"/>
              <w:right w:val="single" w:color="auto" w:sz="4" w:space="0"/>
            </w:tcBorders>
            <w:vAlign w:val="center"/>
          </w:tcPr>
          <w:p>
            <w:pPr>
              <w:spacing w:line="540" w:lineRule="exact"/>
              <w:jc w:val="center"/>
              <w:rPr>
                <w:rFonts w:ascii="Times New Roman" w:hAnsi="Times New Roman"/>
                <w:szCs w:val="21"/>
                <w:highlight w:val="none"/>
              </w:rPr>
            </w:pPr>
          </w:p>
        </w:tc>
      </w:tr>
    </w:tbl>
    <w:p>
      <w:pPr>
        <w:pStyle w:val="28"/>
        <w:spacing w:line="380" w:lineRule="exact"/>
        <w:ind w:firstLine="482" w:firstLineChars="200"/>
        <w:jc w:val="left"/>
        <w:rPr>
          <w:rFonts w:hint="eastAsia" w:ascii="Times New Roman" w:hAnsi="Times New Roman"/>
          <w:b/>
          <w:szCs w:val="21"/>
          <w:highlight w:val="none"/>
        </w:rPr>
      </w:pPr>
      <w:r>
        <w:rPr>
          <w:rFonts w:hint="eastAsia" w:ascii="Times New Roman" w:hAnsi="Times New Roman"/>
          <w:b/>
          <w:szCs w:val="21"/>
          <w:highlight w:val="none"/>
        </w:rPr>
        <w:t>注: 1、报价一经涂改，应在涂改处加盖单位公章或者由法定代表人或被授权人签字（或盖章），否则其投标作无效标处理；2、报价应包括人员工资、设备使用费用、材料费用、管理、保险、交通食宿费用、税金、利润及政策性文件规定等各项应有费用等为完成本项目所需要的全部费用；3、以上报价应与“报价明细表”中的“总价”相一致。</w:t>
      </w:r>
    </w:p>
    <w:p>
      <w:pPr>
        <w:snapToGrid w:val="0"/>
        <w:spacing w:before="50" w:after="50"/>
        <w:jc w:val="left"/>
        <w:rPr>
          <w:rFonts w:ascii="宋体" w:hAnsi="宋体"/>
          <w:szCs w:val="21"/>
          <w:highlight w:val="none"/>
        </w:rPr>
      </w:pPr>
      <w:r>
        <w:rPr>
          <w:rFonts w:hint="eastAsia" w:ascii="宋体" w:hAnsi="宋体"/>
          <w:szCs w:val="21"/>
          <w:highlight w:val="none"/>
        </w:rPr>
        <w:t>法定代表人或被授权人签字（或盖章）：</w:t>
      </w:r>
    </w:p>
    <w:p>
      <w:pPr>
        <w:snapToGrid w:val="0"/>
        <w:spacing w:before="50" w:after="50"/>
        <w:jc w:val="left"/>
        <w:rPr>
          <w:rFonts w:ascii="宋体" w:hAnsi="宋体"/>
          <w:szCs w:val="21"/>
          <w:highlight w:val="none"/>
        </w:rPr>
      </w:pPr>
      <w:r>
        <w:rPr>
          <w:rFonts w:hint="eastAsia" w:ascii="宋体" w:hAnsi="宋体"/>
          <w:szCs w:val="21"/>
          <w:highlight w:val="none"/>
        </w:rPr>
        <w:t>投标人公章：</w:t>
      </w:r>
    </w:p>
    <w:p>
      <w:pPr>
        <w:snapToGrid w:val="0"/>
        <w:spacing w:before="50" w:after="50"/>
        <w:rPr>
          <w:szCs w:val="21"/>
          <w:highlight w:val="none"/>
        </w:rPr>
      </w:pPr>
      <w:r>
        <w:rPr>
          <w:szCs w:val="21"/>
          <w:highlight w:val="none"/>
        </w:rPr>
        <w:t xml:space="preserve">                                                                                       </w:t>
      </w:r>
      <w:r>
        <w:rPr>
          <w:rFonts w:hint="eastAsia"/>
          <w:szCs w:val="21"/>
          <w:highlight w:val="none"/>
        </w:rPr>
        <w:t>日期：</w:t>
      </w:r>
      <w:r>
        <w:rPr>
          <w:szCs w:val="21"/>
          <w:highlight w:val="none"/>
        </w:rPr>
        <w:t xml:space="preserve">       </w:t>
      </w:r>
      <w:r>
        <w:rPr>
          <w:rFonts w:hint="eastAsia"/>
          <w:szCs w:val="21"/>
          <w:highlight w:val="none"/>
        </w:rPr>
        <w:t>年</w:t>
      </w:r>
      <w:r>
        <w:rPr>
          <w:szCs w:val="21"/>
          <w:highlight w:val="none"/>
        </w:rPr>
        <w:t xml:space="preserve">   </w:t>
      </w:r>
      <w:r>
        <w:rPr>
          <w:rFonts w:hint="eastAsia"/>
          <w:szCs w:val="21"/>
          <w:highlight w:val="none"/>
        </w:rPr>
        <w:t>月</w:t>
      </w:r>
      <w:r>
        <w:rPr>
          <w:szCs w:val="21"/>
          <w:highlight w:val="none"/>
        </w:rPr>
        <w:t xml:space="preserve">    </w:t>
      </w:r>
      <w:r>
        <w:rPr>
          <w:rFonts w:hint="eastAsia"/>
          <w:szCs w:val="21"/>
          <w:highlight w:val="none"/>
        </w:rPr>
        <w:t>日</w:t>
      </w:r>
    </w:p>
    <w:p>
      <w:pPr>
        <w:snapToGrid w:val="0"/>
        <w:spacing w:before="50" w:after="50"/>
        <w:rPr>
          <w:rFonts w:ascii="Times New Roman" w:hAnsi="Times New Roman"/>
          <w:color w:val="000000"/>
          <w:szCs w:val="21"/>
          <w:highlight w:val="none"/>
        </w:rPr>
      </w:pPr>
    </w:p>
    <w:p>
      <w:pPr>
        <w:snapToGrid w:val="0"/>
        <w:spacing w:before="50" w:after="50"/>
        <w:rPr>
          <w:rFonts w:ascii="Times New Roman" w:hAnsi="Times New Roman"/>
          <w:color w:val="000000"/>
          <w:szCs w:val="21"/>
          <w:highlight w:val="none"/>
        </w:rPr>
      </w:pPr>
    </w:p>
    <w:p>
      <w:pPr>
        <w:widowControl/>
        <w:spacing w:line="360" w:lineRule="auto"/>
        <w:ind w:left="573" w:hanging="573"/>
        <w:rPr>
          <w:rFonts w:ascii="Times New Roman" w:hAnsi="Times New Roman"/>
          <w:b/>
          <w:color w:val="000000"/>
          <w:szCs w:val="21"/>
          <w:highlight w:val="none"/>
        </w:rPr>
      </w:pPr>
      <w:r>
        <w:rPr>
          <w:rFonts w:ascii="Times New Roman" w:hAnsi="Times New Roman"/>
          <w:b/>
          <w:color w:val="000000"/>
          <w:szCs w:val="21"/>
          <w:highlight w:val="none"/>
        </w:rPr>
        <w:br w:type="page"/>
      </w:r>
      <w:r>
        <w:rPr>
          <w:rFonts w:ascii="Times New Roman" w:hAnsi="Times New Roman"/>
          <w:b/>
          <w:color w:val="000000"/>
          <w:szCs w:val="21"/>
          <w:highlight w:val="none"/>
        </w:rPr>
        <w:t>1</w:t>
      </w:r>
      <w:r>
        <w:rPr>
          <w:rFonts w:hint="eastAsia" w:ascii="Times New Roman" w:hAnsi="Times New Roman"/>
          <w:b/>
          <w:color w:val="000000"/>
          <w:szCs w:val="21"/>
          <w:highlight w:val="none"/>
          <w:lang w:val="en-US" w:eastAsia="zh-CN"/>
        </w:rPr>
        <w:t>4</w:t>
      </w:r>
      <w:r>
        <w:rPr>
          <w:rFonts w:hint="eastAsia" w:ascii="Times New Roman" w:hAnsi="Times New Roman"/>
          <w:color w:val="000000"/>
          <w:highlight w:val="none"/>
        </w:rPr>
        <w:t>、</w:t>
      </w:r>
      <w:r>
        <w:rPr>
          <w:rFonts w:hint="eastAsia" w:ascii="Times New Roman" w:hAnsi="Times New Roman"/>
          <w:b/>
          <w:color w:val="000000"/>
          <w:szCs w:val="21"/>
          <w:highlight w:val="none"/>
        </w:rPr>
        <w:t>报价明细表</w:t>
      </w:r>
    </w:p>
    <w:p>
      <w:pPr>
        <w:spacing w:line="600" w:lineRule="exact"/>
        <w:jc w:val="center"/>
        <w:rPr>
          <w:rFonts w:hint="eastAsia" w:ascii="黑体" w:eastAsia="黑体"/>
          <w:color w:val="000000"/>
          <w:sz w:val="28"/>
          <w:szCs w:val="28"/>
          <w:highlight w:val="none"/>
        </w:rPr>
      </w:pPr>
      <w:r>
        <w:rPr>
          <w:rFonts w:hint="eastAsia" w:ascii="黑体" w:eastAsia="黑体"/>
          <w:color w:val="000000"/>
          <w:sz w:val="28"/>
          <w:szCs w:val="28"/>
          <w:highlight w:val="none"/>
        </w:rPr>
        <w:t>工程量清单</w:t>
      </w:r>
    </w:p>
    <w:p>
      <w:pPr>
        <w:rPr>
          <w:rFonts w:hint="eastAsia" w:ascii="黑体" w:hAnsi="宋体" w:eastAsia="黑体"/>
          <w:color w:val="000000"/>
          <w:szCs w:val="21"/>
          <w:highlight w:val="none"/>
        </w:rPr>
      </w:pPr>
    </w:p>
    <w:p>
      <w:pPr>
        <w:outlineLvl w:val="0"/>
        <w:rPr>
          <w:rFonts w:hint="eastAsia" w:ascii="宋体" w:hAnsi="宋体"/>
          <w:b/>
          <w:bCs/>
          <w:color w:val="000000"/>
          <w:sz w:val="24"/>
          <w:highlight w:val="none"/>
        </w:rPr>
      </w:pPr>
      <w:r>
        <w:rPr>
          <w:rFonts w:hint="eastAsia" w:ascii="宋体" w:hAnsi="宋体"/>
          <w:b/>
          <w:bCs/>
          <w:color w:val="000000"/>
          <w:sz w:val="24"/>
          <w:highlight w:val="none"/>
        </w:rPr>
        <w:t>1．工程量清单说明</w:t>
      </w:r>
    </w:p>
    <w:p>
      <w:pPr>
        <w:widowControl/>
        <w:numPr>
          <w:ilvl w:val="0"/>
          <w:numId w:val="8"/>
        </w:numPr>
        <w:shd w:val="clear" w:color="FFFFFF" w:fill="FFFFFF"/>
        <w:tabs>
          <w:tab w:val="left" w:pos="360"/>
        </w:tabs>
        <w:spacing w:line="420" w:lineRule="exact"/>
        <w:ind w:firstLine="420" w:firstLineChars="200"/>
        <w:jc w:val="left"/>
        <w:rPr>
          <w:color w:val="000000"/>
          <w:kern w:val="0"/>
          <w:szCs w:val="21"/>
          <w:highlight w:val="none"/>
        </w:rPr>
      </w:pPr>
      <w:r>
        <w:rPr>
          <w:rFonts w:eastAsia="黑体"/>
          <w:color w:val="000000"/>
          <w:kern w:val="0"/>
          <w:szCs w:val="21"/>
          <w:highlight w:val="none"/>
        </w:rPr>
        <w:t>1.1</w:t>
      </w:r>
      <w:r>
        <w:rPr>
          <w:rFonts w:hint="eastAsia" w:ascii="黑体" w:eastAsia="黑体"/>
          <w:color w:val="000000"/>
          <w:kern w:val="0"/>
          <w:szCs w:val="21"/>
          <w:highlight w:val="none"/>
        </w:rPr>
        <w:t xml:space="preserve">  </w:t>
      </w:r>
      <w:r>
        <w:rPr>
          <w:rFonts w:hint="eastAsia" w:ascii="宋体" w:hAnsi="宋体"/>
          <w:color w:val="000000"/>
          <w:kern w:val="0"/>
          <w:szCs w:val="21"/>
          <w:highlight w:val="none"/>
        </w:rPr>
        <w:t>本</w:t>
      </w:r>
      <w:r>
        <w:rPr>
          <w:rFonts w:ascii="宋体" w:hAnsi="宋体"/>
          <w:color w:val="000000"/>
          <w:kern w:val="0"/>
          <w:szCs w:val="21"/>
          <w:highlight w:val="none"/>
        </w:rPr>
        <w:t>工程量清单</w:t>
      </w:r>
      <w:r>
        <w:rPr>
          <w:rFonts w:hint="eastAsia" w:ascii="宋体" w:hAnsi="宋体"/>
          <w:color w:val="000000"/>
          <w:kern w:val="0"/>
          <w:szCs w:val="21"/>
          <w:highlight w:val="none"/>
        </w:rPr>
        <w:t>是根据招标文件中包括的、有合同约束力的图纸以及有关工程量清单的国家标准、地方标准、行业标准、合同条款中约定的工程量计算规则编制；</w:t>
      </w:r>
      <w:r>
        <w:rPr>
          <w:rFonts w:hAnsi="宋体"/>
          <w:color w:val="000000"/>
          <w:kern w:val="0"/>
          <w:szCs w:val="21"/>
          <w:highlight w:val="none"/>
        </w:rPr>
        <w:t>依据浙江省《交通养护工程工程量清单计价规范》（</w:t>
      </w:r>
      <w:r>
        <w:rPr>
          <w:color w:val="000000"/>
          <w:kern w:val="0"/>
          <w:szCs w:val="21"/>
          <w:highlight w:val="none"/>
        </w:rPr>
        <w:t>DB33/T751-2009</w:t>
      </w:r>
      <w:r>
        <w:rPr>
          <w:rFonts w:hAnsi="宋体"/>
          <w:color w:val="000000"/>
          <w:kern w:val="0"/>
          <w:szCs w:val="21"/>
          <w:highlight w:val="none"/>
        </w:rPr>
        <w:t>）</w:t>
      </w:r>
      <w:r>
        <w:rPr>
          <w:rFonts w:hAnsi="宋体"/>
          <w:bCs/>
          <w:color w:val="000000"/>
          <w:kern w:val="0"/>
          <w:szCs w:val="21"/>
          <w:highlight w:val="none"/>
        </w:rPr>
        <w:t>第一部分</w:t>
      </w:r>
      <w:r>
        <w:rPr>
          <w:rFonts w:hint="eastAsia"/>
          <w:bCs/>
          <w:color w:val="000000"/>
          <w:kern w:val="0"/>
          <w:szCs w:val="21"/>
          <w:highlight w:val="none"/>
        </w:rPr>
        <w:t xml:space="preserve"> “</w:t>
      </w:r>
      <w:r>
        <w:rPr>
          <w:rFonts w:hAnsi="宋体"/>
          <w:bCs/>
          <w:color w:val="000000"/>
          <w:kern w:val="0"/>
          <w:szCs w:val="21"/>
          <w:highlight w:val="none"/>
        </w:rPr>
        <w:t>公路小修保养工程工程量清单计价规范</w:t>
      </w:r>
      <w:r>
        <w:rPr>
          <w:rFonts w:hint="eastAsia"/>
          <w:bCs/>
          <w:color w:val="000000"/>
          <w:kern w:val="0"/>
          <w:szCs w:val="21"/>
          <w:highlight w:val="none"/>
        </w:rPr>
        <w:t>”</w:t>
      </w:r>
      <w:r>
        <w:rPr>
          <w:rFonts w:hAnsi="宋体"/>
          <w:bCs/>
          <w:color w:val="000000"/>
          <w:kern w:val="0"/>
          <w:szCs w:val="21"/>
          <w:highlight w:val="none"/>
        </w:rPr>
        <w:t xml:space="preserve"> 中</w:t>
      </w:r>
      <w:r>
        <w:rPr>
          <w:rFonts w:hint="eastAsia" w:hAnsi="宋体"/>
          <w:bCs/>
          <w:color w:val="000000"/>
          <w:kern w:val="0"/>
          <w:szCs w:val="21"/>
          <w:highlight w:val="none"/>
        </w:rPr>
        <w:t>的</w:t>
      </w:r>
      <w:r>
        <w:rPr>
          <w:rFonts w:hAnsi="宋体"/>
          <w:color w:val="000000"/>
          <w:kern w:val="0"/>
          <w:szCs w:val="21"/>
          <w:highlight w:val="none"/>
        </w:rPr>
        <w:t>工程量清单计价、工程量清单计价格式和计价要求等进行编制</w:t>
      </w:r>
      <w:r>
        <w:rPr>
          <w:rFonts w:hint="eastAsia" w:hAnsi="宋体"/>
          <w:color w:val="000000"/>
          <w:kern w:val="0"/>
          <w:szCs w:val="21"/>
          <w:highlight w:val="none"/>
        </w:rPr>
        <w:t>。</w:t>
      </w:r>
    </w:p>
    <w:p>
      <w:pPr>
        <w:spacing w:line="420" w:lineRule="exact"/>
        <w:ind w:firstLine="420" w:firstLineChars="200"/>
        <w:jc w:val="left"/>
        <w:rPr>
          <w:rFonts w:hint="eastAsia"/>
          <w:color w:val="000000"/>
          <w:szCs w:val="21"/>
          <w:highlight w:val="none"/>
        </w:rPr>
      </w:pPr>
      <w:r>
        <w:rPr>
          <w:color w:val="000000"/>
          <w:szCs w:val="21"/>
          <w:highlight w:val="none"/>
        </w:rPr>
        <w:t>1.2  本工程量清单应与招标文件中的投标人须知、通用合同条款、</w:t>
      </w:r>
      <w:r>
        <w:rPr>
          <w:rFonts w:hint="eastAsia"/>
          <w:color w:val="000000"/>
          <w:szCs w:val="21"/>
          <w:highlight w:val="none"/>
        </w:rPr>
        <w:t>项目</w:t>
      </w:r>
      <w:r>
        <w:rPr>
          <w:color w:val="000000"/>
          <w:szCs w:val="21"/>
          <w:highlight w:val="none"/>
        </w:rPr>
        <w:t>专用合同条款、技术规范等一起阅读和理解</w:t>
      </w:r>
      <w:r>
        <w:rPr>
          <w:rFonts w:hint="eastAsia"/>
          <w:color w:val="000000"/>
          <w:szCs w:val="21"/>
          <w:highlight w:val="none"/>
        </w:rPr>
        <w:t>。</w:t>
      </w:r>
    </w:p>
    <w:p>
      <w:pPr>
        <w:spacing w:line="420" w:lineRule="exact"/>
        <w:ind w:firstLine="420" w:firstLineChars="200"/>
        <w:rPr>
          <w:rFonts w:hint="eastAsia"/>
          <w:color w:val="000000"/>
          <w:szCs w:val="21"/>
          <w:highlight w:val="none"/>
        </w:rPr>
      </w:pPr>
      <w:r>
        <w:rPr>
          <w:color w:val="000000"/>
          <w:szCs w:val="21"/>
          <w:highlight w:val="none"/>
        </w:rPr>
        <w:t>1.3  本工程量清单中所列</w:t>
      </w:r>
      <w:r>
        <w:rPr>
          <w:rFonts w:hint="eastAsia"/>
          <w:color w:val="000000"/>
          <w:szCs w:val="21"/>
          <w:highlight w:val="none"/>
        </w:rPr>
        <w:t>“一类项目”（指工程量清单第1000章中项目名称）</w:t>
      </w:r>
      <w:r>
        <w:rPr>
          <w:color w:val="000000"/>
          <w:szCs w:val="21"/>
          <w:highlight w:val="none"/>
        </w:rPr>
        <w:t>工程量是</w:t>
      </w:r>
      <w:r>
        <w:rPr>
          <w:rFonts w:hint="eastAsia"/>
          <w:color w:val="000000"/>
          <w:szCs w:val="21"/>
          <w:highlight w:val="none"/>
        </w:rPr>
        <w:t>根据实际情况确定的工程数量；“二类项目”（指工程量清单第100章</w:t>
      </w:r>
      <w:r>
        <w:rPr>
          <w:color w:val="000000"/>
          <w:szCs w:val="21"/>
          <w:highlight w:val="none"/>
        </w:rPr>
        <w:t>~</w:t>
      </w:r>
      <w:r>
        <w:rPr>
          <w:rFonts w:hint="eastAsia"/>
          <w:color w:val="000000"/>
          <w:szCs w:val="21"/>
          <w:highlight w:val="none"/>
        </w:rPr>
        <w:t>第700章中子目名称）工程量为暂定的工程数量，是</w:t>
      </w:r>
      <w:r>
        <w:rPr>
          <w:color w:val="000000"/>
          <w:szCs w:val="21"/>
          <w:highlight w:val="none"/>
        </w:rPr>
        <w:t>估算的或</w:t>
      </w:r>
      <w:r>
        <w:rPr>
          <w:rFonts w:hint="eastAsia"/>
          <w:color w:val="000000"/>
          <w:szCs w:val="21"/>
          <w:highlight w:val="none"/>
        </w:rPr>
        <w:t>是</w:t>
      </w:r>
      <w:r>
        <w:rPr>
          <w:color w:val="000000"/>
          <w:szCs w:val="21"/>
          <w:highlight w:val="none"/>
        </w:rPr>
        <w:t>预计的数量，仅作为投标报价的共同基础，不能作为最终结算与支付的依据</w:t>
      </w:r>
      <w:r>
        <w:rPr>
          <w:rFonts w:hint="eastAsia"/>
          <w:color w:val="000000"/>
          <w:szCs w:val="21"/>
          <w:highlight w:val="none"/>
        </w:rPr>
        <w:t>，</w:t>
      </w:r>
      <w:r>
        <w:rPr>
          <w:color w:val="000000"/>
          <w:szCs w:val="21"/>
          <w:highlight w:val="none"/>
        </w:rPr>
        <w:t>实际支付应按</w:t>
      </w:r>
      <w:r>
        <w:rPr>
          <w:rFonts w:hint="eastAsia"/>
          <w:color w:val="000000"/>
          <w:szCs w:val="21"/>
          <w:highlight w:val="none"/>
        </w:rPr>
        <w:t>承包人</w:t>
      </w:r>
      <w:r>
        <w:rPr>
          <w:color w:val="000000"/>
          <w:szCs w:val="21"/>
          <w:highlight w:val="none"/>
        </w:rPr>
        <w:t>完成的实际工程量，由承包人按技术规范规定的计量方法，以</w:t>
      </w:r>
      <w:r>
        <w:rPr>
          <w:rFonts w:hint="eastAsia"/>
          <w:color w:val="000000"/>
          <w:szCs w:val="21"/>
          <w:highlight w:val="none"/>
        </w:rPr>
        <w:t>发包</w:t>
      </w:r>
      <w:r>
        <w:rPr>
          <w:color w:val="000000"/>
          <w:szCs w:val="21"/>
          <w:highlight w:val="none"/>
        </w:rPr>
        <w:t>人认可的尺寸、断面计量，按本工程量清单的单价和总额价计算支付金额；或者根据具体情况，按合同条款第15.4款的规定，由</w:t>
      </w:r>
      <w:r>
        <w:rPr>
          <w:rFonts w:hint="eastAsia"/>
          <w:color w:val="000000"/>
          <w:szCs w:val="21"/>
          <w:highlight w:val="none"/>
        </w:rPr>
        <w:t>发包</w:t>
      </w:r>
      <w:r>
        <w:rPr>
          <w:color w:val="000000"/>
          <w:szCs w:val="21"/>
          <w:highlight w:val="none"/>
        </w:rPr>
        <w:t>人确定的单价或总额价计算支付额。</w:t>
      </w:r>
    </w:p>
    <w:p>
      <w:pPr>
        <w:spacing w:line="420" w:lineRule="exact"/>
        <w:ind w:firstLine="420" w:firstLineChars="200"/>
        <w:rPr>
          <w:rFonts w:hint="eastAsia"/>
          <w:color w:val="000000"/>
          <w:szCs w:val="21"/>
          <w:highlight w:val="none"/>
        </w:rPr>
      </w:pPr>
      <w:r>
        <w:rPr>
          <w:rFonts w:hint="eastAsia"/>
          <w:color w:val="000000"/>
          <w:szCs w:val="21"/>
          <w:highlight w:val="none"/>
        </w:rPr>
        <w:t xml:space="preserve">1.4  </w:t>
      </w:r>
      <w:r>
        <w:rPr>
          <w:color w:val="000000"/>
          <w:szCs w:val="21"/>
          <w:highlight w:val="none"/>
        </w:rPr>
        <w:t>工程量清单</w:t>
      </w:r>
      <w:r>
        <w:rPr>
          <w:rFonts w:hint="eastAsia"/>
          <w:color w:val="000000"/>
          <w:szCs w:val="21"/>
          <w:highlight w:val="none"/>
        </w:rPr>
        <w:t>各章是按第七章“技术规范”的相应章次编号的，“技术规范” 中计量与支付条款中的“支付子目”里所标注的“相应计价规范子目”栏的子目编号，即与</w:t>
      </w:r>
      <w:r>
        <w:rPr>
          <w:rFonts w:hAnsi="宋体"/>
          <w:color w:val="000000"/>
          <w:szCs w:val="21"/>
          <w:highlight w:val="none"/>
        </w:rPr>
        <w:t>《交通养护工程工程量清单计价规范》</w:t>
      </w:r>
      <w:r>
        <w:rPr>
          <w:rFonts w:hAnsi="宋体"/>
          <w:bCs/>
          <w:color w:val="000000"/>
          <w:szCs w:val="21"/>
          <w:highlight w:val="none"/>
        </w:rPr>
        <w:t>第一部分中</w:t>
      </w:r>
      <w:r>
        <w:rPr>
          <w:rFonts w:hint="eastAsia"/>
          <w:bCs/>
          <w:color w:val="000000"/>
          <w:szCs w:val="21"/>
          <w:highlight w:val="none"/>
        </w:rPr>
        <w:t>“</w:t>
      </w:r>
      <w:r>
        <w:rPr>
          <w:rFonts w:hAnsi="宋体"/>
          <w:bCs/>
          <w:color w:val="000000"/>
          <w:szCs w:val="21"/>
          <w:highlight w:val="none"/>
        </w:rPr>
        <w:t>公路小修保养工程工程量清单计价规范</w:t>
      </w:r>
      <w:r>
        <w:rPr>
          <w:rFonts w:hint="eastAsia"/>
          <w:bCs/>
          <w:color w:val="000000"/>
          <w:szCs w:val="21"/>
          <w:highlight w:val="none"/>
        </w:rPr>
        <w:t>”</w:t>
      </w:r>
      <w:r>
        <w:rPr>
          <w:rFonts w:hint="eastAsia"/>
          <w:color w:val="000000"/>
          <w:szCs w:val="21"/>
          <w:highlight w:val="none"/>
        </w:rPr>
        <w:t>的相应细目号相衔接。因此，工程量清单中各章工程子目的范围与计量等应与“技术规范”及</w:t>
      </w:r>
      <w:r>
        <w:rPr>
          <w:rFonts w:hint="eastAsia"/>
          <w:bCs/>
          <w:color w:val="000000"/>
          <w:szCs w:val="21"/>
          <w:highlight w:val="none"/>
        </w:rPr>
        <w:t>“</w:t>
      </w:r>
      <w:r>
        <w:rPr>
          <w:rFonts w:hAnsi="宋体"/>
          <w:bCs/>
          <w:color w:val="000000"/>
          <w:szCs w:val="21"/>
          <w:highlight w:val="none"/>
        </w:rPr>
        <w:t>公路小修保养工程工程量清单计价规范</w:t>
      </w:r>
      <w:r>
        <w:rPr>
          <w:rFonts w:hint="eastAsia"/>
          <w:bCs/>
          <w:color w:val="000000"/>
          <w:szCs w:val="21"/>
          <w:highlight w:val="none"/>
        </w:rPr>
        <w:t>”</w:t>
      </w:r>
      <w:r>
        <w:rPr>
          <w:rFonts w:hint="eastAsia"/>
          <w:color w:val="000000"/>
          <w:szCs w:val="21"/>
          <w:highlight w:val="none"/>
        </w:rPr>
        <w:t>的相应细目的范围、计量与支付条款结合起来理解或解释。</w:t>
      </w:r>
    </w:p>
    <w:p>
      <w:pPr>
        <w:spacing w:line="420" w:lineRule="exact"/>
        <w:ind w:firstLine="420" w:firstLineChars="200"/>
        <w:rPr>
          <w:rFonts w:hint="eastAsia"/>
          <w:color w:val="000000"/>
          <w:szCs w:val="21"/>
          <w:highlight w:val="none"/>
        </w:rPr>
      </w:pPr>
      <w:r>
        <w:rPr>
          <w:rFonts w:hint="eastAsia"/>
          <w:color w:val="000000"/>
          <w:szCs w:val="21"/>
          <w:highlight w:val="none"/>
        </w:rPr>
        <w:t>1.5  对养护作业和材料的一般说明或规定，未重复写入工程量清单内，在给工程量</w:t>
      </w:r>
      <w:r>
        <w:rPr>
          <w:color w:val="000000"/>
          <w:szCs w:val="21"/>
          <w:highlight w:val="none"/>
        </w:rPr>
        <w:t>清单</w:t>
      </w:r>
      <w:r>
        <w:rPr>
          <w:rFonts w:hint="eastAsia"/>
          <w:color w:val="000000"/>
          <w:szCs w:val="21"/>
          <w:highlight w:val="none"/>
        </w:rPr>
        <w:t>各子目标价前，应参阅第七章“技术规范”的有关内容。</w:t>
      </w:r>
    </w:p>
    <w:p>
      <w:pPr>
        <w:spacing w:line="420" w:lineRule="exact"/>
        <w:ind w:firstLine="420" w:firstLineChars="200"/>
        <w:rPr>
          <w:rFonts w:hint="eastAsia"/>
          <w:color w:val="000000"/>
          <w:szCs w:val="21"/>
          <w:highlight w:val="none"/>
        </w:rPr>
      </w:pPr>
      <w:r>
        <w:rPr>
          <w:rFonts w:hint="eastAsia"/>
          <w:color w:val="000000"/>
          <w:szCs w:val="21"/>
          <w:highlight w:val="none"/>
        </w:rPr>
        <w:t xml:space="preserve">1.6  </w:t>
      </w:r>
      <w:r>
        <w:rPr>
          <w:color w:val="000000"/>
          <w:szCs w:val="21"/>
          <w:highlight w:val="none"/>
        </w:rPr>
        <w:t>工程量清单</w:t>
      </w:r>
      <w:r>
        <w:rPr>
          <w:rFonts w:hint="eastAsia"/>
          <w:color w:val="000000"/>
          <w:szCs w:val="21"/>
          <w:highlight w:val="none"/>
        </w:rPr>
        <w:t>中所列工程量的变动，丝毫不会降低或影响合同条款的效力，也不免除承包人按规定的标准进行施工和修复缺陷的责任。</w:t>
      </w:r>
    </w:p>
    <w:p>
      <w:pPr>
        <w:spacing w:line="420" w:lineRule="exact"/>
        <w:ind w:firstLine="420" w:firstLineChars="200"/>
        <w:rPr>
          <w:rFonts w:hint="eastAsia" w:ascii="宋体" w:hAnsi="宋体"/>
          <w:color w:val="000000"/>
          <w:szCs w:val="21"/>
          <w:highlight w:val="none"/>
        </w:rPr>
      </w:pPr>
    </w:p>
    <w:p>
      <w:pPr>
        <w:outlineLvl w:val="0"/>
        <w:rPr>
          <w:rFonts w:hint="eastAsia" w:ascii="宋体" w:hAnsi="宋体"/>
          <w:b/>
          <w:bCs/>
          <w:color w:val="000000"/>
          <w:sz w:val="24"/>
          <w:highlight w:val="none"/>
        </w:rPr>
      </w:pPr>
      <w:r>
        <w:rPr>
          <w:rFonts w:hint="eastAsia" w:ascii="宋体" w:hAnsi="宋体"/>
          <w:b/>
          <w:bCs/>
          <w:color w:val="000000"/>
          <w:sz w:val="24"/>
          <w:highlight w:val="none"/>
        </w:rPr>
        <w:t>2．投标报价说明</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2.1  工程量清单中的每一子目须填入单价或价格，且只允许有一个报价。</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2.2  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2.3  工程量清单中投标人没有填入单价或价格的子目，其费用视为已分摊在工程量清单中其他相关子目的单价或价格之中。承包人必须按监理人指令完成工程量清单中未填人单价或价格的子目，但不能得到结算与支付。</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2.4  符合合同条款规定的全部费用应认为已被计入有标价的工程量清单所列各子目之中，未列子目不予计量的工作，其费用应视为已分摊在本合同工程的有关子目的单价或总额价之中。</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2.5  承包人用于本合同工程的各类装备的提供、运输、维护、拆卸、拼装等支付的费用，已包括在工程量清单的单价与总额价之中。</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2.6  工程量清单中各项金额均以人民币（元）结算。</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2.7  暂列金额（不含计日工总额）的数量及拟用子目的说明：</w:t>
      </w:r>
      <w:r>
        <w:rPr>
          <w:rFonts w:hint="eastAsia" w:ascii="宋体" w:hAnsi="宋体"/>
          <w:color w:val="000000"/>
          <w:szCs w:val="21"/>
          <w:highlight w:val="none"/>
          <w:u w:val="single"/>
        </w:rPr>
        <w:t xml:space="preserve"> 暂列金额的数量为第100章至300章工程量清单合计的3</w:t>
      </w:r>
      <w:r>
        <w:rPr>
          <w:rFonts w:hint="eastAsia" w:ascii="宋体" w:hAnsi="宋体"/>
          <w:b/>
          <w:color w:val="000000"/>
          <w:szCs w:val="21"/>
          <w:highlight w:val="none"/>
          <w:u w:val="single"/>
        </w:rPr>
        <w:t>％</w:t>
      </w:r>
      <w:r>
        <w:rPr>
          <w:rFonts w:hint="eastAsia" w:ascii="宋体" w:hAnsi="宋体"/>
          <w:color w:val="000000"/>
          <w:szCs w:val="21"/>
          <w:highlight w:val="none"/>
          <w:u w:val="single"/>
        </w:rPr>
        <w:t xml:space="preserve">，除合同另有规定外，应由发包人按合同条款第15条的规定，结合工程具体情况，报经发包人批准后指令全部或部分地使用，或者根本不予动用  </w:t>
      </w:r>
      <w:r>
        <w:rPr>
          <w:rFonts w:hint="eastAsia" w:ascii="宋体" w:hAnsi="宋体"/>
          <w:color w:val="000000"/>
          <w:szCs w:val="21"/>
          <w:highlight w:val="none"/>
        </w:rPr>
        <w:t>。</w:t>
      </w:r>
    </w:p>
    <w:p>
      <w:pPr>
        <w:spacing w:line="420" w:lineRule="exact"/>
        <w:ind w:firstLine="420" w:firstLineChars="200"/>
        <w:rPr>
          <w:rFonts w:hint="eastAsia" w:ascii="宋体" w:hAnsi="宋体"/>
          <w:color w:val="000000"/>
          <w:szCs w:val="21"/>
          <w:highlight w:val="none"/>
          <w:u w:val="single"/>
        </w:rPr>
      </w:pPr>
    </w:p>
    <w:p>
      <w:pPr>
        <w:outlineLvl w:val="0"/>
        <w:rPr>
          <w:rFonts w:hint="eastAsia" w:ascii="宋体" w:hAnsi="宋体"/>
          <w:b/>
          <w:bCs/>
          <w:color w:val="000000"/>
          <w:sz w:val="24"/>
          <w:highlight w:val="none"/>
        </w:rPr>
      </w:pPr>
      <w:r>
        <w:rPr>
          <w:rFonts w:hint="eastAsia" w:ascii="宋体" w:hAnsi="宋体"/>
          <w:b/>
          <w:bCs/>
          <w:color w:val="000000"/>
          <w:sz w:val="24"/>
          <w:highlight w:val="none"/>
        </w:rPr>
        <w:t>3．其他说明</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3.1工程量清单中的任何遗漏，不应免除承包人根据图纸规定完成单项工程的义务。</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3.2 安全生产费应不低于投标价（不含安全生产费、建筑工程一切险保险费、安全生产责任险的费用）的2%，交通安全管理费包含在安全生产费内，不单独计列。</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3.3工程一切险的投保金额为工程量清单中各章合计金额（不含安全生产费、建筑工程一切险保险费、安全生产责任险的费用），保险费率暂定为3‰；安全生产责任险的投保金额为工程量清单中各章合计金额（不含安全生产费、建筑工程一切险保险费、安全生产责任险的费用），保险费率暂定为2.5‰。</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3.4 在签订合同协议书前，招标人对中标人投标文件中的明显不平衡报价，在总价保持不变的前提下，应双方协商调整至双方认可的合理范围。</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3.5在签订合同协议书前，中标人应向招标人提供交通运输部《公路工程基本建设项目概算预算编制办法》规定的书面及电子版资料各一套。</w:t>
      </w:r>
    </w:p>
    <w:p>
      <w:pPr>
        <w:spacing w:line="420" w:lineRule="exact"/>
        <w:ind w:firstLine="420" w:firstLineChars="200"/>
        <w:rPr>
          <w:rFonts w:hint="eastAsia" w:ascii="宋体" w:hAnsi="宋体"/>
          <w:color w:val="000000"/>
          <w:szCs w:val="21"/>
          <w:highlight w:val="none"/>
        </w:rPr>
      </w:pPr>
      <w:r>
        <w:rPr>
          <w:rFonts w:hint="eastAsia" w:ascii="宋体" w:hAnsi="宋体"/>
          <w:color w:val="000000"/>
          <w:szCs w:val="21"/>
          <w:highlight w:val="none"/>
        </w:rPr>
        <w:t>3.6本项目中的</w:t>
      </w:r>
      <w:r>
        <w:rPr>
          <w:rFonts w:ascii="宋体" w:hAnsi="宋体"/>
          <w:color w:val="000000"/>
          <w:szCs w:val="21"/>
          <w:highlight w:val="none"/>
        </w:rPr>
        <w:t>大面积小修</w:t>
      </w:r>
      <w:r>
        <w:rPr>
          <w:rFonts w:hint="eastAsia" w:ascii="宋体" w:hAnsi="宋体"/>
          <w:color w:val="000000"/>
          <w:szCs w:val="21"/>
          <w:highlight w:val="none"/>
        </w:rPr>
        <w:t>是指</w:t>
      </w:r>
      <w:r>
        <w:rPr>
          <w:rFonts w:ascii="宋体" w:hAnsi="宋体"/>
          <w:color w:val="000000"/>
          <w:szCs w:val="21"/>
          <w:highlight w:val="none"/>
        </w:rPr>
        <w:t>单块50平方米以上或单条线路总面积不少于500平方米</w:t>
      </w:r>
      <w:r>
        <w:rPr>
          <w:rFonts w:hint="eastAsia" w:ascii="宋体" w:hAnsi="宋体"/>
          <w:color w:val="000000"/>
          <w:szCs w:val="21"/>
          <w:highlight w:val="none"/>
        </w:rPr>
        <w:t>的小修。</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3.7</w:t>
      </w:r>
      <w:r>
        <w:rPr>
          <w:rFonts w:ascii="宋体" w:hAnsi="宋体"/>
          <w:b/>
          <w:color w:val="000000"/>
          <w:szCs w:val="21"/>
          <w:highlight w:val="none"/>
        </w:rPr>
        <w:t>水泥混凝土路面维修</w:t>
      </w:r>
      <w:r>
        <w:rPr>
          <w:rFonts w:hint="eastAsia" w:ascii="宋体" w:hAnsi="宋体"/>
          <w:b/>
          <w:color w:val="000000"/>
          <w:szCs w:val="21"/>
          <w:highlight w:val="none"/>
        </w:rPr>
        <w:t>已</w:t>
      </w:r>
      <w:r>
        <w:rPr>
          <w:rFonts w:ascii="宋体" w:hAnsi="宋体"/>
          <w:b/>
          <w:color w:val="000000"/>
          <w:szCs w:val="21"/>
          <w:highlight w:val="none"/>
        </w:rPr>
        <w:t>包括施工安全、运行维护，挖、凿破损混凝土，</w:t>
      </w:r>
      <w:r>
        <w:rPr>
          <w:rFonts w:hint="eastAsia" w:ascii="宋体" w:hAnsi="宋体"/>
          <w:b/>
          <w:color w:val="000000"/>
          <w:szCs w:val="21"/>
          <w:highlight w:val="none"/>
        </w:rPr>
        <w:t>废料外运，</w:t>
      </w:r>
      <w:r>
        <w:rPr>
          <w:rFonts w:ascii="宋体" w:hAnsi="宋体"/>
          <w:b/>
          <w:color w:val="000000"/>
          <w:szCs w:val="21"/>
          <w:highlight w:val="none"/>
        </w:rPr>
        <w:t>周边凿毛、冲洗、配料、拌和、填筑、捣固、养生等相关作业所必须的费用</w:t>
      </w:r>
      <w:r>
        <w:rPr>
          <w:rFonts w:hint="eastAsia" w:ascii="宋体" w:hAnsi="宋体"/>
          <w:b/>
          <w:color w:val="000000"/>
          <w:szCs w:val="21"/>
          <w:highlight w:val="none"/>
        </w:rPr>
        <w:t>。</w:t>
      </w:r>
    </w:p>
    <w:p>
      <w:pPr>
        <w:spacing w:line="420" w:lineRule="exact"/>
        <w:ind w:firstLine="422" w:firstLineChars="200"/>
        <w:rPr>
          <w:rFonts w:ascii="宋体" w:hAnsi="宋体"/>
          <w:b/>
          <w:color w:val="000000"/>
          <w:szCs w:val="21"/>
          <w:highlight w:val="none"/>
        </w:rPr>
      </w:pPr>
      <w:r>
        <w:rPr>
          <w:rFonts w:hint="eastAsia" w:ascii="宋体" w:hAnsi="宋体"/>
          <w:b/>
          <w:color w:val="000000"/>
          <w:szCs w:val="21"/>
          <w:highlight w:val="none"/>
        </w:rPr>
        <w:t>3.8沥青路面小修、沥青混凝土路面大面积小修已</w:t>
      </w:r>
      <w:r>
        <w:rPr>
          <w:rFonts w:ascii="宋体" w:hAnsi="宋体"/>
          <w:b/>
          <w:color w:val="000000"/>
          <w:szCs w:val="21"/>
          <w:highlight w:val="none"/>
        </w:rPr>
        <w:t>包括施工安全、运行维护，铣刨，废料外运，清扫，</w:t>
      </w:r>
      <w:r>
        <w:rPr>
          <w:rFonts w:hint="eastAsia" w:ascii="宋体" w:hAnsi="宋体"/>
          <w:b/>
          <w:color w:val="000000"/>
          <w:szCs w:val="21"/>
          <w:highlight w:val="none"/>
        </w:rPr>
        <w:t>裂</w:t>
      </w:r>
      <w:r>
        <w:rPr>
          <w:rFonts w:ascii="宋体" w:hAnsi="宋体"/>
          <w:b/>
          <w:color w:val="000000"/>
          <w:szCs w:val="21"/>
          <w:highlight w:val="none"/>
        </w:rPr>
        <w:t>缝</w:t>
      </w:r>
      <w:r>
        <w:rPr>
          <w:rFonts w:hint="eastAsia" w:ascii="宋体" w:hAnsi="宋体"/>
          <w:b/>
          <w:color w:val="000000"/>
          <w:szCs w:val="21"/>
          <w:highlight w:val="none"/>
        </w:rPr>
        <w:t>封闭，沥青切割封边，沥青混合料的制备及其拌和、运输</w:t>
      </w:r>
      <w:r>
        <w:rPr>
          <w:rFonts w:ascii="宋体" w:hAnsi="宋体"/>
          <w:b/>
          <w:color w:val="000000"/>
          <w:szCs w:val="21"/>
          <w:highlight w:val="none"/>
        </w:rPr>
        <w:t>，摊铺，碾压，养生，清理现场等相关作业所必须的费用。</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3.9裂缝灌缝，包括</w:t>
      </w:r>
      <w:r>
        <w:rPr>
          <w:rFonts w:ascii="宋体" w:hAnsi="宋体"/>
          <w:b/>
          <w:color w:val="000000"/>
          <w:szCs w:val="21"/>
          <w:highlight w:val="none"/>
        </w:rPr>
        <w:t>施工安全、运行维护，清扫裂缝，熬油，运输，喷灯加温，灌缝，撒砂填充，熨平，清理现场等相关作业所必须的费用</w:t>
      </w:r>
      <w:r>
        <w:rPr>
          <w:rFonts w:hint="eastAsia" w:ascii="宋体" w:hAnsi="宋体"/>
          <w:b/>
          <w:color w:val="000000"/>
          <w:szCs w:val="21"/>
          <w:highlight w:val="none"/>
        </w:rPr>
        <w:t>。其中灌缝设备由发包人提供，其余费用由承包人在报价时综合考虑。</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3.10维修用碎石</w:t>
      </w:r>
      <w:r>
        <w:rPr>
          <w:rFonts w:ascii="宋体" w:hAnsi="宋体"/>
          <w:b/>
          <w:color w:val="000000"/>
          <w:szCs w:val="21"/>
          <w:highlight w:val="none"/>
        </w:rPr>
        <w:t>包括施工安全、运行维护，</w:t>
      </w:r>
      <w:r>
        <w:rPr>
          <w:rFonts w:hint="eastAsia" w:ascii="宋体" w:hAnsi="宋体"/>
          <w:b/>
          <w:color w:val="000000"/>
          <w:szCs w:val="21"/>
          <w:highlight w:val="none"/>
        </w:rPr>
        <w:t>病害部位的开槽、挖除、清底</w:t>
      </w:r>
      <w:r>
        <w:rPr>
          <w:rFonts w:ascii="宋体" w:hAnsi="宋体"/>
          <w:b/>
          <w:color w:val="000000"/>
          <w:szCs w:val="21"/>
          <w:highlight w:val="none"/>
        </w:rPr>
        <w:t>，废料外运，配料，铺筑，</w:t>
      </w:r>
      <w:r>
        <w:rPr>
          <w:rFonts w:hint="eastAsia" w:ascii="宋体" w:hAnsi="宋体"/>
          <w:b/>
          <w:color w:val="000000"/>
          <w:szCs w:val="21"/>
          <w:highlight w:val="none"/>
        </w:rPr>
        <w:t>摊平、压实</w:t>
      </w:r>
      <w:r>
        <w:rPr>
          <w:rFonts w:ascii="宋体" w:hAnsi="宋体"/>
          <w:b/>
          <w:color w:val="000000"/>
          <w:szCs w:val="21"/>
          <w:highlight w:val="none"/>
        </w:rPr>
        <w:t>，清理现场等相关作业所必须的费用。</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3.11基层维修</w:t>
      </w:r>
      <w:r>
        <w:rPr>
          <w:rFonts w:ascii="宋体" w:hAnsi="宋体"/>
          <w:b/>
          <w:color w:val="000000"/>
          <w:szCs w:val="21"/>
          <w:highlight w:val="none"/>
        </w:rPr>
        <w:t>包括施工安全、运行维护，</w:t>
      </w:r>
      <w:r>
        <w:rPr>
          <w:rFonts w:hint="eastAsia" w:ascii="宋体" w:hAnsi="宋体"/>
          <w:b/>
          <w:color w:val="000000"/>
          <w:szCs w:val="21"/>
          <w:highlight w:val="none"/>
        </w:rPr>
        <w:t>开槽、挖除、清底</w:t>
      </w:r>
      <w:r>
        <w:rPr>
          <w:rFonts w:ascii="宋体" w:hAnsi="宋体"/>
          <w:b/>
          <w:color w:val="000000"/>
          <w:szCs w:val="21"/>
          <w:highlight w:val="none"/>
        </w:rPr>
        <w:t>，废料外运，清扫，整平路面，洒水，配料，拌和，铺筑，养生，清理现场等相关作业所必须的费用。</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3.12人行道彩砖维修</w:t>
      </w:r>
      <w:r>
        <w:rPr>
          <w:rFonts w:ascii="宋体" w:hAnsi="宋体"/>
          <w:b/>
          <w:color w:val="000000"/>
          <w:szCs w:val="21"/>
          <w:highlight w:val="none"/>
        </w:rPr>
        <w:t>包括施工安全、运行维护，挖</w:t>
      </w:r>
      <w:r>
        <w:rPr>
          <w:rFonts w:hint="eastAsia" w:ascii="宋体" w:hAnsi="宋体"/>
          <w:b/>
          <w:color w:val="000000"/>
          <w:szCs w:val="21"/>
          <w:highlight w:val="none"/>
        </w:rPr>
        <w:t>除</w:t>
      </w:r>
      <w:r>
        <w:rPr>
          <w:rFonts w:ascii="宋体" w:hAnsi="宋体"/>
          <w:b/>
          <w:color w:val="000000"/>
          <w:szCs w:val="21"/>
          <w:highlight w:val="none"/>
        </w:rPr>
        <w:t>破损</w:t>
      </w:r>
      <w:r>
        <w:rPr>
          <w:rFonts w:hint="eastAsia" w:ascii="宋体" w:hAnsi="宋体"/>
          <w:b/>
          <w:color w:val="000000"/>
          <w:szCs w:val="21"/>
          <w:highlight w:val="none"/>
        </w:rPr>
        <w:t>彩砖及基层</w:t>
      </w:r>
      <w:r>
        <w:rPr>
          <w:rFonts w:ascii="宋体" w:hAnsi="宋体"/>
          <w:b/>
          <w:color w:val="000000"/>
          <w:szCs w:val="21"/>
          <w:highlight w:val="none"/>
        </w:rPr>
        <w:t>，</w:t>
      </w:r>
      <w:r>
        <w:rPr>
          <w:rFonts w:hint="eastAsia" w:ascii="宋体" w:hAnsi="宋体"/>
          <w:b/>
          <w:color w:val="000000"/>
          <w:szCs w:val="21"/>
          <w:highlight w:val="none"/>
        </w:rPr>
        <w:t>废料外运，</w:t>
      </w:r>
      <w:r>
        <w:rPr>
          <w:rFonts w:ascii="宋体" w:hAnsi="宋体"/>
          <w:b/>
          <w:color w:val="000000"/>
          <w:szCs w:val="21"/>
          <w:highlight w:val="none"/>
        </w:rPr>
        <w:t>清扫，整平路面，</w:t>
      </w:r>
      <w:r>
        <w:rPr>
          <w:rFonts w:hint="eastAsia" w:ascii="宋体" w:hAnsi="宋体"/>
          <w:b/>
          <w:color w:val="000000"/>
          <w:szCs w:val="21"/>
          <w:highlight w:val="none"/>
        </w:rPr>
        <w:t>水泥砂浆</w:t>
      </w:r>
      <w:r>
        <w:rPr>
          <w:rFonts w:ascii="宋体" w:hAnsi="宋体"/>
          <w:b/>
          <w:color w:val="000000"/>
          <w:szCs w:val="21"/>
          <w:highlight w:val="none"/>
        </w:rPr>
        <w:t>拌和，</w:t>
      </w:r>
      <w:r>
        <w:rPr>
          <w:rFonts w:hint="eastAsia" w:ascii="宋体" w:hAnsi="宋体"/>
          <w:b/>
          <w:color w:val="000000"/>
          <w:szCs w:val="21"/>
          <w:highlight w:val="none"/>
        </w:rPr>
        <w:t>彩砖铺设</w:t>
      </w:r>
      <w:r>
        <w:rPr>
          <w:rFonts w:ascii="宋体" w:hAnsi="宋体"/>
          <w:b/>
          <w:color w:val="000000"/>
          <w:szCs w:val="21"/>
          <w:highlight w:val="none"/>
        </w:rPr>
        <w:t>，清理现场等相关作业所必须的费用</w:t>
      </w:r>
      <w:r>
        <w:rPr>
          <w:rFonts w:hint="eastAsia" w:ascii="宋体" w:hAnsi="宋体"/>
          <w:b/>
          <w:color w:val="000000"/>
          <w:szCs w:val="21"/>
          <w:highlight w:val="none"/>
        </w:rPr>
        <w:t>。</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3.13地聚合物注浆包括施工安全、运行维护，钻孔，场地清理，制备地聚合物浆液，清孔，插拔注浆管，压浆，清洗压浆设备，清理现场等相关作业所必须的费用。</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3.14 针对安全生产责任险，承包人应根据《中华人民共和国安全生产法》（2021 修订版）、《浙江省人民政府办公厅转发省安监局等部门关于在高危行业全面推进安全生产责任保险的通知》（浙政办发〔2017〕146号）、《关于进一步推进我省安全生产责任保险规范化工作的通知》（浙应急法规〔2020〕9号）和《省交通运输厅关于加强公路水运工程疫情防控和安全生产费用保障的指导意见》（浙交〔2022〕116 号）等文件要求办理安全生产责任保险，并包括在价格清单的单价及总额价中，发包人不再另行支付。安全生产责任保险覆盖第三者责任险及人身意外伤害险。其中第三者责任险的投保金额最低为300万元，保险费率暂定为5‰。</w:t>
      </w:r>
    </w:p>
    <w:p>
      <w:pPr>
        <w:spacing w:line="420" w:lineRule="exact"/>
        <w:ind w:firstLine="422" w:firstLineChars="200"/>
        <w:rPr>
          <w:rFonts w:hint="eastAsia" w:ascii="宋体" w:hAnsi="宋体"/>
          <w:b/>
          <w:color w:val="000000"/>
          <w:szCs w:val="21"/>
          <w:highlight w:val="none"/>
        </w:rPr>
      </w:pPr>
      <w:r>
        <w:rPr>
          <w:rFonts w:hint="eastAsia" w:ascii="宋体" w:hAnsi="宋体"/>
          <w:b/>
          <w:color w:val="000000"/>
          <w:szCs w:val="21"/>
          <w:highlight w:val="none"/>
        </w:rPr>
        <w:t>3.15 工伤保险由承包人按照《浙江省人力资源和社会保障厅等六部门转发人力资源社会保障部等六部门关于铁路、公路、水运、水利、能源、机场工程建设项目参加工伤保险工作的通知》（浙人社发〔2018〕29号）进行投保，保费视为已经包含在相应工程的报价中，发包人不另行支付。</w:t>
      </w:r>
    </w:p>
    <w:p>
      <w:pPr>
        <w:spacing w:line="420" w:lineRule="exact"/>
        <w:ind w:firstLine="420" w:firstLineChars="200"/>
        <w:rPr>
          <w:rFonts w:hint="eastAsia" w:ascii="宋体" w:hAnsi="宋体"/>
          <w:color w:val="000000"/>
          <w:szCs w:val="21"/>
          <w:highlight w:val="none"/>
        </w:rPr>
      </w:pPr>
    </w:p>
    <w:p>
      <w:pPr>
        <w:spacing w:line="420" w:lineRule="exact"/>
        <w:ind w:firstLine="420" w:firstLineChars="200"/>
        <w:rPr>
          <w:rFonts w:hint="eastAsia" w:ascii="宋体" w:hAnsi="宋体"/>
          <w:color w:val="000000"/>
          <w:szCs w:val="21"/>
          <w:highlight w:val="none"/>
        </w:rPr>
      </w:pPr>
    </w:p>
    <w:p>
      <w:pPr>
        <w:spacing w:line="420" w:lineRule="exact"/>
        <w:ind w:firstLine="420" w:firstLineChars="200"/>
        <w:rPr>
          <w:rFonts w:hint="eastAsia" w:ascii="宋体" w:hAnsi="宋体"/>
          <w:color w:val="000000"/>
          <w:szCs w:val="21"/>
          <w:highlight w:val="none"/>
        </w:rPr>
      </w:pPr>
    </w:p>
    <w:p>
      <w:pPr>
        <w:spacing w:line="420" w:lineRule="exact"/>
        <w:ind w:firstLine="420" w:firstLineChars="200"/>
        <w:rPr>
          <w:rFonts w:hint="eastAsia" w:ascii="宋体" w:hAnsi="宋体"/>
          <w:color w:val="000000"/>
          <w:szCs w:val="21"/>
          <w:highlight w:val="none"/>
        </w:rPr>
      </w:pPr>
    </w:p>
    <w:p>
      <w:pPr>
        <w:spacing w:line="420" w:lineRule="exact"/>
        <w:ind w:firstLine="420" w:firstLineChars="200"/>
        <w:rPr>
          <w:rFonts w:hint="eastAsia" w:ascii="宋体" w:hAnsi="宋体"/>
          <w:color w:val="000000"/>
          <w:szCs w:val="21"/>
          <w:highlight w:val="none"/>
        </w:rPr>
      </w:pPr>
    </w:p>
    <w:p>
      <w:pPr>
        <w:spacing w:line="360" w:lineRule="auto"/>
        <w:outlineLvl w:val="0"/>
        <w:rPr>
          <w:rFonts w:hint="eastAsia" w:ascii="宋体" w:hAnsi="宋体"/>
          <w:b/>
          <w:bCs/>
          <w:color w:val="000000"/>
          <w:sz w:val="24"/>
          <w:highlight w:val="none"/>
        </w:rPr>
      </w:pPr>
      <w:r>
        <w:rPr>
          <w:rFonts w:hint="eastAsia" w:ascii="宋体" w:hAnsi="宋体"/>
          <w:b/>
          <w:bCs/>
          <w:color w:val="000000"/>
          <w:sz w:val="24"/>
          <w:highlight w:val="none"/>
        </w:rPr>
        <w:br w:type="page"/>
      </w:r>
      <w:r>
        <w:rPr>
          <w:rFonts w:hint="eastAsia" w:ascii="宋体" w:hAnsi="宋体"/>
          <w:b/>
          <w:bCs/>
          <w:color w:val="000000"/>
          <w:sz w:val="24"/>
          <w:highlight w:val="none"/>
        </w:rPr>
        <w:t>4.工程量清单</w:t>
      </w:r>
    </w:p>
    <w:p>
      <w:pPr>
        <w:spacing w:line="360" w:lineRule="auto"/>
        <w:outlineLvl w:val="0"/>
        <w:rPr>
          <w:rFonts w:hint="eastAsia" w:ascii="宋体" w:hAnsi="宋体"/>
          <w:b/>
          <w:bCs/>
          <w:color w:val="000000"/>
          <w:sz w:val="24"/>
          <w:highlight w:val="none"/>
        </w:rPr>
      </w:pPr>
      <w:r>
        <w:rPr>
          <w:rFonts w:hint="eastAsia" w:ascii="宋体" w:hAnsi="宋体"/>
          <w:b/>
          <w:bCs/>
          <w:color w:val="000000"/>
          <w:sz w:val="24"/>
          <w:highlight w:val="none"/>
        </w:rPr>
        <w:t>4.1 工程量清单表</w:t>
      </w:r>
    </w:p>
    <w:p>
      <w:pPr>
        <w:spacing w:before="240" w:beforeLines="100" w:after="240" w:afterLines="100"/>
        <w:jc w:val="center"/>
        <w:rPr>
          <w:rFonts w:hint="eastAsia" w:ascii="黑体" w:hAnsi="宋体" w:eastAsia="黑体"/>
          <w:color w:val="000000"/>
          <w:sz w:val="30"/>
          <w:szCs w:val="30"/>
          <w:highlight w:val="none"/>
        </w:rPr>
      </w:pPr>
      <w:r>
        <w:rPr>
          <w:rFonts w:hint="eastAsia" w:ascii="黑体" w:hAnsi="宋体" w:eastAsia="黑体"/>
          <w:color w:val="000000"/>
          <w:sz w:val="30"/>
          <w:szCs w:val="30"/>
          <w:highlight w:val="none"/>
        </w:rPr>
        <w:t>工程量清单</w:t>
      </w:r>
    </w:p>
    <w:p>
      <w:pPr>
        <w:tabs>
          <w:tab w:val="left" w:pos="3885"/>
        </w:tabs>
        <w:rPr>
          <w:rFonts w:hint="eastAsia"/>
          <w:color w:val="000000"/>
          <w:highlight w:val="none"/>
        </w:rPr>
      </w:pPr>
      <w:r>
        <w:rPr>
          <w:color w:val="000000"/>
          <w:highlight w:val="none"/>
        </w:rPr>
        <w:tab/>
      </w:r>
    </w:p>
    <w:tbl>
      <w:tblPr>
        <w:tblStyle w:val="49"/>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822"/>
        <w:gridCol w:w="4533"/>
        <w:gridCol w:w="855"/>
        <w:gridCol w:w="918"/>
        <w:gridCol w:w="973"/>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12" w:space="0"/>
              <w:left w:val="single" w:color="auto" w:sz="12" w:space="0"/>
              <w:bottom w:val="single" w:color="auto" w:sz="6" w:space="0"/>
              <w:right w:val="single" w:color="auto" w:sz="12" w:space="0"/>
            </w:tcBorders>
            <w:noWrap w:val="0"/>
            <w:vAlign w:val="center"/>
          </w:tcPr>
          <w:p>
            <w:pPr>
              <w:ind w:firstLine="103" w:firstLineChars="49"/>
              <w:jc w:val="center"/>
              <w:rPr>
                <w:rFonts w:hint="eastAsia" w:ascii="宋体" w:hAnsi="宋体"/>
                <w:b/>
                <w:bCs/>
                <w:color w:val="000000"/>
                <w:highlight w:val="none"/>
              </w:rPr>
            </w:pPr>
            <w:r>
              <w:rPr>
                <w:rFonts w:hint="eastAsia" w:ascii="宋体" w:hAnsi="宋体"/>
                <w:b/>
                <w:bCs/>
                <w:color w:val="000000"/>
                <w:highlight w:val="none"/>
              </w:rPr>
              <w:t>清单      第100章      总  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子目号</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子  目  名  称</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单位</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数量</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单价</w:t>
            </w: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r>
              <w:rPr>
                <w:rFonts w:hint="eastAsia" w:ascii="宋体" w:hAnsi="宋体"/>
                <w:color w:val="000000"/>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通则</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101-1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保险费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-a</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按合同条款规定，提供建筑工程一切险</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-b</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按合同条款规定，提供安全生产责任险</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102</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工程管理</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102-1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档案资料编制费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102-2</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施工环保费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102-4</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安全生产费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104</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104-1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承包人驻地建设</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总额</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1</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105</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巡查费</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105-1</w:t>
            </w:r>
          </w:p>
        </w:tc>
        <w:tc>
          <w:tcPr>
            <w:tcW w:w="453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汽车巡查费（1辆）</w:t>
            </w: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月</w:t>
            </w: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r>
              <w:rPr>
                <w:rFonts w:ascii="宋体" w:hAnsi="宋体"/>
                <w:color w:val="000000"/>
                <w:szCs w:val="21"/>
                <w:highlight w:val="none"/>
              </w:rPr>
              <w:t>24</w:t>
            </w: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widowControl/>
              <w:jc w:val="center"/>
              <w:textAlignment w:val="center"/>
              <w:rPr>
                <w:rFonts w:hint="eastAsia" w:ascii="宋体" w:hAnsi="宋体" w:cs="宋体"/>
                <w:color w:val="000000"/>
                <w:kern w:val="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widowControl/>
              <w:jc w:val="left"/>
              <w:textAlignment w:val="center"/>
              <w:rPr>
                <w:rFonts w:hint="eastAsia" w:ascii="宋体" w:hAnsi="宋体" w:cs="宋体"/>
                <w:color w:val="000000"/>
                <w:kern w:val="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s="宋体"/>
                <w:color w:val="000000"/>
                <w:kern w:val="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right"/>
              <w:rPr>
                <w:rFonts w:hint="eastAsia" w:ascii="宋体" w:hAnsi="宋体" w:cs="宋体"/>
                <w:color w:val="000000"/>
                <w:kern w:val="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widowControl/>
              <w:jc w:val="center"/>
              <w:rPr>
                <w:rFonts w:hint="eastAsia" w:ascii="宋体" w:hAnsi="宋体" w:cs="宋体"/>
                <w:color w:val="000000"/>
                <w:kern w:val="0"/>
                <w:szCs w:val="21"/>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szCs w:val="21"/>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b/>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822" w:type="dxa"/>
            <w:tcBorders>
              <w:top w:val="single" w:color="auto" w:sz="6" w:space="0"/>
              <w:left w:val="single" w:color="auto" w:sz="12" w:space="0"/>
              <w:bottom w:val="single" w:color="auto" w:sz="6" w:space="0"/>
              <w:right w:val="single" w:color="auto" w:sz="6" w:space="0"/>
            </w:tcBorders>
            <w:noWrap w:val="0"/>
            <w:vAlign w:val="center"/>
          </w:tcPr>
          <w:p>
            <w:pPr>
              <w:spacing w:line="260" w:lineRule="exact"/>
              <w:jc w:val="center"/>
              <w:rPr>
                <w:rFonts w:hint="eastAsia" w:ascii="宋体" w:hAnsi="宋体" w:cs="宋体"/>
                <w:color w:val="000000"/>
                <w:szCs w:val="21"/>
                <w:highlight w:val="none"/>
              </w:rPr>
            </w:pPr>
          </w:p>
        </w:tc>
        <w:tc>
          <w:tcPr>
            <w:tcW w:w="4533" w:type="dxa"/>
            <w:tcBorders>
              <w:top w:val="single" w:color="auto" w:sz="6" w:space="0"/>
              <w:left w:val="single" w:color="auto" w:sz="6" w:space="0"/>
              <w:bottom w:val="single" w:color="auto" w:sz="6" w:space="0"/>
              <w:right w:val="single" w:color="auto" w:sz="6" w:space="0"/>
            </w:tcBorders>
            <w:noWrap w:val="0"/>
            <w:vAlign w:val="center"/>
          </w:tcPr>
          <w:p>
            <w:pPr>
              <w:spacing w:line="260" w:lineRule="exact"/>
              <w:rPr>
                <w:rFonts w:hint="eastAsia" w:ascii="宋体" w:hAnsi="宋体" w:cs="宋体"/>
                <w:color w:val="000000"/>
                <w:szCs w:val="21"/>
                <w:highlight w:val="none"/>
              </w:rPr>
            </w:pPr>
          </w:p>
        </w:tc>
        <w:tc>
          <w:tcPr>
            <w:tcW w:w="855" w:type="dxa"/>
            <w:tcBorders>
              <w:top w:val="single" w:color="auto" w:sz="6" w:space="0"/>
              <w:left w:val="single" w:color="auto" w:sz="6" w:space="0"/>
              <w:bottom w:val="single" w:color="auto" w:sz="6" w:space="0"/>
              <w:right w:val="single" w:color="auto" w:sz="6" w:space="0"/>
            </w:tcBorders>
            <w:noWrap w:val="0"/>
            <w:vAlign w:val="center"/>
          </w:tcPr>
          <w:p>
            <w:pPr>
              <w:spacing w:line="260" w:lineRule="exact"/>
              <w:jc w:val="center"/>
              <w:rPr>
                <w:rFonts w:hint="eastAsia" w:ascii="宋体" w:hAnsi="宋体" w:cs="宋体"/>
                <w:color w:val="000000"/>
                <w:szCs w:val="21"/>
                <w:highlight w:val="none"/>
              </w:rPr>
            </w:pPr>
          </w:p>
        </w:tc>
        <w:tc>
          <w:tcPr>
            <w:tcW w:w="918"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highlight w:val="none"/>
              </w:rPr>
            </w:pPr>
          </w:p>
        </w:tc>
        <w:tc>
          <w:tcPr>
            <w:tcW w:w="973"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color w:val="000000"/>
                <w:highlight w:val="none"/>
              </w:rPr>
            </w:pPr>
          </w:p>
        </w:tc>
        <w:tc>
          <w:tcPr>
            <w:tcW w:w="1061" w:type="dxa"/>
            <w:tcBorders>
              <w:top w:val="single" w:color="auto" w:sz="6" w:space="0"/>
              <w:left w:val="single" w:color="auto" w:sz="6" w:space="0"/>
              <w:bottom w:val="single" w:color="auto" w:sz="6" w:space="0"/>
              <w:right w:val="single" w:color="auto" w:sz="12" w:space="0"/>
            </w:tcBorders>
            <w:noWrap w:val="0"/>
            <w:vAlign w:val="center"/>
          </w:tcPr>
          <w:p>
            <w:pPr>
              <w:jc w:val="center"/>
              <w:rPr>
                <w:rFonts w:hint="eastAsia" w:ascii="宋体" w:hAnsi="宋体"/>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trHeight w:val="540" w:hRule="atLeast"/>
        </w:trPr>
        <w:tc>
          <w:tcPr>
            <w:tcW w:w="9162" w:type="dxa"/>
            <w:gridSpan w:val="6"/>
            <w:tcBorders>
              <w:top w:val="single" w:color="auto" w:sz="6" w:space="0"/>
              <w:left w:val="single" w:color="auto" w:sz="12" w:space="0"/>
              <w:bottom w:val="single" w:color="auto" w:sz="12" w:space="0"/>
              <w:right w:val="single" w:color="auto" w:sz="12" w:space="0"/>
            </w:tcBorders>
            <w:noWrap w:val="0"/>
            <w:vAlign w:val="center"/>
          </w:tcPr>
          <w:p>
            <w:pPr>
              <w:ind w:firstLine="1973" w:firstLineChars="936"/>
              <w:rPr>
                <w:rFonts w:hint="eastAsia" w:ascii="宋体" w:hAnsi="宋体"/>
                <w:b/>
                <w:bCs/>
                <w:color w:val="000000"/>
                <w:highlight w:val="none"/>
                <w:u w:val="single"/>
              </w:rPr>
            </w:pPr>
            <w:r>
              <w:rPr>
                <w:rFonts w:hint="eastAsia" w:ascii="宋体" w:hAnsi="宋体"/>
                <w:b/>
                <w:bCs/>
                <w:color w:val="000000"/>
                <w:highlight w:val="none"/>
              </w:rPr>
              <w:t>清单100章合计   人民币</w:t>
            </w:r>
            <w:r>
              <w:rPr>
                <w:rFonts w:hint="eastAsia" w:ascii="宋体" w:hAnsi="宋体"/>
                <w:b/>
                <w:bCs/>
                <w:color w:val="000000"/>
                <w:highlight w:val="none"/>
                <w:u w:val="single"/>
              </w:rPr>
              <w:t xml:space="preserve">           </w:t>
            </w:r>
            <w:r>
              <w:rPr>
                <w:rFonts w:hint="eastAsia" w:ascii="宋体" w:hAnsi="宋体"/>
                <w:b/>
                <w:bCs/>
                <w:color w:val="000000"/>
                <w:highlight w:val="none"/>
              </w:rPr>
              <w:t>元</w:t>
            </w:r>
          </w:p>
        </w:tc>
      </w:tr>
    </w:tbl>
    <w:p>
      <w:pPr>
        <w:spacing w:before="240" w:beforeLines="100" w:after="240" w:afterLines="100"/>
        <w:jc w:val="center"/>
        <w:rPr>
          <w:rFonts w:hint="eastAsia" w:ascii="黑体" w:hAnsi="宋体" w:eastAsia="黑体"/>
          <w:color w:val="000000"/>
          <w:sz w:val="30"/>
          <w:szCs w:val="30"/>
          <w:highlight w:val="none"/>
        </w:rPr>
      </w:pPr>
    </w:p>
    <w:p>
      <w:pPr>
        <w:spacing w:before="240" w:beforeLines="100" w:after="240" w:afterLines="100"/>
        <w:jc w:val="center"/>
        <w:rPr>
          <w:rFonts w:hint="eastAsia" w:ascii="黑体" w:hAnsi="宋体" w:eastAsia="黑体"/>
          <w:color w:val="000000"/>
          <w:sz w:val="30"/>
          <w:szCs w:val="30"/>
          <w:highlight w:val="none"/>
        </w:rPr>
      </w:pPr>
      <w:r>
        <w:rPr>
          <w:rFonts w:hint="eastAsia" w:ascii="黑体" w:hAnsi="宋体" w:eastAsia="黑体"/>
          <w:color w:val="000000"/>
          <w:sz w:val="30"/>
          <w:szCs w:val="30"/>
          <w:highlight w:val="none"/>
        </w:rPr>
        <w:t>工程量清单</w:t>
      </w:r>
    </w:p>
    <w:tbl>
      <w:tblPr>
        <w:tblStyle w:val="49"/>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ind w:firstLine="103" w:firstLineChars="49"/>
              <w:jc w:val="center"/>
              <w:rPr>
                <w:rFonts w:ascii="宋体" w:hAnsi="宋体"/>
                <w:b/>
                <w:bCs/>
                <w:color w:val="000000"/>
                <w:highlight w:val="none"/>
              </w:rPr>
            </w:pPr>
            <w:r>
              <w:rPr>
                <w:rFonts w:hint="eastAsia" w:ascii="宋体" w:hAnsi="宋体"/>
                <w:b/>
                <w:bCs/>
                <w:color w:val="000000"/>
                <w:highlight w:val="none"/>
              </w:rPr>
              <w:t>清单      第200章      路  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子目号</w:t>
            </w:r>
          </w:p>
        </w:tc>
        <w:tc>
          <w:tcPr>
            <w:tcW w:w="4572"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子  目  名  称</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单位</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数量</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单价</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202</w:t>
            </w:r>
          </w:p>
        </w:tc>
        <w:tc>
          <w:tcPr>
            <w:tcW w:w="4572"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202-8</w:t>
            </w:r>
          </w:p>
        </w:tc>
        <w:tc>
          <w:tcPr>
            <w:tcW w:w="4572"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宕渣</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1200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jc w:val="center"/>
              <w:rPr>
                <w:rFonts w:ascii="宋体" w:hAnsi="宋体" w:cs="Arial"/>
                <w:color w:val="000000"/>
                <w:sz w:val="18"/>
                <w:szCs w:val="18"/>
                <w:highlight w:val="none"/>
              </w:rPr>
            </w:pPr>
          </w:p>
        </w:tc>
        <w:tc>
          <w:tcPr>
            <w:tcW w:w="4572" w:type="dxa"/>
            <w:noWrap w:val="0"/>
            <w:vAlign w:val="center"/>
          </w:tcPr>
          <w:p>
            <w:pPr>
              <w:rPr>
                <w:rFonts w:ascii="宋体" w:hAnsi="宋体" w:cs="Arial"/>
                <w:color w:val="000000"/>
                <w:sz w:val="18"/>
                <w:szCs w:val="18"/>
                <w:highlight w:val="none"/>
              </w:rPr>
            </w:pPr>
          </w:p>
        </w:tc>
        <w:tc>
          <w:tcPr>
            <w:tcW w:w="899" w:type="dxa"/>
            <w:noWrap w:val="0"/>
            <w:vAlign w:val="center"/>
          </w:tcPr>
          <w:p>
            <w:pPr>
              <w:jc w:val="center"/>
              <w:rPr>
                <w:rFonts w:ascii="宋体" w:hAnsi="宋体" w:cs="Arial"/>
                <w:color w:val="000000"/>
                <w:sz w:val="18"/>
                <w:szCs w:val="18"/>
                <w:highlight w:val="none"/>
              </w:rPr>
            </w:pPr>
          </w:p>
        </w:tc>
        <w:tc>
          <w:tcPr>
            <w:tcW w:w="899" w:type="dxa"/>
            <w:noWrap w:val="0"/>
            <w:vAlign w:val="center"/>
          </w:tcPr>
          <w:p>
            <w:pPr>
              <w:jc w:val="right"/>
              <w:rPr>
                <w:rFonts w:ascii="宋体" w:hAnsi="宋体" w:cs="Arial"/>
                <w:color w:val="000000"/>
                <w:sz w:val="16"/>
                <w:szCs w:val="16"/>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widowControl/>
              <w:jc w:val="center"/>
              <w:rPr>
                <w:rFonts w:ascii="宋体" w:hAnsi="宋体" w:cs="宋体"/>
                <w:b/>
                <w:color w:val="000000"/>
                <w:kern w:val="0"/>
                <w:szCs w:val="21"/>
                <w:highlight w:val="none"/>
              </w:rPr>
            </w:pPr>
            <w:r>
              <w:rPr>
                <w:rFonts w:hint="eastAsia" w:ascii="宋体" w:hAnsi="宋体" w:cs="宋体"/>
                <w:b/>
                <w:color w:val="000000"/>
                <w:kern w:val="0"/>
                <w:szCs w:val="21"/>
                <w:highlight w:val="none"/>
              </w:rPr>
              <w:t>清单200章合计   人民币</w:t>
            </w:r>
            <w:r>
              <w:rPr>
                <w:rFonts w:hint="eastAsia" w:ascii="宋体" w:hAnsi="宋体" w:cs="宋体"/>
                <w:b/>
                <w:color w:val="000000"/>
                <w:kern w:val="0"/>
                <w:szCs w:val="21"/>
                <w:highlight w:val="none"/>
                <w:u w:val="single"/>
              </w:rPr>
              <w:t xml:space="preserve">       </w:t>
            </w:r>
            <w:r>
              <w:rPr>
                <w:rFonts w:hint="eastAsia" w:ascii="宋体" w:hAnsi="宋体" w:cs="宋体"/>
                <w:b/>
                <w:color w:val="000000"/>
                <w:kern w:val="0"/>
                <w:szCs w:val="21"/>
                <w:highlight w:val="none"/>
              </w:rPr>
              <w:t>元</w:t>
            </w:r>
          </w:p>
        </w:tc>
      </w:tr>
    </w:tbl>
    <w:p>
      <w:pPr>
        <w:spacing w:before="240" w:beforeLines="100" w:after="240" w:afterLines="100"/>
        <w:jc w:val="center"/>
        <w:rPr>
          <w:rFonts w:hint="eastAsia" w:ascii="黑体" w:hAnsi="宋体" w:eastAsia="黑体"/>
          <w:color w:val="000000"/>
          <w:sz w:val="30"/>
          <w:szCs w:val="30"/>
          <w:highlight w:val="none"/>
        </w:rPr>
      </w:pPr>
    </w:p>
    <w:p>
      <w:pPr>
        <w:spacing w:before="240" w:beforeLines="100" w:after="240" w:afterLines="100"/>
        <w:jc w:val="center"/>
        <w:rPr>
          <w:rFonts w:hint="eastAsia" w:ascii="黑体" w:hAnsi="宋体" w:eastAsia="黑体"/>
          <w:color w:val="000000"/>
          <w:sz w:val="30"/>
          <w:szCs w:val="30"/>
          <w:highlight w:val="none"/>
        </w:rPr>
      </w:pPr>
      <w:r>
        <w:rPr>
          <w:rFonts w:ascii="黑体" w:hAnsi="宋体" w:eastAsia="黑体"/>
          <w:color w:val="000000"/>
          <w:sz w:val="30"/>
          <w:szCs w:val="30"/>
          <w:highlight w:val="none"/>
        </w:rPr>
        <w:br w:type="page"/>
      </w:r>
      <w:r>
        <w:rPr>
          <w:rFonts w:hint="eastAsia" w:ascii="黑体" w:hAnsi="宋体" w:eastAsia="黑体"/>
          <w:color w:val="000000"/>
          <w:sz w:val="30"/>
          <w:szCs w:val="30"/>
          <w:highlight w:val="none"/>
        </w:rPr>
        <w:t>工程量清单</w:t>
      </w:r>
    </w:p>
    <w:p>
      <w:pPr>
        <w:tabs>
          <w:tab w:val="left" w:pos="3885"/>
        </w:tabs>
        <w:rPr>
          <w:rFonts w:hint="eastAsia"/>
          <w:color w:val="000000"/>
          <w:highlight w:val="none"/>
        </w:rPr>
      </w:pPr>
      <w:r>
        <w:rPr>
          <w:color w:val="000000"/>
          <w:highlight w:val="none"/>
        </w:rPr>
        <w:tab/>
      </w:r>
    </w:p>
    <w:tbl>
      <w:tblPr>
        <w:tblStyle w:val="49"/>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ind w:firstLine="103" w:firstLineChars="49"/>
              <w:jc w:val="center"/>
              <w:rPr>
                <w:rFonts w:ascii="宋体" w:hAnsi="宋体"/>
                <w:b/>
                <w:bCs/>
                <w:color w:val="000000"/>
                <w:highlight w:val="none"/>
              </w:rPr>
            </w:pPr>
            <w:r>
              <w:rPr>
                <w:rFonts w:hint="eastAsia" w:ascii="宋体" w:hAnsi="宋体"/>
                <w:b/>
                <w:bCs/>
                <w:color w:val="000000"/>
                <w:highlight w:val="none"/>
              </w:rPr>
              <w:t>清单      第300章      路  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子目号</w:t>
            </w:r>
          </w:p>
        </w:tc>
        <w:tc>
          <w:tcPr>
            <w:tcW w:w="4572"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子  目  名  称</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单位</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数量</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单价</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302</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302-1</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破板修复</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-a</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C40混凝土修复</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200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-b</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沥青混凝土路面局部小修（AC-13C)</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2000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沥青混凝土路面大面积小修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-c1</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普通热拌沥青混凝土（AC-13C)</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3000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-c2</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普通热拌沥青混凝土(AC-20C)</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1600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-c3</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普通热拌沥青混凝土(ATB-25)</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500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-c4</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改性沥青混凝土(AC-13C SBS)</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400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-c5</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改性沥青混凝土(SMA-13）</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300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-d</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乳化沥青粘层</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m2</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95000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302-2</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地聚合物注浆</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m2</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600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303</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沥青混凝土路面维修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303-1</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纵横向裂缝维修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-a</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裂缝灌缝</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160000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304</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结构物接顺及其它路面维修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304-1</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碎石</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750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304-3</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基层维修</w:t>
            </w:r>
          </w:p>
        </w:tc>
        <w:tc>
          <w:tcPr>
            <w:tcW w:w="899" w:type="dxa"/>
            <w:noWrap w:val="0"/>
            <w:vAlign w:val="center"/>
          </w:tcPr>
          <w:p>
            <w:pPr>
              <w:widowControl/>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-a</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5%水泥稳定碎石基层</w:t>
            </w:r>
          </w:p>
        </w:tc>
        <w:tc>
          <w:tcPr>
            <w:tcW w:w="899" w:type="dxa"/>
            <w:noWrap w:val="0"/>
            <w:vAlign w:val="center"/>
          </w:tcPr>
          <w:p>
            <w:pPr>
              <w:widowControl/>
              <w:jc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1000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bl>
    <w:p>
      <w:pPr>
        <w:widowControl/>
        <w:jc w:val="center"/>
        <w:rPr>
          <w:rFonts w:hint="eastAsia" w:ascii="宋体" w:hAnsi="宋体" w:cs="宋体"/>
          <w:color w:val="000000"/>
          <w:kern w:val="0"/>
          <w:szCs w:val="21"/>
          <w:highlight w:val="none"/>
        </w:rPr>
      </w:pPr>
    </w:p>
    <w:p>
      <w:pPr>
        <w:spacing w:before="240" w:beforeLines="100" w:after="240" w:afterLines="100"/>
        <w:jc w:val="center"/>
        <w:rPr>
          <w:rFonts w:hint="eastAsia" w:ascii="黑体" w:hAnsi="宋体" w:eastAsia="黑体"/>
          <w:color w:val="000000"/>
          <w:sz w:val="30"/>
          <w:szCs w:val="30"/>
          <w:highlight w:val="none"/>
        </w:rPr>
      </w:pPr>
    </w:p>
    <w:p>
      <w:pPr>
        <w:spacing w:before="240" w:beforeLines="100" w:after="240" w:afterLines="100"/>
        <w:jc w:val="center"/>
        <w:rPr>
          <w:rFonts w:hint="eastAsia" w:ascii="黑体" w:hAnsi="宋体" w:eastAsia="黑体"/>
          <w:color w:val="000000"/>
          <w:sz w:val="30"/>
          <w:szCs w:val="30"/>
          <w:highlight w:val="none"/>
        </w:rPr>
      </w:pPr>
      <w:r>
        <w:rPr>
          <w:rFonts w:hint="eastAsia" w:ascii="黑体" w:hAnsi="宋体" w:eastAsia="黑体"/>
          <w:color w:val="000000"/>
          <w:sz w:val="30"/>
          <w:szCs w:val="30"/>
          <w:highlight w:val="none"/>
        </w:rPr>
        <w:t>工程量清单</w:t>
      </w:r>
    </w:p>
    <w:p>
      <w:pPr>
        <w:tabs>
          <w:tab w:val="left" w:pos="3885"/>
        </w:tabs>
        <w:rPr>
          <w:rFonts w:hint="eastAsia"/>
          <w:color w:val="000000"/>
          <w:highlight w:val="none"/>
        </w:rPr>
      </w:pPr>
      <w:r>
        <w:rPr>
          <w:color w:val="000000"/>
          <w:highlight w:val="none"/>
        </w:rPr>
        <w:tab/>
      </w:r>
    </w:p>
    <w:tbl>
      <w:tblPr>
        <w:tblStyle w:val="49"/>
        <w:tblW w:w="946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4572"/>
        <w:gridCol w:w="899"/>
        <w:gridCol w:w="899"/>
        <w:gridCol w:w="1079"/>
        <w:gridCol w:w="10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ind w:firstLine="103" w:firstLineChars="49"/>
              <w:jc w:val="center"/>
              <w:rPr>
                <w:rFonts w:ascii="宋体" w:hAnsi="宋体"/>
                <w:b/>
                <w:bCs/>
                <w:color w:val="000000"/>
                <w:highlight w:val="none"/>
              </w:rPr>
            </w:pPr>
            <w:r>
              <w:rPr>
                <w:rFonts w:hint="eastAsia" w:ascii="宋体" w:hAnsi="宋体"/>
                <w:b/>
                <w:bCs/>
                <w:color w:val="000000"/>
                <w:highlight w:val="none"/>
              </w:rPr>
              <w:t>清单      第300章      路  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ascii="宋体" w:hAnsi="宋体" w:cs="宋体"/>
                <w:color w:val="000000"/>
                <w:kern w:val="0"/>
                <w:szCs w:val="21"/>
                <w:highlight w:val="none"/>
              </w:rPr>
            </w:pPr>
            <w:r>
              <w:rPr>
                <w:rFonts w:hint="eastAsia" w:ascii="宋体" w:hAnsi="宋体" w:cs="宋体"/>
                <w:color w:val="000000"/>
                <w:kern w:val="0"/>
                <w:szCs w:val="21"/>
                <w:highlight w:val="none"/>
              </w:rPr>
              <w:t>子目号</w:t>
            </w:r>
          </w:p>
        </w:tc>
        <w:tc>
          <w:tcPr>
            <w:tcW w:w="4572"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子  目  名  称</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单位</w:t>
            </w:r>
          </w:p>
        </w:tc>
        <w:tc>
          <w:tcPr>
            <w:tcW w:w="89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数量</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单价</w:t>
            </w:r>
          </w:p>
        </w:tc>
        <w:tc>
          <w:tcPr>
            <w:tcW w:w="1079" w:type="dxa"/>
            <w:noWrap w:val="0"/>
            <w:vAlign w:val="center"/>
          </w:tcPr>
          <w:p>
            <w:pPr>
              <w:widowControl/>
              <w:jc w:val="center"/>
              <w:rPr>
                <w:rFonts w:ascii="宋体" w:hAnsi="宋体" w:cs="宋体"/>
                <w:color w:val="000000"/>
                <w:kern w:val="0"/>
                <w:szCs w:val="21"/>
                <w:highlight w:val="none"/>
              </w:rPr>
            </w:pPr>
            <w:r>
              <w:rPr>
                <w:rFonts w:hint="eastAsia" w:ascii="宋体" w:hAnsi="宋体" w:cs="宋体"/>
                <w:color w:val="000000"/>
                <w:kern w:val="0"/>
                <w:szCs w:val="21"/>
                <w:highlight w:val="none"/>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-b</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C15素混凝土基层</w:t>
            </w:r>
          </w:p>
        </w:tc>
        <w:tc>
          <w:tcPr>
            <w:tcW w:w="899"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m3</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350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304-5</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其他路面维修</w:t>
            </w:r>
          </w:p>
        </w:tc>
        <w:tc>
          <w:tcPr>
            <w:tcW w:w="899" w:type="dxa"/>
            <w:noWrap w:val="0"/>
            <w:vAlign w:val="center"/>
          </w:tcPr>
          <w:p>
            <w:pPr>
              <w:widowControl/>
              <w:jc w:val="left"/>
              <w:rPr>
                <w:rFonts w:hint="eastAsia" w:ascii="宋体" w:hAnsi="宋体" w:cs="宋体"/>
                <w:color w:val="000000"/>
                <w:kern w:val="0"/>
                <w:szCs w:val="21"/>
                <w:highlight w:val="none"/>
              </w:rPr>
            </w:pPr>
          </w:p>
        </w:tc>
        <w:tc>
          <w:tcPr>
            <w:tcW w:w="89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-a</w:t>
            </w:r>
          </w:p>
        </w:tc>
        <w:tc>
          <w:tcPr>
            <w:tcW w:w="4572"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人行道彩砖维修</w:t>
            </w:r>
          </w:p>
        </w:tc>
        <w:tc>
          <w:tcPr>
            <w:tcW w:w="899" w:type="dxa"/>
            <w:noWrap w:val="0"/>
            <w:vAlign w:val="center"/>
          </w:tcPr>
          <w:p>
            <w:pPr>
              <w:widowControl/>
              <w:jc w:val="left"/>
              <w:rPr>
                <w:rFonts w:hint="eastAsia" w:ascii="宋体" w:hAnsi="宋体" w:cs="宋体"/>
                <w:color w:val="000000"/>
                <w:kern w:val="0"/>
                <w:szCs w:val="21"/>
                <w:highlight w:val="none"/>
              </w:rPr>
            </w:pPr>
            <w:r>
              <w:rPr>
                <w:rFonts w:hint="eastAsia" w:ascii="宋体" w:hAnsi="宋体" w:cs="宋体"/>
                <w:color w:val="000000"/>
                <w:kern w:val="0"/>
                <w:szCs w:val="21"/>
                <w:highlight w:val="none"/>
              </w:rPr>
              <w:t>m2</w:t>
            </w:r>
          </w:p>
        </w:tc>
        <w:tc>
          <w:tcPr>
            <w:tcW w:w="899" w:type="dxa"/>
            <w:noWrap w:val="0"/>
            <w:vAlign w:val="center"/>
          </w:tcPr>
          <w:p>
            <w:pPr>
              <w:widowControl/>
              <w:jc w:val="center"/>
              <w:rPr>
                <w:rFonts w:hint="eastAsia" w:ascii="宋体" w:hAnsi="宋体" w:cs="宋体"/>
                <w:color w:val="000000"/>
                <w:kern w:val="0"/>
                <w:szCs w:val="21"/>
                <w:highlight w:val="none"/>
              </w:rPr>
            </w:pPr>
            <w:r>
              <w:rPr>
                <w:rFonts w:ascii="宋体" w:hAnsi="宋体" w:cs="宋体"/>
                <w:color w:val="000000"/>
                <w:kern w:val="0"/>
                <w:szCs w:val="21"/>
                <w:highlight w:val="none"/>
              </w:rPr>
              <w:t>2500</w:t>
            </w: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left"/>
              <w:rPr>
                <w:rFonts w:hint="eastAsia" w:ascii="宋体" w:hAnsi="宋体" w:cs="宋体"/>
                <w:color w:val="000000"/>
                <w:kern w:val="0"/>
                <w:szCs w:val="21"/>
                <w:highlight w:val="none"/>
              </w:rPr>
            </w:pPr>
          </w:p>
        </w:tc>
        <w:tc>
          <w:tcPr>
            <w:tcW w:w="4572" w:type="dxa"/>
            <w:noWrap w:val="0"/>
            <w:vAlign w:val="center"/>
          </w:tcPr>
          <w:p>
            <w:pPr>
              <w:widowControl/>
              <w:jc w:val="left"/>
              <w:rPr>
                <w:rFonts w:hint="eastAsia" w:ascii="宋体" w:hAnsi="宋体" w:cs="宋体"/>
                <w:color w:val="000000"/>
                <w:kern w:val="0"/>
                <w:szCs w:val="21"/>
                <w:highlight w:val="none"/>
              </w:rPr>
            </w:pPr>
          </w:p>
        </w:tc>
        <w:tc>
          <w:tcPr>
            <w:tcW w:w="899" w:type="dxa"/>
            <w:noWrap w:val="0"/>
            <w:vAlign w:val="center"/>
          </w:tcPr>
          <w:p>
            <w:pPr>
              <w:widowControl/>
              <w:jc w:val="left"/>
              <w:rPr>
                <w:rFonts w:hint="eastAsia" w:ascii="宋体" w:hAnsi="宋体" w:cs="宋体"/>
                <w:color w:val="000000"/>
                <w:kern w:val="0"/>
                <w:szCs w:val="21"/>
                <w:highlight w:val="none"/>
              </w:rPr>
            </w:pPr>
          </w:p>
        </w:tc>
        <w:tc>
          <w:tcPr>
            <w:tcW w:w="89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c>
          <w:tcPr>
            <w:tcW w:w="1079" w:type="dxa"/>
            <w:noWrap w:val="0"/>
            <w:vAlign w:val="center"/>
          </w:tcPr>
          <w:p>
            <w:pPr>
              <w:widowControl/>
              <w:jc w:val="center"/>
              <w:rPr>
                <w:rFonts w:hint="eastAsia"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widowControl/>
              <w:jc w:val="center"/>
              <w:textAlignment w:val="center"/>
              <w:rPr>
                <w:rFonts w:hint="eastAsia" w:ascii="宋体" w:hAnsi="宋体" w:cs="宋体"/>
                <w:color w:val="000000"/>
                <w:kern w:val="0"/>
                <w:szCs w:val="21"/>
                <w:highlight w:val="none"/>
              </w:rPr>
            </w:pPr>
          </w:p>
        </w:tc>
        <w:tc>
          <w:tcPr>
            <w:tcW w:w="899" w:type="dxa"/>
            <w:noWrap w:val="0"/>
            <w:vAlign w:val="center"/>
          </w:tcPr>
          <w:p>
            <w:pPr>
              <w:widowControl/>
              <w:jc w:val="right"/>
              <w:textAlignment w:val="center"/>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0" w:type="dxa"/>
            <w:noWrap w:val="0"/>
            <w:vAlign w:val="center"/>
          </w:tcPr>
          <w:p>
            <w:pPr>
              <w:widowControl/>
              <w:jc w:val="center"/>
              <w:textAlignment w:val="center"/>
              <w:rPr>
                <w:rFonts w:hint="eastAsia" w:ascii="宋体" w:hAnsi="宋体" w:cs="宋体"/>
                <w:color w:val="000000"/>
                <w:kern w:val="0"/>
                <w:szCs w:val="21"/>
                <w:highlight w:val="none"/>
              </w:rPr>
            </w:pPr>
          </w:p>
        </w:tc>
        <w:tc>
          <w:tcPr>
            <w:tcW w:w="4572" w:type="dxa"/>
            <w:noWrap w:val="0"/>
            <w:vAlign w:val="center"/>
          </w:tcPr>
          <w:p>
            <w:pPr>
              <w:widowControl/>
              <w:jc w:val="left"/>
              <w:textAlignment w:val="center"/>
              <w:rPr>
                <w:rFonts w:hint="eastAsia" w:ascii="宋体" w:hAnsi="宋体" w:cs="宋体"/>
                <w:color w:val="000000"/>
                <w:kern w:val="0"/>
                <w:szCs w:val="21"/>
                <w:highlight w:val="none"/>
              </w:rPr>
            </w:pPr>
          </w:p>
        </w:tc>
        <w:tc>
          <w:tcPr>
            <w:tcW w:w="899" w:type="dxa"/>
            <w:noWrap w:val="0"/>
            <w:vAlign w:val="center"/>
          </w:tcPr>
          <w:p>
            <w:pPr>
              <w:jc w:val="center"/>
              <w:rPr>
                <w:rFonts w:hint="eastAsia" w:ascii="宋体" w:hAnsi="宋体" w:cs="宋体"/>
                <w:color w:val="000000"/>
                <w:kern w:val="0"/>
                <w:szCs w:val="21"/>
                <w:highlight w:val="none"/>
              </w:rPr>
            </w:pPr>
          </w:p>
        </w:tc>
        <w:tc>
          <w:tcPr>
            <w:tcW w:w="899" w:type="dxa"/>
            <w:noWrap w:val="0"/>
            <w:vAlign w:val="center"/>
          </w:tcPr>
          <w:p>
            <w:pPr>
              <w:jc w:val="right"/>
              <w:rPr>
                <w:rFonts w:hint="eastAsia"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c>
          <w:tcPr>
            <w:tcW w:w="1079" w:type="dxa"/>
            <w:noWrap w:val="0"/>
            <w:vAlign w:val="center"/>
          </w:tcPr>
          <w:p>
            <w:pPr>
              <w:widowControl/>
              <w:jc w:val="center"/>
              <w:rPr>
                <w:rFonts w:ascii="宋体" w:hAnsi="宋体" w:cs="宋体"/>
                <w:color w:val="000000"/>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9" w:hRule="atLeast"/>
        </w:trPr>
        <w:tc>
          <w:tcPr>
            <w:tcW w:w="9468" w:type="dxa"/>
            <w:gridSpan w:val="6"/>
            <w:noWrap w:val="0"/>
            <w:vAlign w:val="center"/>
          </w:tcPr>
          <w:p>
            <w:pPr>
              <w:widowControl/>
              <w:jc w:val="center"/>
              <w:rPr>
                <w:rFonts w:ascii="宋体" w:hAnsi="宋体" w:cs="宋体"/>
                <w:b/>
                <w:color w:val="000000"/>
                <w:kern w:val="0"/>
                <w:szCs w:val="21"/>
                <w:highlight w:val="none"/>
              </w:rPr>
            </w:pPr>
            <w:r>
              <w:rPr>
                <w:rFonts w:hint="eastAsia" w:ascii="宋体" w:hAnsi="宋体" w:cs="宋体"/>
                <w:b/>
                <w:color w:val="000000"/>
                <w:kern w:val="0"/>
                <w:szCs w:val="21"/>
                <w:highlight w:val="none"/>
              </w:rPr>
              <w:t>清单300章合计   人民币</w:t>
            </w:r>
            <w:r>
              <w:rPr>
                <w:rFonts w:hint="eastAsia" w:ascii="宋体" w:hAnsi="宋体" w:cs="宋体"/>
                <w:b/>
                <w:color w:val="000000"/>
                <w:kern w:val="0"/>
                <w:szCs w:val="21"/>
                <w:highlight w:val="none"/>
                <w:u w:val="single"/>
              </w:rPr>
              <w:t xml:space="preserve">       </w:t>
            </w:r>
            <w:r>
              <w:rPr>
                <w:rFonts w:hint="eastAsia" w:ascii="宋体" w:hAnsi="宋体" w:cs="宋体"/>
                <w:b/>
                <w:color w:val="000000"/>
                <w:kern w:val="0"/>
                <w:szCs w:val="21"/>
                <w:highlight w:val="none"/>
              </w:rPr>
              <w:t>元</w:t>
            </w:r>
          </w:p>
        </w:tc>
      </w:tr>
    </w:tbl>
    <w:p>
      <w:pPr>
        <w:rPr>
          <w:rFonts w:hint="eastAsia" w:ascii="宋体" w:hAnsi="宋体"/>
          <w:bCs/>
          <w:color w:val="000000"/>
          <w:sz w:val="24"/>
          <w:highlight w:val="none"/>
        </w:rPr>
      </w:pPr>
    </w:p>
    <w:p>
      <w:pPr>
        <w:spacing w:line="360" w:lineRule="auto"/>
        <w:outlineLvl w:val="0"/>
        <w:rPr>
          <w:rFonts w:hint="eastAsia" w:ascii="宋体" w:hAnsi="宋体"/>
          <w:b/>
          <w:bCs/>
          <w:color w:val="000000"/>
          <w:sz w:val="24"/>
          <w:highlight w:val="none"/>
        </w:rPr>
      </w:pPr>
    </w:p>
    <w:p>
      <w:pPr>
        <w:spacing w:line="360" w:lineRule="auto"/>
        <w:outlineLvl w:val="0"/>
        <w:rPr>
          <w:rFonts w:hint="eastAsia" w:ascii="宋体" w:hAnsi="宋体"/>
          <w:b/>
          <w:bCs/>
          <w:color w:val="000000"/>
          <w:sz w:val="24"/>
          <w:highlight w:val="none"/>
        </w:rPr>
      </w:pPr>
      <w:r>
        <w:rPr>
          <w:rFonts w:hint="eastAsia" w:ascii="宋体" w:hAnsi="宋体"/>
          <w:b/>
          <w:bCs/>
          <w:color w:val="000000"/>
          <w:sz w:val="24"/>
          <w:highlight w:val="none"/>
        </w:rPr>
        <w:t>4.2  投标报价汇总表</w:t>
      </w:r>
    </w:p>
    <w:p>
      <w:pPr>
        <w:rPr>
          <w:rFonts w:hint="eastAsia"/>
          <w:color w:val="000000"/>
          <w:highlight w:val="none"/>
        </w:rPr>
      </w:pPr>
    </w:p>
    <w:tbl>
      <w:tblPr>
        <w:tblStyle w:val="49"/>
        <w:tblW w:w="92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0" w:type="dxa"/>
        </w:tblCellMar>
      </w:tblPr>
      <w:tblGrid>
        <w:gridCol w:w="1270"/>
        <w:gridCol w:w="1449"/>
        <w:gridCol w:w="4554"/>
        <w:gridCol w:w="195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序号</w:t>
            </w:r>
          </w:p>
        </w:tc>
        <w:tc>
          <w:tcPr>
            <w:tcW w:w="1449"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章次</w:t>
            </w:r>
          </w:p>
        </w:tc>
        <w:tc>
          <w:tcPr>
            <w:tcW w:w="4554"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科目名称</w:t>
            </w:r>
          </w:p>
        </w:tc>
        <w:tc>
          <w:tcPr>
            <w:tcW w:w="1955" w:type="dxa"/>
            <w:noWrap w:val="0"/>
            <w:vAlign w:val="center"/>
          </w:tcPr>
          <w:p>
            <w:pPr>
              <w:jc w:val="center"/>
              <w:rPr>
                <w:rFonts w:hint="eastAsia" w:ascii="宋体" w:hAnsi="宋体"/>
                <w:color w:val="000000"/>
                <w:szCs w:val="21"/>
                <w:highlight w:val="none"/>
              </w:rPr>
            </w:pPr>
            <w:r>
              <w:rPr>
                <w:rFonts w:hint="eastAsia" w:ascii="宋体" w:hAnsi="宋体"/>
                <w:color w:val="000000"/>
                <w:szCs w:val="21"/>
                <w:highlight w:val="none"/>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1</w:t>
            </w:r>
          </w:p>
        </w:tc>
        <w:tc>
          <w:tcPr>
            <w:tcW w:w="1449"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100</w:t>
            </w:r>
          </w:p>
        </w:tc>
        <w:tc>
          <w:tcPr>
            <w:tcW w:w="4554"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清单第100章总则</w:t>
            </w:r>
          </w:p>
        </w:tc>
        <w:tc>
          <w:tcPr>
            <w:tcW w:w="1955" w:type="dxa"/>
            <w:noWrap w:val="0"/>
            <w:vAlign w:val="center"/>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bidi="ar"/>
              </w:rPr>
              <w:t>2</w:t>
            </w:r>
          </w:p>
        </w:tc>
        <w:tc>
          <w:tcPr>
            <w:tcW w:w="1449" w:type="dxa"/>
            <w:noWrap w:val="0"/>
            <w:vAlign w:val="center"/>
          </w:tcPr>
          <w:p>
            <w:pPr>
              <w:widowControl/>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bidi="ar"/>
              </w:rPr>
              <w:t>200</w:t>
            </w:r>
          </w:p>
        </w:tc>
        <w:tc>
          <w:tcPr>
            <w:tcW w:w="4554" w:type="dxa"/>
            <w:noWrap w:val="0"/>
            <w:vAlign w:val="center"/>
          </w:tcPr>
          <w:p>
            <w:pPr>
              <w:widowControl/>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bidi="ar"/>
              </w:rPr>
              <w:t>清单第200章路基</w:t>
            </w:r>
          </w:p>
        </w:tc>
        <w:tc>
          <w:tcPr>
            <w:tcW w:w="1955" w:type="dxa"/>
            <w:noWrap w:val="0"/>
            <w:vAlign w:val="center"/>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bidi="ar"/>
              </w:rPr>
              <w:t>3</w:t>
            </w:r>
          </w:p>
        </w:tc>
        <w:tc>
          <w:tcPr>
            <w:tcW w:w="1449"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300</w:t>
            </w:r>
          </w:p>
        </w:tc>
        <w:tc>
          <w:tcPr>
            <w:tcW w:w="4554" w:type="dxa"/>
            <w:noWrap w:val="0"/>
            <w:vAlign w:val="center"/>
          </w:tcPr>
          <w:p>
            <w:pPr>
              <w:widowControl/>
              <w:jc w:val="center"/>
              <w:textAlignment w:val="center"/>
              <w:rPr>
                <w:rFonts w:ascii="宋体" w:hAnsi="宋体" w:cs="宋体"/>
                <w:color w:val="000000"/>
                <w:kern w:val="0"/>
                <w:szCs w:val="21"/>
                <w:highlight w:val="none"/>
              </w:rPr>
            </w:pPr>
            <w:r>
              <w:rPr>
                <w:rFonts w:hint="eastAsia" w:ascii="宋体" w:hAnsi="宋体" w:cs="宋体"/>
                <w:color w:val="000000"/>
                <w:kern w:val="0"/>
                <w:szCs w:val="21"/>
                <w:highlight w:val="none"/>
                <w:lang w:bidi="ar"/>
              </w:rPr>
              <w:t>清单第300章路面</w:t>
            </w:r>
          </w:p>
        </w:tc>
        <w:tc>
          <w:tcPr>
            <w:tcW w:w="1955" w:type="dxa"/>
            <w:noWrap w:val="0"/>
            <w:vAlign w:val="center"/>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4</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第100章至第300章合计</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5</w:t>
            </w:r>
          </w:p>
        </w:tc>
        <w:tc>
          <w:tcPr>
            <w:tcW w:w="6003" w:type="dxa"/>
            <w:gridSpan w:val="2"/>
            <w:noWrap w:val="0"/>
            <w:vAlign w:val="center"/>
          </w:tcPr>
          <w:p>
            <w:pPr>
              <w:widowControl/>
              <w:jc w:val="center"/>
              <w:textAlignment w:val="center"/>
              <w:rPr>
                <w:rFonts w:ascii="宋体" w:hAnsi="宋体"/>
                <w:color w:val="000000"/>
                <w:highlight w:val="none"/>
              </w:rPr>
            </w:pPr>
            <w:r>
              <w:rPr>
                <w:rFonts w:hint="eastAsia" w:ascii="宋体" w:hAnsi="宋体" w:cs="宋体"/>
                <w:color w:val="000000"/>
                <w:kern w:val="0"/>
                <w:szCs w:val="21"/>
                <w:highlight w:val="none"/>
                <w:lang w:bidi="ar"/>
              </w:rPr>
              <w:t>已包含在清单合计中的材料、工程设备、专业工程暂估价合计</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6</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清单合计减去材料、工程设备、专业工程暂估价合计</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7</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计日工合计</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8</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暂列金额（不含计日工总额）</w:t>
            </w:r>
          </w:p>
        </w:tc>
        <w:tc>
          <w:tcPr>
            <w:tcW w:w="1955" w:type="dxa"/>
            <w:noWrap w:val="0"/>
            <w:vAlign w:val="top"/>
          </w:tcPr>
          <w:p>
            <w:pPr>
              <w:jc w:val="center"/>
              <w:rPr>
                <w:rFonts w:hint="eastAsia" w:ascii="宋体" w:hAnsi="宋体"/>
                <w:color w:val="00000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0" w:type="dxa"/>
          </w:tblCellMar>
        </w:tblPrEx>
        <w:trPr>
          <w:trHeight w:val="794" w:hRule="atLeast"/>
        </w:trPr>
        <w:tc>
          <w:tcPr>
            <w:tcW w:w="1270" w:type="dxa"/>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9</w:t>
            </w:r>
          </w:p>
        </w:tc>
        <w:tc>
          <w:tcPr>
            <w:tcW w:w="6003" w:type="dxa"/>
            <w:gridSpan w:val="2"/>
            <w:noWrap w:val="0"/>
            <w:vAlign w:val="center"/>
          </w:tcPr>
          <w:p>
            <w:pPr>
              <w:widowControl/>
              <w:jc w:val="center"/>
              <w:textAlignment w:val="center"/>
              <w:rPr>
                <w:rFonts w:hint="eastAsia" w:ascii="宋体" w:hAnsi="宋体"/>
                <w:color w:val="000000"/>
                <w:highlight w:val="none"/>
              </w:rPr>
            </w:pPr>
            <w:r>
              <w:rPr>
                <w:rFonts w:hint="eastAsia" w:ascii="宋体" w:hAnsi="宋体" w:cs="宋体"/>
                <w:color w:val="000000"/>
                <w:kern w:val="0"/>
                <w:szCs w:val="21"/>
                <w:highlight w:val="none"/>
                <w:lang w:bidi="ar"/>
              </w:rPr>
              <w:t>投标报价</w:t>
            </w:r>
          </w:p>
        </w:tc>
        <w:tc>
          <w:tcPr>
            <w:tcW w:w="1955" w:type="dxa"/>
            <w:noWrap w:val="0"/>
            <w:vAlign w:val="top"/>
          </w:tcPr>
          <w:p>
            <w:pPr>
              <w:jc w:val="center"/>
              <w:rPr>
                <w:rFonts w:hint="eastAsia" w:ascii="宋体" w:hAnsi="宋体"/>
                <w:color w:val="000000"/>
                <w:szCs w:val="21"/>
                <w:highlight w:val="none"/>
              </w:rPr>
            </w:pPr>
          </w:p>
        </w:tc>
      </w:tr>
    </w:tbl>
    <w:p>
      <w:pPr>
        <w:pStyle w:val="28"/>
        <w:snapToGrid w:val="0"/>
        <w:spacing w:before="24" w:beforeLines="10" w:after="24" w:afterLines="10" w:line="480" w:lineRule="auto"/>
        <w:rPr>
          <w:rFonts w:hint="eastAsia" w:ascii="Times New Roman" w:hAnsi="Times New Roman"/>
          <w:color w:val="000000"/>
          <w:szCs w:val="21"/>
          <w:highlight w:val="none"/>
        </w:rPr>
      </w:pPr>
    </w:p>
    <w:p>
      <w:pPr>
        <w:snapToGrid w:val="0"/>
        <w:spacing w:before="50" w:after="50" w:line="360" w:lineRule="auto"/>
        <w:rPr>
          <w:rFonts w:ascii="宋体" w:hAnsi="宋体"/>
          <w:color w:val="000000"/>
          <w:spacing w:val="20"/>
          <w:szCs w:val="21"/>
          <w:highlight w:val="none"/>
          <w:u w:val="single"/>
        </w:rPr>
      </w:pPr>
      <w:r>
        <w:rPr>
          <w:rFonts w:hint="eastAsia" w:ascii="宋体" w:hAnsi="宋体"/>
          <w:color w:val="000000"/>
          <w:szCs w:val="21"/>
          <w:highlight w:val="none"/>
        </w:rPr>
        <w:t>法定代表人或被授权人签字（或盖章）</w:t>
      </w:r>
      <w:r>
        <w:rPr>
          <w:rFonts w:hint="eastAsia" w:ascii="宋体" w:hAnsi="宋体"/>
          <w:color w:val="000000"/>
          <w:spacing w:val="20"/>
          <w:szCs w:val="21"/>
          <w:highlight w:val="none"/>
        </w:rPr>
        <w:t>：</w:t>
      </w:r>
      <w:r>
        <w:rPr>
          <w:rFonts w:hint="eastAsia" w:ascii="宋体" w:hAnsi="宋体"/>
          <w:color w:val="000000"/>
          <w:spacing w:val="20"/>
          <w:szCs w:val="21"/>
          <w:highlight w:val="none"/>
          <w:u w:val="single"/>
        </w:rPr>
        <w:t xml:space="preserve">          </w:t>
      </w:r>
    </w:p>
    <w:p>
      <w:pPr>
        <w:snapToGrid w:val="0"/>
        <w:spacing w:before="50" w:after="50"/>
        <w:rPr>
          <w:rFonts w:ascii="Arial Unicode MS" w:hAnsi="Arial Unicode MS"/>
          <w:color w:val="000000"/>
          <w:szCs w:val="21"/>
          <w:highlight w:val="none"/>
        </w:rPr>
      </w:pPr>
      <w:r>
        <w:rPr>
          <w:rFonts w:hint="eastAsia" w:ascii="宋体" w:hAnsi="宋体"/>
          <w:color w:val="000000"/>
          <w:spacing w:val="20"/>
          <w:szCs w:val="21"/>
          <w:highlight w:val="none"/>
        </w:rPr>
        <w:t xml:space="preserve">投标人公章：                      </w:t>
      </w:r>
      <w:r>
        <w:rPr>
          <w:rFonts w:hint="eastAsia"/>
          <w:color w:val="000000"/>
          <w:szCs w:val="21"/>
          <w:highlight w:val="none"/>
        </w:rPr>
        <w:t>日期：</w:t>
      </w:r>
      <w:r>
        <w:rPr>
          <w:color w:val="000000"/>
          <w:szCs w:val="21"/>
          <w:highlight w:val="none"/>
        </w:rPr>
        <w:t xml:space="preserve">      </w:t>
      </w:r>
      <w:r>
        <w:rPr>
          <w:rFonts w:hint="eastAsia"/>
          <w:color w:val="000000"/>
          <w:szCs w:val="21"/>
          <w:highlight w:val="none"/>
        </w:rPr>
        <w:t>年</w:t>
      </w:r>
      <w:r>
        <w:rPr>
          <w:color w:val="000000"/>
          <w:szCs w:val="21"/>
          <w:highlight w:val="none"/>
        </w:rPr>
        <w:t xml:space="preserve">   </w:t>
      </w:r>
      <w:r>
        <w:rPr>
          <w:rFonts w:hint="eastAsia"/>
          <w:color w:val="000000"/>
          <w:szCs w:val="21"/>
          <w:highlight w:val="none"/>
        </w:rPr>
        <w:t>月</w:t>
      </w:r>
      <w:r>
        <w:rPr>
          <w:color w:val="000000"/>
          <w:szCs w:val="21"/>
          <w:highlight w:val="none"/>
        </w:rPr>
        <w:t xml:space="preserve">    </w:t>
      </w:r>
      <w:r>
        <w:rPr>
          <w:rFonts w:hint="eastAsia"/>
          <w:color w:val="000000"/>
          <w:szCs w:val="21"/>
          <w:highlight w:val="none"/>
        </w:rPr>
        <w:t>日</w:t>
      </w:r>
    </w:p>
    <w:p>
      <w:pPr>
        <w:spacing w:line="340" w:lineRule="exact"/>
        <w:rPr>
          <w:rFonts w:hint="eastAsia" w:ascii="黑体" w:hAnsi="华文楷体" w:eastAsia="黑体"/>
          <w:color w:val="000000"/>
          <w:sz w:val="44"/>
          <w:highlight w:val="none"/>
        </w:rPr>
      </w:pPr>
      <w:r>
        <w:rPr>
          <w:color w:val="000000"/>
          <w:sz w:val="24"/>
          <w:szCs w:val="21"/>
          <w:highlight w:val="none"/>
        </w:rPr>
        <w:br w:type="page"/>
      </w:r>
    </w:p>
    <w:tbl>
      <w:tblPr>
        <w:tblStyle w:val="49"/>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0" w:type="dxa"/>
        </w:tblCellMar>
      </w:tblPr>
      <w:tblGrid>
        <w:gridCol w:w="648"/>
        <w:gridCol w:w="763"/>
        <w:gridCol w:w="550"/>
        <w:gridCol w:w="797"/>
        <w:gridCol w:w="407"/>
        <w:gridCol w:w="407"/>
        <w:gridCol w:w="407"/>
        <w:gridCol w:w="407"/>
        <w:gridCol w:w="407"/>
        <w:gridCol w:w="407"/>
        <w:gridCol w:w="407"/>
        <w:gridCol w:w="407"/>
        <w:gridCol w:w="407"/>
        <w:gridCol w:w="407"/>
        <w:gridCol w:w="407"/>
        <w:gridCol w:w="407"/>
        <w:gridCol w:w="407"/>
        <w:gridCol w:w="407"/>
        <w:gridCol w:w="407"/>
        <w:gridCol w:w="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restart"/>
            <w:tcBorders>
              <w:top w:val="nil"/>
              <w:left w:val="nil"/>
              <w:bottom w:val="nil"/>
              <w:right w:val="single" w:color="auto" w:sz="12" w:space="0"/>
            </w:tcBorders>
            <w:noWrap w:val="0"/>
            <w:textDirection w:val="btLr"/>
            <w:vAlign w:val="top"/>
          </w:tcPr>
          <w:p>
            <w:pPr>
              <w:spacing w:line="500" w:lineRule="exact"/>
              <w:ind w:firstLine="470" w:firstLineChars="196"/>
              <w:rPr>
                <w:rFonts w:hint="eastAsia"/>
                <w:b/>
                <w:bCs/>
                <w:color w:val="000000"/>
                <w:sz w:val="24"/>
                <w:highlight w:val="none"/>
              </w:rPr>
            </w:pPr>
            <w:r>
              <w:rPr>
                <w:rFonts w:hint="eastAsia" w:ascii="宋体" w:hAnsi="宋体"/>
                <w:bCs/>
                <w:color w:val="000000"/>
                <w:sz w:val="24"/>
                <w:highlight w:val="none"/>
              </w:rPr>
              <w:t>4.3  工程量清单单价分析表</w:t>
            </w:r>
          </w:p>
        </w:tc>
        <w:tc>
          <w:tcPr>
            <w:tcW w:w="2110" w:type="dxa"/>
            <w:gridSpan w:val="3"/>
            <w:tcBorders>
              <w:top w:val="single" w:color="auto" w:sz="12"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综合</w:t>
            </w:r>
          </w:p>
          <w:p>
            <w:pPr>
              <w:jc w:val="center"/>
              <w:rPr>
                <w:rFonts w:hint="eastAsia"/>
                <w:color w:val="000000"/>
                <w:highlight w:val="none"/>
              </w:rPr>
            </w:pPr>
            <w:r>
              <w:rPr>
                <w:rFonts w:hint="eastAsia"/>
                <w:color w:val="000000"/>
                <w:highlight w:val="none"/>
              </w:rPr>
              <w:t>单价</w:t>
            </w: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12"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2110" w:type="dxa"/>
            <w:gridSpan w:val="3"/>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利润</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2110" w:type="dxa"/>
            <w:gridSpan w:val="3"/>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税费</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2110" w:type="dxa"/>
            <w:gridSpan w:val="3"/>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管理费</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2110" w:type="dxa"/>
            <w:gridSpan w:val="3"/>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其他</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2110" w:type="dxa"/>
            <w:gridSpan w:val="3"/>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机械</w:t>
            </w:r>
          </w:p>
          <w:p>
            <w:pPr>
              <w:jc w:val="center"/>
              <w:rPr>
                <w:rFonts w:hint="eastAsia"/>
                <w:color w:val="000000"/>
                <w:highlight w:val="none"/>
              </w:rPr>
            </w:pPr>
            <w:r>
              <w:rPr>
                <w:rFonts w:hint="eastAsia"/>
                <w:color w:val="000000"/>
                <w:highlight w:val="none"/>
              </w:rPr>
              <w:t>使用费</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restart"/>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材料费</w:t>
            </w:r>
          </w:p>
        </w:tc>
        <w:tc>
          <w:tcPr>
            <w:tcW w:w="1347" w:type="dxa"/>
            <w:gridSpan w:val="2"/>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金额</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continue"/>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1347" w:type="dxa"/>
            <w:gridSpan w:val="2"/>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辅材费</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continue"/>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550" w:type="dxa"/>
            <w:vMerge w:val="restart"/>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主材</w:t>
            </w:r>
          </w:p>
        </w:tc>
        <w:tc>
          <w:tcPr>
            <w:tcW w:w="797" w:type="dxa"/>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主材费</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continue"/>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550" w:type="dxa"/>
            <w:vMerge w:val="continue"/>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797" w:type="dxa"/>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单价</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continue"/>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550" w:type="dxa"/>
            <w:vMerge w:val="continue"/>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797" w:type="dxa"/>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单位</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continue"/>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550" w:type="dxa"/>
            <w:vMerge w:val="continue"/>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797" w:type="dxa"/>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主材</w:t>
            </w:r>
          </w:p>
          <w:p>
            <w:pPr>
              <w:jc w:val="center"/>
              <w:rPr>
                <w:rFonts w:hint="eastAsia"/>
                <w:color w:val="000000"/>
                <w:highlight w:val="none"/>
              </w:rPr>
            </w:pPr>
            <w:r>
              <w:rPr>
                <w:rFonts w:hint="eastAsia"/>
                <w:color w:val="000000"/>
                <w:highlight w:val="none"/>
              </w:rPr>
              <w:t>耗量</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73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restart"/>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人工费</w:t>
            </w:r>
          </w:p>
        </w:tc>
        <w:tc>
          <w:tcPr>
            <w:tcW w:w="1347" w:type="dxa"/>
            <w:gridSpan w:val="2"/>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金额</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422"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continue"/>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1347" w:type="dxa"/>
            <w:gridSpan w:val="2"/>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单价</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46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763" w:type="dxa"/>
            <w:vMerge w:val="continue"/>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p>
        </w:tc>
        <w:tc>
          <w:tcPr>
            <w:tcW w:w="1347" w:type="dxa"/>
            <w:gridSpan w:val="2"/>
            <w:tcBorders>
              <w:top w:val="single" w:color="auto" w:sz="6" w:space="0"/>
              <w:left w:val="single" w:color="auto" w:sz="6"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工日</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55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2110" w:type="dxa"/>
            <w:gridSpan w:val="3"/>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子目</w:t>
            </w:r>
          </w:p>
          <w:p>
            <w:pPr>
              <w:jc w:val="center"/>
              <w:rPr>
                <w:rFonts w:hint="eastAsia"/>
                <w:color w:val="000000"/>
                <w:highlight w:val="none"/>
              </w:rPr>
            </w:pPr>
            <w:r>
              <w:rPr>
                <w:rFonts w:hint="eastAsia"/>
                <w:color w:val="000000"/>
                <w:highlight w:val="none"/>
              </w:rPr>
              <w:t>名称</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557"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2110" w:type="dxa"/>
            <w:gridSpan w:val="3"/>
            <w:tcBorders>
              <w:top w:val="single" w:color="auto" w:sz="6" w:space="0"/>
              <w:left w:val="single" w:color="auto" w:sz="12" w:space="0"/>
              <w:bottom w:val="single" w:color="auto" w:sz="6"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编码</w:t>
            </w: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6" w:space="0"/>
              <w:right w:val="single" w:color="auto" w:sz="12" w:space="0"/>
            </w:tcBorders>
            <w:noWrap w:val="0"/>
            <w:textDirection w:val="btLr"/>
            <w:vAlign w:val="top"/>
          </w:tcPr>
          <w:p>
            <w:pPr>
              <w:rPr>
                <w:rFonts w:hint="eastAsia"/>
                <w:color w:val="00000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0" w:type="dxa"/>
          </w:tblCellMar>
        </w:tblPrEx>
        <w:trPr>
          <w:cantSplit/>
          <w:trHeight w:val="512" w:hRule="exact"/>
        </w:trPr>
        <w:tc>
          <w:tcPr>
            <w:tcW w:w="648" w:type="dxa"/>
            <w:vMerge w:val="continue"/>
            <w:tcBorders>
              <w:top w:val="nil"/>
              <w:left w:val="nil"/>
              <w:bottom w:val="nil"/>
              <w:right w:val="single" w:color="auto" w:sz="12" w:space="0"/>
            </w:tcBorders>
            <w:noWrap w:val="0"/>
            <w:textDirection w:val="btLr"/>
            <w:vAlign w:val="top"/>
          </w:tcPr>
          <w:p>
            <w:pPr>
              <w:rPr>
                <w:rFonts w:hint="eastAsia"/>
                <w:color w:val="000000"/>
                <w:highlight w:val="none"/>
              </w:rPr>
            </w:pPr>
          </w:p>
        </w:tc>
        <w:tc>
          <w:tcPr>
            <w:tcW w:w="2110" w:type="dxa"/>
            <w:gridSpan w:val="3"/>
            <w:tcBorders>
              <w:top w:val="single" w:color="auto" w:sz="6" w:space="0"/>
              <w:left w:val="single" w:color="auto" w:sz="12" w:space="0"/>
              <w:bottom w:val="single" w:color="auto" w:sz="12" w:space="0"/>
              <w:right w:val="single" w:color="auto" w:sz="6" w:space="0"/>
            </w:tcBorders>
            <w:noWrap w:val="0"/>
            <w:textDirection w:val="btLr"/>
            <w:vAlign w:val="center"/>
          </w:tcPr>
          <w:p>
            <w:pPr>
              <w:jc w:val="center"/>
              <w:rPr>
                <w:rFonts w:hint="eastAsia"/>
                <w:color w:val="000000"/>
                <w:highlight w:val="none"/>
              </w:rPr>
            </w:pPr>
            <w:r>
              <w:rPr>
                <w:rFonts w:hint="eastAsia"/>
                <w:color w:val="000000"/>
                <w:highlight w:val="none"/>
              </w:rPr>
              <w:t>序号</w:t>
            </w: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6" w:space="0"/>
            </w:tcBorders>
            <w:noWrap w:val="0"/>
            <w:textDirection w:val="btLr"/>
            <w:vAlign w:val="top"/>
          </w:tcPr>
          <w:p>
            <w:pPr>
              <w:rPr>
                <w:rFonts w:hint="eastAsia"/>
                <w:color w:val="000000"/>
                <w:highlight w:val="none"/>
              </w:rPr>
            </w:pPr>
          </w:p>
        </w:tc>
        <w:tc>
          <w:tcPr>
            <w:tcW w:w="407" w:type="dxa"/>
            <w:tcBorders>
              <w:top w:val="single" w:color="auto" w:sz="6" w:space="0"/>
              <w:left w:val="single" w:color="auto" w:sz="6" w:space="0"/>
              <w:bottom w:val="single" w:color="auto" w:sz="12" w:space="0"/>
              <w:right w:val="single" w:color="auto" w:sz="12" w:space="0"/>
            </w:tcBorders>
            <w:noWrap w:val="0"/>
            <w:textDirection w:val="btLr"/>
            <w:vAlign w:val="top"/>
          </w:tcPr>
          <w:p>
            <w:pPr>
              <w:rPr>
                <w:rFonts w:hint="eastAsia"/>
                <w:color w:val="000000"/>
                <w:highlight w:val="none"/>
              </w:rPr>
            </w:pPr>
          </w:p>
        </w:tc>
      </w:tr>
    </w:tbl>
    <w:p>
      <w:pPr>
        <w:pStyle w:val="28"/>
        <w:snapToGrid w:val="0"/>
        <w:spacing w:before="24" w:beforeLines="10" w:after="24" w:afterLines="10"/>
        <w:rPr>
          <w:rFonts w:hint="eastAsia" w:ascii="Times New Roman" w:hAnsi="Times New Roman"/>
          <w:color w:val="000000"/>
          <w:szCs w:val="21"/>
          <w:highlight w:val="none"/>
        </w:rPr>
      </w:pPr>
    </w:p>
    <w:p>
      <w:pPr>
        <w:snapToGrid w:val="0"/>
        <w:spacing w:before="50" w:after="50" w:line="360" w:lineRule="auto"/>
        <w:rPr>
          <w:rFonts w:ascii="宋体" w:hAnsi="宋体"/>
          <w:color w:val="000000"/>
          <w:spacing w:val="20"/>
          <w:szCs w:val="21"/>
          <w:highlight w:val="none"/>
          <w:u w:val="single"/>
        </w:rPr>
      </w:pPr>
      <w:r>
        <w:rPr>
          <w:rFonts w:hint="eastAsia" w:ascii="宋体" w:hAnsi="宋体"/>
          <w:color w:val="000000"/>
          <w:szCs w:val="21"/>
          <w:highlight w:val="none"/>
        </w:rPr>
        <w:t>法定代表人或被授权人签字（或盖章）</w:t>
      </w:r>
      <w:r>
        <w:rPr>
          <w:rFonts w:hint="eastAsia" w:ascii="宋体" w:hAnsi="宋体"/>
          <w:color w:val="000000"/>
          <w:spacing w:val="20"/>
          <w:szCs w:val="21"/>
          <w:highlight w:val="none"/>
        </w:rPr>
        <w:t>：</w:t>
      </w:r>
      <w:r>
        <w:rPr>
          <w:rFonts w:hint="eastAsia" w:ascii="宋体" w:hAnsi="宋体"/>
          <w:color w:val="000000"/>
          <w:spacing w:val="20"/>
          <w:szCs w:val="21"/>
          <w:highlight w:val="none"/>
          <w:u w:val="single"/>
        </w:rPr>
        <w:t xml:space="preserve">          </w:t>
      </w:r>
    </w:p>
    <w:p>
      <w:pPr>
        <w:snapToGrid w:val="0"/>
        <w:spacing w:before="50" w:after="50"/>
        <w:rPr>
          <w:rFonts w:ascii="Arial Unicode MS" w:hAnsi="Arial Unicode MS"/>
          <w:color w:val="000000"/>
          <w:szCs w:val="21"/>
          <w:highlight w:val="none"/>
        </w:rPr>
      </w:pPr>
      <w:r>
        <w:rPr>
          <w:rFonts w:hint="eastAsia" w:ascii="宋体" w:hAnsi="宋体"/>
          <w:color w:val="000000"/>
          <w:spacing w:val="20"/>
          <w:szCs w:val="21"/>
          <w:highlight w:val="none"/>
        </w:rPr>
        <w:t xml:space="preserve">投标人公章：                      </w:t>
      </w:r>
      <w:r>
        <w:rPr>
          <w:rFonts w:hint="eastAsia"/>
          <w:color w:val="000000"/>
          <w:szCs w:val="21"/>
          <w:highlight w:val="none"/>
        </w:rPr>
        <w:t>日期：</w:t>
      </w:r>
      <w:r>
        <w:rPr>
          <w:color w:val="000000"/>
          <w:szCs w:val="21"/>
          <w:highlight w:val="none"/>
        </w:rPr>
        <w:t xml:space="preserve">      </w:t>
      </w:r>
      <w:r>
        <w:rPr>
          <w:rFonts w:hint="eastAsia"/>
          <w:color w:val="000000"/>
          <w:szCs w:val="21"/>
          <w:highlight w:val="none"/>
        </w:rPr>
        <w:t>年</w:t>
      </w:r>
      <w:r>
        <w:rPr>
          <w:color w:val="000000"/>
          <w:szCs w:val="21"/>
          <w:highlight w:val="none"/>
        </w:rPr>
        <w:t xml:space="preserve">   </w:t>
      </w:r>
      <w:r>
        <w:rPr>
          <w:rFonts w:hint="eastAsia"/>
          <w:color w:val="000000"/>
          <w:szCs w:val="21"/>
          <w:highlight w:val="none"/>
        </w:rPr>
        <w:t>月</w:t>
      </w:r>
      <w:r>
        <w:rPr>
          <w:color w:val="000000"/>
          <w:szCs w:val="21"/>
          <w:highlight w:val="none"/>
        </w:rPr>
        <w:t xml:space="preserve">    </w:t>
      </w:r>
      <w:r>
        <w:rPr>
          <w:rFonts w:hint="eastAsia"/>
          <w:color w:val="000000"/>
          <w:szCs w:val="21"/>
          <w:highlight w:val="none"/>
        </w:rPr>
        <w:t>日</w:t>
      </w:r>
    </w:p>
    <w:p>
      <w:pPr>
        <w:rPr>
          <w:color w:val="000000"/>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Songti SC Regular">
    <w:altName w:val="微软雅黑"/>
    <w:panose1 w:val="00000000000000000000"/>
    <w:charset w:val="00"/>
    <w:family w:val="auto"/>
    <w:pitch w:val="default"/>
    <w:sig w:usb0="00000000" w:usb1="00000000" w:usb2="00000010" w:usb3="00000000" w:csb0="0004009F" w:csb1="00000000"/>
  </w:font>
  <w:font w:name="Calibri Light">
    <w:panose1 w:val="020F0302020204030204"/>
    <w:charset w:val="00"/>
    <w:family w:val="swiss"/>
    <w:pitch w:val="default"/>
    <w:sig w:usb0="E4002EFF" w:usb1="C200247B" w:usb2="00000009" w:usb3="00000000" w:csb0="200001FF" w:csb1="0000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方正姚体">
    <w:altName w:val="宋体"/>
    <w:panose1 w:val="02010601030101010101"/>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3"/>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6A3565"/>
    <w:multiLevelType w:val="singleLevel"/>
    <w:tmpl w:val="966A3565"/>
    <w:lvl w:ilvl="0" w:tentative="0">
      <w:start w:val="10"/>
      <w:numFmt w:val="decimal"/>
      <w:pStyle w:val="138"/>
      <w:suff w:val="nothing"/>
      <w:lvlText w:val="%1、"/>
      <w:lvlJc w:val="left"/>
      <w:pPr>
        <w:ind w:left="0" w:firstLine="0"/>
      </w:pPr>
    </w:lvl>
  </w:abstractNum>
  <w:abstractNum w:abstractNumId="1">
    <w:nsid w:val="A6565224"/>
    <w:multiLevelType w:val="singleLevel"/>
    <w:tmpl w:val="A6565224"/>
    <w:lvl w:ilvl="0" w:tentative="0">
      <w:start w:val="3"/>
      <w:numFmt w:val="decimal"/>
      <w:lvlText w:val="%1."/>
      <w:lvlJc w:val="left"/>
      <w:pPr>
        <w:tabs>
          <w:tab w:val="left" w:pos="312"/>
        </w:tabs>
      </w:pPr>
    </w:lvl>
  </w:abstractNum>
  <w:abstractNum w:abstractNumId="2">
    <w:nsid w:val="F028AE29"/>
    <w:multiLevelType w:val="singleLevel"/>
    <w:tmpl w:val="F028AE29"/>
    <w:lvl w:ilvl="0" w:tentative="0">
      <w:start w:val="2"/>
      <w:numFmt w:val="decimal"/>
      <w:suff w:val="nothing"/>
      <w:lvlText w:val="%1、"/>
      <w:lvlJc w:val="left"/>
      <w:pPr>
        <w:ind w:left="-213"/>
      </w:pPr>
    </w:lvl>
  </w:abstractNum>
  <w:abstractNum w:abstractNumId="3">
    <w:nsid w:val="FFFFFF7E"/>
    <w:multiLevelType w:val="singleLevel"/>
    <w:tmpl w:val="FFFFFF7E"/>
    <w:lvl w:ilvl="0" w:tentative="0">
      <w:start w:val="1"/>
      <w:numFmt w:val="decimal"/>
      <w:pStyle w:val="337"/>
      <w:lvlText w:val="%1."/>
      <w:lvlJc w:val="left"/>
      <w:pPr>
        <w:tabs>
          <w:tab w:val="left" w:pos="1200"/>
        </w:tabs>
        <w:ind w:left="1200" w:hanging="360"/>
      </w:pPr>
      <w:rPr>
        <w:rFonts w:cs="Times New Roman"/>
      </w:rPr>
    </w:lvl>
  </w:abstractNum>
  <w:abstractNum w:abstractNumId="4">
    <w:nsid w:val="00000010"/>
    <w:multiLevelType w:val="multilevel"/>
    <w:tmpl w:val="00000010"/>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42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5">
    <w:nsid w:val="06EF41BA"/>
    <w:multiLevelType w:val="multilevel"/>
    <w:tmpl w:val="06EF41BA"/>
    <w:lvl w:ilvl="0" w:tentative="0">
      <w:start w:val="104"/>
      <w:numFmt w:val="decimal"/>
      <w:lvlText w:val="%1"/>
      <w:lvlJc w:val="left"/>
      <w:pPr>
        <w:tabs>
          <w:tab w:val="left" w:pos="1050"/>
        </w:tabs>
        <w:ind w:left="1050" w:hanging="1050"/>
      </w:pPr>
      <w:rPr>
        <w:rFonts w:hint="default" w:ascii="Times New Roman"/>
      </w:rPr>
    </w:lvl>
    <w:lvl w:ilvl="1" w:tentative="0">
      <w:start w:val="1"/>
      <w:numFmt w:val="decimalZero"/>
      <w:lvlText w:val="%1.%2"/>
      <w:lvlJc w:val="left"/>
      <w:pPr>
        <w:tabs>
          <w:tab w:val="left" w:pos="1050"/>
        </w:tabs>
        <w:ind w:left="1050" w:hanging="1050"/>
      </w:pPr>
      <w:rPr>
        <w:rFonts w:hint="default" w:ascii="Times New Roman"/>
      </w:rPr>
    </w:lvl>
    <w:lvl w:ilvl="2" w:tentative="0">
      <w:start w:val="1"/>
      <w:numFmt w:val="decimal"/>
      <w:lvlText w:val="%1.%2.%3"/>
      <w:lvlJc w:val="left"/>
      <w:pPr>
        <w:tabs>
          <w:tab w:val="left" w:pos="1050"/>
        </w:tabs>
        <w:ind w:left="1050" w:hanging="1050"/>
      </w:pPr>
      <w:rPr>
        <w:rFonts w:hint="default" w:ascii="Times New Roman"/>
      </w:rPr>
    </w:lvl>
    <w:lvl w:ilvl="3" w:tentative="0">
      <w:start w:val="1"/>
      <w:numFmt w:val="decimal"/>
      <w:lvlText w:val="%1.%2.%3.%4"/>
      <w:lvlJc w:val="left"/>
      <w:pPr>
        <w:tabs>
          <w:tab w:val="left" w:pos="1050"/>
        </w:tabs>
        <w:ind w:left="1050" w:hanging="1050"/>
      </w:pPr>
      <w:rPr>
        <w:rFonts w:hint="default" w:ascii="Times New Roman"/>
      </w:rPr>
    </w:lvl>
    <w:lvl w:ilvl="4" w:tentative="0">
      <w:start w:val="1"/>
      <w:numFmt w:val="decimal"/>
      <w:lvlText w:val="%1.%2.%3.%4.%5"/>
      <w:lvlJc w:val="left"/>
      <w:pPr>
        <w:tabs>
          <w:tab w:val="left" w:pos="1080"/>
        </w:tabs>
        <w:ind w:left="1080" w:hanging="1080"/>
      </w:pPr>
      <w:rPr>
        <w:rFonts w:hint="default" w:ascii="Times New Roman"/>
      </w:rPr>
    </w:lvl>
    <w:lvl w:ilvl="5" w:tentative="0">
      <w:start w:val="1"/>
      <w:numFmt w:val="decimal"/>
      <w:lvlText w:val="%1.%2.%3.%4.%5.%6"/>
      <w:lvlJc w:val="left"/>
      <w:pPr>
        <w:tabs>
          <w:tab w:val="left" w:pos="1080"/>
        </w:tabs>
        <w:ind w:left="1080" w:hanging="1080"/>
      </w:pPr>
      <w:rPr>
        <w:rFonts w:hint="default" w:ascii="Times New Roman"/>
      </w:rPr>
    </w:lvl>
    <w:lvl w:ilvl="6" w:tentative="0">
      <w:start w:val="1"/>
      <w:numFmt w:val="decimal"/>
      <w:lvlText w:val="%1.%2.%3.%4.%5.%6.%7"/>
      <w:lvlJc w:val="left"/>
      <w:pPr>
        <w:tabs>
          <w:tab w:val="left" w:pos="1080"/>
        </w:tabs>
        <w:ind w:left="1080" w:hanging="1080"/>
      </w:pPr>
      <w:rPr>
        <w:rFonts w:hint="default" w:ascii="Times New Roman"/>
      </w:rPr>
    </w:lvl>
    <w:lvl w:ilvl="7" w:tentative="0">
      <w:start w:val="1"/>
      <w:numFmt w:val="decimal"/>
      <w:lvlText w:val="%1.%2.%3.%4.%5.%6.%7.%8"/>
      <w:lvlJc w:val="left"/>
      <w:pPr>
        <w:tabs>
          <w:tab w:val="left" w:pos="1440"/>
        </w:tabs>
        <w:ind w:left="1440" w:hanging="1440"/>
      </w:pPr>
      <w:rPr>
        <w:rFonts w:hint="default" w:ascii="Times New Roman"/>
      </w:rPr>
    </w:lvl>
    <w:lvl w:ilvl="8" w:tentative="0">
      <w:start w:val="1"/>
      <w:numFmt w:val="decimal"/>
      <w:lvlText w:val="%1.%2.%3.%4.%5.%6.%7.%8.%9"/>
      <w:lvlJc w:val="left"/>
      <w:pPr>
        <w:tabs>
          <w:tab w:val="left" w:pos="1440"/>
        </w:tabs>
        <w:ind w:left="1440" w:hanging="1440"/>
      </w:pPr>
      <w:rPr>
        <w:rFonts w:hint="default" w:ascii="Times New Roman"/>
      </w:rPr>
    </w:lvl>
  </w:abstractNum>
  <w:abstractNum w:abstractNumId="6">
    <w:nsid w:val="11744E57"/>
    <w:multiLevelType w:val="multilevel"/>
    <w:tmpl w:val="11744E57"/>
    <w:lvl w:ilvl="0" w:tentative="0">
      <w:start w:val="1"/>
      <w:numFmt w:val="decimal"/>
      <w:pStyle w:val="2"/>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900"/>
        </w:tabs>
        <w:ind w:left="90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7">
    <w:nsid w:val="38F300EC"/>
    <w:multiLevelType w:val="multilevel"/>
    <w:tmpl w:val="38F300EC"/>
    <w:lvl w:ilvl="0" w:tentative="0">
      <w:start w:val="1"/>
      <w:numFmt w:val="decimal"/>
      <w:pStyle w:val="130"/>
      <w:lvlText w:val="%1."/>
      <w:lvlJc w:val="left"/>
      <w:pPr>
        <w:tabs>
          <w:tab w:val="left" w:pos="851"/>
        </w:tabs>
        <w:ind w:left="851" w:hanging="851"/>
      </w:pPr>
      <w:rPr>
        <w:rFonts w:hint="default" w:ascii="Arial" w:hAnsi="Arial" w:eastAsia="宋体" w:cs="Times New Roman"/>
        <w:b/>
        <w:i w:val="0"/>
        <w:sz w:val="21"/>
        <w:szCs w:val="21"/>
      </w:rPr>
    </w:lvl>
    <w:lvl w:ilvl="1" w:tentative="0">
      <w:start w:val="1"/>
      <w:numFmt w:val="decimal"/>
      <w:lvlText w:val="%1.%2"/>
      <w:lvlJc w:val="left"/>
      <w:pPr>
        <w:tabs>
          <w:tab w:val="left" w:pos="851"/>
        </w:tabs>
        <w:ind w:left="851" w:hanging="851"/>
      </w:pPr>
      <w:rPr>
        <w:rFonts w:hint="default" w:ascii="Arial" w:hAnsi="Arial" w:eastAsia="宋体" w:cs="Times New Roman"/>
        <w:b w:val="0"/>
        <w:i w:val="0"/>
        <w:sz w:val="21"/>
        <w:szCs w:val="21"/>
      </w:rPr>
    </w:lvl>
    <w:lvl w:ilvl="2" w:tentative="0">
      <w:start w:val="1"/>
      <w:numFmt w:val="decimal"/>
      <w:lvlText w:val="%1.%2.%3"/>
      <w:lvlJc w:val="left"/>
      <w:pPr>
        <w:tabs>
          <w:tab w:val="left" w:pos="720"/>
        </w:tabs>
        <w:ind w:left="420" w:hanging="420"/>
      </w:pPr>
    </w:lvl>
    <w:lvl w:ilvl="3" w:tentative="0">
      <w:start w:val="1"/>
      <w:numFmt w:val="decimal"/>
      <w:lvlText w:val="%1.%2.%3.%4"/>
      <w:lvlJc w:val="left"/>
      <w:pPr>
        <w:tabs>
          <w:tab w:val="left" w:pos="420"/>
        </w:tabs>
        <w:ind w:left="420" w:hanging="420"/>
      </w:pPr>
    </w:lvl>
    <w:lvl w:ilvl="4" w:tentative="0">
      <w:start w:val="1"/>
      <w:numFmt w:val="decimal"/>
      <w:lvlText w:val="%1.%2.%3.%4.%5"/>
      <w:lvlJc w:val="left"/>
      <w:pPr>
        <w:tabs>
          <w:tab w:val="left" w:pos="420"/>
        </w:tabs>
        <w:ind w:left="420" w:hanging="420"/>
      </w:pPr>
    </w:lvl>
    <w:lvl w:ilvl="5" w:tentative="0">
      <w:start w:val="1"/>
      <w:numFmt w:val="decimal"/>
      <w:lvlText w:val="%1.%2.%3.%4.%5.%6"/>
      <w:lvlJc w:val="left"/>
      <w:pPr>
        <w:tabs>
          <w:tab w:val="left" w:pos="420"/>
        </w:tabs>
        <w:ind w:left="420" w:hanging="420"/>
      </w:pPr>
    </w:lvl>
    <w:lvl w:ilvl="6" w:tentative="0">
      <w:start w:val="1"/>
      <w:numFmt w:val="decimal"/>
      <w:lvlText w:val="%1.%2.%3.%4.%5.%6.%7"/>
      <w:lvlJc w:val="left"/>
      <w:pPr>
        <w:tabs>
          <w:tab w:val="left" w:pos="420"/>
        </w:tabs>
        <w:ind w:left="420" w:hanging="420"/>
      </w:pPr>
    </w:lvl>
    <w:lvl w:ilvl="7" w:tentative="0">
      <w:start w:val="1"/>
      <w:numFmt w:val="decimal"/>
      <w:lvlText w:val="%1.%2.%3.%4.%5.%6.%7.%8"/>
      <w:lvlJc w:val="left"/>
      <w:pPr>
        <w:tabs>
          <w:tab w:val="left" w:pos="420"/>
        </w:tabs>
        <w:ind w:left="420" w:hanging="420"/>
      </w:pPr>
    </w:lvl>
    <w:lvl w:ilvl="8" w:tentative="0">
      <w:start w:val="1"/>
      <w:numFmt w:val="decimal"/>
      <w:lvlText w:val="%1.%2.%3.%4.%5.%6.%7.%8.%9"/>
      <w:lvlJc w:val="left"/>
      <w:pPr>
        <w:tabs>
          <w:tab w:val="left" w:pos="420"/>
        </w:tabs>
        <w:ind w:left="420" w:hanging="420"/>
      </w:pPr>
    </w:lvl>
  </w:abstractNum>
  <w:abstractNum w:abstractNumId="8">
    <w:nsid w:val="51FA1A31"/>
    <w:multiLevelType w:val="multilevel"/>
    <w:tmpl w:val="51FA1A31"/>
    <w:lvl w:ilvl="0" w:tentative="0">
      <w:start w:val="1"/>
      <w:numFmt w:val="japaneseCounting"/>
      <w:pStyle w:val="42"/>
      <w:lvlText w:val="%1、"/>
      <w:lvlJc w:val="left"/>
      <w:pPr>
        <w:tabs>
          <w:tab w:val="left" w:pos="720"/>
        </w:tabs>
        <w:ind w:left="720" w:hanging="72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54F403B5"/>
    <w:multiLevelType w:val="singleLevel"/>
    <w:tmpl w:val="54F403B5"/>
    <w:lvl w:ilvl="0" w:tentative="0">
      <w:start w:val="1"/>
      <w:numFmt w:val="chineseCounting"/>
      <w:suff w:val="nothing"/>
      <w:lvlText w:val="%1、"/>
      <w:lvlJc w:val="left"/>
      <w:pPr>
        <w:ind w:left="0" w:firstLine="0"/>
      </w:pPr>
    </w:lvl>
  </w:abstractNum>
  <w:abstractNum w:abstractNumId="10">
    <w:nsid w:val="557FD3DA"/>
    <w:multiLevelType w:val="singleLevel"/>
    <w:tmpl w:val="557FD3DA"/>
    <w:lvl w:ilvl="0" w:tentative="0">
      <w:start w:val="3"/>
      <w:numFmt w:val="chineseCounting"/>
      <w:suff w:val="nothing"/>
      <w:lvlText w:val="%1、"/>
      <w:lvlJc w:val="left"/>
      <w:pPr>
        <w:ind w:left="0" w:firstLine="0"/>
      </w:pPr>
    </w:lvl>
  </w:abstractNum>
  <w:abstractNum w:abstractNumId="11">
    <w:nsid w:val="5642D109"/>
    <w:multiLevelType w:val="singleLevel"/>
    <w:tmpl w:val="5642D109"/>
    <w:lvl w:ilvl="0" w:tentative="0">
      <w:start w:val="1"/>
      <w:numFmt w:val="decimal"/>
      <w:suff w:val="nothing"/>
      <w:lvlText w:val="%1．"/>
      <w:lvlJc w:val="left"/>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0"/>
    </w:lvlOverride>
  </w:num>
  <w:num w:numId="5">
    <w:abstractNumId w:val="3"/>
    <w:lvlOverride w:ilvl="0">
      <w:startOverride w:val="1"/>
    </w:lvlOverride>
  </w:num>
  <w:num w:numId="6">
    <w:abstractNumId w:val="1"/>
  </w:num>
  <w:num w:numId="7">
    <w:abstractNumId w:val="2"/>
  </w:num>
  <w:num w:numId="8">
    <w:abstractNumId w:val="4"/>
  </w:num>
  <w:num w:numId="9">
    <w:abstractNumId w:val="5"/>
  </w:num>
  <w:num w:numId="10">
    <w:abstractNumId w:val="11"/>
  </w:num>
  <w:num w:numId="11">
    <w:abstractNumId w:val="9"/>
    <w:lvlOverride w:ilvl="0">
      <w:startOverride w:val="1"/>
    </w:lvlOverride>
  </w:num>
  <w:num w:numId="12">
    <w:abstractNumId w:val="1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hZjZmNDM5YzM3YzE2ZTVhZGI1NmE5ZjdjZDE0YTYifQ=="/>
  </w:docVars>
  <w:rsids>
    <w:rsidRoot w:val="00C249F4"/>
    <w:rsid w:val="00016D5C"/>
    <w:rsid w:val="002C240C"/>
    <w:rsid w:val="007D3199"/>
    <w:rsid w:val="00906295"/>
    <w:rsid w:val="00982B12"/>
    <w:rsid w:val="00C249F4"/>
    <w:rsid w:val="03C2134C"/>
    <w:rsid w:val="04827915"/>
    <w:rsid w:val="09664528"/>
    <w:rsid w:val="1787048B"/>
    <w:rsid w:val="186711FD"/>
    <w:rsid w:val="1AB86BAD"/>
    <w:rsid w:val="1B010554"/>
    <w:rsid w:val="1BD2258B"/>
    <w:rsid w:val="2500362B"/>
    <w:rsid w:val="2B2556A5"/>
    <w:rsid w:val="2D83268C"/>
    <w:rsid w:val="2FB2746D"/>
    <w:rsid w:val="31F840E7"/>
    <w:rsid w:val="33684899"/>
    <w:rsid w:val="33E73E48"/>
    <w:rsid w:val="3D5C77D9"/>
    <w:rsid w:val="3ECF2BEB"/>
    <w:rsid w:val="41784192"/>
    <w:rsid w:val="48AC74A2"/>
    <w:rsid w:val="513403C7"/>
    <w:rsid w:val="536B3385"/>
    <w:rsid w:val="54947768"/>
    <w:rsid w:val="5B267F8A"/>
    <w:rsid w:val="5C6D5D6E"/>
    <w:rsid w:val="5CDA23D8"/>
    <w:rsid w:val="60A76A75"/>
    <w:rsid w:val="60FE3A75"/>
    <w:rsid w:val="62DF5BFE"/>
    <w:rsid w:val="68F13E25"/>
    <w:rsid w:val="69D00DEB"/>
    <w:rsid w:val="6D0D7DA4"/>
    <w:rsid w:val="74D56CA4"/>
    <w:rsid w:val="7C947A56"/>
    <w:rsid w:val="7E101D8E"/>
    <w:rsid w:val="7EF83B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name="table of authorities"/>
    <w:lsdException w:uiPriority="99" w:name="macro"/>
    <w:lsdException w:uiPriority="99" w:name="toa heading"/>
    <w:lsdException w:qFormat="1" w:uiPriority="99" w:name="List"/>
    <w:lsdException w:uiPriority="99" w:name="List Bullet"/>
    <w:lsdException w:qFormat="1" w:uiPriority="99" w:name="List Number"/>
    <w:lsdException w:qFormat="1"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qFormat="1"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8"/>
    <w:qFormat/>
    <w:uiPriority w:val="9"/>
    <w:pPr>
      <w:keepNext/>
      <w:keepLines/>
      <w:numPr>
        <w:ilvl w:val="0"/>
        <w:numId w:val="1"/>
      </w:numPr>
      <w:spacing w:before="340" w:after="330" w:line="576" w:lineRule="auto"/>
      <w:ind w:left="0" w:firstLine="0"/>
      <w:outlineLvl w:val="0"/>
    </w:pPr>
    <w:rPr>
      <w:b/>
      <w:bCs/>
      <w:kern w:val="44"/>
      <w:sz w:val="44"/>
      <w:szCs w:val="44"/>
    </w:rPr>
  </w:style>
  <w:style w:type="paragraph" w:styleId="3">
    <w:name w:val="heading 2"/>
    <w:basedOn w:val="1"/>
    <w:next w:val="1"/>
    <w:link w:val="59"/>
    <w:semiHidden/>
    <w:unhideWhenUsed/>
    <w:qFormat/>
    <w:uiPriority w:val="9"/>
    <w:pPr>
      <w:keepNext/>
      <w:keepLines/>
      <w:spacing w:before="260" w:after="260" w:line="415" w:lineRule="auto"/>
      <w:outlineLvl w:val="1"/>
    </w:pPr>
    <w:rPr>
      <w:rFonts w:asciiTheme="majorHAnsi" w:hAnsiTheme="majorHAnsi" w:eastAsiaTheme="majorEastAsia" w:cstheme="majorBidi"/>
      <w:b/>
      <w:bCs/>
      <w:sz w:val="32"/>
      <w:szCs w:val="32"/>
    </w:rPr>
  </w:style>
  <w:style w:type="paragraph" w:styleId="4">
    <w:name w:val="heading 3"/>
    <w:basedOn w:val="1"/>
    <w:next w:val="1"/>
    <w:link w:val="60"/>
    <w:semiHidden/>
    <w:unhideWhenUsed/>
    <w:qFormat/>
    <w:uiPriority w:val="9"/>
    <w:pPr>
      <w:widowControl/>
      <w:spacing w:before="100" w:beforeAutospacing="1" w:after="100" w:afterAutospacing="1"/>
      <w:jc w:val="left"/>
      <w:outlineLvl w:val="2"/>
    </w:pPr>
    <w:rPr>
      <w:rFonts w:ascii="宋体" w:hAnsi="宋体" w:cs="宋体"/>
      <w:b/>
      <w:bCs/>
      <w:kern w:val="0"/>
      <w:sz w:val="27"/>
      <w:szCs w:val="27"/>
    </w:rPr>
  </w:style>
  <w:style w:type="paragraph" w:styleId="5">
    <w:name w:val="heading 4"/>
    <w:basedOn w:val="1"/>
    <w:next w:val="1"/>
    <w:link w:val="340"/>
    <w:semiHidden/>
    <w:unhideWhenUsed/>
    <w:qFormat/>
    <w:uiPriority w:val="9"/>
    <w:pPr>
      <w:keepNext/>
      <w:keepLines/>
      <w:spacing w:before="280" w:after="290" w:line="372" w:lineRule="auto"/>
      <w:outlineLvl w:val="3"/>
    </w:pPr>
    <w:rPr>
      <w:rFonts w:ascii="Arial" w:hAnsi="Arial" w:eastAsia="黑体"/>
      <w:b/>
      <w:bCs/>
      <w:kern w:val="0"/>
      <w:sz w:val="28"/>
      <w:szCs w:val="28"/>
    </w:rPr>
  </w:style>
  <w:style w:type="paragraph" w:styleId="6">
    <w:name w:val="heading 5"/>
    <w:basedOn w:val="1"/>
    <w:next w:val="1"/>
    <w:link w:val="341"/>
    <w:semiHidden/>
    <w:unhideWhenUsed/>
    <w:qFormat/>
    <w:uiPriority w:val="9"/>
    <w:pPr>
      <w:keepNext/>
      <w:keepLines/>
      <w:tabs>
        <w:tab w:val="left" w:pos="1701"/>
      </w:tabs>
      <w:spacing w:before="280" w:after="290" w:line="360" w:lineRule="auto"/>
      <w:outlineLvl w:val="4"/>
    </w:pPr>
    <w:rPr>
      <w:rFonts w:ascii="楷体_GB2312" w:hAnsi="宋体" w:eastAsia="楷体_GB2312" w:cs="宋体"/>
      <w:b/>
      <w:bCs/>
      <w:kern w:val="0"/>
      <w:sz w:val="24"/>
      <w:szCs w:val="28"/>
    </w:rPr>
  </w:style>
  <w:style w:type="paragraph" w:styleId="7">
    <w:name w:val="heading 6"/>
    <w:basedOn w:val="6"/>
    <w:next w:val="1"/>
    <w:link w:val="342"/>
    <w:semiHidden/>
    <w:unhideWhenUsed/>
    <w:qFormat/>
    <w:uiPriority w:val="9"/>
    <w:pPr>
      <w:keepNext w:val="0"/>
      <w:keepLines w:val="0"/>
      <w:tabs>
        <w:tab w:val="left" w:pos="2940"/>
        <w:tab w:val="clear" w:pos="1701"/>
      </w:tabs>
      <w:adjustRightInd w:val="0"/>
      <w:spacing w:before="0" w:after="0" w:line="400" w:lineRule="exact"/>
      <w:outlineLvl w:val="5"/>
    </w:pPr>
    <w:rPr>
      <w:rFonts w:ascii="Times New Roman" w:hAnsi="Calibri" w:eastAsia="宋体" w:cs="Times New Roman"/>
      <w:b w:val="0"/>
      <w:bCs w:val="0"/>
      <w:szCs w:val="20"/>
    </w:rPr>
  </w:style>
  <w:style w:type="paragraph" w:styleId="8">
    <w:name w:val="heading 7"/>
    <w:basedOn w:val="7"/>
    <w:next w:val="1"/>
    <w:link w:val="343"/>
    <w:semiHidden/>
    <w:unhideWhenUsed/>
    <w:qFormat/>
    <w:uiPriority w:val="9"/>
    <w:pPr>
      <w:tabs>
        <w:tab w:val="left" w:pos="3360"/>
        <w:tab w:val="clear" w:pos="2940"/>
      </w:tabs>
      <w:outlineLvl w:val="6"/>
    </w:pPr>
  </w:style>
  <w:style w:type="paragraph" w:styleId="9">
    <w:name w:val="heading 8"/>
    <w:basedOn w:val="8"/>
    <w:next w:val="1"/>
    <w:link w:val="344"/>
    <w:semiHidden/>
    <w:unhideWhenUsed/>
    <w:qFormat/>
    <w:uiPriority w:val="9"/>
    <w:pPr>
      <w:tabs>
        <w:tab w:val="left" w:pos="3780"/>
        <w:tab w:val="clear" w:pos="3360"/>
      </w:tabs>
      <w:outlineLvl w:val="7"/>
    </w:pPr>
  </w:style>
  <w:style w:type="paragraph" w:styleId="10">
    <w:name w:val="heading 9"/>
    <w:basedOn w:val="9"/>
    <w:next w:val="1"/>
    <w:link w:val="345"/>
    <w:semiHidden/>
    <w:unhideWhenUsed/>
    <w:qFormat/>
    <w:uiPriority w:val="9"/>
    <w:pPr>
      <w:tabs>
        <w:tab w:val="left" w:pos="480"/>
        <w:tab w:val="left" w:pos="4200"/>
        <w:tab w:val="clear" w:pos="3780"/>
      </w:tabs>
      <w:outlineLvl w:val="8"/>
    </w:p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semiHidden/>
    <w:unhideWhenUsed/>
    <w:qFormat/>
    <w:uiPriority w:val="99"/>
    <w:pPr>
      <w:ind w:left="2520" w:leftChars="1200"/>
    </w:pPr>
    <w:rPr>
      <w:rFonts w:cs="宋体"/>
      <w:sz w:val="24"/>
      <w:szCs w:val="24"/>
    </w:rPr>
  </w:style>
  <w:style w:type="paragraph" w:styleId="12">
    <w:name w:val="table of authorities"/>
    <w:basedOn w:val="1"/>
    <w:next w:val="1"/>
    <w:semiHidden/>
    <w:unhideWhenUsed/>
    <w:qFormat/>
    <w:uiPriority w:val="99"/>
    <w:pPr>
      <w:ind w:left="420" w:leftChars="200"/>
    </w:pPr>
    <w:rPr>
      <w:szCs w:val="24"/>
    </w:rPr>
  </w:style>
  <w:style w:type="paragraph" w:styleId="13">
    <w:name w:val="List Number"/>
    <w:basedOn w:val="1"/>
    <w:semiHidden/>
    <w:unhideWhenUsed/>
    <w:qFormat/>
    <w:uiPriority w:val="99"/>
    <w:pPr>
      <w:widowControl/>
      <w:tabs>
        <w:tab w:val="left" w:pos="454"/>
        <w:tab w:val="left" w:pos="720"/>
      </w:tabs>
      <w:ind w:left="454" w:hanging="284"/>
      <w:jc w:val="left"/>
    </w:pPr>
    <w:rPr>
      <w:kern w:val="0"/>
      <w:sz w:val="24"/>
      <w:szCs w:val="20"/>
    </w:rPr>
  </w:style>
  <w:style w:type="paragraph" w:styleId="14">
    <w:name w:val="Normal Indent"/>
    <w:basedOn w:val="1"/>
    <w:link w:val="68"/>
    <w:semiHidden/>
    <w:unhideWhenUsed/>
    <w:qFormat/>
    <w:uiPriority w:val="0"/>
    <w:pPr>
      <w:ind w:firstLine="420" w:firstLineChars="200"/>
    </w:pPr>
    <w:rPr>
      <w:rFonts w:ascii="Times New Roman" w:hAnsi="Times New Roman" w:eastAsiaTheme="minorEastAsia"/>
      <w:szCs w:val="24"/>
    </w:rPr>
  </w:style>
  <w:style w:type="paragraph" w:styleId="15">
    <w:name w:val="caption"/>
    <w:basedOn w:val="1"/>
    <w:next w:val="1"/>
    <w:semiHidden/>
    <w:unhideWhenUsed/>
    <w:qFormat/>
    <w:uiPriority w:val="35"/>
    <w:pPr>
      <w:spacing w:before="152" w:after="160"/>
    </w:pPr>
    <w:rPr>
      <w:rFonts w:ascii="Arial" w:hAnsi="Arial" w:eastAsia="黑体" w:cs="Arial"/>
      <w:sz w:val="20"/>
      <w:szCs w:val="20"/>
    </w:rPr>
  </w:style>
  <w:style w:type="paragraph" w:styleId="16">
    <w:name w:val="Document Map"/>
    <w:basedOn w:val="1"/>
    <w:link w:val="346"/>
    <w:semiHidden/>
    <w:unhideWhenUsed/>
    <w:qFormat/>
    <w:uiPriority w:val="99"/>
    <w:rPr>
      <w:rFonts w:ascii="宋体"/>
      <w:sz w:val="18"/>
      <w:szCs w:val="18"/>
    </w:rPr>
  </w:style>
  <w:style w:type="paragraph" w:styleId="17">
    <w:name w:val="annotation text"/>
    <w:basedOn w:val="1"/>
    <w:link w:val="69"/>
    <w:semiHidden/>
    <w:unhideWhenUsed/>
    <w:qFormat/>
    <w:uiPriority w:val="99"/>
    <w:pPr>
      <w:jc w:val="left"/>
    </w:pPr>
  </w:style>
  <w:style w:type="paragraph" w:styleId="18">
    <w:name w:val="Body Text 3"/>
    <w:basedOn w:val="1"/>
    <w:link w:val="81"/>
    <w:semiHidden/>
    <w:unhideWhenUsed/>
    <w:qFormat/>
    <w:uiPriority w:val="99"/>
    <w:pPr>
      <w:spacing w:after="120"/>
    </w:pPr>
    <w:rPr>
      <w:rFonts w:ascii="Times New Roman" w:hAnsi="Times New Roman"/>
      <w:kern w:val="0"/>
      <w:sz w:val="16"/>
      <w:szCs w:val="16"/>
    </w:rPr>
  </w:style>
  <w:style w:type="paragraph" w:styleId="19">
    <w:name w:val="Body Text"/>
    <w:basedOn w:val="1"/>
    <w:next w:val="20"/>
    <w:link w:val="72"/>
    <w:semiHidden/>
    <w:unhideWhenUsed/>
    <w:qFormat/>
    <w:uiPriority w:val="99"/>
    <w:pPr>
      <w:spacing w:after="120"/>
    </w:pPr>
  </w:style>
  <w:style w:type="paragraph" w:styleId="20">
    <w:name w:val="Body Text First Indent"/>
    <w:basedOn w:val="19"/>
    <w:next w:val="21"/>
    <w:link w:val="73"/>
    <w:semiHidden/>
    <w:unhideWhenUsed/>
    <w:qFormat/>
    <w:uiPriority w:val="99"/>
    <w:pPr>
      <w:ind w:firstLine="420" w:firstLineChars="100"/>
    </w:pPr>
    <w:rPr>
      <w:szCs w:val="24"/>
    </w:rPr>
  </w:style>
  <w:style w:type="paragraph" w:styleId="21">
    <w:name w:val="toc 6"/>
    <w:basedOn w:val="1"/>
    <w:next w:val="1"/>
    <w:semiHidden/>
    <w:unhideWhenUsed/>
    <w:qFormat/>
    <w:uiPriority w:val="99"/>
    <w:pPr>
      <w:ind w:left="2100" w:leftChars="1000"/>
    </w:pPr>
    <w:rPr>
      <w:rFonts w:cs="宋体"/>
      <w:sz w:val="24"/>
      <w:szCs w:val="24"/>
    </w:rPr>
  </w:style>
  <w:style w:type="paragraph" w:styleId="22">
    <w:name w:val="Body Text Indent"/>
    <w:basedOn w:val="1"/>
    <w:link w:val="74"/>
    <w:semiHidden/>
    <w:unhideWhenUsed/>
    <w:qFormat/>
    <w:uiPriority w:val="0"/>
    <w:pPr>
      <w:spacing w:after="120"/>
      <w:ind w:left="420" w:leftChars="200"/>
    </w:pPr>
    <w:rPr>
      <w:rFonts w:asciiTheme="minorHAnsi" w:hAnsiTheme="minorHAnsi" w:eastAsiaTheme="minorEastAsia" w:cstheme="minorBidi"/>
    </w:rPr>
  </w:style>
  <w:style w:type="paragraph" w:styleId="23">
    <w:name w:val="List Number 3"/>
    <w:basedOn w:val="1"/>
    <w:semiHidden/>
    <w:unhideWhenUsed/>
    <w:qFormat/>
    <w:uiPriority w:val="99"/>
    <w:pPr>
      <w:tabs>
        <w:tab w:val="left" w:pos="1200"/>
      </w:tabs>
      <w:ind w:left="1200" w:hanging="360"/>
    </w:pPr>
    <w:rPr>
      <w:szCs w:val="24"/>
    </w:rPr>
  </w:style>
  <w:style w:type="paragraph" w:styleId="24">
    <w:name w:val="List 2"/>
    <w:basedOn w:val="1"/>
    <w:semiHidden/>
    <w:unhideWhenUsed/>
    <w:qFormat/>
    <w:uiPriority w:val="99"/>
    <w:pPr>
      <w:ind w:left="100" w:leftChars="200" w:hanging="200" w:hangingChars="200"/>
    </w:pPr>
    <w:rPr>
      <w:sz w:val="28"/>
      <w:szCs w:val="24"/>
    </w:rPr>
  </w:style>
  <w:style w:type="paragraph" w:styleId="25">
    <w:name w:val="Block Text"/>
    <w:basedOn w:val="1"/>
    <w:semiHidden/>
    <w:unhideWhenUsed/>
    <w:qFormat/>
    <w:uiPriority w:val="99"/>
    <w:pPr>
      <w:adjustRightInd w:val="0"/>
      <w:snapToGrid w:val="0"/>
      <w:spacing w:line="300" w:lineRule="auto"/>
      <w:ind w:left="958" w:right="-120" w:rightChars="-120"/>
      <w:jc w:val="left"/>
    </w:pPr>
    <w:rPr>
      <w:rFonts w:ascii="宋体" w:hAnsi="宋体"/>
      <w:sz w:val="28"/>
      <w:szCs w:val="20"/>
    </w:rPr>
  </w:style>
  <w:style w:type="paragraph" w:styleId="26">
    <w:name w:val="toc 5"/>
    <w:basedOn w:val="1"/>
    <w:next w:val="1"/>
    <w:semiHidden/>
    <w:unhideWhenUsed/>
    <w:qFormat/>
    <w:uiPriority w:val="99"/>
    <w:pPr>
      <w:ind w:left="1680" w:leftChars="800"/>
    </w:pPr>
    <w:rPr>
      <w:rFonts w:cs="宋体"/>
      <w:sz w:val="24"/>
      <w:szCs w:val="24"/>
    </w:rPr>
  </w:style>
  <w:style w:type="paragraph" w:styleId="27">
    <w:name w:val="toc 3"/>
    <w:basedOn w:val="1"/>
    <w:next w:val="1"/>
    <w:semiHidden/>
    <w:unhideWhenUsed/>
    <w:qFormat/>
    <w:uiPriority w:val="39"/>
    <w:pPr>
      <w:ind w:left="840" w:leftChars="400"/>
    </w:pPr>
    <w:rPr>
      <w:rFonts w:cs="宋体"/>
      <w:sz w:val="24"/>
      <w:szCs w:val="24"/>
    </w:rPr>
  </w:style>
  <w:style w:type="paragraph" w:styleId="28">
    <w:name w:val="Plain Text"/>
    <w:basedOn w:val="1"/>
    <w:link w:val="85"/>
    <w:semiHidden/>
    <w:unhideWhenUsed/>
    <w:qFormat/>
    <w:uiPriority w:val="99"/>
    <w:pPr>
      <w:spacing w:beforeLines="50" w:line="400" w:lineRule="atLeast"/>
    </w:pPr>
    <w:rPr>
      <w:rFonts w:ascii="宋体" w:hAnsi="Courier New" w:cstheme="minorBidi"/>
      <w:sz w:val="24"/>
      <w:szCs w:val="24"/>
    </w:rPr>
  </w:style>
  <w:style w:type="paragraph" w:styleId="29">
    <w:name w:val="toc 8"/>
    <w:basedOn w:val="1"/>
    <w:next w:val="1"/>
    <w:semiHidden/>
    <w:unhideWhenUsed/>
    <w:qFormat/>
    <w:uiPriority w:val="99"/>
    <w:pPr>
      <w:ind w:left="2940" w:leftChars="1400"/>
    </w:pPr>
    <w:rPr>
      <w:rFonts w:cs="宋体"/>
      <w:sz w:val="24"/>
      <w:szCs w:val="24"/>
    </w:rPr>
  </w:style>
  <w:style w:type="paragraph" w:styleId="30">
    <w:name w:val="Date"/>
    <w:basedOn w:val="1"/>
    <w:next w:val="1"/>
    <w:link w:val="77"/>
    <w:semiHidden/>
    <w:unhideWhenUsed/>
    <w:qFormat/>
    <w:uiPriority w:val="99"/>
    <w:pPr>
      <w:ind w:left="100" w:leftChars="2500"/>
    </w:pPr>
    <w:rPr>
      <w:rFonts w:ascii="Times New Roman" w:hAnsi="Times New Roman" w:eastAsiaTheme="minorEastAsia"/>
      <w:szCs w:val="24"/>
    </w:rPr>
  </w:style>
  <w:style w:type="paragraph" w:styleId="31">
    <w:name w:val="Body Text Indent 2"/>
    <w:basedOn w:val="1"/>
    <w:link w:val="347"/>
    <w:semiHidden/>
    <w:unhideWhenUsed/>
    <w:qFormat/>
    <w:uiPriority w:val="99"/>
    <w:pPr>
      <w:snapToGrid w:val="0"/>
      <w:ind w:firstLine="542" w:firstLineChars="225"/>
    </w:pPr>
    <w:rPr>
      <w:rFonts w:ascii="仿宋_GB2312" w:hAnsi="宋体"/>
      <w:b/>
      <w:bCs/>
      <w:color w:val="000000"/>
      <w:sz w:val="24"/>
      <w:szCs w:val="24"/>
    </w:rPr>
  </w:style>
  <w:style w:type="paragraph" w:styleId="32">
    <w:name w:val="Balloon Text"/>
    <w:basedOn w:val="1"/>
    <w:link w:val="348"/>
    <w:unhideWhenUsed/>
    <w:qFormat/>
    <w:uiPriority w:val="99"/>
    <w:rPr>
      <w:kern w:val="0"/>
      <w:sz w:val="18"/>
      <w:szCs w:val="18"/>
    </w:rPr>
  </w:style>
  <w:style w:type="paragraph" w:styleId="33">
    <w:name w:val="footer"/>
    <w:basedOn w:val="1"/>
    <w:link w:val="57"/>
    <w:unhideWhenUsed/>
    <w:qFormat/>
    <w:uiPriority w:val="99"/>
    <w:pPr>
      <w:tabs>
        <w:tab w:val="center" w:pos="4153"/>
        <w:tab w:val="right" w:pos="8306"/>
      </w:tabs>
      <w:snapToGrid w:val="0"/>
      <w:jc w:val="left"/>
    </w:pPr>
    <w:rPr>
      <w:sz w:val="18"/>
      <w:szCs w:val="18"/>
    </w:rPr>
  </w:style>
  <w:style w:type="paragraph" w:styleId="34">
    <w:name w:val="header"/>
    <w:basedOn w:val="1"/>
    <w:link w:val="56"/>
    <w:unhideWhenUsed/>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semiHidden/>
    <w:unhideWhenUsed/>
    <w:qFormat/>
    <w:uiPriority w:val="39"/>
    <w:rPr>
      <w:szCs w:val="24"/>
    </w:rPr>
  </w:style>
  <w:style w:type="paragraph" w:styleId="36">
    <w:name w:val="toc 4"/>
    <w:basedOn w:val="1"/>
    <w:next w:val="1"/>
    <w:semiHidden/>
    <w:unhideWhenUsed/>
    <w:qFormat/>
    <w:uiPriority w:val="99"/>
    <w:pPr>
      <w:ind w:left="1260" w:leftChars="600"/>
    </w:pPr>
    <w:rPr>
      <w:rFonts w:cs="宋体"/>
      <w:sz w:val="24"/>
      <w:szCs w:val="24"/>
    </w:rPr>
  </w:style>
  <w:style w:type="paragraph" w:styleId="37">
    <w:name w:val="Subtitle"/>
    <w:basedOn w:val="1"/>
    <w:next w:val="1"/>
    <w:link w:val="76"/>
    <w:qFormat/>
    <w:uiPriority w:val="99"/>
    <w:pPr>
      <w:spacing w:before="240" w:after="60" w:line="312" w:lineRule="auto"/>
      <w:jc w:val="center"/>
      <w:outlineLvl w:val="1"/>
    </w:pPr>
    <w:rPr>
      <w:rFonts w:ascii="Cambria" w:hAnsi="Cambria"/>
      <w:b/>
      <w:bCs/>
      <w:kern w:val="28"/>
      <w:sz w:val="32"/>
      <w:szCs w:val="32"/>
    </w:rPr>
  </w:style>
  <w:style w:type="paragraph" w:styleId="38">
    <w:name w:val="List"/>
    <w:basedOn w:val="1"/>
    <w:link w:val="70"/>
    <w:semiHidden/>
    <w:unhideWhenUsed/>
    <w:qFormat/>
    <w:uiPriority w:val="99"/>
    <w:pPr>
      <w:ind w:left="200" w:hanging="200" w:hangingChars="200"/>
    </w:pPr>
    <w:rPr>
      <w:rFonts w:asciiTheme="minorHAnsi" w:hAnsiTheme="minorHAnsi" w:eastAsiaTheme="minorEastAsia" w:cstheme="minorBidi"/>
      <w:szCs w:val="24"/>
    </w:rPr>
  </w:style>
  <w:style w:type="paragraph" w:styleId="39">
    <w:name w:val="Body Text Indent 3"/>
    <w:basedOn w:val="1"/>
    <w:link w:val="349"/>
    <w:semiHidden/>
    <w:unhideWhenUsed/>
    <w:qFormat/>
    <w:uiPriority w:val="99"/>
    <w:pPr>
      <w:snapToGrid w:val="0"/>
      <w:ind w:firstLine="480" w:firstLineChars="200"/>
      <w:jc w:val="left"/>
    </w:pPr>
    <w:rPr>
      <w:rFonts w:ascii="仿宋_GB2312" w:hAnsi="宋体" w:eastAsia="仿宋_GB2312"/>
      <w:color w:val="000000"/>
      <w:sz w:val="24"/>
      <w:szCs w:val="24"/>
    </w:rPr>
  </w:style>
  <w:style w:type="paragraph" w:styleId="40">
    <w:name w:val="toc 2"/>
    <w:basedOn w:val="1"/>
    <w:next w:val="1"/>
    <w:semiHidden/>
    <w:unhideWhenUsed/>
    <w:qFormat/>
    <w:uiPriority w:val="39"/>
    <w:pPr>
      <w:ind w:left="420" w:leftChars="200"/>
    </w:pPr>
    <w:rPr>
      <w:szCs w:val="24"/>
    </w:rPr>
  </w:style>
  <w:style w:type="paragraph" w:styleId="41">
    <w:name w:val="toc 9"/>
    <w:basedOn w:val="1"/>
    <w:next w:val="1"/>
    <w:semiHidden/>
    <w:unhideWhenUsed/>
    <w:qFormat/>
    <w:uiPriority w:val="99"/>
    <w:pPr>
      <w:ind w:left="3360" w:leftChars="1600"/>
    </w:pPr>
    <w:rPr>
      <w:rFonts w:cs="宋体"/>
      <w:sz w:val="24"/>
      <w:szCs w:val="24"/>
    </w:rPr>
  </w:style>
  <w:style w:type="paragraph" w:styleId="42">
    <w:name w:val="Body Text 2"/>
    <w:basedOn w:val="1"/>
    <w:link w:val="80"/>
    <w:semiHidden/>
    <w:unhideWhenUsed/>
    <w:qFormat/>
    <w:uiPriority w:val="99"/>
    <w:pPr>
      <w:numPr>
        <w:ilvl w:val="0"/>
        <w:numId w:val="2"/>
      </w:numPr>
      <w:spacing w:after="120" w:line="480" w:lineRule="auto"/>
      <w:ind w:left="0" w:firstLine="0"/>
    </w:pPr>
    <w:rPr>
      <w:rFonts w:ascii="Times New Roman" w:hAnsi="Times New Roman"/>
      <w:kern w:val="0"/>
      <w:sz w:val="20"/>
      <w:szCs w:val="24"/>
    </w:rPr>
  </w:style>
  <w:style w:type="paragraph" w:styleId="43">
    <w:name w:val="HTML Preformatted"/>
    <w:basedOn w:val="1"/>
    <w:link w:val="67"/>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Courier New"/>
      <w:szCs w:val="20"/>
    </w:rPr>
  </w:style>
  <w:style w:type="paragraph" w:styleId="44">
    <w:name w:val="Normal (Web)"/>
    <w:basedOn w:val="1"/>
    <w:semiHidden/>
    <w:unhideWhenUsed/>
    <w:qFormat/>
    <w:uiPriority w:val="99"/>
    <w:rPr>
      <w:sz w:val="24"/>
      <w:szCs w:val="24"/>
    </w:rPr>
  </w:style>
  <w:style w:type="paragraph" w:styleId="45">
    <w:name w:val="index 1"/>
    <w:basedOn w:val="1"/>
    <w:next w:val="1"/>
    <w:semiHidden/>
    <w:unhideWhenUsed/>
    <w:qFormat/>
    <w:uiPriority w:val="99"/>
    <w:rPr>
      <w:sz w:val="24"/>
      <w:szCs w:val="24"/>
    </w:rPr>
  </w:style>
  <w:style w:type="paragraph" w:styleId="46">
    <w:name w:val="Title"/>
    <w:basedOn w:val="1"/>
    <w:next w:val="1"/>
    <w:link w:val="71"/>
    <w:qFormat/>
    <w:uiPriority w:val="99"/>
    <w:pPr>
      <w:spacing w:before="240" w:after="60"/>
      <w:jc w:val="center"/>
      <w:outlineLvl w:val="0"/>
    </w:pPr>
    <w:rPr>
      <w:rFonts w:ascii="Cambria" w:hAnsi="Cambria"/>
      <w:b/>
      <w:bCs/>
      <w:kern w:val="0"/>
      <w:sz w:val="32"/>
      <w:szCs w:val="32"/>
    </w:rPr>
  </w:style>
  <w:style w:type="paragraph" w:styleId="47">
    <w:name w:val="annotation subject"/>
    <w:basedOn w:val="17"/>
    <w:next w:val="17"/>
    <w:link w:val="87"/>
    <w:semiHidden/>
    <w:unhideWhenUsed/>
    <w:qFormat/>
    <w:uiPriority w:val="99"/>
    <w:rPr>
      <w:b/>
      <w:bCs/>
    </w:rPr>
  </w:style>
  <w:style w:type="paragraph" w:styleId="48">
    <w:name w:val="Body Text First Indent 2"/>
    <w:basedOn w:val="22"/>
    <w:link w:val="350"/>
    <w:semiHidden/>
    <w:unhideWhenUsed/>
    <w:qFormat/>
    <w:uiPriority w:val="99"/>
    <w:pPr>
      <w:ind w:firstLine="420" w:firstLineChars="200"/>
    </w:pPr>
    <w:rPr>
      <w:rFonts w:ascii="宋体" w:hAnsi="Courier New"/>
      <w:spacing w:val="-4"/>
      <w:szCs w:val="24"/>
    </w:rPr>
  </w:style>
  <w:style w:type="table" w:styleId="50">
    <w:name w:val="Table Grid"/>
    <w:basedOn w:val="49"/>
    <w:qFormat/>
    <w:uiPriority w:val="9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2">
    <w:name w:val="page number"/>
    <w:qFormat/>
    <w:uiPriority w:val="0"/>
  </w:style>
  <w:style w:type="character" w:styleId="53">
    <w:name w:val="FollowedHyperlink"/>
    <w:semiHidden/>
    <w:unhideWhenUsed/>
    <w:qFormat/>
    <w:uiPriority w:val="99"/>
    <w:rPr>
      <w:color w:val="800080"/>
      <w:u w:val="single"/>
    </w:rPr>
  </w:style>
  <w:style w:type="character" w:styleId="54">
    <w:name w:val="Hyperlink"/>
    <w:semiHidden/>
    <w:unhideWhenUsed/>
    <w:qFormat/>
    <w:uiPriority w:val="99"/>
    <w:rPr>
      <w:color w:val="0000FF"/>
      <w:u w:val="single"/>
    </w:rPr>
  </w:style>
  <w:style w:type="character" w:styleId="55">
    <w:name w:val="annotation reference"/>
    <w:semiHidden/>
    <w:unhideWhenUsed/>
    <w:qFormat/>
    <w:uiPriority w:val="99"/>
    <w:rPr>
      <w:sz w:val="21"/>
      <w:szCs w:val="21"/>
    </w:rPr>
  </w:style>
  <w:style w:type="character" w:customStyle="1" w:styleId="56">
    <w:name w:val="页眉 Char"/>
    <w:basedOn w:val="51"/>
    <w:link w:val="34"/>
    <w:qFormat/>
    <w:uiPriority w:val="99"/>
    <w:rPr>
      <w:sz w:val="18"/>
      <w:szCs w:val="18"/>
    </w:rPr>
  </w:style>
  <w:style w:type="character" w:customStyle="1" w:styleId="57">
    <w:name w:val="页脚 Char"/>
    <w:basedOn w:val="51"/>
    <w:link w:val="33"/>
    <w:qFormat/>
    <w:uiPriority w:val="99"/>
    <w:rPr>
      <w:sz w:val="18"/>
      <w:szCs w:val="18"/>
    </w:rPr>
  </w:style>
  <w:style w:type="character" w:customStyle="1" w:styleId="58">
    <w:name w:val="标题 1 Char"/>
    <w:basedOn w:val="51"/>
    <w:link w:val="2"/>
    <w:qFormat/>
    <w:uiPriority w:val="9"/>
    <w:rPr>
      <w:rFonts w:ascii="Calibri" w:hAnsi="Calibri" w:eastAsia="宋体" w:cs="Times New Roman"/>
      <w:b/>
      <w:bCs/>
      <w:kern w:val="44"/>
      <w:sz w:val="44"/>
      <w:szCs w:val="44"/>
    </w:rPr>
  </w:style>
  <w:style w:type="character" w:customStyle="1" w:styleId="59">
    <w:name w:val="标题 2 Char"/>
    <w:basedOn w:val="51"/>
    <w:link w:val="3"/>
    <w:semiHidden/>
    <w:qFormat/>
    <w:uiPriority w:val="9"/>
    <w:rPr>
      <w:rFonts w:asciiTheme="majorHAnsi" w:hAnsiTheme="majorHAnsi" w:eastAsiaTheme="majorEastAsia" w:cstheme="majorBidi"/>
      <w:b/>
      <w:bCs/>
      <w:sz w:val="32"/>
      <w:szCs w:val="32"/>
    </w:rPr>
  </w:style>
  <w:style w:type="character" w:customStyle="1" w:styleId="60">
    <w:name w:val="标题 3 Char"/>
    <w:basedOn w:val="51"/>
    <w:link w:val="4"/>
    <w:semiHidden/>
    <w:qFormat/>
    <w:uiPriority w:val="9"/>
    <w:rPr>
      <w:rFonts w:ascii="宋体" w:hAnsi="宋体" w:eastAsia="宋体" w:cs="宋体"/>
      <w:b/>
      <w:bCs/>
      <w:kern w:val="0"/>
      <w:sz w:val="27"/>
      <w:szCs w:val="27"/>
    </w:rPr>
  </w:style>
  <w:style w:type="character" w:customStyle="1" w:styleId="61">
    <w:name w:val="标题 4 Char"/>
    <w:basedOn w:val="51"/>
    <w:semiHidden/>
    <w:qFormat/>
    <w:uiPriority w:val="9"/>
    <w:rPr>
      <w:rFonts w:asciiTheme="majorHAnsi" w:hAnsiTheme="majorHAnsi" w:eastAsiaTheme="majorEastAsia" w:cstheme="majorBidi"/>
      <w:b/>
      <w:bCs/>
      <w:sz w:val="28"/>
      <w:szCs w:val="28"/>
    </w:rPr>
  </w:style>
  <w:style w:type="character" w:customStyle="1" w:styleId="62">
    <w:name w:val="标题 5 Char"/>
    <w:basedOn w:val="51"/>
    <w:semiHidden/>
    <w:qFormat/>
    <w:uiPriority w:val="9"/>
    <w:rPr>
      <w:rFonts w:ascii="Calibri" w:hAnsi="Calibri" w:eastAsia="宋体" w:cs="Times New Roman"/>
      <w:b/>
      <w:bCs/>
      <w:sz w:val="28"/>
      <w:szCs w:val="28"/>
    </w:rPr>
  </w:style>
  <w:style w:type="character" w:customStyle="1" w:styleId="63">
    <w:name w:val="标题 6 Char"/>
    <w:basedOn w:val="51"/>
    <w:semiHidden/>
    <w:qFormat/>
    <w:uiPriority w:val="9"/>
    <w:rPr>
      <w:rFonts w:asciiTheme="majorHAnsi" w:hAnsiTheme="majorHAnsi" w:eastAsiaTheme="majorEastAsia" w:cstheme="majorBidi"/>
      <w:b/>
      <w:bCs/>
      <w:sz w:val="24"/>
      <w:szCs w:val="24"/>
    </w:rPr>
  </w:style>
  <w:style w:type="character" w:customStyle="1" w:styleId="64">
    <w:name w:val="标题 7 Char"/>
    <w:basedOn w:val="51"/>
    <w:semiHidden/>
    <w:qFormat/>
    <w:uiPriority w:val="9"/>
    <w:rPr>
      <w:rFonts w:ascii="Calibri" w:hAnsi="Calibri" w:eastAsia="宋体" w:cs="Times New Roman"/>
      <w:b/>
      <w:bCs/>
      <w:sz w:val="24"/>
      <w:szCs w:val="24"/>
    </w:rPr>
  </w:style>
  <w:style w:type="character" w:customStyle="1" w:styleId="65">
    <w:name w:val="标题 8 Char"/>
    <w:basedOn w:val="51"/>
    <w:semiHidden/>
    <w:qFormat/>
    <w:uiPriority w:val="9"/>
    <w:rPr>
      <w:rFonts w:asciiTheme="majorHAnsi" w:hAnsiTheme="majorHAnsi" w:eastAsiaTheme="majorEastAsia" w:cstheme="majorBidi"/>
      <w:sz w:val="24"/>
      <w:szCs w:val="24"/>
    </w:rPr>
  </w:style>
  <w:style w:type="character" w:customStyle="1" w:styleId="66">
    <w:name w:val="标题 9 Char"/>
    <w:basedOn w:val="51"/>
    <w:semiHidden/>
    <w:qFormat/>
    <w:uiPriority w:val="9"/>
    <w:rPr>
      <w:rFonts w:asciiTheme="majorHAnsi" w:hAnsiTheme="majorHAnsi" w:eastAsiaTheme="majorEastAsia" w:cstheme="majorBidi"/>
      <w:szCs w:val="21"/>
    </w:rPr>
  </w:style>
  <w:style w:type="character" w:customStyle="1" w:styleId="67">
    <w:name w:val="HTML 预设格式 Char"/>
    <w:basedOn w:val="51"/>
    <w:link w:val="43"/>
    <w:semiHidden/>
    <w:qFormat/>
    <w:uiPriority w:val="0"/>
    <w:rPr>
      <w:rFonts w:ascii="宋体" w:hAnsi="Courier New" w:eastAsia="宋体" w:cs="Times New Roman"/>
      <w:szCs w:val="20"/>
    </w:rPr>
  </w:style>
  <w:style w:type="character" w:customStyle="1" w:styleId="68">
    <w:name w:val="正文缩进 Char"/>
    <w:link w:val="14"/>
    <w:semiHidden/>
    <w:qFormat/>
    <w:locked/>
    <w:uiPriority w:val="0"/>
    <w:rPr>
      <w:rFonts w:ascii="Times New Roman" w:hAnsi="Times New Roman" w:cs="Times New Roman"/>
      <w:szCs w:val="24"/>
    </w:rPr>
  </w:style>
  <w:style w:type="character" w:customStyle="1" w:styleId="69">
    <w:name w:val="批注文字 Char"/>
    <w:basedOn w:val="51"/>
    <w:link w:val="17"/>
    <w:semiHidden/>
    <w:qFormat/>
    <w:uiPriority w:val="99"/>
    <w:rPr>
      <w:rFonts w:ascii="Calibri" w:hAnsi="Calibri" w:eastAsia="宋体" w:cs="Times New Roman"/>
    </w:rPr>
  </w:style>
  <w:style w:type="character" w:customStyle="1" w:styleId="70">
    <w:name w:val="列表 Char"/>
    <w:link w:val="38"/>
    <w:semiHidden/>
    <w:qFormat/>
    <w:locked/>
    <w:uiPriority w:val="99"/>
    <w:rPr>
      <w:szCs w:val="24"/>
    </w:rPr>
  </w:style>
  <w:style w:type="character" w:customStyle="1" w:styleId="71">
    <w:name w:val="标题 Char"/>
    <w:basedOn w:val="51"/>
    <w:link w:val="46"/>
    <w:qFormat/>
    <w:uiPriority w:val="99"/>
    <w:rPr>
      <w:rFonts w:ascii="Cambria" w:hAnsi="Cambria" w:eastAsia="宋体" w:cs="Times New Roman"/>
      <w:b/>
      <w:bCs/>
      <w:kern w:val="0"/>
      <w:sz w:val="32"/>
      <w:szCs w:val="32"/>
    </w:rPr>
  </w:style>
  <w:style w:type="character" w:customStyle="1" w:styleId="72">
    <w:name w:val="正文文本 Char"/>
    <w:basedOn w:val="51"/>
    <w:link w:val="19"/>
    <w:semiHidden/>
    <w:qFormat/>
    <w:uiPriority w:val="99"/>
    <w:rPr>
      <w:rFonts w:ascii="Calibri" w:hAnsi="Calibri" w:eastAsia="宋体" w:cs="Times New Roman"/>
    </w:rPr>
  </w:style>
  <w:style w:type="character" w:customStyle="1" w:styleId="73">
    <w:name w:val="正文首行缩进 Char"/>
    <w:basedOn w:val="72"/>
    <w:link w:val="20"/>
    <w:semiHidden/>
    <w:qFormat/>
    <w:uiPriority w:val="99"/>
    <w:rPr>
      <w:rFonts w:ascii="Calibri" w:hAnsi="Calibri" w:eastAsia="宋体" w:cs="Times New Roman"/>
      <w:szCs w:val="24"/>
    </w:rPr>
  </w:style>
  <w:style w:type="character" w:customStyle="1" w:styleId="74">
    <w:name w:val="正文文本缩进 Char"/>
    <w:basedOn w:val="51"/>
    <w:link w:val="22"/>
    <w:semiHidden/>
    <w:qFormat/>
    <w:locked/>
    <w:uiPriority w:val="0"/>
  </w:style>
  <w:style w:type="character" w:customStyle="1" w:styleId="75">
    <w:name w:val="正文文本缩进 Char1"/>
    <w:basedOn w:val="51"/>
    <w:semiHidden/>
    <w:qFormat/>
    <w:uiPriority w:val="99"/>
    <w:rPr>
      <w:rFonts w:ascii="Calibri" w:hAnsi="Calibri" w:eastAsia="宋体" w:cs="Times New Roman"/>
    </w:rPr>
  </w:style>
  <w:style w:type="character" w:customStyle="1" w:styleId="76">
    <w:name w:val="副标题 Char"/>
    <w:basedOn w:val="51"/>
    <w:link w:val="37"/>
    <w:qFormat/>
    <w:uiPriority w:val="99"/>
    <w:rPr>
      <w:rFonts w:ascii="Cambria" w:hAnsi="Cambria" w:eastAsia="宋体" w:cs="Times New Roman"/>
      <w:b/>
      <w:bCs/>
      <w:kern w:val="28"/>
      <w:sz w:val="32"/>
      <w:szCs w:val="32"/>
    </w:rPr>
  </w:style>
  <w:style w:type="character" w:customStyle="1" w:styleId="77">
    <w:name w:val="日期 Char"/>
    <w:basedOn w:val="51"/>
    <w:link w:val="30"/>
    <w:semiHidden/>
    <w:qFormat/>
    <w:locked/>
    <w:uiPriority w:val="99"/>
    <w:rPr>
      <w:rFonts w:ascii="Times New Roman" w:hAnsi="Times New Roman" w:cs="Times New Roman"/>
      <w:szCs w:val="24"/>
    </w:rPr>
  </w:style>
  <w:style w:type="character" w:customStyle="1" w:styleId="78">
    <w:name w:val="日期 Char1"/>
    <w:basedOn w:val="51"/>
    <w:semiHidden/>
    <w:qFormat/>
    <w:uiPriority w:val="99"/>
    <w:rPr>
      <w:rFonts w:ascii="Calibri" w:hAnsi="Calibri" w:eastAsia="宋体" w:cs="Times New Roman"/>
    </w:rPr>
  </w:style>
  <w:style w:type="character" w:customStyle="1" w:styleId="79">
    <w:name w:val="正文首行缩进 2 Char"/>
    <w:basedOn w:val="75"/>
    <w:semiHidden/>
    <w:qFormat/>
    <w:uiPriority w:val="99"/>
    <w:rPr>
      <w:rFonts w:ascii="Calibri" w:hAnsi="Calibri" w:eastAsia="宋体" w:cs="Times New Roman"/>
    </w:rPr>
  </w:style>
  <w:style w:type="character" w:customStyle="1" w:styleId="80">
    <w:name w:val="正文文本 2 Char"/>
    <w:basedOn w:val="51"/>
    <w:link w:val="42"/>
    <w:semiHidden/>
    <w:qFormat/>
    <w:uiPriority w:val="99"/>
    <w:rPr>
      <w:rFonts w:ascii="Times New Roman" w:hAnsi="Times New Roman" w:eastAsia="宋体" w:cs="Times New Roman"/>
      <w:kern w:val="0"/>
      <w:sz w:val="20"/>
      <w:szCs w:val="24"/>
    </w:rPr>
  </w:style>
  <w:style w:type="character" w:customStyle="1" w:styleId="81">
    <w:name w:val="正文文本 3 Char"/>
    <w:basedOn w:val="51"/>
    <w:link w:val="18"/>
    <w:semiHidden/>
    <w:qFormat/>
    <w:uiPriority w:val="99"/>
    <w:rPr>
      <w:rFonts w:ascii="Times New Roman" w:hAnsi="Times New Roman" w:eastAsia="宋体" w:cs="Times New Roman"/>
      <w:kern w:val="0"/>
      <w:sz w:val="16"/>
      <w:szCs w:val="16"/>
    </w:rPr>
  </w:style>
  <w:style w:type="character" w:customStyle="1" w:styleId="82">
    <w:name w:val="正文文本缩进 2 Char"/>
    <w:basedOn w:val="51"/>
    <w:semiHidden/>
    <w:qFormat/>
    <w:uiPriority w:val="0"/>
    <w:rPr>
      <w:rFonts w:ascii="Calibri" w:hAnsi="Calibri" w:eastAsia="宋体" w:cs="Times New Roman"/>
    </w:rPr>
  </w:style>
  <w:style w:type="character" w:customStyle="1" w:styleId="83">
    <w:name w:val="正文文本缩进 3 Char"/>
    <w:basedOn w:val="51"/>
    <w:semiHidden/>
    <w:qFormat/>
    <w:uiPriority w:val="0"/>
    <w:rPr>
      <w:rFonts w:ascii="Calibri" w:hAnsi="Calibri" w:eastAsia="宋体" w:cs="Times New Roman"/>
      <w:sz w:val="16"/>
      <w:szCs w:val="16"/>
    </w:rPr>
  </w:style>
  <w:style w:type="character" w:customStyle="1" w:styleId="84">
    <w:name w:val="文档结构图 Char"/>
    <w:basedOn w:val="51"/>
    <w:semiHidden/>
    <w:qFormat/>
    <w:uiPriority w:val="0"/>
    <w:rPr>
      <w:rFonts w:ascii="宋体" w:hAnsi="Calibri" w:eastAsia="宋体" w:cs="Times New Roman"/>
      <w:sz w:val="18"/>
      <w:szCs w:val="18"/>
    </w:rPr>
  </w:style>
  <w:style w:type="character" w:customStyle="1" w:styleId="85">
    <w:name w:val="纯文本 Char1"/>
    <w:link w:val="28"/>
    <w:semiHidden/>
    <w:qFormat/>
    <w:locked/>
    <w:uiPriority w:val="99"/>
    <w:rPr>
      <w:rFonts w:ascii="宋体" w:hAnsi="Courier New" w:eastAsia="宋体"/>
      <w:sz w:val="24"/>
      <w:szCs w:val="24"/>
    </w:rPr>
  </w:style>
  <w:style w:type="character" w:customStyle="1" w:styleId="86">
    <w:name w:val="纯文本 Char"/>
    <w:basedOn w:val="51"/>
    <w:semiHidden/>
    <w:qFormat/>
    <w:uiPriority w:val="99"/>
    <w:rPr>
      <w:rFonts w:ascii="宋体" w:hAnsi="Courier New" w:eastAsia="宋体" w:cs="Courier New"/>
      <w:szCs w:val="21"/>
    </w:rPr>
  </w:style>
  <w:style w:type="character" w:customStyle="1" w:styleId="87">
    <w:name w:val="批注主题 Char"/>
    <w:basedOn w:val="69"/>
    <w:link w:val="47"/>
    <w:semiHidden/>
    <w:qFormat/>
    <w:uiPriority w:val="99"/>
    <w:rPr>
      <w:rFonts w:ascii="Calibri" w:hAnsi="Calibri" w:eastAsia="宋体" w:cs="Times New Roman"/>
      <w:b/>
      <w:bCs/>
    </w:rPr>
  </w:style>
  <w:style w:type="character" w:customStyle="1" w:styleId="88">
    <w:name w:val="批注框文本 Char"/>
    <w:basedOn w:val="51"/>
    <w:semiHidden/>
    <w:qFormat/>
    <w:uiPriority w:val="0"/>
    <w:rPr>
      <w:rFonts w:ascii="Calibri" w:hAnsi="Calibri" w:eastAsia="宋体" w:cs="Times New Roman"/>
      <w:sz w:val="18"/>
      <w:szCs w:val="18"/>
    </w:rPr>
  </w:style>
  <w:style w:type="paragraph" w:styleId="89">
    <w:name w:val="No Spacing"/>
    <w:qFormat/>
    <w:uiPriority w:val="1"/>
    <w:pPr>
      <w:widowControl w:val="0"/>
      <w:jc w:val="both"/>
    </w:pPr>
    <w:rPr>
      <w:rFonts w:ascii="等线" w:hAnsi="等线" w:eastAsia="等线" w:cs="Times New Roman"/>
      <w:kern w:val="2"/>
      <w:sz w:val="24"/>
      <w:szCs w:val="24"/>
      <w:lang w:val="en-US" w:eastAsia="zh-CN" w:bidi="ar-SA"/>
    </w:rPr>
  </w:style>
  <w:style w:type="paragraph" w:customStyle="1" w:styleId="90">
    <w:name w:val="Revision"/>
    <w:semiHidden/>
    <w:qFormat/>
    <w:uiPriority w:val="99"/>
    <w:rPr>
      <w:rFonts w:ascii="Times New Roman" w:hAnsi="Times New Roman" w:eastAsia="宋体" w:cs="Times New Roman"/>
      <w:kern w:val="2"/>
      <w:sz w:val="21"/>
      <w:szCs w:val="24"/>
      <w:lang w:val="en-US" w:eastAsia="zh-CN" w:bidi="ar-SA"/>
    </w:rPr>
  </w:style>
  <w:style w:type="character" w:customStyle="1" w:styleId="91">
    <w:name w:val="列出段落 Char"/>
    <w:link w:val="92"/>
    <w:qFormat/>
    <w:locked/>
    <w:uiPriority w:val="34"/>
  </w:style>
  <w:style w:type="paragraph" w:styleId="92">
    <w:name w:val="List Paragraph"/>
    <w:basedOn w:val="1"/>
    <w:link w:val="91"/>
    <w:qFormat/>
    <w:uiPriority w:val="34"/>
    <w:pPr>
      <w:ind w:firstLine="420" w:firstLineChars="200"/>
    </w:pPr>
    <w:rPr>
      <w:rFonts w:asciiTheme="minorHAnsi" w:hAnsiTheme="minorHAnsi" w:eastAsiaTheme="minorEastAsia" w:cstheme="minorBidi"/>
    </w:rPr>
  </w:style>
  <w:style w:type="paragraph" w:customStyle="1" w:styleId="93">
    <w:name w:val="TOC Heading"/>
    <w:basedOn w:val="2"/>
    <w:next w:val="1"/>
    <w:semiHidden/>
    <w:unhideWhenUsed/>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94">
    <w:name w:val="正文2 Char"/>
    <w:link w:val="95"/>
    <w:qFormat/>
    <w:locked/>
    <w:uiPriority w:val="0"/>
    <w:rPr>
      <w:sz w:val="24"/>
    </w:rPr>
  </w:style>
  <w:style w:type="paragraph" w:customStyle="1" w:styleId="95">
    <w:name w:val="正文2"/>
    <w:basedOn w:val="1"/>
    <w:link w:val="94"/>
    <w:qFormat/>
    <w:uiPriority w:val="0"/>
    <w:pPr>
      <w:spacing w:before="156" w:line="360" w:lineRule="auto"/>
      <w:ind w:firstLine="510" w:firstLineChars="200"/>
    </w:pPr>
    <w:rPr>
      <w:rFonts w:asciiTheme="minorHAnsi" w:hAnsiTheme="minorHAnsi" w:eastAsiaTheme="minorEastAsia" w:cstheme="minorBidi"/>
      <w:sz w:val="24"/>
    </w:rPr>
  </w:style>
  <w:style w:type="character" w:customStyle="1" w:styleId="96">
    <w:name w:val="论文正文样式 Char Char"/>
    <w:link w:val="97"/>
    <w:qFormat/>
    <w:locked/>
    <w:uiPriority w:val="0"/>
    <w:rPr>
      <w:szCs w:val="21"/>
    </w:rPr>
  </w:style>
  <w:style w:type="paragraph" w:customStyle="1" w:styleId="97">
    <w:name w:val="论文正文样式"/>
    <w:basedOn w:val="1"/>
    <w:link w:val="96"/>
    <w:qFormat/>
    <w:uiPriority w:val="0"/>
    <w:pPr>
      <w:spacing w:line="360" w:lineRule="auto"/>
    </w:pPr>
    <w:rPr>
      <w:rFonts w:asciiTheme="minorHAnsi" w:hAnsiTheme="minorHAnsi" w:eastAsiaTheme="minorEastAsia" w:cstheme="minorBidi"/>
      <w:szCs w:val="21"/>
    </w:rPr>
  </w:style>
  <w:style w:type="paragraph" w:customStyle="1" w:styleId="98">
    <w:name w:val="纯文本3"/>
    <w:basedOn w:val="1"/>
    <w:qFormat/>
    <w:uiPriority w:val="99"/>
    <w:pPr>
      <w:spacing w:afterLines="50"/>
    </w:pPr>
    <w:rPr>
      <w:rFonts w:ascii="宋体" w:hAnsi="Courier New" w:cs="Courier New"/>
      <w:kern w:val="0"/>
      <w:sz w:val="20"/>
      <w:szCs w:val="21"/>
    </w:rPr>
  </w:style>
  <w:style w:type="character" w:customStyle="1" w:styleId="99">
    <w:name w:val="内容文本 Char"/>
    <w:link w:val="100"/>
    <w:qFormat/>
    <w:locked/>
    <w:uiPriority w:val="0"/>
    <w:rPr>
      <w:rFonts w:ascii="宋体" w:hAnsi="宋体" w:eastAsia="宋体"/>
      <w:sz w:val="24"/>
      <w:szCs w:val="24"/>
      <w:lang w:eastAsia="en-US" w:bidi="en-US"/>
    </w:rPr>
  </w:style>
  <w:style w:type="paragraph" w:customStyle="1" w:styleId="100">
    <w:name w:val="内容文本"/>
    <w:basedOn w:val="92"/>
    <w:link w:val="99"/>
    <w:qFormat/>
    <w:uiPriority w:val="0"/>
    <w:pPr>
      <w:spacing w:line="360" w:lineRule="auto"/>
      <w:ind w:firstLine="200"/>
      <w:contextualSpacing/>
      <w:jc w:val="left"/>
    </w:pPr>
    <w:rPr>
      <w:rFonts w:ascii="宋体" w:hAnsi="宋体" w:eastAsia="宋体"/>
      <w:sz w:val="24"/>
      <w:szCs w:val="24"/>
      <w:lang w:eastAsia="en-US" w:bidi="en-US"/>
    </w:rPr>
  </w:style>
  <w:style w:type="character" w:customStyle="1" w:styleId="101">
    <w:name w:val="Table Text Char1"/>
    <w:link w:val="102"/>
    <w:qFormat/>
    <w:locked/>
    <w:uiPriority w:val="0"/>
    <w:rPr>
      <w:rFonts w:ascii="Arial" w:hAnsi="Arial" w:cs="Arial"/>
      <w:sz w:val="18"/>
      <w:szCs w:val="24"/>
    </w:rPr>
  </w:style>
  <w:style w:type="paragraph" w:customStyle="1" w:styleId="102">
    <w:name w:val="Table Text"/>
    <w:basedOn w:val="1"/>
    <w:link w:val="101"/>
    <w:qFormat/>
    <w:uiPriority w:val="0"/>
    <w:pPr>
      <w:widowControl/>
      <w:tabs>
        <w:tab w:val="decimal" w:pos="0"/>
      </w:tabs>
      <w:autoSpaceDE w:val="0"/>
      <w:autoSpaceDN w:val="0"/>
      <w:adjustRightInd w:val="0"/>
      <w:spacing w:before="80" w:after="80"/>
    </w:pPr>
    <w:rPr>
      <w:rFonts w:ascii="Arial" w:hAnsi="Arial" w:cs="Arial" w:eastAsiaTheme="minorEastAsia"/>
      <w:sz w:val="18"/>
      <w:szCs w:val="24"/>
    </w:rPr>
  </w:style>
  <w:style w:type="character" w:customStyle="1" w:styleId="103">
    <w:name w:val="UserStyle_117"/>
    <w:link w:val="104"/>
    <w:qFormat/>
    <w:locked/>
    <w:uiPriority w:val="0"/>
    <w:rPr>
      <w:rFonts w:ascii="宋体" w:hAnsi="Courier New" w:eastAsia="宋体"/>
      <w:sz w:val="24"/>
      <w:szCs w:val="24"/>
    </w:rPr>
  </w:style>
  <w:style w:type="paragraph" w:customStyle="1" w:styleId="104">
    <w:name w:val="PlainText"/>
    <w:basedOn w:val="1"/>
    <w:link w:val="103"/>
    <w:qFormat/>
    <w:uiPriority w:val="0"/>
    <w:pPr>
      <w:widowControl/>
      <w:spacing w:before="156" w:after="156" w:line="400" w:lineRule="exact"/>
    </w:pPr>
    <w:rPr>
      <w:rFonts w:ascii="宋体" w:hAnsi="Courier New" w:cstheme="minorBidi"/>
      <w:sz w:val="24"/>
      <w:szCs w:val="24"/>
    </w:rPr>
  </w:style>
  <w:style w:type="character" w:customStyle="1" w:styleId="105">
    <w:name w:val="纯文本 Char1_0"/>
    <w:link w:val="106"/>
    <w:qFormat/>
    <w:locked/>
    <w:uiPriority w:val="0"/>
    <w:rPr>
      <w:rFonts w:ascii="宋体" w:hAnsi="Courier New" w:eastAsia="宋体"/>
    </w:rPr>
  </w:style>
  <w:style w:type="paragraph" w:customStyle="1" w:styleId="106">
    <w:name w:val="纯文本_0"/>
    <w:basedOn w:val="1"/>
    <w:link w:val="105"/>
    <w:qFormat/>
    <w:uiPriority w:val="0"/>
    <w:rPr>
      <w:rFonts w:ascii="宋体" w:hAnsi="Courier New" w:cstheme="minorBidi"/>
    </w:rPr>
  </w:style>
  <w:style w:type="character" w:customStyle="1" w:styleId="107">
    <w:name w:val="标准正文格式 Char Char"/>
    <w:link w:val="108"/>
    <w:qFormat/>
    <w:locked/>
    <w:uiPriority w:val="0"/>
    <w:rPr>
      <w:rFonts w:ascii="宋体" w:hAnsi="宋体" w:eastAsia="仿宋_GB2312" w:cs="宋体"/>
      <w:color w:val="000000"/>
      <w:sz w:val="24"/>
    </w:rPr>
  </w:style>
  <w:style w:type="paragraph" w:customStyle="1" w:styleId="108">
    <w:name w:val="标准正文格式"/>
    <w:basedOn w:val="1"/>
    <w:link w:val="107"/>
    <w:qFormat/>
    <w:uiPriority w:val="0"/>
    <w:pPr>
      <w:widowControl/>
      <w:adjustRightInd w:val="0"/>
      <w:spacing w:before="60" w:after="120" w:line="360" w:lineRule="auto"/>
      <w:ind w:firstLine="200" w:firstLineChars="200"/>
    </w:pPr>
    <w:rPr>
      <w:rFonts w:ascii="宋体" w:hAnsi="宋体" w:eastAsia="仿宋_GB2312" w:cs="宋体"/>
      <w:color w:val="000000"/>
      <w:sz w:val="24"/>
    </w:rPr>
  </w:style>
  <w:style w:type="character" w:customStyle="1" w:styleId="109">
    <w:name w:val="列出段落 字符"/>
    <w:link w:val="110"/>
    <w:qFormat/>
    <w:locked/>
    <w:uiPriority w:val="0"/>
  </w:style>
  <w:style w:type="paragraph" w:customStyle="1" w:styleId="110">
    <w:name w:val="列出段落1"/>
    <w:basedOn w:val="1"/>
    <w:link w:val="109"/>
    <w:qFormat/>
    <w:uiPriority w:val="0"/>
    <w:pPr>
      <w:ind w:firstLine="420" w:firstLineChars="200"/>
    </w:pPr>
    <w:rPr>
      <w:rFonts w:asciiTheme="minorHAnsi" w:hAnsiTheme="minorHAnsi" w:eastAsiaTheme="minorEastAsia" w:cstheme="minorBidi"/>
    </w:rPr>
  </w:style>
  <w:style w:type="character" w:customStyle="1" w:styleId="111">
    <w:name w:val="标书正文 Char Char"/>
    <w:link w:val="112"/>
    <w:qFormat/>
    <w:locked/>
    <w:uiPriority w:val="0"/>
    <w:rPr>
      <w:color w:val="000000"/>
      <w:sz w:val="24"/>
    </w:rPr>
  </w:style>
  <w:style w:type="paragraph" w:customStyle="1" w:styleId="112">
    <w:name w:val="标书正文"/>
    <w:basedOn w:val="1"/>
    <w:link w:val="111"/>
    <w:qFormat/>
    <w:uiPriority w:val="0"/>
    <w:pPr>
      <w:spacing w:line="360" w:lineRule="auto"/>
      <w:ind w:firstLine="200" w:firstLineChars="200"/>
      <w:jc w:val="left"/>
    </w:pPr>
    <w:rPr>
      <w:rFonts w:asciiTheme="minorHAnsi" w:hAnsiTheme="minorHAnsi" w:eastAsiaTheme="minorEastAsia" w:cstheme="minorBidi"/>
      <w:color w:val="000000"/>
      <w:sz w:val="24"/>
    </w:rPr>
  </w:style>
  <w:style w:type="character" w:customStyle="1" w:styleId="113">
    <w:name w:val="UserStyle_20"/>
    <w:link w:val="114"/>
    <w:qFormat/>
    <w:locked/>
    <w:uiPriority w:val="0"/>
    <w:rPr>
      <w:rFonts w:ascii="宋体" w:hAnsi="宋体" w:eastAsia="仿宋_GB2312"/>
      <w:b/>
      <w:bCs/>
      <w:sz w:val="24"/>
    </w:rPr>
  </w:style>
  <w:style w:type="paragraph" w:customStyle="1" w:styleId="114">
    <w:name w:val="BodyText3"/>
    <w:basedOn w:val="1"/>
    <w:link w:val="113"/>
    <w:qFormat/>
    <w:uiPriority w:val="0"/>
    <w:pPr>
      <w:widowControl/>
      <w:snapToGrid w:val="0"/>
      <w:spacing w:before="50" w:after="50"/>
    </w:pPr>
    <w:rPr>
      <w:rFonts w:ascii="宋体" w:hAnsi="宋体" w:eastAsia="仿宋_GB2312" w:cstheme="minorBidi"/>
      <w:b/>
      <w:bCs/>
      <w:sz w:val="24"/>
    </w:rPr>
  </w:style>
  <w:style w:type="character" w:customStyle="1" w:styleId="115">
    <w:name w:val="段落行文 Char"/>
    <w:link w:val="116"/>
    <w:qFormat/>
    <w:locked/>
    <w:uiPriority w:val="0"/>
    <w:rPr>
      <w:rFonts w:ascii="仿宋_GB2312" w:eastAsia="仿宋_GB2312"/>
      <w:sz w:val="24"/>
      <w:szCs w:val="24"/>
    </w:rPr>
  </w:style>
  <w:style w:type="paragraph" w:customStyle="1" w:styleId="116">
    <w:name w:val="段落行文"/>
    <w:basedOn w:val="1"/>
    <w:link w:val="115"/>
    <w:qFormat/>
    <w:uiPriority w:val="0"/>
    <w:pPr>
      <w:adjustRightInd w:val="0"/>
      <w:snapToGrid w:val="0"/>
      <w:spacing w:line="480" w:lineRule="auto"/>
      <w:ind w:firstLine="480" w:firstLineChars="200"/>
    </w:pPr>
    <w:rPr>
      <w:rFonts w:ascii="仿宋_GB2312" w:eastAsia="仿宋_GB2312" w:hAnsiTheme="minorHAnsi" w:cstheme="minorBidi"/>
      <w:sz w:val="24"/>
      <w:szCs w:val="24"/>
    </w:rPr>
  </w:style>
  <w:style w:type="character" w:customStyle="1" w:styleId="117">
    <w:name w:val="无间隔 Char"/>
    <w:link w:val="118"/>
    <w:qFormat/>
    <w:locked/>
    <w:uiPriority w:val="1"/>
    <w:rPr>
      <w:rFonts w:ascii="楷体_GB2312" w:eastAsia="楷体_GB2312"/>
      <w:sz w:val="24"/>
    </w:rPr>
  </w:style>
  <w:style w:type="paragraph" w:customStyle="1" w:styleId="118">
    <w:name w:val="无间隔11"/>
    <w:link w:val="117"/>
    <w:qFormat/>
    <w:uiPriority w:val="1"/>
    <w:pPr>
      <w:widowControl w:val="0"/>
      <w:jc w:val="both"/>
    </w:pPr>
    <w:rPr>
      <w:rFonts w:ascii="楷体_GB2312" w:eastAsia="楷体_GB2312" w:hAnsiTheme="minorHAnsi" w:cstheme="minorBidi"/>
      <w:kern w:val="2"/>
      <w:sz w:val="24"/>
      <w:szCs w:val="22"/>
      <w:lang w:val="en-US" w:eastAsia="zh-CN" w:bidi="ar-SA"/>
    </w:rPr>
  </w:style>
  <w:style w:type="paragraph" w:customStyle="1" w:styleId="119">
    <w:name w:val="xl8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20">
    <w:name w:val="xl1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21">
    <w:name w:val="Char Char Char Char Char Char Char1"/>
    <w:basedOn w:val="1"/>
    <w:qFormat/>
    <w:uiPriority w:val="99"/>
    <w:rPr>
      <w:rFonts w:ascii="Arial" w:hAnsi="Arial" w:cs="Arial"/>
      <w:szCs w:val="21"/>
    </w:rPr>
  </w:style>
  <w:style w:type="paragraph" w:customStyle="1" w:styleId="122">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23">
    <w:name w:val="Char Char Char Char Char Char Char Char Char Char"/>
    <w:basedOn w:val="1"/>
    <w:qFormat/>
    <w:uiPriority w:val="99"/>
    <w:pPr>
      <w:widowControl/>
      <w:spacing w:after="160" w:line="360" w:lineRule="auto"/>
      <w:jc w:val="left"/>
    </w:pPr>
    <w:rPr>
      <w:rFonts w:ascii="Verdana" w:hAnsi="Verdana" w:cs="Verdana"/>
      <w:kern w:val="0"/>
      <w:sz w:val="24"/>
      <w:szCs w:val="21"/>
      <w:lang w:eastAsia="en-US"/>
    </w:rPr>
  </w:style>
  <w:style w:type="paragraph" w:customStyle="1" w:styleId="124">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00"/>
      <w:kern w:val="0"/>
      <w:sz w:val="20"/>
      <w:szCs w:val="20"/>
    </w:rPr>
  </w:style>
  <w:style w:type="paragraph" w:customStyle="1" w:styleId="125">
    <w:name w:val="Body text|7"/>
    <w:basedOn w:val="1"/>
    <w:qFormat/>
    <w:uiPriority w:val="99"/>
    <w:pPr>
      <w:ind w:hanging="1800"/>
    </w:pPr>
    <w:rPr>
      <w:rFonts w:ascii="宋体" w:hAnsi="宋体" w:cs="宋体"/>
      <w:sz w:val="17"/>
      <w:szCs w:val="17"/>
      <w:lang w:val="zh-CN"/>
    </w:rPr>
  </w:style>
  <w:style w:type="paragraph" w:customStyle="1" w:styleId="126">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kern w:val="0"/>
      <w:sz w:val="20"/>
      <w:szCs w:val="20"/>
    </w:rPr>
  </w:style>
  <w:style w:type="paragraph" w:customStyle="1" w:styleId="127">
    <w:name w:val="纯文本2"/>
    <w:basedOn w:val="1"/>
    <w:qFormat/>
    <w:uiPriority w:val="99"/>
    <w:pPr>
      <w:adjustRightInd w:val="0"/>
    </w:pPr>
    <w:rPr>
      <w:rFonts w:ascii="宋体" w:hAnsi="Courier New" w:eastAsia="楷体_GB2312"/>
      <w:sz w:val="26"/>
      <w:szCs w:val="20"/>
    </w:rPr>
  </w:style>
  <w:style w:type="paragraph" w:customStyle="1" w:styleId="128">
    <w:name w:val="目录"/>
    <w:basedOn w:val="35"/>
    <w:qFormat/>
    <w:uiPriority w:val="99"/>
    <w:pPr>
      <w:tabs>
        <w:tab w:val="right" w:leader="dot" w:pos="7937"/>
      </w:tabs>
      <w:adjustRightInd w:val="0"/>
      <w:spacing w:before="120" w:after="120" w:line="360" w:lineRule="auto"/>
      <w:jc w:val="center"/>
    </w:pPr>
    <w:rPr>
      <w:rFonts w:ascii="宋体" w:hAnsi="Times New Roman" w:eastAsia="黑体"/>
      <w:b/>
      <w:caps/>
      <w:kern w:val="0"/>
      <w:sz w:val="30"/>
      <w:szCs w:val="20"/>
    </w:rPr>
  </w:style>
  <w:style w:type="paragraph" w:customStyle="1" w:styleId="129">
    <w:name w:val="正文段"/>
    <w:basedOn w:val="1"/>
    <w:qFormat/>
    <w:uiPriority w:val="99"/>
    <w:pPr>
      <w:widowControl/>
      <w:snapToGrid w:val="0"/>
      <w:ind w:firstLine="200" w:firstLineChars="200"/>
    </w:pPr>
    <w:rPr>
      <w:rFonts w:ascii="Times New Roman" w:hAnsi="Times New Roman"/>
      <w:kern w:val="0"/>
      <w:sz w:val="24"/>
      <w:szCs w:val="20"/>
    </w:rPr>
  </w:style>
  <w:style w:type="paragraph" w:customStyle="1" w:styleId="130">
    <w:name w:val="注×："/>
    <w:qFormat/>
    <w:uiPriority w:val="99"/>
    <w:pPr>
      <w:widowControl w:val="0"/>
      <w:numPr>
        <w:ilvl w:val="0"/>
        <w:numId w:val="3"/>
      </w:numPr>
      <w:autoSpaceDE w:val="0"/>
      <w:autoSpaceDN w:val="0"/>
      <w:ind w:left="811" w:hanging="448"/>
      <w:jc w:val="both"/>
    </w:pPr>
    <w:rPr>
      <w:rFonts w:ascii="宋体" w:hAnsi="Times New Roman" w:eastAsia="宋体" w:cs="Times New Roman"/>
      <w:kern w:val="0"/>
      <w:sz w:val="18"/>
      <w:szCs w:val="18"/>
      <w:lang w:val="en-US" w:eastAsia="zh-CN" w:bidi="ar-SA"/>
    </w:rPr>
  </w:style>
  <w:style w:type="paragraph" w:customStyle="1" w:styleId="131">
    <w:name w:val="Char Char Char Char Char Char"/>
    <w:basedOn w:val="1"/>
    <w:qFormat/>
    <w:uiPriority w:val="99"/>
    <w:pPr>
      <w:ind w:firstLine="200" w:firstLineChars="200"/>
    </w:pPr>
    <w:rPr>
      <w:szCs w:val="24"/>
    </w:rPr>
  </w:style>
  <w:style w:type="paragraph" w:customStyle="1" w:styleId="132">
    <w:name w:val="xl7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szCs w:val="24"/>
    </w:rPr>
  </w:style>
  <w:style w:type="paragraph" w:customStyle="1" w:styleId="133">
    <w:name w:val="xl6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szCs w:val="24"/>
    </w:rPr>
  </w:style>
  <w:style w:type="paragraph" w:customStyle="1" w:styleId="134">
    <w:name w:val="xl6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szCs w:val="24"/>
    </w:rPr>
  </w:style>
  <w:style w:type="paragraph" w:customStyle="1" w:styleId="135">
    <w:name w:val="Body text|5"/>
    <w:basedOn w:val="1"/>
    <w:qFormat/>
    <w:uiPriority w:val="99"/>
    <w:pPr>
      <w:spacing w:after="180"/>
      <w:jc w:val="center"/>
    </w:pPr>
    <w:rPr>
      <w:rFonts w:ascii="宋体" w:hAnsi="宋体" w:cs="宋体"/>
      <w:sz w:val="32"/>
      <w:szCs w:val="32"/>
      <w:lang w:val="zh-TW" w:eastAsia="zh-TW" w:bidi="zh-TW"/>
    </w:rPr>
  </w:style>
  <w:style w:type="paragraph" w:customStyle="1" w:styleId="136">
    <w:name w:val="Table of contents|1"/>
    <w:basedOn w:val="1"/>
    <w:qFormat/>
    <w:uiPriority w:val="99"/>
    <w:pPr>
      <w:spacing w:after="280"/>
      <w:ind w:firstLine="780"/>
    </w:pPr>
    <w:rPr>
      <w:rFonts w:ascii="宋体" w:hAnsi="宋体" w:cs="宋体"/>
      <w:sz w:val="28"/>
      <w:szCs w:val="28"/>
      <w:lang w:val="zh-TW" w:eastAsia="zh-TW" w:bidi="zh-TW"/>
    </w:rPr>
  </w:style>
  <w:style w:type="paragraph" w:customStyle="1" w:styleId="137">
    <w:name w:val="段"/>
    <w:link w:val="139"/>
    <w:qFormat/>
    <w:uiPriority w:val="99"/>
    <w:pPr>
      <w:tabs>
        <w:tab w:val="center" w:pos="4201"/>
        <w:tab w:val="right" w:leader="dot" w:pos="9298"/>
      </w:tabs>
      <w:autoSpaceDE w:val="0"/>
      <w:autoSpaceDN w:val="0"/>
      <w:ind w:firstLine="420"/>
      <w:jc w:val="both"/>
    </w:pPr>
    <w:rPr>
      <w:rFonts w:ascii="宋体" w:hAnsi="Times New Roman" w:eastAsia="宋体" w:cs="Times New Roman"/>
      <w:kern w:val="0"/>
      <w:sz w:val="21"/>
      <w:szCs w:val="20"/>
      <w:lang w:val="en-US" w:eastAsia="zh-CN" w:bidi="ar-SA"/>
    </w:rPr>
  </w:style>
  <w:style w:type="paragraph" w:customStyle="1" w:styleId="138">
    <w:name w:val="正文表标题"/>
    <w:next w:val="137"/>
    <w:qFormat/>
    <w:uiPriority w:val="99"/>
    <w:pPr>
      <w:numPr>
        <w:ilvl w:val="0"/>
        <w:numId w:val="4"/>
      </w:numPr>
      <w:spacing w:before="120" w:after="120"/>
      <w:jc w:val="center"/>
    </w:pPr>
    <w:rPr>
      <w:rFonts w:ascii="黑体" w:hAnsi="Times New Roman" w:eastAsia="黑体" w:cs="Times New Roman"/>
      <w:kern w:val="0"/>
      <w:sz w:val="21"/>
      <w:szCs w:val="20"/>
      <w:lang w:val="en-US" w:eastAsia="zh-CN" w:bidi="ar-SA"/>
    </w:rPr>
  </w:style>
  <w:style w:type="character" w:customStyle="1" w:styleId="139">
    <w:name w:val="段 Char"/>
    <w:link w:val="137"/>
    <w:qFormat/>
    <w:locked/>
    <w:uiPriority w:val="99"/>
    <w:rPr>
      <w:rFonts w:ascii="宋体" w:hAnsi="Times New Roman" w:eastAsia="宋体" w:cs="Times New Roman"/>
      <w:kern w:val="0"/>
      <w:szCs w:val="20"/>
    </w:rPr>
  </w:style>
  <w:style w:type="paragraph" w:customStyle="1" w:styleId="140">
    <w:name w:val="reader-word-layer reader-word-s1-1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41">
    <w:name w:val="正文 + 小四"/>
    <w:basedOn w:val="1"/>
    <w:qFormat/>
    <w:uiPriority w:val="99"/>
    <w:pPr>
      <w:tabs>
        <w:tab w:val="left" w:pos="1155"/>
        <w:tab w:val="left" w:pos="1440"/>
      </w:tabs>
      <w:spacing w:line="300" w:lineRule="auto"/>
    </w:pPr>
    <w:rPr>
      <w:rFonts w:ascii="宋体" w:hAnsi="宋体"/>
      <w:sz w:val="24"/>
      <w:szCs w:val="28"/>
    </w:rPr>
  </w:style>
  <w:style w:type="paragraph" w:customStyle="1" w:styleId="142">
    <w:name w:val="样式 标题 3 + 小四 非加粗 段前: 0 磅 段后: 0 磅 行距: 单倍行距"/>
    <w:basedOn w:val="4"/>
    <w:qFormat/>
    <w:uiPriority w:val="99"/>
    <w:pPr>
      <w:widowControl w:val="0"/>
      <w:tabs>
        <w:tab w:val="left" w:pos="0"/>
      </w:tabs>
      <w:spacing w:before="120" w:beforeAutospacing="0" w:after="120" w:afterAutospacing="0"/>
      <w:ind w:left="454" w:hanging="454"/>
    </w:pPr>
    <w:rPr>
      <w:rFonts w:ascii="Calibri" w:hAnsi="Calibri"/>
      <w:b w:val="0"/>
      <w:bCs w:val="0"/>
      <w:color w:val="000000"/>
      <w:sz w:val="24"/>
      <w:szCs w:val="20"/>
    </w:rPr>
  </w:style>
  <w:style w:type="paragraph" w:customStyle="1" w:styleId="143">
    <w:name w:val="Body text|3"/>
    <w:basedOn w:val="1"/>
    <w:qFormat/>
    <w:uiPriority w:val="99"/>
    <w:pPr>
      <w:spacing w:after="250"/>
    </w:pPr>
    <w:rPr>
      <w:rFonts w:ascii="Times New Roman" w:hAnsi="Times New Roman"/>
      <w:sz w:val="28"/>
      <w:szCs w:val="28"/>
      <w:lang w:val="zh-TW" w:eastAsia="zh-TW" w:bidi="zh-TW"/>
    </w:rPr>
  </w:style>
  <w:style w:type="paragraph" w:customStyle="1" w:styleId="144">
    <w:name w:val="默认段落字体 Para Char"/>
    <w:basedOn w:val="1"/>
    <w:qFormat/>
    <w:uiPriority w:val="99"/>
    <w:pPr>
      <w:widowControl/>
      <w:topLinePunct/>
      <w:adjustRightInd w:val="0"/>
      <w:snapToGrid w:val="0"/>
      <w:spacing w:before="160" w:after="160" w:line="240" w:lineRule="atLeast"/>
      <w:ind w:left="1701"/>
      <w:jc w:val="left"/>
    </w:pPr>
    <w:rPr>
      <w:rFonts w:ascii="Times New Roman" w:hAnsi="Times New Roman"/>
      <w:szCs w:val="24"/>
    </w:rPr>
  </w:style>
  <w:style w:type="paragraph" w:customStyle="1" w:styleId="145">
    <w:name w:val="Char3"/>
    <w:basedOn w:val="1"/>
    <w:qFormat/>
    <w:uiPriority w:val="99"/>
    <w:pPr>
      <w:widowControl/>
      <w:spacing w:after="160" w:line="240" w:lineRule="exact"/>
      <w:jc w:val="left"/>
    </w:pPr>
    <w:rPr>
      <w:rFonts w:ascii="Verdana" w:hAnsi="Verdana" w:eastAsia="仿宋_GB2312" w:cs="宋体"/>
      <w:kern w:val="0"/>
      <w:sz w:val="24"/>
      <w:szCs w:val="20"/>
      <w:lang w:eastAsia="en-US"/>
    </w:rPr>
  </w:style>
  <w:style w:type="paragraph" w:customStyle="1" w:styleId="146">
    <w:name w:val="Body text|6"/>
    <w:basedOn w:val="1"/>
    <w:qFormat/>
    <w:uiPriority w:val="99"/>
    <w:pPr>
      <w:spacing w:after="180"/>
      <w:jc w:val="center"/>
    </w:pPr>
    <w:rPr>
      <w:rFonts w:ascii="Times New Roman" w:hAnsi="Times New Roman"/>
      <w:b/>
      <w:bCs/>
      <w:sz w:val="8"/>
      <w:szCs w:val="8"/>
      <w:lang w:val="zh-TW" w:eastAsia="zh-TW" w:bidi="zh-TW"/>
    </w:rPr>
  </w:style>
  <w:style w:type="paragraph" w:customStyle="1" w:styleId="147">
    <w:name w:val="p20"/>
    <w:basedOn w:val="1"/>
    <w:qFormat/>
    <w:uiPriority w:val="99"/>
    <w:pPr>
      <w:widowControl/>
    </w:pPr>
    <w:rPr>
      <w:rFonts w:ascii="宋体" w:hAnsi="宋体" w:cs="宋体"/>
      <w:kern w:val="0"/>
      <w:szCs w:val="21"/>
    </w:rPr>
  </w:style>
  <w:style w:type="paragraph" w:customStyle="1" w:styleId="148">
    <w:name w:val="正文4"/>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149">
    <w:name w:val="章标题"/>
    <w:next w:val="1"/>
    <w:qFormat/>
    <w:uiPriority w:val="99"/>
    <w:p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150">
    <w:name w:val="a"/>
    <w:basedOn w:val="1"/>
    <w:qFormat/>
    <w:uiPriority w:val="99"/>
    <w:pPr>
      <w:autoSpaceDE w:val="0"/>
      <w:autoSpaceDN w:val="0"/>
      <w:adjustRightInd w:val="0"/>
      <w:spacing w:line="440" w:lineRule="atLeast"/>
      <w:ind w:firstLine="480"/>
      <w:jc w:val="left"/>
    </w:pPr>
    <w:rPr>
      <w:rFonts w:ascii="仿宋_GB2312" w:hAnsi="Times New Roman" w:eastAsia="仿宋_GB2312"/>
      <w:color w:val="000000"/>
      <w:sz w:val="24"/>
      <w:szCs w:val="24"/>
      <w:lang w:val="zh-CN"/>
    </w:rPr>
  </w:style>
  <w:style w:type="paragraph" w:customStyle="1" w:styleId="151">
    <w:name w:val="普通(Web)1"/>
    <w:basedOn w:val="1"/>
    <w:next w:val="44"/>
    <w:qFormat/>
    <w:uiPriority w:val="99"/>
    <w:pPr>
      <w:widowControl/>
      <w:spacing w:before="100" w:beforeAutospacing="1" w:after="100" w:afterAutospacing="1"/>
      <w:jc w:val="left"/>
    </w:pPr>
    <w:rPr>
      <w:rFonts w:ascii="宋体" w:hAnsi="宋体"/>
      <w:color w:val="000000"/>
      <w:kern w:val="0"/>
      <w:sz w:val="24"/>
      <w:szCs w:val="24"/>
    </w:rPr>
  </w:style>
  <w:style w:type="paragraph" w:customStyle="1" w:styleId="152">
    <w:name w:val="纯文本5"/>
    <w:basedOn w:val="1"/>
    <w:qFormat/>
    <w:uiPriority w:val="99"/>
    <w:pPr>
      <w:adjustRightInd w:val="0"/>
    </w:pPr>
    <w:rPr>
      <w:rFonts w:ascii="宋体" w:hAnsi="Courier New" w:eastAsia="楷体_GB2312"/>
      <w:sz w:val="26"/>
      <w:szCs w:val="20"/>
    </w:rPr>
  </w:style>
  <w:style w:type="paragraph" w:customStyle="1" w:styleId="153">
    <w:name w:val="xl72"/>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cs="宋体"/>
      <w:kern w:val="0"/>
      <w:sz w:val="24"/>
      <w:szCs w:val="24"/>
    </w:rPr>
  </w:style>
  <w:style w:type="paragraph" w:customStyle="1" w:styleId="154">
    <w:name w:val="列表内容"/>
    <w:basedOn w:val="1"/>
    <w:next w:val="1"/>
    <w:qFormat/>
    <w:uiPriority w:val="99"/>
    <w:pPr>
      <w:widowControl/>
      <w:tabs>
        <w:tab w:val="left" w:pos="840"/>
      </w:tabs>
      <w:ind w:left="840" w:hanging="420"/>
      <w:jc w:val="left"/>
    </w:pPr>
    <w:rPr>
      <w:rFonts w:cs="宋体"/>
      <w:kern w:val="0"/>
      <w:sz w:val="18"/>
      <w:szCs w:val="20"/>
    </w:rPr>
  </w:style>
  <w:style w:type="paragraph" w:customStyle="1" w:styleId="155">
    <w:name w:val="xl65"/>
    <w:basedOn w:val="1"/>
    <w:qFormat/>
    <w:uiPriority w:val="99"/>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156">
    <w:name w:val="Char6"/>
    <w:basedOn w:val="1"/>
    <w:qFormat/>
    <w:uiPriority w:val="99"/>
    <w:pPr>
      <w:widowControl/>
      <w:spacing w:after="160" w:line="240" w:lineRule="exact"/>
      <w:jc w:val="left"/>
    </w:pPr>
    <w:rPr>
      <w:rFonts w:ascii="Verdana" w:hAnsi="Verdana"/>
      <w:kern w:val="0"/>
      <w:sz w:val="20"/>
      <w:szCs w:val="20"/>
      <w:lang w:eastAsia="en-US"/>
    </w:rPr>
  </w:style>
  <w:style w:type="paragraph" w:customStyle="1" w:styleId="157">
    <w:name w:val="Char Char1 Char"/>
    <w:basedOn w:val="1"/>
    <w:qFormat/>
    <w:uiPriority w:val="99"/>
    <w:pPr>
      <w:tabs>
        <w:tab w:val="left" w:pos="360"/>
      </w:tabs>
    </w:pPr>
    <w:rPr>
      <w:rFonts w:cs="宋体"/>
      <w:sz w:val="24"/>
      <w:szCs w:val="24"/>
    </w:rPr>
  </w:style>
  <w:style w:type="paragraph" w:customStyle="1" w:styleId="158">
    <w:name w:val="Other|1"/>
    <w:basedOn w:val="1"/>
    <w:qFormat/>
    <w:uiPriority w:val="99"/>
    <w:rPr>
      <w:rFonts w:ascii="宋体" w:hAnsi="宋体" w:cs="宋体"/>
      <w:sz w:val="17"/>
      <w:szCs w:val="17"/>
      <w:lang w:val="zh-TW" w:eastAsia="zh-TW" w:bidi="zh-TW"/>
    </w:rPr>
  </w:style>
  <w:style w:type="paragraph" w:customStyle="1" w:styleId="159">
    <w:name w:val="表头文本"/>
    <w:basedOn w:val="1"/>
    <w:qFormat/>
    <w:uiPriority w:val="99"/>
    <w:pPr>
      <w:autoSpaceDE w:val="0"/>
      <w:autoSpaceDN w:val="0"/>
      <w:adjustRightInd w:val="0"/>
      <w:jc w:val="center"/>
    </w:pPr>
    <w:rPr>
      <w:rFonts w:ascii="Times New Roman" w:hAnsi="Times New Roman"/>
      <w:b/>
      <w:kern w:val="0"/>
      <w:sz w:val="24"/>
      <w:szCs w:val="20"/>
    </w:rPr>
  </w:style>
  <w:style w:type="paragraph" w:customStyle="1" w:styleId="160">
    <w:name w:val="XH BodyTextV1"/>
    <w:basedOn w:val="1"/>
    <w:qFormat/>
    <w:uiPriority w:val="99"/>
    <w:pPr>
      <w:spacing w:after="120" w:line="288" w:lineRule="auto"/>
      <w:jc w:val="left"/>
    </w:pPr>
    <w:rPr>
      <w:rFonts w:cs="宋体"/>
      <w:b/>
      <w:color w:val="FF0000"/>
      <w:sz w:val="24"/>
    </w:rPr>
  </w:style>
  <w:style w:type="paragraph" w:customStyle="1" w:styleId="161">
    <w:name w:val="Char Char3 Char Char"/>
    <w:basedOn w:val="1"/>
    <w:qFormat/>
    <w:uiPriority w:val="99"/>
    <w:pPr>
      <w:autoSpaceDE w:val="0"/>
      <w:autoSpaceDN w:val="0"/>
      <w:adjustRightInd w:val="0"/>
    </w:pPr>
    <w:rPr>
      <w:rFonts w:ascii="Times New Roman" w:hAnsi="Times New Roman"/>
      <w:kern w:val="0"/>
      <w:sz w:val="24"/>
      <w:szCs w:val="20"/>
    </w:rPr>
  </w:style>
  <w:style w:type="paragraph" w:customStyle="1" w:styleId="162">
    <w:name w:val="正文小四"/>
    <w:qFormat/>
    <w:uiPriority w:val="99"/>
    <w:pPr>
      <w:spacing w:line="560" w:lineRule="atLeast"/>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163">
    <w:name w:val="TOC 标题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64">
    <w:name w:val="UserStyle_260"/>
    <w:basedOn w:val="1"/>
    <w:qFormat/>
    <w:uiPriority w:val="99"/>
    <w:pPr>
      <w:widowControl/>
    </w:pPr>
    <w:rPr>
      <w:rFonts w:ascii="宋体" w:hAnsi="Courier New" w:eastAsia="楷体_GB2312"/>
      <w:sz w:val="26"/>
      <w:szCs w:val="20"/>
    </w:rPr>
  </w:style>
  <w:style w:type="paragraph" w:customStyle="1" w:styleId="165">
    <w:name w:val="单位"/>
    <w:basedOn w:val="1"/>
    <w:qFormat/>
    <w:uiPriority w:val="99"/>
    <w:pPr>
      <w:adjustRightInd w:val="0"/>
      <w:jc w:val="center"/>
    </w:pPr>
    <w:rPr>
      <w:rFonts w:ascii="宋体" w:hAnsi="Times New Roman"/>
      <w:b/>
      <w:kern w:val="0"/>
      <w:sz w:val="32"/>
      <w:szCs w:val="20"/>
    </w:rPr>
  </w:style>
  <w:style w:type="paragraph" w:customStyle="1" w:styleId="166">
    <w:name w:val="xl1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67">
    <w:name w:val="正文 A"/>
    <w:qFormat/>
    <w:uiPriority w:val="99"/>
    <w:pPr>
      <w:widowControl w:val="0"/>
      <w:jc w:val="both"/>
    </w:pPr>
    <w:rPr>
      <w:rFonts w:ascii="Arial Unicode MS" w:hAnsi="Arial Unicode MS" w:eastAsia="Arial Unicode MS" w:cs="Arial Unicode MS"/>
      <w:color w:val="000000"/>
      <w:kern w:val="2"/>
      <w:sz w:val="21"/>
      <w:szCs w:val="21"/>
      <w:lang w:val="en-US" w:eastAsia="zh-CN" w:bidi="ar-SA"/>
    </w:rPr>
  </w:style>
  <w:style w:type="paragraph" w:customStyle="1" w:styleId="168">
    <w:name w:val="Header or footer|2"/>
    <w:basedOn w:val="1"/>
    <w:qFormat/>
    <w:uiPriority w:val="99"/>
    <w:rPr>
      <w:rFonts w:ascii="Times New Roman" w:hAnsi="Times New Roman"/>
      <w:sz w:val="20"/>
      <w:szCs w:val="20"/>
      <w:lang w:val="zh-TW" w:eastAsia="zh-TW" w:bidi="zh-TW"/>
    </w:rPr>
  </w:style>
  <w:style w:type="paragraph" w:customStyle="1" w:styleId="169">
    <w:name w:val="List Paragraph1"/>
    <w:basedOn w:val="1"/>
    <w:qFormat/>
    <w:uiPriority w:val="99"/>
    <w:pPr>
      <w:ind w:firstLine="420" w:firstLineChars="200"/>
    </w:pPr>
  </w:style>
  <w:style w:type="paragraph" w:customStyle="1" w:styleId="170">
    <w:name w:val="Char Char Char Char Char Char Char2"/>
    <w:basedOn w:val="1"/>
    <w:qFormat/>
    <w:uiPriority w:val="99"/>
    <w:rPr>
      <w:szCs w:val="21"/>
    </w:rPr>
  </w:style>
  <w:style w:type="paragraph" w:customStyle="1" w:styleId="171">
    <w:name w:val="xl9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72">
    <w:name w:val="Char Char7 Char Char Char Char"/>
    <w:basedOn w:val="1"/>
    <w:qFormat/>
    <w:uiPriority w:val="99"/>
    <w:pPr>
      <w:spacing w:line="360" w:lineRule="auto"/>
      <w:ind w:firstLine="200" w:firstLineChars="200"/>
    </w:pPr>
    <w:rPr>
      <w:rFonts w:ascii="Tahoma" w:hAnsi="Tahoma" w:eastAsia="楷体_GB2312" w:cs="宋体"/>
      <w:sz w:val="24"/>
      <w:szCs w:val="20"/>
    </w:rPr>
  </w:style>
  <w:style w:type="paragraph" w:customStyle="1" w:styleId="173">
    <w:name w:val="TOC 标题2"/>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174">
    <w:name w:val="Char5"/>
    <w:basedOn w:val="1"/>
    <w:qFormat/>
    <w:uiPriority w:val="99"/>
    <w:pPr>
      <w:autoSpaceDE w:val="0"/>
      <w:autoSpaceDN w:val="0"/>
      <w:adjustRightInd w:val="0"/>
    </w:pPr>
    <w:rPr>
      <w:rFonts w:ascii="Times New Roman" w:hAnsi="Times New Roman"/>
      <w:kern w:val="0"/>
      <w:sz w:val="24"/>
      <w:szCs w:val="20"/>
    </w:rPr>
  </w:style>
  <w:style w:type="paragraph" w:customStyle="1" w:styleId="175">
    <w:name w:val="xl113"/>
    <w:basedOn w:val="1"/>
    <w:qFormat/>
    <w:uiPriority w:val="99"/>
    <w:pPr>
      <w:widowControl/>
      <w:spacing w:before="100" w:beforeAutospacing="1" w:after="100" w:afterAutospacing="1"/>
      <w:jc w:val="center"/>
    </w:pPr>
    <w:rPr>
      <w:rFonts w:ascii="宋体" w:hAnsi="宋体" w:cs="宋体"/>
      <w:kern w:val="0"/>
      <w:sz w:val="20"/>
      <w:szCs w:val="20"/>
    </w:rPr>
  </w:style>
  <w:style w:type="paragraph" w:customStyle="1" w:styleId="176">
    <w:name w:val="正文文字2"/>
    <w:basedOn w:val="19"/>
    <w:qFormat/>
    <w:uiPriority w:val="99"/>
    <w:pPr>
      <w:adjustRightInd w:val="0"/>
      <w:spacing w:after="60" w:line="360" w:lineRule="atLeast"/>
      <w:ind w:left="72" w:leftChars="30" w:right="72" w:rightChars="30"/>
      <w:jc w:val="center"/>
    </w:pPr>
    <w:rPr>
      <w:rFonts w:ascii="Arial" w:eastAsia="黑体"/>
      <w:kern w:val="0"/>
      <w:szCs w:val="20"/>
    </w:rPr>
  </w:style>
  <w:style w:type="paragraph" w:customStyle="1" w:styleId="177">
    <w:name w:val="样式 首行缩进:  2 字符 段后: 0.5 行"/>
    <w:basedOn w:val="1"/>
    <w:qFormat/>
    <w:uiPriority w:val="99"/>
    <w:pPr>
      <w:spacing w:line="360" w:lineRule="auto"/>
      <w:ind w:firstLine="480" w:firstLineChars="200"/>
    </w:pPr>
    <w:rPr>
      <w:rFonts w:ascii="宋体" w:hAnsi="宋体" w:cs="宋体"/>
      <w:sz w:val="24"/>
      <w:szCs w:val="24"/>
    </w:rPr>
  </w:style>
  <w:style w:type="paragraph" w:customStyle="1" w:styleId="178">
    <w:name w:val="样式 样式 宋体 + 首行缩进:  2 字符"/>
    <w:basedOn w:val="1"/>
    <w:qFormat/>
    <w:uiPriority w:val="99"/>
    <w:pPr>
      <w:spacing w:line="360" w:lineRule="auto"/>
      <w:ind w:firstLine="560" w:firstLineChars="200"/>
      <w:jc w:val="left"/>
    </w:pPr>
    <w:rPr>
      <w:rFonts w:ascii="仿宋_GB2312" w:hAnsi="仿宋" w:eastAsia="仿宋_GB2312" w:cs="宋体"/>
      <w:sz w:val="28"/>
      <w:szCs w:val="20"/>
    </w:rPr>
  </w:style>
  <w:style w:type="paragraph" w:customStyle="1" w:styleId="179">
    <w:name w:val="p19"/>
    <w:basedOn w:val="1"/>
    <w:qFormat/>
    <w:uiPriority w:val="99"/>
    <w:pPr>
      <w:widowControl/>
      <w:spacing w:line="300" w:lineRule="auto"/>
      <w:jc w:val="left"/>
    </w:pPr>
    <w:rPr>
      <w:rFonts w:ascii="Arial" w:hAnsi="Arial" w:cs="Arial"/>
      <w:kern w:val="0"/>
      <w:szCs w:val="21"/>
    </w:rPr>
  </w:style>
  <w:style w:type="paragraph" w:customStyle="1" w:styleId="180">
    <w:name w:val="正文3"/>
    <w:qFormat/>
    <w:uiPriority w:val="99"/>
    <w:pPr>
      <w:widowControl w:val="0"/>
      <w:jc w:val="both"/>
    </w:pPr>
    <w:rPr>
      <w:rFonts w:ascii="Calibri" w:hAnsi="Calibri" w:eastAsia="宋体" w:cs="Times New Roman"/>
      <w:kern w:val="2"/>
      <w:sz w:val="21"/>
      <w:szCs w:val="20"/>
      <w:lang w:val="en-US" w:eastAsia="zh-CN" w:bidi="ar-SA"/>
    </w:rPr>
  </w:style>
  <w:style w:type="paragraph" w:customStyle="1" w:styleId="181">
    <w:name w:val="Char11"/>
    <w:basedOn w:val="1"/>
    <w:qFormat/>
    <w:uiPriority w:val="99"/>
    <w:pPr>
      <w:widowControl/>
      <w:spacing w:after="160" w:line="240" w:lineRule="exact"/>
      <w:jc w:val="left"/>
    </w:pPr>
    <w:rPr>
      <w:rFonts w:ascii="Verdana" w:hAnsi="Verdana" w:cs="宋体"/>
      <w:kern w:val="0"/>
      <w:sz w:val="20"/>
      <w:szCs w:val="20"/>
      <w:lang w:eastAsia="en-US"/>
    </w:rPr>
  </w:style>
  <w:style w:type="paragraph" w:customStyle="1" w:styleId="182">
    <w:name w:val="标题6"/>
    <w:basedOn w:val="1"/>
    <w:next w:val="2"/>
    <w:qFormat/>
    <w:uiPriority w:val="99"/>
    <w:pPr>
      <w:widowControl/>
      <w:snapToGrid w:val="0"/>
      <w:spacing w:beforeLines="50" w:line="520" w:lineRule="atLeast"/>
      <w:ind w:firstLine="200" w:firstLineChars="200"/>
    </w:pPr>
    <w:rPr>
      <w:rFonts w:cs="Arial"/>
      <w:b/>
      <w:sz w:val="24"/>
      <w:szCs w:val="24"/>
    </w:rPr>
  </w:style>
  <w:style w:type="paragraph" w:customStyle="1" w:styleId="183">
    <w:name w:val="Char"/>
    <w:basedOn w:val="2"/>
    <w:qFormat/>
    <w:uiPriority w:val="99"/>
    <w:pPr>
      <w:adjustRightInd w:val="0"/>
      <w:snapToGrid w:val="0"/>
      <w:spacing w:before="240" w:after="240" w:line="348" w:lineRule="auto"/>
      <w:jc w:val="center"/>
    </w:pPr>
    <w:rPr>
      <w:sz w:val="32"/>
    </w:rPr>
  </w:style>
  <w:style w:type="paragraph" w:customStyle="1" w:styleId="184">
    <w:name w:val="a2"/>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185">
    <w:name w:val="默认段落字体 Para Char Char Char Char"/>
    <w:basedOn w:val="1"/>
    <w:qFormat/>
    <w:uiPriority w:val="99"/>
    <w:rPr>
      <w:szCs w:val="24"/>
    </w:rPr>
  </w:style>
  <w:style w:type="paragraph" w:customStyle="1" w:styleId="186">
    <w:name w:val="_Style 4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87">
    <w:name w:val="Char21"/>
    <w:basedOn w:val="1"/>
    <w:qFormat/>
    <w:uiPriority w:val="99"/>
    <w:pPr>
      <w:tabs>
        <w:tab w:val="left" w:pos="360"/>
      </w:tabs>
      <w:ind w:left="360" w:hanging="360" w:hangingChars="200"/>
    </w:pPr>
    <w:rPr>
      <w:rFonts w:cs="宋体"/>
      <w:sz w:val="24"/>
      <w:szCs w:val="24"/>
    </w:rPr>
  </w:style>
  <w:style w:type="paragraph" w:customStyle="1" w:styleId="188">
    <w:name w:val="xl82"/>
    <w:basedOn w:val="1"/>
    <w:qFormat/>
    <w:uiPriority w:val="99"/>
    <w:pPr>
      <w:widowControl/>
      <w:pBdr>
        <w:top w:val="single" w:color="000000" w:sz="4" w:space="0"/>
        <w:bottom w:val="single" w:color="000000" w:sz="4" w:space="0"/>
        <w:right w:val="single" w:color="000000" w:sz="4" w:space="0"/>
      </w:pBdr>
      <w:spacing w:before="100" w:beforeAutospacing="1" w:after="100" w:afterAutospacing="1"/>
      <w:jc w:val="center"/>
    </w:pPr>
    <w:rPr>
      <w:rFonts w:cs="宋体"/>
      <w:kern w:val="0"/>
      <w:sz w:val="24"/>
      <w:szCs w:val="21"/>
    </w:rPr>
  </w:style>
  <w:style w:type="paragraph" w:customStyle="1" w:styleId="189">
    <w:name w:val="纯文本4"/>
    <w:basedOn w:val="1"/>
    <w:qFormat/>
    <w:uiPriority w:val="99"/>
    <w:pPr>
      <w:adjustRightInd w:val="0"/>
    </w:pPr>
    <w:rPr>
      <w:rFonts w:ascii="宋体" w:hAnsi="Courier New" w:eastAsia="楷体_GB2312"/>
      <w:sz w:val="26"/>
      <w:szCs w:val="20"/>
    </w:rPr>
  </w:style>
  <w:style w:type="paragraph" w:customStyle="1" w:styleId="190">
    <w:name w:val="正文 New New New New New New"/>
    <w:qFormat/>
    <w:uiPriority w:val="99"/>
    <w:pPr>
      <w:widowControl w:val="0"/>
      <w:jc w:val="both"/>
    </w:pPr>
    <w:rPr>
      <w:rFonts w:ascii="Calibri" w:hAnsi="Calibri" w:eastAsia="宋体" w:cs="Times New Roman"/>
      <w:kern w:val="2"/>
      <w:sz w:val="21"/>
      <w:szCs w:val="20"/>
      <w:lang w:val="en-US" w:eastAsia="zh-CN" w:bidi="ar-SA"/>
    </w:rPr>
  </w:style>
  <w:style w:type="paragraph" w:customStyle="1" w:styleId="191">
    <w:name w:val="Char Char12"/>
    <w:basedOn w:val="1"/>
    <w:qFormat/>
    <w:uiPriority w:val="99"/>
    <w:rPr>
      <w:szCs w:val="21"/>
    </w:rPr>
  </w:style>
  <w:style w:type="paragraph" w:customStyle="1" w:styleId="192">
    <w:name w:val="字元 字元"/>
    <w:basedOn w:val="1"/>
    <w:qFormat/>
    <w:uiPriority w:val="99"/>
    <w:pPr>
      <w:widowControl/>
      <w:spacing w:after="160" w:line="240" w:lineRule="exact"/>
      <w:jc w:val="left"/>
    </w:pPr>
    <w:rPr>
      <w:rFonts w:cs="宋体"/>
      <w:sz w:val="28"/>
      <w:szCs w:val="20"/>
    </w:rPr>
  </w:style>
  <w:style w:type="paragraph" w:customStyle="1" w:styleId="193">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94">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195">
    <w:name w:val="列出段落11"/>
    <w:basedOn w:val="1"/>
    <w:qFormat/>
    <w:uiPriority w:val="34"/>
    <w:pPr>
      <w:ind w:firstLine="420" w:firstLineChars="200"/>
    </w:pPr>
    <w:rPr>
      <w:rFonts w:cs="宋体"/>
      <w:sz w:val="24"/>
      <w:szCs w:val="24"/>
    </w:rPr>
  </w:style>
  <w:style w:type="paragraph" w:customStyle="1" w:styleId="196">
    <w:name w:val="flType"/>
    <w:basedOn w:val="1"/>
    <w:qFormat/>
    <w:uiPriority w:val="99"/>
    <w:pPr>
      <w:autoSpaceDE w:val="0"/>
      <w:autoSpaceDN w:val="0"/>
      <w:adjustRightInd w:val="0"/>
      <w:spacing w:after="284" w:line="113" w:lineRule="atLeast"/>
      <w:jc w:val="center"/>
    </w:pPr>
    <w:rPr>
      <w:rFonts w:ascii="Times New Roman" w:hAnsi="Times New Roman"/>
      <w:kern w:val="0"/>
      <w:sz w:val="24"/>
      <w:szCs w:val="20"/>
    </w:rPr>
  </w:style>
  <w:style w:type="paragraph" w:customStyle="1" w:styleId="197">
    <w:name w:val="xl11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198">
    <w:name w:val="_Style 1"/>
    <w:basedOn w:val="1"/>
    <w:qFormat/>
    <w:uiPriority w:val="34"/>
    <w:pPr>
      <w:ind w:firstLine="420" w:firstLineChars="200"/>
    </w:pPr>
  </w:style>
  <w:style w:type="paragraph" w:customStyle="1" w:styleId="199">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18"/>
      <w:szCs w:val="18"/>
    </w:rPr>
  </w:style>
  <w:style w:type="paragraph" w:customStyle="1" w:styleId="200">
    <w:name w:val="xl1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4"/>
      <w:szCs w:val="24"/>
    </w:rPr>
  </w:style>
  <w:style w:type="paragraph" w:customStyle="1" w:styleId="201">
    <w:name w:val="默认段落字体 Para Char Char Char Char Char Char Char Char Char1 Char Char Char Char"/>
    <w:basedOn w:val="1"/>
    <w:qFormat/>
    <w:uiPriority w:val="99"/>
    <w:rPr>
      <w:rFonts w:ascii="Tahoma" w:hAnsi="Tahoma"/>
      <w:sz w:val="24"/>
      <w:szCs w:val="20"/>
    </w:rPr>
  </w:style>
  <w:style w:type="paragraph" w:customStyle="1" w:styleId="202">
    <w:name w:val="xl114"/>
    <w:basedOn w:val="1"/>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18"/>
      <w:szCs w:val="18"/>
    </w:rPr>
  </w:style>
  <w:style w:type="paragraph" w:customStyle="1" w:styleId="203">
    <w:name w:val="Char Char Char Char Char Char Char Char Char"/>
    <w:basedOn w:val="1"/>
    <w:qFormat/>
    <w:uiPriority w:val="99"/>
    <w:rPr>
      <w:rFonts w:cs="宋体"/>
      <w:szCs w:val="24"/>
    </w:rPr>
  </w:style>
  <w:style w:type="paragraph" w:customStyle="1" w:styleId="204">
    <w:name w:val="font8"/>
    <w:basedOn w:val="1"/>
    <w:qFormat/>
    <w:uiPriority w:val="99"/>
    <w:pPr>
      <w:widowControl/>
      <w:spacing w:before="100" w:beforeAutospacing="1" w:after="100" w:afterAutospacing="1"/>
      <w:jc w:val="left"/>
    </w:pPr>
    <w:rPr>
      <w:rFonts w:cs="宋体"/>
      <w:color w:val="0000FF"/>
      <w:kern w:val="0"/>
      <w:sz w:val="20"/>
      <w:szCs w:val="20"/>
    </w:rPr>
  </w:style>
  <w:style w:type="paragraph" w:customStyle="1" w:styleId="205">
    <w:name w:val="xl1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06">
    <w:name w:val="*正文"/>
    <w:basedOn w:val="1"/>
    <w:qFormat/>
    <w:uiPriority w:val="99"/>
    <w:pPr>
      <w:spacing w:line="360" w:lineRule="auto"/>
      <w:ind w:firstLine="480" w:firstLineChars="200"/>
    </w:pPr>
    <w:rPr>
      <w:rFonts w:cs="仿宋_GB2312"/>
      <w:sz w:val="24"/>
      <w:szCs w:val="24"/>
    </w:rPr>
  </w:style>
  <w:style w:type="paragraph" w:customStyle="1" w:styleId="207">
    <w:name w:val="表格"/>
    <w:basedOn w:val="1"/>
    <w:qFormat/>
    <w:uiPriority w:val="99"/>
    <w:pPr>
      <w:spacing w:line="400" w:lineRule="exact"/>
    </w:pPr>
    <w:rPr>
      <w:rFonts w:cs="宋体"/>
      <w:sz w:val="24"/>
      <w:szCs w:val="24"/>
    </w:rPr>
  </w:style>
  <w:style w:type="paragraph" w:customStyle="1" w:styleId="208">
    <w:name w:val="Body text|2"/>
    <w:basedOn w:val="1"/>
    <w:qFormat/>
    <w:uiPriority w:val="99"/>
    <w:pPr>
      <w:spacing w:after="390" w:line="773" w:lineRule="exact"/>
      <w:jc w:val="center"/>
    </w:pPr>
    <w:rPr>
      <w:rFonts w:ascii="宋体" w:hAnsi="宋体" w:cs="宋体"/>
      <w:sz w:val="40"/>
      <w:szCs w:val="40"/>
      <w:lang w:val="zh-TW" w:eastAsia="zh-TW" w:bidi="zh-TW"/>
    </w:rPr>
  </w:style>
  <w:style w:type="paragraph" w:customStyle="1" w:styleId="209">
    <w:name w:val="xl1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210">
    <w:name w:val="_Style 3"/>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211">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szCs w:val="20"/>
    </w:rPr>
  </w:style>
  <w:style w:type="paragraph" w:customStyle="1" w:styleId="212">
    <w:name w:val="正文－恩普"/>
    <w:basedOn w:val="14"/>
    <w:qFormat/>
    <w:uiPriority w:val="99"/>
    <w:pPr>
      <w:widowControl/>
      <w:spacing w:line="360" w:lineRule="auto"/>
      <w:ind w:firstLine="480"/>
      <w:jc w:val="left"/>
    </w:pPr>
    <w:rPr>
      <w:rFonts w:ascii="Calibri" w:hAnsi="Calibri" w:cs="宋体"/>
      <w:sz w:val="24"/>
      <w:szCs w:val="22"/>
    </w:rPr>
  </w:style>
  <w:style w:type="paragraph" w:customStyle="1" w:styleId="213">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214">
    <w:name w:val="xl112"/>
    <w:basedOn w:val="1"/>
    <w:qFormat/>
    <w:uiPriority w:val="99"/>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215">
    <w:name w:val="Char Char7 Char"/>
    <w:basedOn w:val="1"/>
    <w:qFormat/>
    <w:uiPriority w:val="99"/>
    <w:pPr>
      <w:tabs>
        <w:tab w:val="left" w:pos="425"/>
      </w:tabs>
      <w:ind w:left="420" w:leftChars="200" w:firstLine="270" w:firstLineChars="150"/>
    </w:pPr>
    <w:rPr>
      <w:rFonts w:ascii="宋体" w:hAnsi="宋体" w:cs="Arial"/>
      <w:color w:val="5E5E5E"/>
      <w:kern w:val="0"/>
      <w:szCs w:val="21"/>
    </w:rPr>
  </w:style>
  <w:style w:type="paragraph" w:customStyle="1" w:styleId="216">
    <w:name w:val="xl10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17">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16"/>
      <w:szCs w:val="16"/>
    </w:rPr>
  </w:style>
  <w:style w:type="paragraph" w:customStyle="1" w:styleId="218">
    <w:name w:val="xl81"/>
    <w:basedOn w:val="1"/>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cs="宋体"/>
      <w:kern w:val="0"/>
      <w:sz w:val="24"/>
      <w:szCs w:val="21"/>
    </w:rPr>
  </w:style>
  <w:style w:type="paragraph" w:customStyle="1" w:styleId="219">
    <w:name w:val="段落样式"/>
    <w:basedOn w:val="1"/>
    <w:qFormat/>
    <w:uiPriority w:val="99"/>
    <w:pPr>
      <w:spacing w:line="360" w:lineRule="auto"/>
    </w:pPr>
    <w:rPr>
      <w:rFonts w:cs="宋体"/>
      <w:sz w:val="24"/>
      <w:szCs w:val="20"/>
    </w:rPr>
  </w:style>
  <w:style w:type="paragraph" w:customStyle="1" w:styleId="220">
    <w:name w:val="xl10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221">
    <w:name w:val="xl1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2">
    <w:name w:val="xl12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FF"/>
      <w:kern w:val="0"/>
      <w:sz w:val="20"/>
      <w:szCs w:val="20"/>
    </w:rPr>
  </w:style>
  <w:style w:type="paragraph" w:customStyle="1" w:styleId="223">
    <w:name w:val="Char2"/>
    <w:basedOn w:val="1"/>
    <w:qFormat/>
    <w:uiPriority w:val="99"/>
    <w:pPr>
      <w:tabs>
        <w:tab w:val="left" w:pos="1200"/>
      </w:tabs>
      <w:ind w:left="420" w:hanging="420"/>
    </w:pPr>
    <w:rPr>
      <w:rFonts w:cs="宋体"/>
      <w:sz w:val="24"/>
      <w:szCs w:val="24"/>
    </w:rPr>
  </w:style>
  <w:style w:type="paragraph" w:customStyle="1" w:styleId="224">
    <w:name w:val="itemlis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25">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4"/>
      <w:szCs w:val="24"/>
    </w:rPr>
  </w:style>
  <w:style w:type="paragraph" w:customStyle="1" w:styleId="226">
    <w:name w:val="_Style 2"/>
    <w:basedOn w:val="1"/>
    <w:qFormat/>
    <w:uiPriority w:val="99"/>
    <w:pPr>
      <w:ind w:firstLine="420" w:firstLineChars="200"/>
    </w:pPr>
  </w:style>
  <w:style w:type="paragraph" w:customStyle="1" w:styleId="227">
    <w:name w:val="Char Char Char Char Char Char Char"/>
    <w:basedOn w:val="1"/>
    <w:qFormat/>
    <w:uiPriority w:val="99"/>
    <w:rPr>
      <w:rFonts w:cs="宋体"/>
      <w:sz w:val="24"/>
      <w:szCs w:val="21"/>
    </w:rPr>
  </w:style>
  <w:style w:type="paragraph" w:customStyle="1" w:styleId="228">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29">
    <w:name w:val="xl35"/>
    <w:basedOn w:val="1"/>
    <w:qFormat/>
    <w:uiPriority w:val="99"/>
    <w:pPr>
      <w:widowControl/>
      <w:pBdr>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宋体"/>
      <w:kern w:val="0"/>
      <w:sz w:val="24"/>
      <w:szCs w:val="24"/>
    </w:rPr>
  </w:style>
  <w:style w:type="paragraph" w:customStyle="1" w:styleId="230">
    <w:name w:val="xl10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18"/>
      <w:szCs w:val="18"/>
    </w:rPr>
  </w:style>
  <w:style w:type="paragraph" w:customStyle="1" w:styleId="231">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szCs w:val="20"/>
    </w:rPr>
  </w:style>
  <w:style w:type="paragraph" w:customStyle="1" w:styleId="232">
    <w:name w:val="xl11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20"/>
      <w:szCs w:val="20"/>
    </w:rPr>
  </w:style>
  <w:style w:type="paragraph" w:customStyle="1" w:styleId="233">
    <w:name w:val="样式 标题4 + 首行缩进:  1.47 字符"/>
    <w:basedOn w:val="1"/>
    <w:qFormat/>
    <w:uiPriority w:val="99"/>
    <w:pPr>
      <w:keepNext/>
      <w:keepLines/>
      <w:spacing w:before="60" w:after="60" w:line="376" w:lineRule="auto"/>
      <w:ind w:firstLine="147" w:firstLineChars="147"/>
      <w:outlineLvl w:val="3"/>
    </w:pPr>
    <w:rPr>
      <w:rFonts w:ascii="Arial" w:hAnsi="Arial" w:cs="宋体"/>
      <w:b/>
      <w:bCs/>
      <w:sz w:val="24"/>
      <w:szCs w:val="20"/>
    </w:rPr>
  </w:style>
  <w:style w:type="paragraph" w:customStyle="1" w:styleId="234">
    <w:name w:val="xl1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35">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宋体" w:eastAsia="黑体" w:cs="宋体"/>
      <w:color w:val="000000"/>
      <w:kern w:val="0"/>
      <w:sz w:val="20"/>
      <w:szCs w:val="20"/>
    </w:rPr>
  </w:style>
  <w:style w:type="paragraph" w:customStyle="1" w:styleId="236">
    <w:name w:val="xl9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18"/>
      <w:szCs w:val="18"/>
    </w:rPr>
  </w:style>
  <w:style w:type="paragraph" w:customStyle="1" w:styleId="237">
    <w:name w:val="_Style 19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238">
    <w:name w:val="xl7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4"/>
      <w:szCs w:val="24"/>
    </w:rPr>
  </w:style>
  <w:style w:type="paragraph" w:customStyle="1" w:styleId="239">
    <w:name w:val="Char Char Char Char1"/>
    <w:basedOn w:val="1"/>
    <w:qFormat/>
    <w:uiPriority w:val="99"/>
    <w:pPr>
      <w:widowControl/>
      <w:jc w:val="left"/>
    </w:pPr>
    <w:rPr>
      <w:rFonts w:cs="宋体"/>
      <w:kern w:val="0"/>
      <w:sz w:val="24"/>
      <w:szCs w:val="24"/>
    </w:rPr>
  </w:style>
  <w:style w:type="paragraph" w:customStyle="1" w:styleId="240">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1">
    <w:name w:val="af17cgridlangnp1033langf"/>
    <w:qFormat/>
    <w:uiPriority w:val="99"/>
    <w:pPr>
      <w:widowControl w:val="0"/>
      <w:autoSpaceDE w:val="0"/>
      <w:autoSpaceDN w:val="0"/>
      <w:adjustRightInd w:val="0"/>
      <w:spacing w:before="156" w:line="360" w:lineRule="atLeast"/>
      <w:ind w:left="567" w:firstLine="510"/>
      <w:jc w:val="both"/>
    </w:pPr>
    <w:rPr>
      <w:rFonts w:ascii="Calibri" w:hAnsi="Calibri" w:eastAsia="宋体" w:cs="Times New Roman"/>
      <w:kern w:val="0"/>
      <w:sz w:val="20"/>
      <w:szCs w:val="20"/>
      <w:lang w:val="en-US" w:eastAsia="zh-CN" w:bidi="ar-SA"/>
    </w:rPr>
  </w:style>
  <w:style w:type="paragraph" w:customStyle="1" w:styleId="242">
    <w:name w:val="xl93"/>
    <w:basedOn w:val="1"/>
    <w:qFormat/>
    <w:uiPriority w:val="99"/>
    <w:pPr>
      <w:widowControl/>
      <w:spacing w:before="100" w:beforeAutospacing="1" w:after="100" w:afterAutospacing="1"/>
      <w:jc w:val="left"/>
    </w:pPr>
    <w:rPr>
      <w:rFonts w:ascii="宋体" w:hAnsi="宋体" w:cs="宋体"/>
      <w:color w:val="0000FF"/>
      <w:kern w:val="0"/>
      <w:sz w:val="24"/>
      <w:szCs w:val="24"/>
    </w:rPr>
  </w:style>
  <w:style w:type="paragraph" w:customStyle="1" w:styleId="243">
    <w:name w:val="xl31"/>
    <w:basedOn w:val="1"/>
    <w:qFormat/>
    <w:uiPriority w:val="99"/>
    <w:pPr>
      <w:widowControl/>
      <w:pBdr>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44">
    <w:name w:val="样式 仿宋_GB2312 五号 黑色 行距: 单倍行距"/>
    <w:basedOn w:val="1"/>
    <w:qFormat/>
    <w:uiPriority w:val="99"/>
    <w:pPr>
      <w:snapToGrid w:val="0"/>
    </w:pPr>
    <w:rPr>
      <w:rFonts w:ascii="仿宋_GB2312" w:eastAsia="仿宋_GB2312" w:cs="宋体"/>
      <w:color w:val="000000"/>
      <w:sz w:val="24"/>
      <w:szCs w:val="20"/>
    </w:rPr>
  </w:style>
  <w:style w:type="paragraph" w:customStyle="1" w:styleId="245">
    <w:name w:val="Char Char Char Char"/>
    <w:basedOn w:val="1"/>
    <w:qFormat/>
    <w:uiPriority w:val="99"/>
    <w:pPr>
      <w:widowControl/>
      <w:jc w:val="left"/>
    </w:pPr>
    <w:rPr>
      <w:rFonts w:cs="宋体"/>
      <w:kern w:val="0"/>
      <w:sz w:val="24"/>
      <w:szCs w:val="24"/>
    </w:rPr>
  </w:style>
  <w:style w:type="paragraph" w:customStyle="1" w:styleId="246">
    <w:name w:val="xl1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47">
    <w:name w:val="Char Char1 Char1"/>
    <w:basedOn w:val="1"/>
    <w:qFormat/>
    <w:uiPriority w:val="99"/>
    <w:pPr>
      <w:tabs>
        <w:tab w:val="left" w:pos="360"/>
      </w:tabs>
    </w:pPr>
    <w:rPr>
      <w:rFonts w:cs="宋体"/>
      <w:sz w:val="24"/>
      <w:szCs w:val="24"/>
    </w:rPr>
  </w:style>
  <w:style w:type="paragraph" w:customStyle="1" w:styleId="248">
    <w:name w:val="font7"/>
    <w:basedOn w:val="1"/>
    <w:qFormat/>
    <w:uiPriority w:val="99"/>
    <w:pPr>
      <w:widowControl/>
      <w:spacing w:before="100" w:beforeAutospacing="1" w:after="100" w:afterAutospacing="1"/>
      <w:jc w:val="left"/>
    </w:pPr>
    <w:rPr>
      <w:rFonts w:ascii="宋体" w:hAnsi="宋体" w:cs="宋体"/>
      <w:color w:val="0000FF"/>
      <w:kern w:val="0"/>
      <w:sz w:val="20"/>
      <w:szCs w:val="20"/>
    </w:rPr>
  </w:style>
  <w:style w:type="paragraph" w:customStyle="1" w:styleId="249">
    <w:name w:val="xl1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50">
    <w:name w:val="Char31"/>
    <w:basedOn w:val="1"/>
    <w:qFormat/>
    <w:uiPriority w:val="99"/>
    <w:pPr>
      <w:tabs>
        <w:tab w:val="left" w:pos="360"/>
      </w:tabs>
    </w:pPr>
    <w:rPr>
      <w:szCs w:val="24"/>
    </w:rPr>
  </w:style>
  <w:style w:type="paragraph" w:customStyle="1" w:styleId="251">
    <w:name w:val="p0"/>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252">
    <w:name w:val="Heading #2|1"/>
    <w:basedOn w:val="1"/>
    <w:qFormat/>
    <w:uiPriority w:val="99"/>
    <w:pPr>
      <w:spacing w:after="570" w:line="324" w:lineRule="auto"/>
      <w:jc w:val="center"/>
      <w:outlineLvl w:val="1"/>
    </w:pPr>
    <w:rPr>
      <w:rFonts w:ascii="宋体" w:hAnsi="宋体" w:cs="宋体"/>
      <w:sz w:val="40"/>
      <w:szCs w:val="40"/>
      <w:lang w:val="zh-TW" w:eastAsia="zh-TW" w:bidi="zh-TW"/>
    </w:rPr>
  </w:style>
  <w:style w:type="paragraph" w:customStyle="1" w:styleId="253">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54">
    <w:name w:val="Char1"/>
    <w:basedOn w:val="1"/>
    <w:qFormat/>
    <w:uiPriority w:val="99"/>
    <w:rPr>
      <w:rFonts w:ascii="仿宋_GB2312" w:eastAsia="仿宋_GB2312"/>
      <w:b/>
      <w:sz w:val="32"/>
      <w:szCs w:val="32"/>
    </w:rPr>
  </w:style>
  <w:style w:type="paragraph" w:customStyle="1" w:styleId="255">
    <w:name w:val="xl98"/>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黑体" w:hAnsi="宋体" w:eastAsia="黑体" w:cs="宋体"/>
      <w:kern w:val="0"/>
      <w:sz w:val="20"/>
      <w:szCs w:val="20"/>
    </w:rPr>
  </w:style>
  <w:style w:type="paragraph" w:customStyle="1" w:styleId="256">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color w:val="0000FF"/>
      <w:kern w:val="0"/>
      <w:sz w:val="20"/>
      <w:szCs w:val="20"/>
    </w:rPr>
  </w:style>
  <w:style w:type="paragraph" w:customStyle="1" w:styleId="257">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58">
    <w:name w:val="Table Paragraph"/>
    <w:basedOn w:val="1"/>
    <w:qFormat/>
    <w:uiPriority w:val="1"/>
    <w:rPr>
      <w:rFonts w:ascii="宋体" w:hAnsi="宋体" w:cs="宋体"/>
      <w:sz w:val="24"/>
      <w:szCs w:val="24"/>
      <w:lang w:val="zh-CN" w:bidi="zh-CN"/>
    </w:rPr>
  </w:style>
  <w:style w:type="paragraph" w:customStyle="1" w:styleId="259">
    <w:name w:val="修订1"/>
    <w:qFormat/>
    <w:uiPriority w:val="99"/>
    <w:rPr>
      <w:rFonts w:ascii="Calibri" w:hAnsi="Calibri" w:eastAsia="宋体" w:cs="Times New Roman"/>
      <w:kern w:val="2"/>
      <w:sz w:val="21"/>
      <w:szCs w:val="22"/>
      <w:lang w:val="en-US" w:eastAsia="zh-CN" w:bidi="ar-SA"/>
    </w:rPr>
  </w:style>
  <w:style w:type="paragraph" w:customStyle="1" w:styleId="260">
    <w:name w:val="列表段落2"/>
    <w:basedOn w:val="1"/>
    <w:qFormat/>
    <w:uiPriority w:val="34"/>
    <w:pPr>
      <w:ind w:firstLine="420" w:firstLineChars="200"/>
    </w:pPr>
    <w:rPr>
      <w:rFonts w:ascii="Times New Roman" w:hAnsi="Times New Roman"/>
      <w:szCs w:val="24"/>
    </w:rPr>
  </w:style>
  <w:style w:type="paragraph" w:customStyle="1" w:styleId="261">
    <w:name w:val="保留正文"/>
    <w:basedOn w:val="1"/>
    <w:qFormat/>
    <w:uiPriority w:val="99"/>
    <w:pPr>
      <w:keepNext/>
      <w:adjustRightInd w:val="0"/>
      <w:spacing w:after="160" w:line="480" w:lineRule="auto"/>
    </w:pPr>
    <w:rPr>
      <w:rFonts w:ascii="宋体" w:hAnsi="Times New Roman"/>
      <w:kern w:val="0"/>
      <w:sz w:val="24"/>
      <w:szCs w:val="20"/>
    </w:rPr>
  </w:style>
  <w:style w:type="paragraph" w:customStyle="1" w:styleId="262">
    <w:name w:val="xl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20"/>
      <w:szCs w:val="20"/>
    </w:rPr>
  </w:style>
  <w:style w:type="paragraph" w:customStyle="1" w:styleId="263">
    <w:name w:val="Header or footer|1"/>
    <w:basedOn w:val="1"/>
    <w:qFormat/>
    <w:uiPriority w:val="99"/>
    <w:rPr>
      <w:rFonts w:ascii="Times New Roman" w:hAnsi="Times New Roman"/>
      <w:b/>
      <w:bCs/>
      <w:sz w:val="18"/>
      <w:szCs w:val="18"/>
      <w:lang w:val="zh-TW" w:eastAsia="zh-TW" w:bidi="zh-TW"/>
    </w:rPr>
  </w:style>
  <w:style w:type="paragraph" w:customStyle="1" w:styleId="264">
    <w:name w:val="正文1"/>
    <w:qFormat/>
    <w:uiPriority w:val="99"/>
    <w:pPr>
      <w:widowControl w:val="0"/>
      <w:jc w:val="both"/>
    </w:pPr>
    <w:rPr>
      <w:rFonts w:ascii="Calibri" w:hAnsi="Calibri" w:eastAsia="宋体" w:cs="Times New Roman"/>
      <w:kern w:val="2"/>
      <w:sz w:val="21"/>
      <w:szCs w:val="20"/>
      <w:lang w:val="en-US" w:eastAsia="zh-CN" w:bidi="ar-SA"/>
    </w:rPr>
  </w:style>
  <w:style w:type="paragraph" w:customStyle="1" w:styleId="265">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4"/>
      <w:szCs w:val="24"/>
    </w:rPr>
  </w:style>
  <w:style w:type="paragraph" w:customStyle="1" w:styleId="266">
    <w:name w:val="表格内字体"/>
    <w:basedOn w:val="1"/>
    <w:qFormat/>
    <w:uiPriority w:val="99"/>
    <w:pPr>
      <w:jc w:val="center"/>
    </w:pPr>
    <w:rPr>
      <w:rFonts w:ascii="宋体" w:hAnsi="宋体" w:cs="宋体"/>
      <w:szCs w:val="24"/>
      <w:lang w:val="zh-CN" w:bidi="zh-CN"/>
    </w:rPr>
  </w:style>
  <w:style w:type="paragraph" w:customStyle="1" w:styleId="267">
    <w:name w:val="reader-word-layer reader-word-s1-9"/>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68">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269">
    <w:name w:val="TOC 21"/>
    <w:basedOn w:val="1"/>
    <w:next w:val="1"/>
    <w:qFormat/>
    <w:uiPriority w:val="39"/>
    <w:pPr>
      <w:ind w:left="420" w:leftChars="200"/>
    </w:pPr>
  </w:style>
  <w:style w:type="paragraph" w:customStyle="1" w:styleId="270">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黑体" w:hAnsi="宋体" w:eastAsia="黑体" w:cs="宋体"/>
      <w:color w:val="000000"/>
      <w:kern w:val="0"/>
      <w:sz w:val="20"/>
      <w:szCs w:val="20"/>
    </w:rPr>
  </w:style>
  <w:style w:type="paragraph" w:customStyle="1" w:styleId="271">
    <w:name w:val="TOC 11"/>
    <w:basedOn w:val="1"/>
    <w:next w:val="1"/>
    <w:qFormat/>
    <w:uiPriority w:val="39"/>
    <w:pPr>
      <w:tabs>
        <w:tab w:val="right" w:leader="dot" w:pos="8302"/>
      </w:tabs>
      <w:spacing w:line="600" w:lineRule="auto"/>
      <w:ind w:firstLine="426" w:firstLineChars="133"/>
    </w:pPr>
  </w:style>
  <w:style w:type="paragraph" w:customStyle="1" w:styleId="272">
    <w:name w:val="Char Char Char1 Char Char Char Char"/>
    <w:basedOn w:val="1"/>
    <w:qFormat/>
    <w:uiPriority w:val="99"/>
    <w:pPr>
      <w:widowControl/>
      <w:spacing w:after="160" w:line="240" w:lineRule="exact"/>
      <w:jc w:val="left"/>
    </w:pPr>
    <w:rPr>
      <w:szCs w:val="24"/>
    </w:rPr>
  </w:style>
  <w:style w:type="paragraph" w:customStyle="1" w:styleId="273">
    <w:name w:val="样式1"/>
    <w:basedOn w:val="1"/>
    <w:qFormat/>
    <w:uiPriority w:val="99"/>
    <w:pPr>
      <w:tabs>
        <w:tab w:val="left" w:pos="709"/>
        <w:tab w:val="left" w:pos="6780"/>
      </w:tabs>
      <w:adjustRightInd w:val="0"/>
      <w:ind w:left="6780" w:leftChars="400" w:hanging="360" w:hangingChars="200"/>
    </w:pPr>
    <w:rPr>
      <w:rFonts w:ascii="宋体" w:hAnsi="宋体" w:cs="宋体"/>
      <w:kern w:val="0"/>
      <w:szCs w:val="21"/>
    </w:rPr>
  </w:style>
  <w:style w:type="paragraph" w:customStyle="1" w:styleId="274">
    <w:name w:val="TOC 标题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275">
    <w:name w:val="无间隔1"/>
    <w:qFormat/>
    <w:uiPriority w:val="99"/>
    <w:rPr>
      <w:rFonts w:ascii="Calibri" w:hAnsi="Calibri" w:eastAsia="宋体" w:cs="Times New Roman"/>
      <w:kern w:val="0"/>
      <w:sz w:val="22"/>
      <w:szCs w:val="22"/>
      <w:lang w:val="en-US" w:eastAsia="en-US" w:bidi="ar-SA"/>
    </w:rPr>
  </w:style>
  <w:style w:type="paragraph" w:customStyle="1" w:styleId="276">
    <w:name w:val="正文缩进1"/>
    <w:basedOn w:val="1"/>
    <w:next w:val="22"/>
    <w:qFormat/>
    <w:uiPriority w:val="99"/>
    <w:pPr>
      <w:autoSpaceDE w:val="0"/>
      <w:autoSpaceDN w:val="0"/>
      <w:adjustRightInd w:val="0"/>
      <w:snapToGrid w:val="0"/>
      <w:spacing w:after="120" w:line="360" w:lineRule="auto"/>
      <w:ind w:left="420" w:firstLine="480"/>
    </w:pPr>
    <w:rPr>
      <w:rFonts w:cs="宋体"/>
      <w:sz w:val="24"/>
      <w:szCs w:val="20"/>
    </w:rPr>
  </w:style>
  <w:style w:type="paragraph" w:customStyle="1" w:styleId="277">
    <w:name w:val="表内文字"/>
    <w:basedOn w:val="1"/>
    <w:qFormat/>
    <w:uiPriority w:val="99"/>
    <w:pPr>
      <w:tabs>
        <w:tab w:val="left" w:pos="1418"/>
      </w:tabs>
      <w:spacing w:line="360" w:lineRule="auto"/>
      <w:jc w:val="center"/>
    </w:pPr>
    <w:rPr>
      <w:rFonts w:ascii="仿宋_GB2312" w:eastAsia="仿宋_GB2312"/>
      <w:spacing w:val="-20"/>
      <w:kern w:val="0"/>
      <w:sz w:val="24"/>
    </w:rPr>
  </w:style>
  <w:style w:type="paragraph" w:customStyle="1" w:styleId="278">
    <w:name w:val="--规划正文"/>
    <w:basedOn w:val="1"/>
    <w:qFormat/>
    <w:uiPriority w:val="99"/>
    <w:pPr>
      <w:widowControl/>
      <w:suppressAutoHyphens/>
      <w:spacing w:line="360" w:lineRule="auto"/>
      <w:ind w:firstLine="200"/>
      <w:jc w:val="left"/>
    </w:pPr>
    <w:rPr>
      <w:szCs w:val="20"/>
      <w:lang w:eastAsia="ar-SA"/>
    </w:rPr>
  </w:style>
  <w:style w:type="paragraph" w:customStyle="1" w:styleId="279">
    <w:name w:val="Char Char4"/>
    <w:basedOn w:val="1"/>
    <w:qFormat/>
    <w:uiPriority w:val="99"/>
    <w:pPr>
      <w:widowControl/>
      <w:spacing w:after="160" w:line="240" w:lineRule="exact"/>
      <w:jc w:val="left"/>
    </w:pPr>
    <w:rPr>
      <w:sz w:val="28"/>
      <w:szCs w:val="20"/>
    </w:rPr>
  </w:style>
  <w:style w:type="paragraph" w:customStyle="1" w:styleId="280">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281">
    <w:name w:val="xl1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82">
    <w:name w:val="xl1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83">
    <w:name w:val="Char4"/>
    <w:basedOn w:val="1"/>
    <w:qFormat/>
    <w:uiPriority w:val="99"/>
    <w:rPr>
      <w:rFonts w:ascii="仿宋_GB2312" w:eastAsia="仿宋_GB2312" w:cs="宋体"/>
      <w:b/>
      <w:sz w:val="32"/>
      <w:szCs w:val="32"/>
    </w:rPr>
  </w:style>
  <w:style w:type="paragraph" w:customStyle="1" w:styleId="284">
    <w:name w:val="font6"/>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285">
    <w:name w:val="xl12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szCs w:val="20"/>
    </w:rPr>
  </w:style>
  <w:style w:type="paragraph" w:customStyle="1" w:styleId="286">
    <w:name w:val="xl1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7">
    <w:name w:val="Body text|4"/>
    <w:basedOn w:val="1"/>
    <w:qFormat/>
    <w:uiPriority w:val="99"/>
    <w:pPr>
      <w:jc w:val="center"/>
    </w:pPr>
    <w:rPr>
      <w:rFonts w:ascii="Times New Roman" w:hAnsi="Times New Roman"/>
      <w:b/>
      <w:bCs/>
      <w:sz w:val="32"/>
      <w:szCs w:val="32"/>
    </w:rPr>
  </w:style>
  <w:style w:type="paragraph" w:customStyle="1" w:styleId="288">
    <w:name w:val="xl11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FF"/>
      <w:kern w:val="0"/>
      <w:sz w:val="20"/>
      <w:szCs w:val="20"/>
    </w:rPr>
  </w:style>
  <w:style w:type="paragraph" w:customStyle="1" w:styleId="289">
    <w:name w:val="正文文本 21"/>
    <w:basedOn w:val="1"/>
    <w:qFormat/>
    <w:uiPriority w:val="99"/>
    <w:pPr>
      <w:adjustRightInd w:val="0"/>
      <w:spacing w:line="300" w:lineRule="auto"/>
      <w:jc w:val="center"/>
    </w:pPr>
    <w:rPr>
      <w:rFonts w:ascii="宋体" w:hAnsi="宋体"/>
      <w:sz w:val="24"/>
      <w:szCs w:val="20"/>
    </w:rPr>
  </w:style>
  <w:style w:type="paragraph" w:customStyle="1" w:styleId="290">
    <w:name w:val="TOC 31"/>
    <w:basedOn w:val="1"/>
    <w:next w:val="1"/>
    <w:qFormat/>
    <w:uiPriority w:val="39"/>
    <w:pPr>
      <w:widowControl/>
      <w:spacing w:after="100" w:line="276" w:lineRule="auto"/>
      <w:ind w:left="440"/>
      <w:jc w:val="left"/>
    </w:pPr>
    <w:rPr>
      <w:kern w:val="0"/>
      <w:sz w:val="22"/>
    </w:rPr>
  </w:style>
  <w:style w:type="paragraph" w:customStyle="1" w:styleId="291">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18"/>
      <w:szCs w:val="18"/>
    </w:rPr>
  </w:style>
  <w:style w:type="paragraph" w:customStyle="1" w:styleId="292">
    <w:name w:val="xl13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293">
    <w:name w:val="xl67"/>
    <w:basedOn w:val="1"/>
    <w:qFormat/>
    <w:uiPriority w:val="99"/>
    <w:pPr>
      <w:widowControl/>
      <w:shd w:val="clear" w:color="auto" w:fill="FFFFFF"/>
      <w:spacing w:before="100" w:beforeAutospacing="1" w:after="100" w:afterAutospacing="1"/>
      <w:jc w:val="center"/>
    </w:pPr>
    <w:rPr>
      <w:rFonts w:ascii="宋体" w:hAnsi="宋体" w:cs="宋体"/>
      <w:kern w:val="0"/>
      <w:sz w:val="24"/>
      <w:szCs w:val="24"/>
    </w:rPr>
  </w:style>
  <w:style w:type="paragraph" w:customStyle="1" w:styleId="294">
    <w:name w:val="纯文本1"/>
    <w:basedOn w:val="1"/>
    <w:qFormat/>
    <w:uiPriority w:val="99"/>
    <w:pPr>
      <w:adjustRightInd w:val="0"/>
    </w:pPr>
    <w:rPr>
      <w:rFonts w:ascii="宋体" w:hAnsi="Courier New" w:eastAsia="楷体_GB2312"/>
      <w:sz w:val="26"/>
      <w:szCs w:val="20"/>
    </w:rPr>
  </w:style>
  <w:style w:type="paragraph" w:customStyle="1" w:styleId="295">
    <w:name w:val="xl11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296">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97">
    <w:name w:val="Body text|1"/>
    <w:basedOn w:val="1"/>
    <w:qFormat/>
    <w:uiPriority w:val="99"/>
    <w:pPr>
      <w:spacing w:line="480" w:lineRule="auto"/>
      <w:ind w:firstLine="400"/>
    </w:pPr>
    <w:rPr>
      <w:rFonts w:ascii="宋体" w:hAnsi="宋体" w:cs="宋体"/>
      <w:sz w:val="28"/>
      <w:szCs w:val="28"/>
      <w:lang w:val="zh-TW" w:eastAsia="zh-TW" w:bidi="zh-TW"/>
    </w:rPr>
  </w:style>
  <w:style w:type="paragraph" w:customStyle="1" w:styleId="298">
    <w:name w:val="列表段落1"/>
    <w:basedOn w:val="1"/>
    <w:qFormat/>
    <w:uiPriority w:val="99"/>
    <w:pPr>
      <w:ind w:firstLine="420" w:firstLineChars="200"/>
    </w:pPr>
  </w:style>
  <w:style w:type="paragraph" w:customStyle="1" w:styleId="299">
    <w:name w:val="Default"/>
    <w:qFormat/>
    <w:uiPriority w:val="99"/>
    <w:pPr>
      <w:widowControl w:val="0"/>
      <w:autoSpaceDE w:val="0"/>
      <w:autoSpaceDN w:val="0"/>
      <w:adjustRightInd w:val="0"/>
      <w:spacing w:before="120" w:after="120"/>
    </w:pPr>
    <w:rPr>
      <w:rFonts w:ascii="宋体" w:hAnsi="Calibri" w:eastAsia="宋体" w:cs="宋体"/>
      <w:color w:val="000000"/>
      <w:kern w:val="0"/>
      <w:sz w:val="24"/>
      <w:szCs w:val="24"/>
      <w:lang w:val="en-US" w:eastAsia="zh-CN" w:bidi="ar-SA"/>
    </w:rPr>
  </w:style>
  <w:style w:type="paragraph" w:customStyle="1" w:styleId="300">
    <w:name w:val="1 Char Char Char Char"/>
    <w:basedOn w:val="1"/>
    <w:qFormat/>
    <w:uiPriority w:val="99"/>
    <w:rPr>
      <w:rFonts w:ascii="Tahoma" w:hAnsi="Tahoma"/>
      <w:sz w:val="24"/>
      <w:szCs w:val="20"/>
    </w:rPr>
  </w:style>
  <w:style w:type="paragraph" w:customStyle="1" w:styleId="301">
    <w:name w:val="普通(网站)_0"/>
    <w:basedOn w:val="1"/>
    <w:qFormat/>
    <w:uiPriority w:val="99"/>
    <w:pPr>
      <w:widowControl/>
      <w:spacing w:before="100" w:beforeAutospacing="1" w:after="100" w:afterAutospacing="1"/>
      <w:jc w:val="left"/>
    </w:pPr>
    <w:rPr>
      <w:rFonts w:ascii="宋体" w:hAnsi="宋体"/>
      <w:kern w:val="0"/>
      <w:sz w:val="24"/>
    </w:rPr>
  </w:style>
  <w:style w:type="paragraph" w:customStyle="1" w:styleId="302">
    <w:name w:val="xl1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3">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FF"/>
      <w:kern w:val="0"/>
      <w:sz w:val="18"/>
      <w:szCs w:val="18"/>
    </w:rPr>
  </w:style>
  <w:style w:type="paragraph" w:customStyle="1" w:styleId="304">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cs="宋体"/>
      <w:kern w:val="0"/>
      <w:sz w:val="18"/>
      <w:szCs w:val="18"/>
    </w:rPr>
  </w:style>
  <w:style w:type="paragraph" w:customStyle="1" w:styleId="305">
    <w:name w:val="xl66"/>
    <w:basedOn w:val="1"/>
    <w:qFormat/>
    <w:uiPriority w:val="99"/>
    <w:pPr>
      <w:widowControl/>
      <w:shd w:val="clear" w:color="auto" w:fill="FFFFFF"/>
      <w:spacing w:before="100" w:beforeAutospacing="1" w:after="100" w:afterAutospacing="1"/>
      <w:jc w:val="left"/>
    </w:pPr>
    <w:rPr>
      <w:rFonts w:ascii="宋体" w:hAnsi="宋体" w:cs="宋体"/>
      <w:color w:val="FF0000"/>
      <w:kern w:val="0"/>
      <w:sz w:val="24"/>
      <w:szCs w:val="24"/>
    </w:rPr>
  </w:style>
  <w:style w:type="paragraph" w:customStyle="1" w:styleId="306">
    <w:name w:val="xl1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307">
    <w:name w:val="xl11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8">
    <w:name w:val="列出段落2"/>
    <w:basedOn w:val="1"/>
    <w:qFormat/>
    <w:uiPriority w:val="99"/>
    <w:pPr>
      <w:ind w:firstLine="420" w:firstLineChars="200"/>
    </w:pPr>
    <w:rPr>
      <w:rFonts w:cs="宋体"/>
      <w:sz w:val="24"/>
    </w:rPr>
  </w:style>
  <w:style w:type="paragraph" w:customStyle="1" w:styleId="309">
    <w:name w:val="1"/>
    <w:basedOn w:val="2"/>
    <w:qFormat/>
    <w:uiPriority w:val="99"/>
    <w:pPr>
      <w:adjustRightInd w:val="0"/>
      <w:snapToGrid w:val="0"/>
      <w:spacing w:before="240" w:after="240" w:line="348" w:lineRule="auto"/>
      <w:jc w:val="center"/>
    </w:pPr>
    <w:rPr>
      <w:rFonts w:cs="宋体"/>
      <w:sz w:val="32"/>
    </w:rPr>
  </w:style>
  <w:style w:type="paragraph" w:customStyle="1" w:styleId="310">
    <w:name w:val="正文 New"/>
    <w:qFormat/>
    <w:uiPriority w:val="99"/>
    <w:pPr>
      <w:widowControl w:val="0"/>
      <w:jc w:val="both"/>
    </w:pPr>
    <w:rPr>
      <w:rFonts w:ascii="Calibri" w:hAnsi="Calibri" w:eastAsia="宋体" w:cs="Times New Roman"/>
      <w:kern w:val="2"/>
      <w:sz w:val="21"/>
      <w:szCs w:val="24"/>
      <w:lang w:val="en-US" w:eastAsia="zh-CN" w:bidi="ar-SA"/>
    </w:rPr>
  </w:style>
  <w:style w:type="paragraph" w:customStyle="1" w:styleId="311">
    <w:name w:val="xl111"/>
    <w:basedOn w:val="1"/>
    <w:qFormat/>
    <w:uiPriority w:val="99"/>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szCs w:val="20"/>
    </w:rPr>
  </w:style>
  <w:style w:type="paragraph" w:customStyle="1" w:styleId="312">
    <w:name w:val="xl106"/>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3">
    <w:name w:val="font10"/>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314">
    <w:name w:val="font9"/>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315">
    <w:name w:val="Char Char Char Char Char Char1"/>
    <w:basedOn w:val="1"/>
    <w:qFormat/>
    <w:uiPriority w:val="99"/>
    <w:pPr>
      <w:widowControl/>
      <w:spacing w:after="160" w:line="240" w:lineRule="exact"/>
      <w:jc w:val="left"/>
    </w:pPr>
    <w:rPr>
      <w:kern w:val="0"/>
      <w:szCs w:val="20"/>
    </w:rPr>
  </w:style>
  <w:style w:type="paragraph" w:customStyle="1" w:styleId="316">
    <w:name w:val="Char Char1 Char Char Char Char Char Char"/>
    <w:basedOn w:val="1"/>
    <w:qFormat/>
    <w:uiPriority w:val="99"/>
    <w:rPr>
      <w:rFonts w:ascii="Times New Roman" w:hAnsi="Times New Roman"/>
      <w:szCs w:val="24"/>
    </w:rPr>
  </w:style>
  <w:style w:type="paragraph" w:customStyle="1" w:styleId="317">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8">
    <w:name w:val="xl55"/>
    <w:basedOn w:val="1"/>
    <w:qFormat/>
    <w:uiPriority w:val="99"/>
    <w:pPr>
      <w:widowControl/>
      <w:autoSpaceDE w:val="0"/>
      <w:autoSpaceDN w:val="0"/>
      <w:adjustRightInd w:val="0"/>
      <w:spacing w:before="100" w:beforeAutospacing="1" w:after="100" w:afterAutospacing="1"/>
      <w:jc w:val="center"/>
    </w:pPr>
    <w:rPr>
      <w:rFonts w:ascii="Arial Unicode MS" w:hAnsi="Arial Unicode MS"/>
      <w:kern w:val="0"/>
      <w:sz w:val="24"/>
      <w:szCs w:val="20"/>
    </w:rPr>
  </w:style>
  <w:style w:type="paragraph" w:customStyle="1" w:styleId="319">
    <w:name w:val="列表段落11"/>
    <w:basedOn w:val="1"/>
    <w:qFormat/>
    <w:uiPriority w:val="34"/>
    <w:pPr>
      <w:ind w:firstLine="420" w:firstLineChars="200"/>
    </w:pPr>
    <w:rPr>
      <w:sz w:val="24"/>
      <w:szCs w:val="20"/>
    </w:rPr>
  </w:style>
  <w:style w:type="paragraph" w:customStyle="1" w:styleId="320">
    <w:name w:val="纯文本6"/>
    <w:basedOn w:val="1"/>
    <w:qFormat/>
    <w:uiPriority w:val="99"/>
    <w:pPr>
      <w:adjustRightInd w:val="0"/>
    </w:pPr>
    <w:rPr>
      <w:rFonts w:ascii="宋体" w:hAnsi="Courier New" w:eastAsia="楷体_GB2312"/>
      <w:sz w:val="26"/>
      <w:szCs w:val="20"/>
    </w:rPr>
  </w:style>
  <w:style w:type="paragraph" w:customStyle="1" w:styleId="321">
    <w:name w:val="正文5"/>
    <w:qFormat/>
    <w:uiPriority w:val="99"/>
    <w:pPr>
      <w:widowControl w:val="0"/>
      <w:jc w:val="both"/>
    </w:pPr>
    <w:rPr>
      <w:rFonts w:ascii="Times New Roman" w:hAnsi="Times New Roman" w:eastAsia="宋体" w:cs="Times New Roman"/>
      <w:kern w:val="2"/>
      <w:sz w:val="21"/>
      <w:szCs w:val="20"/>
      <w:lang w:val="en-US" w:eastAsia="zh-CN" w:bidi="ar-SA"/>
    </w:rPr>
  </w:style>
  <w:style w:type="character" w:customStyle="1" w:styleId="322">
    <w:name w:val="表格正文 Char"/>
    <w:link w:val="323"/>
    <w:qFormat/>
    <w:locked/>
    <w:uiPriority w:val="0"/>
    <w:rPr>
      <w:sz w:val="24"/>
    </w:rPr>
  </w:style>
  <w:style w:type="paragraph" w:customStyle="1" w:styleId="323">
    <w:name w:val="表格正文"/>
    <w:basedOn w:val="1"/>
    <w:link w:val="322"/>
    <w:qFormat/>
    <w:uiPriority w:val="0"/>
    <w:rPr>
      <w:rFonts w:asciiTheme="minorHAnsi" w:hAnsiTheme="minorHAnsi" w:eastAsiaTheme="minorEastAsia" w:cstheme="minorBidi"/>
      <w:sz w:val="24"/>
    </w:rPr>
  </w:style>
  <w:style w:type="character" w:customStyle="1" w:styleId="324">
    <w:name w:val="投标书正文 Char Char"/>
    <w:link w:val="325"/>
    <w:qFormat/>
    <w:locked/>
    <w:uiPriority w:val="0"/>
    <w:rPr>
      <w:rFonts w:ascii="Times New Roman" w:hAnsi="Times New Roman" w:eastAsia="Times New Roman" w:cs="Times New Roman"/>
      <w:sz w:val="24"/>
    </w:rPr>
  </w:style>
  <w:style w:type="paragraph" w:customStyle="1" w:styleId="325">
    <w:name w:val="投标书正文"/>
    <w:link w:val="324"/>
    <w:qFormat/>
    <w:uiPriority w:val="0"/>
    <w:pPr>
      <w:autoSpaceDE w:val="0"/>
      <w:spacing w:line="360" w:lineRule="auto"/>
      <w:ind w:firstLine="200" w:firstLineChars="200"/>
    </w:pPr>
    <w:rPr>
      <w:rFonts w:ascii="Times New Roman" w:hAnsi="Times New Roman" w:eastAsia="Times New Roman" w:cs="Times New Roman"/>
      <w:kern w:val="2"/>
      <w:sz w:val="24"/>
      <w:szCs w:val="22"/>
      <w:lang w:val="en-US" w:eastAsia="zh-CN" w:bidi="ar-SA"/>
    </w:rPr>
  </w:style>
  <w:style w:type="character" w:customStyle="1" w:styleId="326">
    <w:name w:val="方案正文-样式 小四 行距: 1.5 倍行距 Char Char"/>
    <w:link w:val="327"/>
    <w:qFormat/>
    <w:locked/>
    <w:uiPriority w:val="0"/>
    <w:rPr>
      <w:sz w:val="24"/>
    </w:rPr>
  </w:style>
  <w:style w:type="paragraph" w:customStyle="1" w:styleId="327">
    <w:name w:val="方案正文-样式 小四 行距: 1.5 倍行距"/>
    <w:basedOn w:val="1"/>
    <w:link w:val="326"/>
    <w:qFormat/>
    <w:uiPriority w:val="0"/>
    <w:pPr>
      <w:spacing w:line="360" w:lineRule="auto"/>
      <w:ind w:firstLine="480" w:firstLineChars="200"/>
    </w:pPr>
    <w:rPr>
      <w:rFonts w:asciiTheme="minorHAnsi" w:hAnsiTheme="minorHAnsi" w:eastAsiaTheme="minorEastAsia" w:cstheme="minorBidi"/>
      <w:sz w:val="24"/>
    </w:rPr>
  </w:style>
  <w:style w:type="paragraph" w:customStyle="1" w:styleId="328">
    <w:name w:val="p17"/>
    <w:basedOn w:val="1"/>
    <w:qFormat/>
    <w:uiPriority w:val="99"/>
    <w:pPr>
      <w:widowControl/>
    </w:pPr>
    <w:rPr>
      <w:rFonts w:ascii="Times New Roman" w:hAnsi="Times New Roman"/>
      <w:kern w:val="0"/>
      <w:szCs w:val="21"/>
    </w:rPr>
  </w:style>
  <w:style w:type="paragraph" w:customStyle="1" w:styleId="329">
    <w:name w:val="p16"/>
    <w:basedOn w:val="1"/>
    <w:qFormat/>
    <w:uiPriority w:val="99"/>
    <w:pPr>
      <w:widowControl/>
    </w:pPr>
    <w:rPr>
      <w:rFonts w:ascii="Times New Roman" w:hAnsi="Times New Roman"/>
      <w:kern w:val="0"/>
      <w:szCs w:val="21"/>
    </w:rPr>
  </w:style>
  <w:style w:type="paragraph" w:customStyle="1" w:styleId="330">
    <w:name w:val="样式"/>
    <w:basedOn w:val="1"/>
    <w:next w:val="1"/>
    <w:qFormat/>
    <w:uiPriority w:val="39"/>
    <w:pPr>
      <w:ind w:left="3360" w:leftChars="1600"/>
    </w:pPr>
    <w:rPr>
      <w:rFonts w:ascii="等线" w:hAnsi="等线" w:eastAsia="等线"/>
    </w:rPr>
  </w:style>
  <w:style w:type="paragraph" w:customStyle="1" w:styleId="331">
    <w:name w:val="ptdl"/>
    <w:basedOn w:val="1"/>
    <w:qFormat/>
    <w:uiPriority w:val="99"/>
    <w:pPr>
      <w:spacing w:after="156"/>
      <w:ind w:firstLine="480"/>
    </w:pPr>
    <w:rPr>
      <w:rFonts w:ascii="Times New Roman" w:hAnsi="Times New Roman"/>
      <w:sz w:val="24"/>
      <w:szCs w:val="20"/>
    </w:rPr>
  </w:style>
  <w:style w:type="paragraph" w:customStyle="1" w:styleId="332">
    <w:name w:val="普通(网站)2"/>
    <w:basedOn w:val="1"/>
    <w:qFormat/>
    <w:uiPriority w:val="99"/>
    <w:pPr>
      <w:widowControl/>
      <w:spacing w:before="100" w:beforeAutospacing="1" w:after="100" w:afterAutospacing="1" w:line="450" w:lineRule="atLeast"/>
      <w:jc w:val="left"/>
    </w:pPr>
    <w:rPr>
      <w:rFonts w:ascii="宋体" w:hAnsi="宋体" w:cs="宋体"/>
      <w:kern w:val="0"/>
      <w:sz w:val="24"/>
      <w:szCs w:val="24"/>
    </w:rPr>
  </w:style>
  <w:style w:type="paragraph" w:customStyle="1" w:styleId="333">
    <w:name w:val="样式 标题 2 + Times New Roman 四号 非加粗 段前: 5 磅 段后: 0 磅 行距: 固定值 20..."/>
    <w:basedOn w:val="3"/>
    <w:qFormat/>
    <w:uiPriority w:val="99"/>
    <w:pPr>
      <w:spacing w:before="100" w:after="0" w:line="400" w:lineRule="exact"/>
    </w:pPr>
    <w:rPr>
      <w:rFonts w:ascii="Times New Roman" w:hAnsi="Times New Roman" w:eastAsia="黑体" w:cs="宋体"/>
      <w:b w:val="0"/>
      <w:bCs w:val="0"/>
      <w:sz w:val="28"/>
      <w:szCs w:val="20"/>
    </w:rPr>
  </w:style>
  <w:style w:type="paragraph" w:customStyle="1" w:styleId="334">
    <w:name w:val="No Spacing1"/>
    <w:qFormat/>
    <w:uiPriority w:val="99"/>
    <w:rPr>
      <w:rFonts w:ascii="Times New Roman" w:hAnsi="Times New Roman" w:eastAsia="Times New Roman" w:cs="宋体"/>
      <w:kern w:val="0"/>
      <w:sz w:val="22"/>
      <w:szCs w:val="22"/>
      <w:lang w:val="en-US" w:eastAsia="en-US" w:bidi="ar-SA"/>
    </w:rPr>
  </w:style>
  <w:style w:type="paragraph" w:customStyle="1" w:styleId="335">
    <w:name w:val="无间距1"/>
    <w:qFormat/>
    <w:uiPriority w:val="99"/>
    <w:rPr>
      <w:rFonts w:ascii="Calibri" w:hAnsi="Calibri" w:eastAsia="Times New Roman" w:cs="宋体"/>
      <w:kern w:val="0"/>
      <w:sz w:val="22"/>
      <w:szCs w:val="22"/>
      <w:lang w:val="en-US" w:eastAsia="en-US" w:bidi="ar-SA"/>
    </w:rPr>
  </w:style>
  <w:style w:type="paragraph" w:customStyle="1" w:styleId="336">
    <w:name w:val="样式5"/>
    <w:basedOn w:val="1"/>
    <w:qFormat/>
    <w:uiPriority w:val="99"/>
    <w:pPr>
      <w:adjustRightInd w:val="0"/>
      <w:spacing w:line="440" w:lineRule="exact"/>
      <w:ind w:left="2" w:firstLine="480" w:firstLineChars="200"/>
    </w:pPr>
    <w:rPr>
      <w:rFonts w:ascii="仿宋_GB2312" w:hAnsi="仿宋" w:eastAsia="仿宋_GB2312"/>
      <w:sz w:val="24"/>
      <w:szCs w:val="24"/>
    </w:rPr>
  </w:style>
  <w:style w:type="paragraph" w:customStyle="1" w:styleId="337">
    <w:name w:val="部分1"/>
    <w:basedOn w:val="1"/>
    <w:qFormat/>
    <w:uiPriority w:val="99"/>
    <w:pPr>
      <w:keepNext/>
      <w:pageBreakBefore/>
      <w:numPr>
        <w:ilvl w:val="0"/>
        <w:numId w:val="5"/>
      </w:numPr>
      <w:tabs>
        <w:tab w:val="left" w:pos="720"/>
      </w:tabs>
      <w:adjustRightInd w:val="0"/>
      <w:spacing w:line="360" w:lineRule="auto"/>
      <w:ind w:left="0" w:firstLine="0"/>
      <w:jc w:val="center"/>
      <w:outlineLvl w:val="0"/>
    </w:pPr>
    <w:rPr>
      <w:rFonts w:ascii="Times New Roman" w:hAnsi="Times New Roman" w:eastAsia="黑体"/>
      <w:b/>
      <w:kern w:val="44"/>
      <w:sz w:val="36"/>
      <w:szCs w:val="20"/>
    </w:rPr>
  </w:style>
  <w:style w:type="paragraph" w:customStyle="1" w:styleId="338">
    <w:name w:val="纯文本_0_0"/>
    <w:basedOn w:val="1"/>
    <w:qFormat/>
    <w:uiPriority w:val="99"/>
    <w:rPr>
      <w:rFonts w:ascii="宋体" w:hAnsi="Courier New"/>
      <w:szCs w:val="21"/>
    </w:rPr>
  </w:style>
  <w:style w:type="paragraph" w:customStyle="1" w:styleId="339">
    <w:name w:val="修订2"/>
    <w:qFormat/>
    <w:uiPriority w:val="99"/>
    <w:rPr>
      <w:rFonts w:ascii="Times New Roman" w:hAnsi="Times New Roman" w:eastAsia="宋体" w:cs="Times New Roman"/>
      <w:kern w:val="2"/>
      <w:sz w:val="21"/>
      <w:szCs w:val="24"/>
      <w:lang w:val="en-US" w:eastAsia="zh-CN" w:bidi="ar-SA"/>
    </w:rPr>
  </w:style>
  <w:style w:type="character" w:customStyle="1" w:styleId="340">
    <w:name w:val="标题 4 Char1"/>
    <w:link w:val="5"/>
    <w:semiHidden/>
    <w:qFormat/>
    <w:locked/>
    <w:uiPriority w:val="9"/>
    <w:rPr>
      <w:rFonts w:ascii="Arial" w:hAnsi="Arial" w:eastAsia="黑体" w:cs="Times New Roman"/>
      <w:b/>
      <w:bCs/>
      <w:kern w:val="0"/>
      <w:sz w:val="28"/>
      <w:szCs w:val="28"/>
    </w:rPr>
  </w:style>
  <w:style w:type="character" w:customStyle="1" w:styleId="341">
    <w:name w:val="标题 5 Char1"/>
    <w:link w:val="6"/>
    <w:semiHidden/>
    <w:qFormat/>
    <w:locked/>
    <w:uiPriority w:val="9"/>
    <w:rPr>
      <w:rFonts w:ascii="楷体_GB2312" w:hAnsi="宋体" w:eastAsia="楷体_GB2312" w:cs="宋体"/>
      <w:b/>
      <w:bCs/>
      <w:kern w:val="0"/>
      <w:sz w:val="24"/>
      <w:szCs w:val="28"/>
    </w:rPr>
  </w:style>
  <w:style w:type="character" w:customStyle="1" w:styleId="342">
    <w:name w:val="标题 6 Char1"/>
    <w:link w:val="7"/>
    <w:semiHidden/>
    <w:qFormat/>
    <w:locked/>
    <w:uiPriority w:val="9"/>
    <w:rPr>
      <w:rFonts w:ascii="Times New Roman" w:hAnsi="Calibri" w:eastAsia="宋体" w:cs="Times New Roman"/>
      <w:kern w:val="0"/>
      <w:sz w:val="24"/>
      <w:szCs w:val="20"/>
    </w:rPr>
  </w:style>
  <w:style w:type="character" w:customStyle="1" w:styleId="343">
    <w:name w:val="标题 7 Char1"/>
    <w:link w:val="8"/>
    <w:semiHidden/>
    <w:qFormat/>
    <w:locked/>
    <w:uiPriority w:val="9"/>
    <w:rPr>
      <w:rFonts w:ascii="Times New Roman" w:hAnsi="Calibri" w:eastAsia="宋体" w:cs="Times New Roman"/>
      <w:kern w:val="0"/>
      <w:sz w:val="24"/>
      <w:szCs w:val="20"/>
    </w:rPr>
  </w:style>
  <w:style w:type="character" w:customStyle="1" w:styleId="344">
    <w:name w:val="标题 8 Char1"/>
    <w:link w:val="9"/>
    <w:semiHidden/>
    <w:qFormat/>
    <w:locked/>
    <w:uiPriority w:val="9"/>
    <w:rPr>
      <w:rFonts w:ascii="Times New Roman" w:hAnsi="Calibri" w:eastAsia="宋体" w:cs="Times New Roman"/>
      <w:kern w:val="0"/>
      <w:sz w:val="24"/>
      <w:szCs w:val="20"/>
    </w:rPr>
  </w:style>
  <w:style w:type="character" w:customStyle="1" w:styleId="345">
    <w:name w:val="标题 9 Char1"/>
    <w:link w:val="10"/>
    <w:semiHidden/>
    <w:qFormat/>
    <w:locked/>
    <w:uiPriority w:val="9"/>
    <w:rPr>
      <w:rFonts w:ascii="Times New Roman" w:hAnsi="Calibri" w:eastAsia="宋体" w:cs="Times New Roman"/>
      <w:kern w:val="0"/>
      <w:sz w:val="24"/>
      <w:szCs w:val="20"/>
    </w:rPr>
  </w:style>
  <w:style w:type="character" w:customStyle="1" w:styleId="346">
    <w:name w:val="文档结构图 Char1"/>
    <w:link w:val="16"/>
    <w:semiHidden/>
    <w:qFormat/>
    <w:locked/>
    <w:uiPriority w:val="99"/>
    <w:rPr>
      <w:rFonts w:ascii="宋体" w:hAnsi="Calibri" w:eastAsia="宋体" w:cs="Times New Roman"/>
      <w:sz w:val="18"/>
      <w:szCs w:val="18"/>
    </w:rPr>
  </w:style>
  <w:style w:type="character" w:customStyle="1" w:styleId="347">
    <w:name w:val="正文文本缩进 2 Char1"/>
    <w:link w:val="31"/>
    <w:semiHidden/>
    <w:qFormat/>
    <w:locked/>
    <w:uiPriority w:val="99"/>
    <w:rPr>
      <w:rFonts w:ascii="仿宋_GB2312" w:hAnsi="宋体" w:eastAsia="宋体" w:cs="Times New Roman"/>
      <w:b/>
      <w:bCs/>
      <w:color w:val="000000"/>
      <w:sz w:val="24"/>
      <w:szCs w:val="24"/>
    </w:rPr>
  </w:style>
  <w:style w:type="character" w:customStyle="1" w:styleId="348">
    <w:name w:val="批注框文本 Char1"/>
    <w:link w:val="32"/>
    <w:qFormat/>
    <w:locked/>
    <w:uiPriority w:val="99"/>
    <w:rPr>
      <w:rFonts w:ascii="Calibri" w:hAnsi="Calibri" w:eastAsia="宋体" w:cs="Times New Roman"/>
      <w:kern w:val="0"/>
      <w:sz w:val="18"/>
      <w:szCs w:val="18"/>
    </w:rPr>
  </w:style>
  <w:style w:type="character" w:customStyle="1" w:styleId="349">
    <w:name w:val="正文文本缩进 3 Char1"/>
    <w:link w:val="39"/>
    <w:semiHidden/>
    <w:qFormat/>
    <w:locked/>
    <w:uiPriority w:val="99"/>
    <w:rPr>
      <w:rFonts w:ascii="仿宋_GB2312" w:hAnsi="宋体" w:eastAsia="仿宋_GB2312" w:cs="Times New Roman"/>
      <w:color w:val="000000"/>
      <w:sz w:val="24"/>
      <w:szCs w:val="24"/>
    </w:rPr>
  </w:style>
  <w:style w:type="character" w:customStyle="1" w:styleId="350">
    <w:name w:val="正文首行缩进 2 Char1"/>
    <w:link w:val="48"/>
    <w:semiHidden/>
    <w:qFormat/>
    <w:locked/>
    <w:uiPriority w:val="99"/>
    <w:rPr>
      <w:rFonts w:ascii="宋体" w:hAnsi="Courier New"/>
      <w:spacing w:val="-4"/>
      <w:szCs w:val="24"/>
    </w:rPr>
  </w:style>
  <w:style w:type="character" w:customStyle="1" w:styleId="351">
    <w:name w:val="15"/>
    <w:qFormat/>
    <w:uiPriority w:val="0"/>
    <w:rPr>
      <w:rFonts w:hint="default" w:ascii="Times New Roman" w:hAnsi="Times New Roman" w:cs="Arial"/>
      <w:b/>
      <w:sz w:val="21"/>
      <w:szCs w:val="21"/>
    </w:rPr>
  </w:style>
  <w:style w:type="character" w:customStyle="1" w:styleId="352">
    <w:name w:val="hui3"/>
    <w:qFormat/>
    <w:uiPriority w:val="0"/>
    <w:rPr>
      <w:color w:val="333333"/>
    </w:rPr>
  </w:style>
  <w:style w:type="character" w:customStyle="1" w:styleId="353">
    <w:name w:val="font122"/>
    <w:qFormat/>
    <w:uiPriority w:val="0"/>
    <w:rPr>
      <w:rFonts w:hint="eastAsia" w:ascii="宋体" w:hAnsi="宋体" w:eastAsia="宋体" w:cs="宋体"/>
      <w:b/>
      <w:bCs/>
      <w:color w:val="000000"/>
      <w:sz w:val="20"/>
      <w:szCs w:val="20"/>
      <w:u w:val="none"/>
    </w:rPr>
  </w:style>
  <w:style w:type="character" w:customStyle="1" w:styleId="354">
    <w:name w:val="textcolor1"/>
    <w:qFormat/>
    <w:uiPriority w:val="0"/>
    <w:rPr>
      <w:color w:val="FF6600"/>
    </w:rPr>
  </w:style>
  <w:style w:type="character" w:customStyle="1" w:styleId="355">
    <w:name w:val="正文对齐 Char1"/>
    <w:qFormat/>
    <w:uiPriority w:val="0"/>
    <w:rPr>
      <w:kern w:val="2"/>
      <w:sz w:val="21"/>
      <w:szCs w:val="24"/>
    </w:rPr>
  </w:style>
  <w:style w:type="character" w:customStyle="1" w:styleId="356">
    <w:name w:val="正文缩进 Char1"/>
    <w:qFormat/>
    <w:uiPriority w:val="0"/>
    <w:rPr>
      <w:rFonts w:hint="eastAsia" w:ascii="宋体" w:hAnsi="宋体" w:eastAsia="宋体"/>
    </w:rPr>
  </w:style>
  <w:style w:type="character" w:customStyle="1" w:styleId="357">
    <w:name w:val="正文文本缩进 字符1"/>
    <w:qFormat/>
    <w:uiPriority w:val="0"/>
    <w:rPr>
      <w:rFonts w:hint="eastAsia" w:ascii="宋体" w:hAnsi="Courier New" w:eastAsia="宋体"/>
      <w:spacing w:val="-4"/>
      <w:kern w:val="2"/>
      <w:sz w:val="18"/>
    </w:rPr>
  </w:style>
  <w:style w:type="character" w:customStyle="1" w:styleId="358">
    <w:name w:val="日期 Char3"/>
    <w:qFormat/>
    <w:uiPriority w:val="0"/>
    <w:rPr>
      <w:rFonts w:hint="eastAsia" w:ascii="楷体_GB2312" w:eastAsia="楷体_GB2312"/>
      <w:sz w:val="32"/>
    </w:rPr>
  </w:style>
  <w:style w:type="character" w:customStyle="1" w:styleId="359">
    <w:name w:val="书籍标题1"/>
    <w:qFormat/>
    <w:uiPriority w:val="33"/>
    <w:rPr>
      <w:rFonts w:hint="default" w:ascii="Songti SC Regular" w:hAnsi="Songti SC Regular" w:eastAsia="Songti SC Regular"/>
      <w:bCs/>
      <w:smallCaps/>
      <w:spacing w:val="5"/>
      <w:sz w:val="32"/>
    </w:rPr>
  </w:style>
  <w:style w:type="character" w:customStyle="1" w:styleId="360">
    <w:name w:val="标题 1 Char Char"/>
    <w:qFormat/>
    <w:uiPriority w:val="0"/>
    <w:rPr>
      <w:rFonts w:hint="eastAsia" w:ascii="宋体" w:hAnsi="宋体" w:eastAsia="宋体"/>
      <w:b/>
      <w:spacing w:val="-2"/>
      <w:sz w:val="24"/>
      <w:lang w:val="en-US" w:eastAsia="zh-CN" w:bidi="ar-SA"/>
    </w:rPr>
  </w:style>
  <w:style w:type="character" w:customStyle="1" w:styleId="361">
    <w:name w:val="font71"/>
    <w:qFormat/>
    <w:uiPriority w:val="0"/>
    <w:rPr>
      <w:rFonts w:hint="default" w:ascii="Times New Roman" w:hAnsi="Times New Roman" w:cs="Times New Roman"/>
      <w:color w:val="000000"/>
      <w:sz w:val="24"/>
      <w:szCs w:val="24"/>
      <w:u w:val="none"/>
    </w:rPr>
  </w:style>
  <w:style w:type="character" w:customStyle="1" w:styleId="362">
    <w:name w:val="正文缩进 字符1"/>
    <w:qFormat/>
    <w:uiPriority w:val="0"/>
    <w:rPr>
      <w:rFonts w:hint="eastAsia" w:ascii="宋体" w:hAnsi="宋体" w:eastAsia="宋体"/>
      <w:kern w:val="2"/>
      <w:sz w:val="21"/>
      <w:lang w:val="en-US" w:eastAsia="zh-CN" w:bidi="ar-SA"/>
    </w:rPr>
  </w:style>
  <w:style w:type="character" w:customStyle="1" w:styleId="363">
    <w:name w:val="正文文本 Char Char"/>
    <w:qFormat/>
    <w:uiPriority w:val="0"/>
    <w:rPr>
      <w:kern w:val="2"/>
      <w:sz w:val="28"/>
      <w:szCs w:val="24"/>
    </w:rPr>
  </w:style>
  <w:style w:type="character" w:customStyle="1" w:styleId="364">
    <w:name w:val="批注框文本 Char3"/>
    <w:qFormat/>
    <w:locked/>
    <w:uiPriority w:val="0"/>
    <w:rPr>
      <w:sz w:val="18"/>
      <w:szCs w:val="18"/>
    </w:rPr>
  </w:style>
  <w:style w:type="character" w:customStyle="1" w:styleId="365">
    <w:name w:val="正文文本 2 Char3"/>
    <w:qFormat/>
    <w:uiPriority w:val="0"/>
    <w:rPr>
      <w:rFonts w:hint="eastAsia" w:ascii="宋体" w:hAnsi="宋体" w:eastAsia="宋体"/>
      <w:color w:val="000000"/>
      <w:sz w:val="24"/>
      <w:szCs w:val="24"/>
    </w:rPr>
  </w:style>
  <w:style w:type="character" w:customStyle="1" w:styleId="366">
    <w:name w:val="标题 Char4"/>
    <w:qFormat/>
    <w:uiPriority w:val="0"/>
    <w:rPr>
      <w:rFonts w:hint="default" w:ascii="Calibri Light" w:hAnsi="Calibri Light" w:cs="Calibri Light"/>
      <w:b/>
      <w:bCs/>
      <w:sz w:val="32"/>
      <w:szCs w:val="32"/>
    </w:rPr>
  </w:style>
  <w:style w:type="character" w:customStyle="1" w:styleId="367">
    <w:name w:val="纯文本 Char3"/>
    <w:qFormat/>
    <w:uiPriority w:val="0"/>
    <w:rPr>
      <w:rFonts w:hint="eastAsia" w:ascii="宋体" w:hAnsi="Courier New" w:eastAsia="宋体"/>
      <w:kern w:val="2"/>
      <w:sz w:val="24"/>
      <w:szCs w:val="24"/>
      <w:lang w:val="en-US" w:eastAsia="zh-CN" w:bidi="ar-SA"/>
    </w:rPr>
  </w:style>
  <w:style w:type="character" w:customStyle="1" w:styleId="368">
    <w:name w:val="apple-converted-space"/>
    <w:qFormat/>
    <w:uiPriority w:val="0"/>
  </w:style>
  <w:style w:type="character" w:customStyle="1" w:styleId="369">
    <w:name w:val="font21"/>
    <w:qFormat/>
    <w:uiPriority w:val="0"/>
    <w:rPr>
      <w:rFonts w:hint="default" w:ascii="Arial" w:hAnsi="Arial" w:cs="Arial"/>
      <w:color w:val="333333"/>
      <w:sz w:val="18"/>
      <w:szCs w:val="18"/>
      <w:u w:val="none"/>
    </w:rPr>
  </w:style>
  <w:style w:type="character" w:customStyle="1" w:styleId="370">
    <w:name w:val="未处理的提及1"/>
    <w:qFormat/>
    <w:uiPriority w:val="99"/>
    <w:rPr>
      <w:color w:val="605E5C"/>
      <w:shd w:val="clear" w:color="auto" w:fill="E1DFDD"/>
    </w:rPr>
  </w:style>
  <w:style w:type="character" w:customStyle="1" w:styleId="371">
    <w:name w:val="标题 2 Char2"/>
    <w:qFormat/>
    <w:uiPriority w:val="0"/>
    <w:rPr>
      <w:rFonts w:hint="default" w:ascii="Arial" w:hAnsi="Arial" w:eastAsia="黑体" w:cs="Times New Roman"/>
      <w:b/>
      <w:bCs/>
      <w:sz w:val="32"/>
      <w:szCs w:val="32"/>
    </w:rPr>
  </w:style>
  <w:style w:type="character" w:customStyle="1" w:styleId="372">
    <w:name w:val="font81"/>
    <w:qFormat/>
    <w:uiPriority w:val="0"/>
    <w:rPr>
      <w:rFonts w:hint="default" w:ascii="Times New Roman" w:hAnsi="Times New Roman" w:cs="Times New Roman"/>
      <w:b/>
      <w:color w:val="000000"/>
      <w:sz w:val="24"/>
      <w:szCs w:val="24"/>
      <w:u w:val="none"/>
    </w:rPr>
  </w:style>
  <w:style w:type="character" w:customStyle="1" w:styleId="373">
    <w:name w:val="Char Char"/>
    <w:qFormat/>
    <w:uiPriority w:val="0"/>
    <w:rPr>
      <w:rFonts w:hint="eastAsia" w:ascii="宋体" w:hAnsi="Courier New" w:eastAsia="楷体_GB2312"/>
      <w:kern w:val="2"/>
      <w:sz w:val="26"/>
      <w:lang w:val="en-US" w:eastAsia="zh-CN" w:bidi="ar-SA"/>
    </w:rPr>
  </w:style>
  <w:style w:type="character" w:customStyle="1" w:styleId="374">
    <w:name w:val="标题 3 字符1"/>
    <w:qFormat/>
    <w:uiPriority w:val="0"/>
    <w:rPr>
      <w:b/>
      <w:bCs/>
      <w:kern w:val="2"/>
      <w:sz w:val="32"/>
      <w:szCs w:val="32"/>
    </w:rPr>
  </w:style>
  <w:style w:type="character" w:customStyle="1" w:styleId="375">
    <w:name w:val="标题 Char2"/>
    <w:qFormat/>
    <w:uiPriority w:val="0"/>
    <w:rPr>
      <w:rFonts w:hint="default" w:ascii="Calibri Light" w:hAnsi="Calibri Light" w:cs="Calibri Light"/>
      <w:b/>
      <w:bCs/>
      <w:kern w:val="2"/>
      <w:sz w:val="32"/>
      <w:szCs w:val="32"/>
    </w:rPr>
  </w:style>
  <w:style w:type="character" w:customStyle="1" w:styleId="376">
    <w:name w:val="huei12b1"/>
    <w:qFormat/>
    <w:uiPriority w:val="0"/>
    <w:rPr>
      <w:b/>
      <w:bCs/>
      <w:color w:val="333333"/>
      <w:sz w:val="20"/>
      <w:szCs w:val="20"/>
    </w:rPr>
  </w:style>
  <w:style w:type="character" w:customStyle="1" w:styleId="377">
    <w:name w:val="正文2 Char Char"/>
    <w:qFormat/>
    <w:uiPriority w:val="0"/>
    <w:rPr>
      <w:rFonts w:hint="default" w:ascii="Times New Roman" w:hAnsi="Times New Roman" w:cs="Times New Roman"/>
      <w:kern w:val="2"/>
      <w:sz w:val="24"/>
    </w:rPr>
  </w:style>
  <w:style w:type="character" w:customStyle="1" w:styleId="378">
    <w:name w:val="font91"/>
    <w:qFormat/>
    <w:uiPriority w:val="0"/>
    <w:rPr>
      <w:rFonts w:hint="eastAsia" w:ascii="宋体" w:hAnsi="宋体" w:eastAsia="宋体" w:cs="宋体"/>
      <w:b/>
      <w:color w:val="000000"/>
      <w:sz w:val="24"/>
      <w:szCs w:val="24"/>
      <w:u w:val="none"/>
    </w:rPr>
  </w:style>
  <w:style w:type="character" w:customStyle="1" w:styleId="379">
    <w:name w:val="font31"/>
    <w:qFormat/>
    <w:uiPriority w:val="0"/>
    <w:rPr>
      <w:rFonts w:hint="default" w:ascii="Times New Roman" w:hAnsi="Times New Roman" w:cs="Times New Roman"/>
      <w:b/>
      <w:color w:val="000000"/>
      <w:sz w:val="24"/>
      <w:szCs w:val="24"/>
      <w:u w:val="none"/>
    </w:rPr>
  </w:style>
  <w:style w:type="character" w:customStyle="1" w:styleId="380">
    <w:name w:val="font61"/>
    <w:qFormat/>
    <w:uiPriority w:val="0"/>
    <w:rPr>
      <w:rFonts w:hint="default" w:ascii="Times New Roman" w:hAnsi="Times New Roman" w:cs="Times New Roman"/>
      <w:color w:val="000000"/>
      <w:sz w:val="24"/>
      <w:szCs w:val="24"/>
      <w:u w:val="none"/>
    </w:rPr>
  </w:style>
  <w:style w:type="character" w:customStyle="1" w:styleId="381">
    <w:name w:val="font112"/>
    <w:qFormat/>
    <w:uiPriority w:val="0"/>
    <w:rPr>
      <w:rFonts w:hint="eastAsia" w:ascii="宋体" w:hAnsi="宋体" w:eastAsia="宋体" w:cs="宋体"/>
      <w:color w:val="000000"/>
      <w:sz w:val="20"/>
      <w:szCs w:val="20"/>
      <w:u w:val="none"/>
    </w:rPr>
  </w:style>
  <w:style w:type="character" w:customStyle="1" w:styleId="382">
    <w:name w:val="font11"/>
    <w:qFormat/>
    <w:uiPriority w:val="0"/>
    <w:rPr>
      <w:rFonts w:hint="eastAsia" w:ascii="宋体" w:hAnsi="宋体" w:eastAsia="宋体" w:cs="宋体"/>
      <w:color w:val="000000"/>
      <w:sz w:val="24"/>
      <w:szCs w:val="24"/>
      <w:u w:val="none"/>
    </w:rPr>
  </w:style>
  <w:style w:type="character" w:customStyle="1" w:styleId="383">
    <w:name w:val="fl b titlelinkcolor titlename"/>
    <w:qFormat/>
    <w:uiPriority w:val="0"/>
  </w:style>
  <w:style w:type="character" w:customStyle="1" w:styleId="384">
    <w:name w:val="标题 Char3"/>
    <w:qFormat/>
    <w:uiPriority w:val="10"/>
    <w:rPr>
      <w:rFonts w:hint="default" w:ascii="Cambria" w:hAnsi="Cambria" w:eastAsia="宋体" w:cs="Times New Roman"/>
      <w:b/>
      <w:bCs/>
      <w:sz w:val="32"/>
      <w:szCs w:val="32"/>
    </w:rPr>
  </w:style>
  <w:style w:type="character" w:customStyle="1" w:styleId="385">
    <w:name w:val="副标题 Char1"/>
    <w:qFormat/>
    <w:uiPriority w:val="11"/>
    <w:rPr>
      <w:rFonts w:hint="default" w:ascii="Cambria" w:hAnsi="Cambria" w:eastAsia="宋体" w:cs="Times New Roman"/>
      <w:b/>
      <w:bCs/>
      <w:kern w:val="28"/>
      <w:sz w:val="32"/>
      <w:szCs w:val="32"/>
    </w:rPr>
  </w:style>
  <w:style w:type="character" w:customStyle="1" w:styleId="386">
    <w:name w:val="lineb1"/>
    <w:qFormat/>
    <w:uiPriority w:val="0"/>
  </w:style>
  <w:style w:type="character" w:customStyle="1" w:styleId="387">
    <w:name w:val="c lh15"/>
    <w:qFormat/>
    <w:uiPriority w:val="0"/>
    <w:rPr>
      <w:sz w:val="28"/>
      <w:szCs w:val="20"/>
    </w:rPr>
  </w:style>
  <w:style w:type="character" w:customStyle="1" w:styleId="388">
    <w:name w:val="纯文本 字符"/>
    <w:qFormat/>
    <w:uiPriority w:val="0"/>
    <w:rPr>
      <w:rFonts w:hint="eastAsia" w:ascii="宋体" w:hAnsi="Courier New" w:eastAsia="宋体"/>
      <w:kern w:val="2"/>
      <w:sz w:val="21"/>
      <w:lang w:val="en-US" w:eastAsia="zh-CN" w:bidi="ar-SA"/>
    </w:rPr>
  </w:style>
  <w:style w:type="character" w:customStyle="1" w:styleId="389">
    <w:name w:val="副标题 Char2"/>
    <w:qFormat/>
    <w:uiPriority w:val="11"/>
    <w:rPr>
      <w:rFonts w:hint="default" w:ascii="Cambria" w:hAnsi="Cambria" w:eastAsia="宋体" w:cs="Times New Roman"/>
      <w:b/>
      <w:bCs/>
      <w:kern w:val="28"/>
      <w:sz w:val="32"/>
      <w:szCs w:val="32"/>
    </w:rPr>
  </w:style>
  <w:style w:type="character" w:customStyle="1" w:styleId="390">
    <w:name w:val="书籍标题11"/>
    <w:qFormat/>
    <w:uiPriority w:val="33"/>
    <w:rPr>
      <w:rFonts w:hint="default" w:ascii="Songti SC Regular" w:hAnsi="Songti SC Regular" w:eastAsia="Songti SC Regular"/>
      <w:bCs/>
      <w:smallCaps/>
      <w:spacing w:val="5"/>
      <w:sz w:val="32"/>
    </w:rPr>
  </w:style>
  <w:style w:type="character" w:customStyle="1" w:styleId="391">
    <w:name w:val="标题 3 Char1"/>
    <w:qFormat/>
    <w:uiPriority w:val="0"/>
    <w:rPr>
      <w:rFonts w:hint="default" w:ascii="Calibri" w:hAnsi="Calibri" w:eastAsia="宋体" w:cs="Times New Roman"/>
      <w:b/>
      <w:bCs/>
      <w:sz w:val="32"/>
      <w:szCs w:val="32"/>
    </w:rPr>
  </w:style>
  <w:style w:type="character" w:customStyle="1" w:styleId="392">
    <w:name w:val="apple-style-span"/>
    <w:qFormat/>
    <w:uiPriority w:val="0"/>
  </w:style>
  <w:style w:type="character" w:customStyle="1" w:styleId="393">
    <w:name w:val="font121"/>
    <w:qFormat/>
    <w:uiPriority w:val="0"/>
    <w:rPr>
      <w:rFonts w:hint="eastAsia" w:ascii="宋体" w:hAnsi="宋体" w:eastAsia="宋体" w:cs="宋体"/>
      <w:color w:val="FF0000"/>
      <w:sz w:val="20"/>
      <w:szCs w:val="20"/>
      <w:u w:val="none"/>
    </w:rPr>
  </w:style>
  <w:style w:type="character" w:customStyle="1" w:styleId="394">
    <w:name w:val="正文文本 3 Char3"/>
    <w:qFormat/>
    <w:uiPriority w:val="0"/>
    <w:rPr>
      <w:rFonts w:hint="eastAsia" w:ascii="宋体" w:hAnsi="宋体" w:eastAsia="仿宋_GB2312"/>
      <w:b/>
      <w:bCs/>
      <w:sz w:val="24"/>
    </w:rPr>
  </w:style>
  <w:style w:type="character" w:customStyle="1" w:styleId="395">
    <w:name w:val="正文文本缩进 字符"/>
    <w:qFormat/>
    <w:uiPriority w:val="0"/>
    <w:rPr>
      <w:rFonts w:hint="eastAsia" w:ascii="宋体" w:hAnsi="Courier New" w:eastAsia="宋体"/>
      <w:spacing w:val="-4"/>
      <w:kern w:val="2"/>
      <w:sz w:val="18"/>
    </w:rPr>
  </w:style>
  <w:style w:type="character" w:customStyle="1" w:styleId="396">
    <w:name w:val="zbggmain style9"/>
    <w:qFormat/>
    <w:uiPriority w:val="0"/>
  </w:style>
  <w:style w:type="character" w:customStyle="1" w:styleId="397">
    <w:name w:val="style1"/>
    <w:qFormat/>
    <w:uiPriority w:val="0"/>
    <w:rPr>
      <w:sz w:val="28"/>
      <w:szCs w:val="20"/>
    </w:rPr>
  </w:style>
  <w:style w:type="character" w:customStyle="1" w:styleId="398">
    <w:name w:val="font01"/>
    <w:qFormat/>
    <w:uiPriority w:val="0"/>
    <w:rPr>
      <w:rFonts w:hint="eastAsia" w:ascii="宋体" w:hAnsi="宋体" w:eastAsia="宋体" w:cs="宋体"/>
      <w:color w:val="000000"/>
      <w:sz w:val="24"/>
      <w:szCs w:val="24"/>
      <w:u w:val="none"/>
    </w:rPr>
  </w:style>
  <w:style w:type="character" w:customStyle="1" w:styleId="399">
    <w:name w:val="font51"/>
    <w:qFormat/>
    <w:uiPriority w:val="0"/>
    <w:rPr>
      <w:rFonts w:hint="default" w:ascii="Arial" w:hAnsi="Arial" w:cs="Arial"/>
      <w:color w:val="333333"/>
      <w:sz w:val="18"/>
      <w:szCs w:val="18"/>
      <w:u w:val="none"/>
    </w:rPr>
  </w:style>
  <w:style w:type="character" w:customStyle="1" w:styleId="400">
    <w:name w:val="表正文 Char"/>
    <w:qFormat/>
    <w:uiPriority w:val="0"/>
    <w:rPr>
      <w:rFonts w:hint="eastAsia" w:ascii="宋体" w:hAnsi="宋体" w:eastAsia="宋体"/>
      <w:kern w:val="2"/>
      <w:sz w:val="21"/>
      <w:lang w:val="en-US" w:eastAsia="zh-CN" w:bidi="ar-SA"/>
    </w:rPr>
  </w:style>
  <w:style w:type="character" w:customStyle="1" w:styleId="401">
    <w:name w:val="标题 2 Char1"/>
    <w:qFormat/>
    <w:uiPriority w:val="0"/>
    <w:rPr>
      <w:rFonts w:hint="default" w:ascii="Arial" w:hAnsi="Arial" w:eastAsia="黑体" w:cs="Arial"/>
      <w:b/>
      <w:bCs/>
      <w:kern w:val="2"/>
      <w:sz w:val="32"/>
      <w:szCs w:val="32"/>
    </w:rPr>
  </w:style>
  <w:style w:type="character" w:customStyle="1" w:styleId="402">
    <w:name w:val="页眉 Char3"/>
    <w:qFormat/>
    <w:uiPriority w:val="99"/>
    <w:rPr>
      <w:rFonts w:hint="eastAsia" w:ascii="仿宋_GB2312" w:eastAsia="仿宋_GB2312"/>
      <w:sz w:val="18"/>
    </w:rPr>
  </w:style>
  <w:style w:type="character" w:customStyle="1" w:styleId="403">
    <w:name w:val="纯文本 Char5"/>
    <w:qFormat/>
    <w:uiPriority w:val="0"/>
    <w:rPr>
      <w:rFonts w:hint="eastAsia" w:ascii="宋体" w:hAnsi="Courier New" w:eastAsia="宋体"/>
      <w:sz w:val="24"/>
      <w:szCs w:val="24"/>
    </w:rPr>
  </w:style>
  <w:style w:type="character" w:customStyle="1" w:styleId="404">
    <w:name w:val="纯文本 字符1"/>
    <w:qFormat/>
    <w:uiPriority w:val="0"/>
    <w:rPr>
      <w:rFonts w:hint="eastAsia" w:ascii="宋体" w:hAnsi="Courier New" w:eastAsia="宋体"/>
      <w:kern w:val="2"/>
      <w:sz w:val="24"/>
      <w:szCs w:val="24"/>
      <w:lang w:val="en-US" w:eastAsia="zh-CN" w:bidi="ar-SA"/>
    </w:rPr>
  </w:style>
  <w:style w:type="character" w:customStyle="1" w:styleId="405">
    <w:name w:val="标题 1 Char1"/>
    <w:qFormat/>
    <w:uiPriority w:val="0"/>
    <w:rPr>
      <w:rFonts w:hint="default" w:ascii="Calibri" w:hAnsi="Calibri" w:eastAsia="宋体" w:cs="Times New Roman"/>
      <w:b/>
      <w:bCs/>
      <w:kern w:val="44"/>
      <w:sz w:val="32"/>
      <w:szCs w:val="44"/>
    </w:rPr>
  </w:style>
  <w:style w:type="character" w:customStyle="1" w:styleId="406">
    <w:name w:val="Char Char9"/>
    <w:qFormat/>
    <w:uiPriority w:val="0"/>
    <w:rPr>
      <w:kern w:val="2"/>
      <w:sz w:val="21"/>
      <w:szCs w:val="24"/>
    </w:rPr>
  </w:style>
  <w:style w:type="character" w:customStyle="1" w:styleId="407">
    <w:name w:val="gheadertext1"/>
    <w:qFormat/>
    <w:uiPriority w:val="0"/>
    <w:rPr>
      <w:rFonts w:hint="default" w:ascii="Arial" w:hAnsi="Arial" w:cs="Arial"/>
      <w:b/>
      <w:bCs/>
      <w:color w:val="005E00"/>
      <w:sz w:val="26"/>
      <w:szCs w:val="26"/>
    </w:rPr>
  </w:style>
  <w:style w:type="character" w:customStyle="1" w:styleId="408">
    <w:name w:val="页脚 Char3"/>
    <w:qFormat/>
    <w:locked/>
    <w:uiPriority w:val="99"/>
    <w:rPr>
      <w:rFonts w:hint="eastAsia" w:ascii="黑体" w:hAnsi="黑体" w:eastAsia="黑体"/>
      <w:snapToGrid w:val="0"/>
      <w:sz w:val="18"/>
      <w:szCs w:val="18"/>
    </w:rPr>
  </w:style>
  <w:style w:type="character" w:customStyle="1" w:styleId="409">
    <w:name w:val="批注主题 Char2"/>
    <w:qFormat/>
    <w:uiPriority w:val="0"/>
    <w:rPr>
      <w:b/>
      <w:bCs/>
      <w:kern w:val="2"/>
      <w:sz w:val="21"/>
      <w:szCs w:val="24"/>
    </w:rPr>
  </w:style>
  <w:style w:type="character" w:customStyle="1" w:styleId="410">
    <w:name w:val="无"/>
    <w:qFormat/>
    <w:uiPriority w:val="0"/>
  </w:style>
  <w:style w:type="character" w:customStyle="1" w:styleId="411">
    <w:name w:val="NormalCharacter"/>
    <w:qFormat/>
    <w:uiPriority w:val="0"/>
  </w:style>
  <w:style w:type="character" w:customStyle="1" w:styleId="412">
    <w:name w:val="副标题 Char3"/>
    <w:qFormat/>
    <w:uiPriority w:val="0"/>
    <w:rPr>
      <w:rFonts w:hint="default" w:ascii="Cambria" w:hAnsi="Cambria" w:cs="宋体"/>
      <w:bCs/>
      <w:kern w:val="28"/>
      <w:sz w:val="18"/>
      <w:szCs w:val="32"/>
    </w:rPr>
  </w:style>
  <w:style w:type="character" w:customStyle="1" w:styleId="413">
    <w:name w:val="font111"/>
    <w:qFormat/>
    <w:uiPriority w:val="0"/>
    <w:rPr>
      <w:rFonts w:hint="eastAsia" w:ascii="宋体" w:hAnsi="宋体" w:eastAsia="宋体" w:cs="宋体"/>
      <w:color w:val="000000"/>
      <w:sz w:val="20"/>
      <w:szCs w:val="20"/>
      <w:u w:val="none"/>
    </w:rPr>
  </w:style>
  <w:style w:type="character" w:customStyle="1" w:styleId="414">
    <w:name w:val="font41"/>
    <w:qFormat/>
    <w:uiPriority w:val="0"/>
    <w:rPr>
      <w:rFonts w:hint="default" w:ascii="Arial" w:hAnsi="Arial" w:cs="Arial"/>
      <w:color w:val="333333"/>
      <w:sz w:val="18"/>
      <w:szCs w:val="18"/>
      <w:u w:val="none"/>
    </w:rPr>
  </w:style>
  <w:style w:type="character" w:customStyle="1" w:styleId="415">
    <w:name w:val="font171"/>
    <w:qFormat/>
    <w:uiPriority w:val="0"/>
    <w:rPr>
      <w:rFonts w:hint="default" w:ascii="Times New Roman" w:hAnsi="Times New Roman" w:cs="Times New Roman"/>
      <w:color w:val="000000"/>
      <w:sz w:val="20"/>
      <w:szCs w:val="20"/>
      <w:u w:val="none"/>
    </w:rPr>
  </w:style>
  <w:style w:type="character" w:customStyle="1" w:styleId="416">
    <w:name w:val="批注主题 Char4"/>
    <w:qFormat/>
    <w:uiPriority w:val="0"/>
    <w:rPr>
      <w:b/>
      <w:bCs/>
      <w:szCs w:val="24"/>
    </w:rPr>
  </w:style>
  <w:style w:type="character" w:customStyle="1" w:styleId="417">
    <w:name w:val="font131"/>
    <w:qFormat/>
    <w:uiPriority w:val="0"/>
    <w:rPr>
      <w:rFonts w:hint="default" w:ascii="Times New Roman" w:hAnsi="Times New Roman" w:cs="Times New Roman"/>
      <w:b/>
      <w:bCs/>
      <w:color w:val="000000"/>
      <w:sz w:val="20"/>
      <w:szCs w:val="20"/>
      <w:u w:val="none"/>
    </w:rPr>
  </w:style>
  <w:style w:type="character" w:customStyle="1" w:styleId="418">
    <w:name w:val="正文文本 Char3"/>
    <w:qFormat/>
    <w:uiPriority w:val="0"/>
    <w:rPr>
      <w:sz w:val="28"/>
      <w:szCs w:val="24"/>
    </w:rPr>
  </w:style>
  <w:style w:type="character" w:customStyle="1" w:styleId="419">
    <w:name w:val="style8"/>
    <w:qFormat/>
    <w:uiPriority w:val="0"/>
    <w:rPr>
      <w:sz w:val="28"/>
      <w:szCs w:val="20"/>
    </w:rPr>
  </w:style>
  <w:style w:type="character" w:customStyle="1" w:styleId="420">
    <w:name w:val="标题 Char1"/>
    <w:qFormat/>
    <w:uiPriority w:val="10"/>
    <w:rPr>
      <w:rFonts w:hint="default" w:ascii="Cambria" w:hAnsi="Cambria" w:eastAsia="宋体" w:cs="Times New Roman"/>
      <w:b/>
      <w:bCs/>
      <w:sz w:val="32"/>
      <w:szCs w:val="32"/>
    </w:rPr>
  </w:style>
  <w:style w:type="character" w:customStyle="1" w:styleId="421">
    <w:name w:val="para1"/>
    <w:qFormat/>
    <w:uiPriority w:val="99"/>
    <w:rPr>
      <w:rFonts w:hint="default" w:ascii="Arial" w:hAnsi="Arial" w:cs="Arial"/>
      <w:sz w:val="18"/>
      <w:szCs w:val="18"/>
    </w:rPr>
  </w:style>
  <w:style w:type="character" w:customStyle="1" w:styleId="422">
    <w:name w:val="unnamed1"/>
    <w:qFormat/>
    <w:uiPriority w:val="0"/>
  </w:style>
  <w:style w:type="character" w:customStyle="1" w:styleId="423">
    <w:name w:val="font101"/>
    <w:qFormat/>
    <w:uiPriority w:val="0"/>
    <w:rPr>
      <w:rFonts w:hint="eastAsia" w:ascii="宋体" w:hAnsi="宋体" w:eastAsia="宋体" w:cs="宋体"/>
      <w:color w:val="FF0000"/>
      <w:sz w:val="18"/>
      <w:szCs w:val="18"/>
      <w:u w:val="none"/>
    </w:rPr>
  </w:style>
  <w:style w:type="character" w:customStyle="1" w:styleId="424">
    <w:name w:val="批注文字 Char2"/>
    <w:qFormat/>
    <w:uiPriority w:val="0"/>
    <w:rPr>
      <w:kern w:val="2"/>
      <w:sz w:val="21"/>
    </w:rPr>
  </w:style>
  <w:style w:type="character" w:customStyle="1" w:styleId="425">
    <w:name w:val="批注文字 字符"/>
    <w:qFormat/>
    <w:uiPriority w:val="99"/>
    <w:rPr>
      <w:kern w:val="2"/>
      <w:sz w:val="21"/>
    </w:rPr>
  </w:style>
  <w:style w:type="character" w:customStyle="1" w:styleId="426">
    <w:name w:val="列出段落 Char1"/>
    <w:qFormat/>
    <w:uiPriority w:val="34"/>
    <w:rPr>
      <w:rFonts w:hint="default" w:ascii="Calibri" w:hAnsi="Calibri" w:cs="Calibri"/>
      <w:sz w:val="24"/>
    </w:rPr>
  </w:style>
  <w:style w:type="character" w:customStyle="1" w:styleId="427">
    <w:name w:val="论文正文样式 Char"/>
    <w:qFormat/>
    <w:uiPriority w:val="0"/>
    <w:rPr>
      <w:rFonts w:hint="default" w:ascii="Times New Roman" w:hAnsi="Times New Roman" w:cs="Times New Roman"/>
      <w:kern w:val="2"/>
      <w:sz w:val="21"/>
      <w:szCs w:val="21"/>
    </w:rPr>
  </w:style>
  <w:style w:type="character" w:customStyle="1" w:styleId="428">
    <w:name w:val="纯文本 Char Char Char2"/>
    <w:qFormat/>
    <w:locked/>
    <w:uiPriority w:val="0"/>
    <w:rPr>
      <w:rFonts w:hint="eastAsia" w:ascii="宋体" w:hAnsi="Courier New" w:eastAsia="宋体"/>
      <w:kern w:val="2"/>
      <w:sz w:val="21"/>
      <w:szCs w:val="20"/>
      <w:lang w:val="en-US" w:eastAsia="zh-CN" w:bidi="ar-SA"/>
    </w:rPr>
  </w:style>
  <w:style w:type="paragraph" w:customStyle="1" w:styleId="429">
    <w:name w:val="投标书正文无序编号"/>
    <w:basedOn w:val="1"/>
    <w:link w:val="430"/>
    <w:qFormat/>
    <w:uiPriority w:val="0"/>
  </w:style>
  <w:style w:type="character" w:customStyle="1" w:styleId="430">
    <w:name w:val="投标书正文无序编号 Char Char"/>
    <w:link w:val="429"/>
    <w:qFormat/>
    <w:locked/>
    <w:uiPriority w:val="0"/>
    <w:rPr>
      <w:rFonts w:ascii="Calibri" w:hAnsi="Calibri" w:eastAsia="宋体" w:cs="Times New Roman"/>
    </w:rPr>
  </w:style>
  <w:style w:type="character" w:customStyle="1" w:styleId="431">
    <w:name w:val="页眉 Char1"/>
    <w:qFormat/>
    <w:locked/>
    <w:uiPriority w:val="0"/>
    <w:rPr>
      <w:sz w:val="18"/>
    </w:rPr>
  </w:style>
  <w:style w:type="character" w:customStyle="1" w:styleId="432">
    <w:name w:val="List Paragraph Char"/>
    <w:qFormat/>
    <w:locked/>
    <w:uiPriority w:val="0"/>
  </w:style>
  <w:style w:type="character" w:customStyle="1" w:styleId="433">
    <w:name w:val="批注文字 Char1"/>
    <w:qFormat/>
    <w:uiPriority w:val="99"/>
    <w:rPr>
      <w:rFonts w:hint="default" w:ascii="Times New Roman" w:hAnsi="Times New Roman" w:eastAsia="宋体" w:cs="Times New Roman"/>
      <w:szCs w:val="24"/>
    </w:rPr>
  </w:style>
  <w:style w:type="character" w:customStyle="1" w:styleId="434">
    <w:name w:val="纯文本 Char21"/>
    <w:qFormat/>
    <w:uiPriority w:val="99"/>
    <w:rPr>
      <w:rFonts w:hint="eastAsia" w:ascii="宋体" w:hAnsi="Courier New" w:eastAsia="宋体" w:cs="Courier New"/>
      <w:kern w:val="2"/>
      <w:sz w:val="21"/>
      <w:szCs w:val="21"/>
    </w:rPr>
  </w:style>
  <w:style w:type="character" w:customStyle="1" w:styleId="435">
    <w:name w:val="标题 Char11"/>
    <w:qFormat/>
    <w:uiPriority w:val="10"/>
    <w:rPr>
      <w:rFonts w:hint="default" w:ascii="Cambria" w:hAnsi="Cambria" w:cs="Times New Roman"/>
      <w:b/>
      <w:bCs/>
      <w:kern w:val="2"/>
      <w:sz w:val="32"/>
      <w:szCs w:val="32"/>
    </w:rPr>
  </w:style>
  <w:style w:type="character" w:customStyle="1" w:styleId="436">
    <w:name w:val="正文缩进 字符"/>
    <w:qFormat/>
    <w:uiPriority w:val="0"/>
    <w:rPr>
      <w:rFonts w:hint="eastAsia" w:ascii="宋体" w:hAnsi="宋体" w:eastAsia="宋体"/>
      <w:kern w:val="2"/>
      <w:sz w:val="21"/>
      <w:lang w:val="en-US" w:eastAsia="zh-CN"/>
    </w:rPr>
  </w:style>
  <w:style w:type="character" w:customStyle="1" w:styleId="437">
    <w:name w:val="页脚 字符"/>
    <w:qFormat/>
    <w:locked/>
    <w:uiPriority w:val="99"/>
    <w:rPr>
      <w:rFonts w:hint="eastAsia" w:ascii="黑体" w:hAnsi="黑体" w:eastAsia="黑体"/>
      <w:snapToGrid/>
      <w:sz w:val="18"/>
    </w:rPr>
  </w:style>
  <w:style w:type="character" w:customStyle="1" w:styleId="438">
    <w:name w:val="批注框文本 字符"/>
    <w:qFormat/>
    <w:locked/>
    <w:uiPriority w:val="0"/>
    <w:rPr>
      <w:kern w:val="2"/>
      <w:sz w:val="18"/>
    </w:rPr>
  </w:style>
  <w:style w:type="table" w:customStyle="1" w:styleId="439">
    <w:name w:val="网格型12"/>
    <w:basedOn w:val="49"/>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0">
    <w:name w:val="网格型2"/>
    <w:basedOn w:val="49"/>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1">
    <w:name w:val="网格型11"/>
    <w:basedOn w:val="49"/>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6326</Words>
  <Characters>36063</Characters>
  <Lines>300</Lines>
  <Paragraphs>84</Paragraphs>
  <TotalTime>21</TotalTime>
  <ScaleCrop>false</ScaleCrop>
  <LinksUpToDate>false</LinksUpToDate>
  <CharactersWithSpaces>42305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2023-12-06T00:45:00Z</dcterms:created>
  <dc:creator>user</dc:creator>
  <cp:lastModifiedBy>大头</cp:lastModifiedBy>
  <dcterms:modified xsi:type="dcterms:W3CDTF">2023-12-18T07:21:52Z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F358D860BB7841A68DE418ED6B3A7039_12</vt:lpwstr>
  </property>
</Properties>
</file>